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val="0"/>
        <w:wordWrap/>
        <w:overflowPunct/>
        <w:topLinePunct w:val="0"/>
        <w:autoSpaceDE w:val="0"/>
        <w:autoSpaceDN/>
        <w:bidi w:val="0"/>
        <w:adjustRightInd w:val="0"/>
        <w:snapToGrid w:val="0"/>
        <w:spacing w:line="600" w:lineRule="exact"/>
        <w:jc w:val="center"/>
        <w:outlineLvl w:val="0"/>
        <w:rPr>
          <w:rFonts w:hint="eastAsia" w:ascii="方正小标宋简体" w:hAnsi="方正小标宋简体" w:eastAsia="方正小标宋简体" w:cs="方正小标宋简体"/>
          <w:spacing w:val="0"/>
          <w:kern w:val="0"/>
          <w:sz w:val="44"/>
          <w:szCs w:val="44"/>
          <w:u w:val="none" w:color="auto"/>
        </w:rPr>
      </w:pPr>
      <w:r>
        <w:rPr>
          <w:rFonts w:hint="eastAsia" w:ascii="方正小标宋简体" w:hAnsi="方正小标宋简体" w:eastAsia="方正小标宋简体" w:cs="方正小标宋简体"/>
          <w:spacing w:val="0"/>
          <w:kern w:val="0"/>
          <w:sz w:val="44"/>
          <w:szCs w:val="44"/>
          <w:u w:val="none" w:color="auto"/>
          <w:lang w:val="en-US" w:eastAsia="zh-CN"/>
        </w:rPr>
        <w:t>大同市</w:t>
      </w:r>
      <w:r>
        <w:rPr>
          <w:rFonts w:hint="eastAsia" w:ascii="方正小标宋简体" w:hAnsi="方正小标宋简体" w:eastAsia="方正小标宋简体" w:cs="方正小标宋简体"/>
          <w:spacing w:val="0"/>
          <w:kern w:val="0"/>
          <w:sz w:val="44"/>
          <w:szCs w:val="44"/>
          <w:u w:val="none" w:color="auto"/>
        </w:rPr>
        <w:t>生态环境局</w:t>
      </w:r>
      <w:bookmarkStart w:id="0" w:name="bookmark120"/>
      <w:bookmarkEnd w:id="0"/>
    </w:p>
    <w:p>
      <w:pPr>
        <w:keepNext w:val="0"/>
        <w:keepLines w:val="0"/>
        <w:pageBreakBefore w:val="0"/>
        <w:widowControl w:val="0"/>
        <w:kinsoku w:val="0"/>
        <w:wordWrap/>
        <w:overflowPunct/>
        <w:topLinePunct w:val="0"/>
        <w:autoSpaceDE w:val="0"/>
        <w:autoSpaceDN/>
        <w:bidi w:val="0"/>
        <w:adjustRightInd w:val="0"/>
        <w:snapToGrid w:val="0"/>
        <w:spacing w:line="600" w:lineRule="exact"/>
        <w:jc w:val="center"/>
        <w:outlineLvl w:val="0"/>
        <w:rPr>
          <w:rFonts w:hint="eastAsia" w:ascii="仿宋_GB2312" w:hAnsi="仿宋_GB2312" w:eastAsia="仿宋_GB2312" w:cs="仿宋_GB2312"/>
          <w:spacing w:val="0"/>
          <w:sz w:val="32"/>
          <w:szCs w:val="32"/>
          <w:u w:val="none" w:color="auto"/>
          <w:lang w:val="en-US" w:eastAsia="zh-CN"/>
        </w:rPr>
      </w:pPr>
      <w:r>
        <w:rPr>
          <w:rFonts w:hint="eastAsia" w:ascii="方正小标宋简体" w:hAnsi="方正小标宋简体" w:eastAsia="方正小标宋简体" w:cs="方正小标宋简体"/>
          <w:spacing w:val="0"/>
          <w:kern w:val="0"/>
          <w:sz w:val="44"/>
          <w:szCs w:val="44"/>
          <w:u w:val="none" w:color="auto"/>
        </w:rPr>
        <w:t>行政处罚</w:t>
      </w:r>
      <w:r>
        <w:rPr>
          <w:rFonts w:hint="eastAsia" w:ascii="方正小标宋简体" w:hAnsi="方正小标宋简体" w:eastAsia="方正小标宋简体" w:cs="方正小标宋简体"/>
          <w:spacing w:val="0"/>
          <w:kern w:val="0"/>
          <w:sz w:val="44"/>
          <w:szCs w:val="44"/>
          <w:u w:val="none" w:color="auto"/>
          <w:lang w:val="en-US" w:eastAsia="zh-CN"/>
        </w:rPr>
        <w:t>决定</w:t>
      </w:r>
      <w:r>
        <w:rPr>
          <w:rFonts w:hint="eastAsia" w:ascii="方正小标宋简体" w:hAnsi="方正小标宋简体" w:eastAsia="方正小标宋简体" w:cs="方正小标宋简体"/>
          <w:spacing w:val="0"/>
          <w:kern w:val="0"/>
          <w:sz w:val="44"/>
          <w:szCs w:val="44"/>
          <w:u w:val="none" w:color="auto"/>
        </w:rPr>
        <w:t>书</w:t>
      </w:r>
    </w:p>
    <w:p>
      <w:pPr>
        <w:keepNext w:val="0"/>
        <w:keepLines w:val="0"/>
        <w:pageBreakBefore w:val="0"/>
        <w:widowControl w:val="0"/>
        <w:tabs>
          <w:tab w:val="left" w:pos="3626"/>
        </w:tabs>
        <w:kinsoku w:val="0"/>
        <w:wordWrap/>
        <w:overflowPunct/>
        <w:topLinePunct w:val="0"/>
        <w:autoSpaceDE w:val="0"/>
        <w:autoSpaceDN/>
        <w:bidi w:val="0"/>
        <w:adjustRightInd w:val="0"/>
        <w:snapToGrid w:val="0"/>
        <w:spacing w:line="600" w:lineRule="exact"/>
        <w:jc w:val="center"/>
        <w:rPr>
          <w:rFonts w:hint="eastAsia" w:ascii="仿宋_GB2312" w:hAnsi="仿宋_GB2312" w:eastAsia="仿宋_GB2312" w:cs="仿宋_GB2312"/>
          <w:spacing w:val="0"/>
          <w:sz w:val="32"/>
          <w:szCs w:val="32"/>
          <w:u w:val="none" w:color="auto"/>
        </w:rPr>
      </w:pPr>
      <w:r>
        <w:rPr>
          <w:rFonts w:hint="eastAsia" w:ascii="仿宋_GB2312" w:hAnsi="仿宋_GB2312" w:eastAsia="仿宋_GB2312" w:cs="仿宋_GB2312"/>
          <w:spacing w:val="0"/>
          <w:sz w:val="32"/>
          <w:szCs w:val="32"/>
          <w:u w:val="none" w:color="auto"/>
          <w:lang w:val="en-US" w:eastAsia="zh-CN"/>
        </w:rPr>
        <w:t>同广灵</w:t>
      </w:r>
      <w:r>
        <w:rPr>
          <w:rFonts w:hint="eastAsia" w:ascii="仿宋_GB2312" w:hAnsi="仿宋_GB2312" w:eastAsia="仿宋_GB2312" w:cs="仿宋_GB2312"/>
          <w:spacing w:val="0"/>
          <w:sz w:val="32"/>
          <w:szCs w:val="32"/>
          <w:u w:val="none" w:color="auto"/>
        </w:rPr>
        <w:t>环罚〔</w:t>
      </w:r>
      <w:r>
        <w:rPr>
          <w:rFonts w:hint="eastAsia" w:ascii="仿宋_GB2312" w:hAnsi="仿宋_GB2312" w:eastAsia="仿宋_GB2312" w:cs="仿宋_GB2312"/>
          <w:spacing w:val="0"/>
          <w:sz w:val="32"/>
          <w:szCs w:val="32"/>
          <w:u w:val="none" w:color="auto"/>
          <w:lang w:val="en-US" w:eastAsia="zh-CN"/>
        </w:rPr>
        <w:t>2026</w:t>
      </w:r>
      <w:r>
        <w:rPr>
          <w:rFonts w:hint="eastAsia" w:ascii="仿宋_GB2312" w:hAnsi="仿宋_GB2312" w:eastAsia="仿宋_GB2312" w:cs="仿宋_GB2312"/>
          <w:spacing w:val="0"/>
          <w:sz w:val="32"/>
          <w:szCs w:val="32"/>
          <w:u w:val="none" w:color="auto"/>
        </w:rPr>
        <w:t>〕</w:t>
      </w:r>
      <w:r>
        <w:rPr>
          <w:rFonts w:hint="eastAsia" w:ascii="仿宋_GB2312" w:hAnsi="仿宋_GB2312" w:eastAsia="仿宋_GB2312" w:cs="仿宋_GB2312"/>
          <w:spacing w:val="0"/>
          <w:sz w:val="32"/>
          <w:szCs w:val="32"/>
          <w:u w:val="none" w:color="auto"/>
          <w:lang w:val="en-US" w:eastAsia="zh-CN"/>
        </w:rPr>
        <w:t>2</w:t>
      </w:r>
      <w:r>
        <w:rPr>
          <w:rFonts w:hint="eastAsia" w:ascii="仿宋_GB2312" w:hAnsi="仿宋_GB2312" w:eastAsia="仿宋_GB2312" w:cs="仿宋_GB2312"/>
          <w:spacing w:val="0"/>
          <w:sz w:val="32"/>
          <w:szCs w:val="32"/>
          <w:u w:val="none" w:color="auto"/>
        </w:rPr>
        <w:t>号</w:t>
      </w:r>
    </w:p>
    <w:p>
      <w:pPr>
        <w:pStyle w:val="2"/>
        <w:keepNext w:val="0"/>
        <w:keepLines w:val="0"/>
        <w:pageBreakBefore w:val="0"/>
        <w:widowControl w:val="0"/>
        <w:kinsoku w:val="0"/>
        <w:wordWrap/>
        <w:overflowPunct/>
        <w:topLinePunct w:val="0"/>
        <w:autoSpaceDE w:val="0"/>
        <w:autoSpaceDN/>
        <w:bidi w:val="0"/>
        <w:adjustRightInd w:val="0"/>
        <w:snapToGrid w:val="0"/>
        <w:spacing w:line="600" w:lineRule="exact"/>
        <w:rPr>
          <w:rFonts w:hint="eastAsia" w:ascii="仿宋_GB2312" w:hAnsi="仿宋_GB2312" w:eastAsia="仿宋_GB2312" w:cs="仿宋_GB2312"/>
          <w:spacing w:val="0"/>
          <w:sz w:val="32"/>
          <w:szCs w:val="32"/>
          <w:u w:val="none" w:color="auto"/>
        </w:rPr>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当事人名称：广灵县广洁污水处理有限公司 </w:t>
      </w: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lang w:val="en-US" w:eastAsia="zh-CN"/>
        </w:rPr>
        <w:t>杨之娟</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统一社会信用代码：</w:t>
      </w:r>
      <w:r>
        <w:rPr>
          <w:rFonts w:hint="eastAsia" w:ascii="仿宋_GB2312" w:hAnsi="仿宋_GB2312" w:eastAsia="仿宋_GB2312" w:cs="仿宋_GB2312"/>
          <w:color w:val="auto"/>
          <w:sz w:val="32"/>
          <w:szCs w:val="32"/>
          <w:lang w:val="en-US" w:eastAsia="zh-CN"/>
        </w:rPr>
        <w:t>911***********LD80</w:t>
      </w: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地址：</w:t>
      </w:r>
      <w:r>
        <w:rPr>
          <w:rFonts w:hint="eastAsia" w:ascii="仿宋_GB2312" w:hAnsi="仿宋_GB2312" w:eastAsia="仿宋_GB2312" w:cs="仿宋_GB2312"/>
          <w:color w:val="auto"/>
          <w:sz w:val="32"/>
          <w:szCs w:val="32"/>
          <w:lang w:val="en-US" w:eastAsia="zh-CN"/>
        </w:rPr>
        <w:t>广灵县壶泉镇西河乡村原污水处理管理</w:t>
      </w:r>
      <w:bookmarkStart w:id="1" w:name="_GoBack"/>
      <w:bookmarkEnd w:id="1"/>
      <w:r>
        <w:rPr>
          <w:rFonts w:hint="eastAsia" w:ascii="仿宋_GB2312" w:hAnsi="仿宋_GB2312" w:eastAsia="仿宋_GB2312" w:cs="仿宋_GB2312"/>
          <w:color w:val="auto"/>
          <w:sz w:val="32"/>
          <w:szCs w:val="32"/>
          <w:lang w:val="en-US" w:eastAsia="zh-CN"/>
        </w:rPr>
        <w:t>站院内</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我局于</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日对你</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进行</w:t>
      </w:r>
      <w:r>
        <w:rPr>
          <w:rFonts w:hint="eastAsia" w:ascii="仿宋_GB2312" w:hAnsi="仿宋_GB2312" w:eastAsia="仿宋_GB2312" w:cs="仿宋_GB2312"/>
          <w:color w:val="auto"/>
          <w:sz w:val="32"/>
          <w:szCs w:val="32"/>
          <w:lang w:val="en-US" w:eastAsia="zh-CN"/>
        </w:rPr>
        <w:t>现场检查</w:t>
      </w:r>
      <w:r>
        <w:rPr>
          <w:rFonts w:hint="eastAsia" w:ascii="仿宋_GB2312" w:hAnsi="仿宋_GB2312" w:eastAsia="仿宋_GB2312" w:cs="仿宋_GB2312"/>
          <w:color w:val="auto"/>
          <w:sz w:val="32"/>
          <w:szCs w:val="32"/>
        </w:rPr>
        <w:t>，发现你</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实施了以下生态环境违法行为：</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经现场调阅</w:t>
      </w:r>
      <w:r>
        <w:rPr>
          <w:rFonts w:hint="eastAsia" w:ascii="仿宋_GB2312" w:hAnsi="仿宋_GB2312" w:eastAsia="仿宋_GB2312" w:cs="仿宋_GB2312"/>
          <w:color w:val="auto"/>
          <w:sz w:val="32"/>
          <w:szCs w:val="32"/>
          <w:lang w:eastAsia="zh-CN"/>
        </w:rPr>
        <w:t>你单位</w:t>
      </w:r>
      <w:r>
        <w:rPr>
          <w:rFonts w:hint="eastAsia" w:ascii="仿宋_GB2312" w:hAnsi="仿宋_GB2312" w:eastAsia="仿宋_GB2312" w:cs="仿宋_GB2312"/>
          <w:color w:val="auto"/>
          <w:sz w:val="32"/>
          <w:szCs w:val="32"/>
          <w:lang w:val="en-US" w:eastAsia="zh-CN"/>
        </w:rPr>
        <w:t>水污染源在线监测系统运行比对监测报告</w:t>
      </w:r>
      <w:r>
        <w:rPr>
          <w:rFonts w:hint="eastAsia" w:ascii="仿宋_GB2312" w:hAnsi="仿宋_GB2312" w:eastAsia="仿宋_GB2312" w:cs="仿宋_GB2312"/>
          <w:color w:val="auto"/>
          <w:sz w:val="32"/>
          <w:szCs w:val="32"/>
          <w:lang w:eastAsia="zh-CN"/>
        </w:rPr>
        <w:t>时发现，你单位未按照《</w:t>
      </w:r>
      <w:r>
        <w:rPr>
          <w:rFonts w:hint="eastAsia" w:ascii="仿宋_GB2312" w:hAnsi="仿宋_GB2312" w:eastAsia="仿宋_GB2312" w:cs="仿宋_GB2312"/>
          <w:color w:val="auto"/>
          <w:sz w:val="32"/>
          <w:szCs w:val="32"/>
          <w:lang w:val="en-US" w:eastAsia="zh-CN"/>
        </w:rPr>
        <w:t>水污染源在线监测系统（CODcr、NH3-N等）运行技术规范》（HJ355-2019)规定开展2026年2月、3月、4月水污染源在线监测系统运行比对监测，未保证监测设备正常运行</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以上事实，有以下主要证据证明。</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大同市生态环境局现场检查（勘察）笔录</w:t>
      </w:r>
      <w:r>
        <w:rPr>
          <w:rFonts w:hint="eastAsia" w:ascii="仿宋_GB2312" w:hAnsi="仿宋_GB2312" w:eastAsia="仿宋_GB2312" w:cs="仿宋_GB2312"/>
          <w:color w:val="auto"/>
          <w:sz w:val="32"/>
          <w:szCs w:val="32"/>
        </w:rPr>
        <w:t>》1份，</w:t>
      </w:r>
      <w:r>
        <w:rPr>
          <w:rFonts w:hint="eastAsia" w:ascii="仿宋_GB2312" w:hAnsi="仿宋_GB2312" w:eastAsia="仿宋_GB2312" w:cs="仿宋_GB2312"/>
          <w:color w:val="auto"/>
          <w:sz w:val="32"/>
          <w:szCs w:val="32"/>
          <w:lang w:val="en-US" w:eastAsia="zh-CN"/>
        </w:rPr>
        <w:t>证明以上违法事实的存在</w:t>
      </w:r>
      <w:r>
        <w:rPr>
          <w:rFonts w:hint="eastAsia" w:ascii="仿宋_GB2312" w:hAnsi="仿宋_GB2312" w:eastAsia="仿宋_GB2312" w:cs="仿宋_GB2312"/>
          <w:color w:val="auto"/>
          <w:sz w:val="32"/>
          <w:szCs w:val="32"/>
        </w:rPr>
        <w:t>情况；</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lang w:eastAsia="zh-CN"/>
        </w:rPr>
        <w:t>大同市生态环境局调查询问笔录</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lang w:val="en-US" w:eastAsia="zh-CN"/>
        </w:rPr>
        <w:t>1份，</w:t>
      </w:r>
      <w:r>
        <w:rPr>
          <w:rFonts w:hint="eastAsia" w:ascii="仿宋_GB2312" w:hAnsi="仿宋_GB2312" w:eastAsia="仿宋_GB2312" w:cs="仿宋_GB2312"/>
          <w:color w:val="auto"/>
          <w:kern w:val="2"/>
          <w:sz w:val="32"/>
          <w:szCs w:val="32"/>
          <w:lang w:val="en-US" w:eastAsia="zh-CN" w:bidi="ar-SA"/>
        </w:rPr>
        <w:t>证明以上违法事实的存在</w:t>
      </w:r>
      <w:r>
        <w:rPr>
          <w:rFonts w:hint="eastAsia" w:ascii="仿宋_GB2312" w:hAnsi="仿宋_GB2312" w:eastAsia="仿宋_GB2312" w:cs="仿宋_GB2312"/>
          <w:color w:val="auto"/>
          <w:sz w:val="32"/>
          <w:szCs w:val="32"/>
        </w:rPr>
        <w:t>情况</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3.2026</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lang w:eastAsia="zh-CN"/>
        </w:rPr>
        <w:t>日当事人提供：</w:t>
      </w:r>
      <w:r>
        <w:rPr>
          <w:rFonts w:hint="eastAsia" w:ascii="仿宋_GB2312" w:hAnsi="仿宋_GB2312" w:eastAsia="仿宋_GB2312" w:cs="仿宋_GB2312"/>
          <w:color w:val="auto"/>
          <w:sz w:val="32"/>
          <w:szCs w:val="32"/>
          <w:lang w:val="en-US" w:eastAsia="zh-CN"/>
        </w:rPr>
        <w:t>2026年1月21日大同万维检测科技有限公司出具的编号XZ-77-01-2026水污染源在线监测系统运行比对监测报告，证明2026年1月份开展了水污染源在线监测系统运行比对监测。未提供2026年2月、3月、4月水污染源在线监测系统运行比对监测，</w:t>
      </w:r>
      <w:r>
        <w:rPr>
          <w:rFonts w:hint="eastAsia" w:ascii="仿宋_GB2312" w:hAnsi="仿宋_GB2312" w:eastAsia="仿宋_GB2312" w:cs="仿宋_GB2312"/>
          <w:color w:val="auto"/>
          <w:kern w:val="2"/>
          <w:sz w:val="32"/>
          <w:szCs w:val="32"/>
          <w:lang w:val="en-US" w:eastAsia="zh-CN" w:bidi="ar-SA"/>
        </w:rPr>
        <w:t>证明以上违法事实的存在</w:t>
      </w:r>
      <w:r>
        <w:rPr>
          <w:rFonts w:hint="eastAsia" w:ascii="仿宋_GB2312" w:hAnsi="仿宋_GB2312" w:eastAsia="仿宋_GB2312" w:cs="仿宋_GB2312"/>
          <w:color w:val="auto"/>
          <w:sz w:val="32"/>
          <w:szCs w:val="32"/>
        </w:rPr>
        <w:t>情况</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4.2026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日我局提供执法人员的执法证复印件2份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证明</w:t>
      </w:r>
      <w:r>
        <w:rPr>
          <w:rFonts w:hint="eastAsia" w:ascii="仿宋_GB2312" w:hAnsi="仿宋_GB2312" w:eastAsia="仿宋_GB2312" w:cs="仿宋_GB2312"/>
          <w:color w:val="auto"/>
          <w:sz w:val="32"/>
          <w:szCs w:val="32"/>
          <w:lang w:eastAsia="zh-CN"/>
        </w:rPr>
        <w:t>行政执法人员</w:t>
      </w:r>
      <w:r>
        <w:rPr>
          <w:rFonts w:hint="eastAsia" w:ascii="仿宋_GB2312" w:hAnsi="仿宋_GB2312" w:eastAsia="仿宋_GB2312" w:cs="仿宋_GB2312"/>
          <w:color w:val="auto"/>
          <w:sz w:val="32"/>
          <w:szCs w:val="32"/>
        </w:rPr>
        <w:t>的身份</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5.2026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日当事人提供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2"/>
          <w:sz w:val="32"/>
          <w:szCs w:val="32"/>
          <w:lang w:val="en-US" w:eastAsia="zh-CN" w:bidi="ar-SA"/>
        </w:rPr>
        <w:t>（1）公司法定代表人身份证复印件1份；（2）《营业执照》复印件1份；（3）职工花名表复印件1份；（4）办公会议纪要复印件1份；（5）《排污许可证》复印件1份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2"/>
          <w:sz w:val="32"/>
          <w:szCs w:val="32"/>
          <w:lang w:val="en-US" w:eastAsia="zh-CN" w:bidi="ar-SA"/>
        </w:rPr>
        <w:t>（6）环评批复文件复印件2份；（7）项目环保竣工验收复印件2份；（8）污染源自动监控设施备案登记表复印件1份；</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6、2026年6月16日我局提供责令整改复查记录表1份，证明你单位已停止违法，仅部分整改。</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color w:val="auto"/>
          <w:sz w:val="32"/>
          <w:szCs w:val="32"/>
          <w:u w:val="single"/>
        </w:rPr>
      </w:pPr>
      <w:r>
        <w:rPr>
          <w:rFonts w:hint="eastAsia" w:ascii="仿宋_GB2312" w:eastAsia="仿宋_GB2312"/>
          <w:sz w:val="32"/>
          <w:szCs w:val="32"/>
          <w:lang w:val="en-US" w:eastAsia="zh-CN"/>
        </w:rPr>
        <w:t>你单位</w:t>
      </w:r>
      <w:r>
        <w:rPr>
          <w:rFonts w:hint="eastAsia" w:ascii="仿宋_GB2312" w:eastAsia="仿宋_GB2312"/>
          <w:sz w:val="32"/>
          <w:szCs w:val="32"/>
        </w:rPr>
        <w:t>上述行为违反了</w:t>
      </w:r>
      <w:r>
        <w:rPr>
          <w:rFonts w:hint="eastAsia" w:ascii="仿宋_GB2312" w:eastAsia="仿宋_GB2312"/>
          <w:sz w:val="32"/>
          <w:szCs w:val="32"/>
          <w:lang w:val="en-US" w:eastAsia="zh-CN"/>
        </w:rPr>
        <w:t>《中华人民共和国水污染防治法》</w:t>
      </w:r>
      <w:r>
        <w:rPr>
          <w:rFonts w:hint="eastAsia" w:ascii="仿宋_GB2312" w:eastAsia="仿宋_GB2312"/>
          <w:sz w:val="32"/>
          <w:szCs w:val="32"/>
        </w:rPr>
        <w:t>第</w:t>
      </w:r>
      <w:r>
        <w:rPr>
          <w:rFonts w:hint="eastAsia" w:ascii="仿宋_GB2312" w:eastAsia="仿宋_GB2312"/>
          <w:sz w:val="32"/>
          <w:szCs w:val="32"/>
          <w:lang w:eastAsia="zh-CN"/>
        </w:rPr>
        <w:t>二十三</w:t>
      </w:r>
      <w:r>
        <w:rPr>
          <w:rFonts w:hint="eastAsia" w:ascii="仿宋_GB2312" w:eastAsia="仿宋_GB2312"/>
          <w:sz w:val="32"/>
          <w:szCs w:val="32"/>
        </w:rPr>
        <w:t>条</w:t>
      </w:r>
      <w:r>
        <w:rPr>
          <w:rFonts w:hint="eastAsia" w:ascii="仿宋_GB2312" w:eastAsia="仿宋_GB2312"/>
          <w:sz w:val="32"/>
          <w:szCs w:val="32"/>
          <w:lang w:eastAsia="zh-CN"/>
        </w:rPr>
        <w:t>第一</w:t>
      </w:r>
      <w:r>
        <w:rPr>
          <w:rFonts w:hint="eastAsia" w:ascii="仿宋_GB2312" w:hAnsi="仿宋_GB2312" w:eastAsia="仿宋_GB2312" w:cs="仿宋_GB2312"/>
          <w:color w:val="auto"/>
          <w:sz w:val="32"/>
          <w:szCs w:val="32"/>
          <w:lang w:eastAsia="zh-CN"/>
        </w:rPr>
        <w:t>款</w:t>
      </w:r>
      <w:r>
        <w:rPr>
          <w:rFonts w:hint="eastAsia" w:ascii="仿宋_GB2312" w:eastAsia="仿宋_GB2312"/>
          <w:sz w:val="32"/>
          <w:szCs w:val="32"/>
          <w:lang w:eastAsia="zh-CN"/>
        </w:rPr>
        <w:t>“实行排污许可管理的企业事业单位和其他生产经营者应当按照国家有关规定和监测规范，对所排放的水污染自行监测，并保存原始监测记录。重点排污单位还应当安装水污染物排放自动监测设备，与环境保护主管部门的监控设备联网，并保证监测设备正常运行。具体办法由国务院环境保护主管部门规定”</w:t>
      </w:r>
      <w:r>
        <w:rPr>
          <w:rFonts w:hint="eastAsia" w:ascii="仿宋_GB2312" w:hAnsi="仿宋_GB2312" w:eastAsia="仿宋_GB2312" w:cs="仿宋_GB2312"/>
          <w:color w:val="auto"/>
          <w:sz w:val="32"/>
          <w:szCs w:val="32"/>
        </w:rPr>
        <w:t>的规定。</w:t>
      </w:r>
    </w:p>
    <w:p>
      <w:pPr>
        <w:keepNext w:val="0"/>
        <w:keepLines w:val="0"/>
        <w:pageBreakBefore w:val="0"/>
        <w:widowControl w:val="0"/>
        <w:kinsoku w:val="0"/>
        <w:wordWrap/>
        <w:overflowPunct/>
        <w:topLinePunct w:val="0"/>
        <w:autoSpaceDE w:val="0"/>
        <w:autoSpaceDN/>
        <w:bidi w:val="0"/>
        <w:adjustRightInd w:val="0"/>
        <w:snapToGrid w:val="0"/>
        <w:spacing w:line="600" w:lineRule="exact"/>
        <w:ind w:right="2" w:firstLine="611"/>
        <w:rPr>
          <w:rFonts w:hint="eastAsia" w:ascii="仿宋_GB2312" w:hAnsi="仿宋_GB2312" w:eastAsia="仿宋_GB2312" w:cs="仿宋_GB2312"/>
          <w:spacing w:val="0"/>
          <w:sz w:val="32"/>
          <w:szCs w:val="32"/>
          <w:u w:val="none" w:color="auto"/>
          <w:lang w:val="en-US" w:eastAsia="zh-CN"/>
        </w:rPr>
      </w:pPr>
      <w:r>
        <w:rPr>
          <w:rFonts w:hint="eastAsia" w:ascii="仿宋_GB2312" w:hAnsi="仿宋_GB2312" w:eastAsia="仿宋_GB2312" w:cs="仿宋_GB2312"/>
          <w:spacing w:val="0"/>
          <w:sz w:val="32"/>
          <w:szCs w:val="32"/>
          <w:u w:val="none" w:color="auto"/>
        </w:rPr>
        <w:t>我</w:t>
      </w:r>
      <w:r>
        <w:rPr>
          <w:rFonts w:hint="eastAsia" w:ascii="仿宋_GB2312" w:hAnsi="仿宋_GB2312" w:eastAsia="仿宋_GB2312" w:cs="仿宋_GB2312"/>
          <w:spacing w:val="0"/>
          <w:sz w:val="32"/>
          <w:szCs w:val="32"/>
          <w:u w:val="none" w:color="auto"/>
          <w:lang w:val="en-US" w:eastAsia="zh-CN"/>
        </w:rPr>
        <w:t>局</w:t>
      </w:r>
      <w:r>
        <w:rPr>
          <w:rFonts w:hint="eastAsia" w:ascii="仿宋_GB2312" w:hAnsi="仿宋_GB2312" w:eastAsia="仿宋_GB2312" w:cs="仿宋_GB2312"/>
          <w:spacing w:val="0"/>
          <w:sz w:val="32"/>
          <w:szCs w:val="32"/>
          <w:u w:val="none" w:color="auto"/>
        </w:rPr>
        <w:t>于</w:t>
      </w:r>
      <w:r>
        <w:rPr>
          <w:rFonts w:hint="eastAsia" w:ascii="仿宋_GB2312" w:hAnsi="仿宋_GB2312" w:eastAsia="仿宋_GB2312" w:cs="仿宋_GB2312"/>
          <w:spacing w:val="0"/>
          <w:sz w:val="32"/>
          <w:szCs w:val="32"/>
          <w:u w:val="none" w:color="auto"/>
          <w:lang w:val="en-US" w:eastAsia="zh-CN"/>
        </w:rPr>
        <w:t>2026</w:t>
      </w:r>
      <w:r>
        <w:rPr>
          <w:rFonts w:hint="eastAsia" w:ascii="仿宋_GB2312" w:hAnsi="仿宋_GB2312" w:eastAsia="仿宋_GB2312" w:cs="仿宋_GB2312"/>
          <w:spacing w:val="0"/>
          <w:sz w:val="32"/>
          <w:szCs w:val="32"/>
          <w:u w:val="none" w:color="auto"/>
        </w:rPr>
        <w:t>年</w:t>
      </w:r>
      <w:r>
        <w:rPr>
          <w:rFonts w:hint="eastAsia" w:ascii="仿宋_GB2312" w:hAnsi="仿宋_GB2312" w:eastAsia="仿宋_GB2312" w:cs="仿宋_GB2312"/>
          <w:spacing w:val="0"/>
          <w:sz w:val="32"/>
          <w:szCs w:val="32"/>
          <w:u w:val="none" w:color="auto"/>
          <w:lang w:val="en-US" w:eastAsia="zh-CN"/>
        </w:rPr>
        <w:t>6</w:t>
      </w:r>
      <w:r>
        <w:rPr>
          <w:rFonts w:hint="eastAsia" w:ascii="仿宋_GB2312" w:hAnsi="仿宋_GB2312" w:eastAsia="仿宋_GB2312" w:cs="仿宋_GB2312"/>
          <w:spacing w:val="0"/>
          <w:sz w:val="32"/>
          <w:szCs w:val="32"/>
          <w:u w:val="none" w:color="auto"/>
        </w:rPr>
        <w:t>月</w:t>
      </w:r>
      <w:r>
        <w:rPr>
          <w:rFonts w:hint="eastAsia" w:ascii="仿宋_GB2312" w:hAnsi="仿宋_GB2312" w:eastAsia="仿宋_GB2312" w:cs="仿宋_GB2312"/>
          <w:spacing w:val="0"/>
          <w:sz w:val="32"/>
          <w:szCs w:val="32"/>
          <w:u w:val="none" w:color="auto"/>
          <w:lang w:val="en-US" w:eastAsia="zh-CN"/>
        </w:rPr>
        <w:t>25</w:t>
      </w:r>
      <w:r>
        <w:rPr>
          <w:rFonts w:hint="eastAsia" w:ascii="仿宋_GB2312" w:hAnsi="仿宋_GB2312" w:eastAsia="仿宋_GB2312" w:cs="仿宋_GB2312"/>
          <w:spacing w:val="0"/>
          <w:sz w:val="32"/>
          <w:szCs w:val="32"/>
          <w:u w:val="none" w:color="auto"/>
        </w:rPr>
        <w:t>日以《行政处罚</w:t>
      </w:r>
      <w:r>
        <w:rPr>
          <w:rFonts w:hint="eastAsia" w:ascii="仿宋_GB2312" w:hAnsi="仿宋_GB2312" w:eastAsia="仿宋_GB2312" w:cs="仿宋_GB2312"/>
          <w:spacing w:val="0"/>
          <w:sz w:val="32"/>
          <w:szCs w:val="32"/>
          <w:u w:val="none" w:color="auto"/>
          <w:lang w:val="en-US" w:eastAsia="zh-CN"/>
        </w:rPr>
        <w:t>事先</w:t>
      </w:r>
      <w:r>
        <w:rPr>
          <w:rFonts w:hint="eastAsia" w:ascii="仿宋_GB2312" w:hAnsi="仿宋_GB2312" w:eastAsia="仿宋_GB2312" w:cs="仿宋_GB2312"/>
          <w:spacing w:val="0"/>
          <w:sz w:val="32"/>
          <w:szCs w:val="32"/>
          <w:u w:val="none" w:color="auto"/>
        </w:rPr>
        <w:t>告知书》</w:t>
      </w:r>
      <w:r>
        <w:rPr>
          <w:rFonts w:hint="eastAsia" w:ascii="仿宋_GB2312" w:hAnsi="仿宋_GB2312" w:eastAsia="仿宋_GB2312" w:cs="仿宋_GB2312"/>
          <w:spacing w:val="0"/>
          <w:sz w:val="32"/>
          <w:szCs w:val="32"/>
          <w:u w:val="none" w:color="auto"/>
          <w:lang w:eastAsia="zh-CN"/>
        </w:rPr>
        <w:t>（</w:t>
      </w:r>
      <w:r>
        <w:rPr>
          <w:rFonts w:hint="eastAsia" w:ascii="仿宋_GB2312" w:hAnsi="仿宋_GB2312" w:eastAsia="仿宋_GB2312" w:cs="仿宋_GB2312"/>
          <w:spacing w:val="0"/>
          <w:sz w:val="32"/>
          <w:szCs w:val="32"/>
          <w:u w:val="none" w:color="auto"/>
          <w:lang w:val="en-US" w:eastAsia="zh-CN"/>
        </w:rPr>
        <w:t>同广灵</w:t>
      </w:r>
      <w:r>
        <w:rPr>
          <w:rFonts w:hint="eastAsia" w:ascii="仿宋_GB2312" w:hAnsi="仿宋_GB2312" w:eastAsia="仿宋_GB2312" w:cs="仿宋_GB2312"/>
          <w:spacing w:val="0"/>
          <w:sz w:val="32"/>
          <w:szCs w:val="32"/>
          <w:u w:val="none" w:color="auto"/>
        </w:rPr>
        <w:t>环罚告〔</w:t>
      </w:r>
      <w:r>
        <w:rPr>
          <w:rFonts w:hint="eastAsia" w:ascii="仿宋_GB2312" w:hAnsi="仿宋_GB2312" w:eastAsia="仿宋_GB2312" w:cs="仿宋_GB2312"/>
          <w:spacing w:val="0"/>
          <w:sz w:val="32"/>
          <w:szCs w:val="32"/>
          <w:u w:val="none" w:color="auto"/>
          <w:lang w:val="en-US" w:eastAsia="zh-CN"/>
        </w:rPr>
        <w:t>2026</w:t>
      </w:r>
      <w:r>
        <w:rPr>
          <w:rFonts w:hint="eastAsia" w:ascii="仿宋_GB2312" w:hAnsi="仿宋_GB2312" w:eastAsia="仿宋_GB2312" w:cs="仿宋_GB2312"/>
          <w:spacing w:val="0"/>
          <w:sz w:val="32"/>
          <w:szCs w:val="32"/>
          <w:u w:val="none" w:color="auto"/>
        </w:rPr>
        <w:t>〕</w:t>
      </w:r>
      <w:r>
        <w:rPr>
          <w:rFonts w:hint="eastAsia" w:ascii="仿宋_GB2312" w:hAnsi="仿宋_GB2312" w:eastAsia="仿宋_GB2312" w:cs="仿宋_GB2312"/>
          <w:spacing w:val="0"/>
          <w:sz w:val="32"/>
          <w:szCs w:val="32"/>
          <w:u w:val="none" w:color="auto"/>
          <w:lang w:val="en-US" w:eastAsia="zh-CN"/>
        </w:rPr>
        <w:t>2</w:t>
      </w:r>
      <w:r>
        <w:rPr>
          <w:rFonts w:hint="eastAsia" w:ascii="仿宋_GB2312" w:hAnsi="仿宋_GB2312" w:eastAsia="仿宋_GB2312" w:cs="仿宋_GB2312"/>
          <w:spacing w:val="0"/>
          <w:sz w:val="32"/>
          <w:szCs w:val="32"/>
          <w:u w:val="none" w:color="auto"/>
        </w:rPr>
        <w:t>号）告知你单位陈述申辩权</w:t>
      </w:r>
      <w:r>
        <w:rPr>
          <w:rFonts w:hint="eastAsia" w:ascii="仿宋_GB2312" w:hAnsi="仿宋_GB2312" w:eastAsia="仿宋_GB2312" w:cs="仿宋_GB2312"/>
          <w:spacing w:val="0"/>
          <w:sz w:val="32"/>
          <w:szCs w:val="32"/>
          <w:u w:val="none" w:color="auto"/>
          <w:lang w:eastAsia="zh-CN"/>
        </w:rPr>
        <w:t>，</w:t>
      </w:r>
      <w:r>
        <w:rPr>
          <w:rFonts w:hint="eastAsia" w:ascii="仿宋_GB2312" w:hAnsi="仿宋_GB2312" w:eastAsia="仿宋_GB2312" w:cs="仿宋_GB2312"/>
          <w:spacing w:val="0"/>
          <w:sz w:val="32"/>
          <w:szCs w:val="32"/>
          <w:u w:val="none" w:color="auto"/>
          <w:lang w:val="en-US" w:eastAsia="zh-CN"/>
        </w:rPr>
        <w:t>期限内你单位未进行陈述申辩。</w:t>
      </w:r>
    </w:p>
    <w:p>
      <w:pPr>
        <w:keepNext w:val="0"/>
        <w:keepLines w:val="0"/>
        <w:pageBreakBefore w:val="0"/>
        <w:widowControl w:val="0"/>
        <w:kinsoku/>
        <w:wordWrap w:val="0"/>
        <w:overflowPunct/>
        <w:topLinePunct/>
        <w:autoSpaceDE/>
        <w:autoSpaceDN/>
        <w:bidi w:val="0"/>
        <w:adjustRightInd w:val="0"/>
        <w:snapToGrid w:val="0"/>
        <w:spacing w:line="600" w:lineRule="exact"/>
        <w:ind w:right="126" w:firstLine="640" w:firstLineChars="200"/>
        <w:jc w:val="both"/>
        <w:rPr>
          <w:rFonts w:hint="eastAsia" w:ascii="仿宋_GB2312" w:hAnsi="仿宋_GB2312" w:eastAsia="仿宋_GB2312" w:cs="仿宋_GB2312"/>
          <w:spacing w:val="0"/>
          <w:kern w:val="0"/>
          <w:sz w:val="32"/>
          <w:szCs w:val="32"/>
          <w:u w:val="none" w:color="auto"/>
        </w:rPr>
      </w:pPr>
      <w:r>
        <w:rPr>
          <w:rFonts w:hint="eastAsia" w:ascii="仿宋_GB2312" w:eastAsia="仿宋_GB2312" w:cs="Times New Roman"/>
          <w:sz w:val="32"/>
          <w:szCs w:val="32"/>
          <w:lang w:eastAsia="zh-CN"/>
        </w:rPr>
        <w:t>依据《中华人民共和国行政处罚法》第二十八条第一款</w:t>
      </w:r>
      <w:r>
        <w:rPr>
          <w:rFonts w:hint="eastAsia" w:ascii="仿宋_GB2312" w:eastAsia="仿宋_GB2312" w:cs="Times New Roman"/>
          <w:sz w:val="32"/>
          <w:szCs w:val="32"/>
          <w:lang w:val="en-US" w:eastAsia="zh-CN"/>
        </w:rPr>
        <w:t>“</w:t>
      </w:r>
      <w:r>
        <w:rPr>
          <w:rFonts w:hint="eastAsia" w:ascii="仿宋_GB2312" w:eastAsia="仿宋_GB2312" w:cs="Times New Roman"/>
          <w:sz w:val="32"/>
          <w:szCs w:val="32"/>
          <w:lang w:eastAsia="zh-CN"/>
        </w:rPr>
        <w:t>行政机关实施行政处罚时，应当责令当事人改正或者限期改正违法行为</w:t>
      </w:r>
      <w:r>
        <w:rPr>
          <w:rFonts w:hint="eastAsia" w:ascii="仿宋_GB2312" w:eastAsia="仿宋_GB2312" w:cs="Times New Roman"/>
          <w:sz w:val="32"/>
          <w:szCs w:val="32"/>
          <w:lang w:val="en-US" w:eastAsia="zh-CN"/>
        </w:rPr>
        <w:t>”</w:t>
      </w:r>
      <w:r>
        <w:rPr>
          <w:rFonts w:hint="eastAsia" w:ascii="仿宋_GB2312" w:hAnsi="仿宋_GB2312" w:eastAsia="仿宋_GB2312" w:cs="仿宋_GB2312"/>
          <w:color w:val="auto"/>
          <w:sz w:val="32"/>
          <w:szCs w:val="32"/>
          <w:lang w:val="en-US" w:eastAsia="zh-CN"/>
        </w:rPr>
        <w:t>和</w:t>
      </w:r>
      <w:r>
        <w:rPr>
          <w:rFonts w:hint="eastAsia" w:ascii="仿宋_GB2312" w:eastAsia="仿宋_GB2312"/>
          <w:sz w:val="32"/>
          <w:szCs w:val="32"/>
          <w:lang w:val="en-US" w:eastAsia="zh-CN"/>
        </w:rPr>
        <w:t>《中华人民共和国水污染防治法》</w:t>
      </w:r>
      <w:r>
        <w:rPr>
          <w:rFonts w:hint="eastAsia" w:ascii="仿宋_GB2312" w:eastAsia="仿宋_GB2312"/>
          <w:sz w:val="32"/>
          <w:szCs w:val="32"/>
        </w:rPr>
        <w:t>第</w:t>
      </w:r>
      <w:r>
        <w:rPr>
          <w:rFonts w:hint="eastAsia" w:ascii="仿宋_GB2312" w:eastAsia="仿宋_GB2312"/>
          <w:sz w:val="32"/>
          <w:szCs w:val="32"/>
          <w:lang w:eastAsia="zh-CN"/>
        </w:rPr>
        <w:t>八十二</w:t>
      </w:r>
      <w:r>
        <w:rPr>
          <w:rFonts w:hint="eastAsia" w:ascii="仿宋_GB2312" w:eastAsia="仿宋_GB2312"/>
          <w:sz w:val="32"/>
          <w:szCs w:val="32"/>
        </w:rPr>
        <w:t>条</w:t>
      </w:r>
      <w:r>
        <w:rPr>
          <w:rFonts w:hint="eastAsia" w:ascii="仿宋_GB2312" w:eastAsia="仿宋_GB2312"/>
          <w:sz w:val="32"/>
          <w:szCs w:val="32"/>
          <w:lang w:eastAsia="zh-CN"/>
        </w:rPr>
        <w:t>“</w:t>
      </w:r>
      <w:r>
        <w:rPr>
          <w:rFonts w:hint="eastAsia" w:ascii="仿宋_GB2312" w:eastAsia="仿宋_GB2312"/>
          <w:sz w:val="32"/>
          <w:szCs w:val="32"/>
        </w:rPr>
        <w:t>违反本</w:t>
      </w:r>
      <w:r>
        <w:rPr>
          <w:rFonts w:hint="eastAsia" w:ascii="仿宋_GB2312" w:eastAsia="仿宋_GB2312"/>
          <w:sz w:val="32"/>
          <w:szCs w:val="32"/>
          <w:lang w:eastAsia="zh-CN"/>
        </w:rPr>
        <w:t>法</w:t>
      </w:r>
      <w:r>
        <w:rPr>
          <w:rFonts w:hint="eastAsia" w:ascii="仿宋_GB2312" w:eastAsia="仿宋_GB2312"/>
          <w:sz w:val="32"/>
          <w:szCs w:val="32"/>
        </w:rPr>
        <w:t>规定，</w:t>
      </w:r>
      <w:r>
        <w:rPr>
          <w:rFonts w:hint="eastAsia" w:ascii="仿宋_GB2312" w:eastAsia="仿宋_GB2312"/>
          <w:sz w:val="32"/>
          <w:szCs w:val="32"/>
          <w:lang w:eastAsia="zh-CN"/>
        </w:rPr>
        <w:t>有下列行为之一的，由县级以上人民政府环境保护主管部门责令限期改正，处二万元以上二十万元以下的罚款；逾期不改正的，责令停产整治</w:t>
      </w:r>
      <w:r>
        <w:rPr>
          <w:rFonts w:hint="eastAsia" w:ascii="仿宋_GB2312" w:eastAsia="仿宋_GB2312"/>
          <w:sz w:val="32"/>
          <w:szCs w:val="32"/>
          <w:lang w:val="en-US" w:eastAsia="zh-CN"/>
        </w:rPr>
        <w:t>：</w:t>
      </w: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w:t>
      </w:r>
      <w:r>
        <w:rPr>
          <w:rFonts w:hint="eastAsia" w:ascii="仿宋_GB2312" w:eastAsia="仿宋_GB2312"/>
          <w:sz w:val="32"/>
          <w:szCs w:val="32"/>
          <w:lang w:eastAsia="zh-CN"/>
        </w:rPr>
        <w:t>未按照规定安装水污染物排放自动监测设备，未按照规定与环境保护主管部门的监控设备联网，或者未保证监测设备正常运行的”</w:t>
      </w:r>
      <w:r>
        <w:rPr>
          <w:rFonts w:hint="eastAsia" w:ascii="仿宋_GB2312" w:hAnsi="仿宋_GB2312" w:eastAsia="仿宋_GB2312" w:cs="仿宋_GB2312"/>
          <w:color w:val="auto"/>
          <w:sz w:val="32"/>
          <w:szCs w:val="32"/>
        </w:rPr>
        <w:t>的规定</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pacing w:val="0"/>
          <w:kern w:val="0"/>
          <w:sz w:val="32"/>
          <w:szCs w:val="32"/>
          <w:u w:val="none" w:color="auto"/>
          <w:lang w:eastAsia="zh-CN"/>
        </w:rPr>
        <w:t>参照山西省生态环境厅《生态环境行政处罚裁量基准》</w:t>
      </w:r>
      <w:r>
        <w:rPr>
          <w:rFonts w:hint="eastAsia" w:ascii="仿宋_GB2312" w:hAnsi="仿宋_GB2312" w:eastAsia="仿宋_GB2312" w:cs="仿宋_GB2312"/>
          <w:color w:val="auto"/>
          <w:spacing w:val="0"/>
          <w:kern w:val="0"/>
          <w:sz w:val="32"/>
          <w:szCs w:val="32"/>
          <w:u w:val="none" w:color="auto"/>
          <w:lang w:val="en-US" w:eastAsia="zh-CN"/>
        </w:rPr>
        <w:t>S-4，综合考虑你单位的违法事实情节，整改情况等裁量因素，</w:t>
      </w:r>
      <w:r>
        <w:rPr>
          <w:rFonts w:hint="eastAsia" w:ascii="仿宋_GB2312" w:hAnsi="仿宋_GB2312" w:eastAsia="仿宋_GB2312" w:cs="仿宋_GB2312"/>
          <w:spacing w:val="0"/>
          <w:kern w:val="0"/>
          <w:sz w:val="32"/>
          <w:szCs w:val="32"/>
          <w:u w:val="none" w:color="auto"/>
        </w:rPr>
        <w:t>我局</w:t>
      </w:r>
      <w:r>
        <w:rPr>
          <w:rFonts w:hint="eastAsia" w:ascii="仿宋_GB2312" w:hAnsi="仿宋_GB2312" w:eastAsia="仿宋_GB2312" w:cs="仿宋_GB2312"/>
          <w:spacing w:val="0"/>
          <w:kern w:val="0"/>
          <w:sz w:val="32"/>
          <w:szCs w:val="32"/>
          <w:u w:val="none" w:color="auto"/>
          <w:lang w:val="en-US" w:eastAsia="zh-CN"/>
        </w:rPr>
        <w:t>决定</w:t>
      </w:r>
      <w:r>
        <w:rPr>
          <w:rFonts w:hint="eastAsia" w:ascii="仿宋_GB2312" w:hAnsi="仿宋_GB2312" w:eastAsia="仿宋_GB2312" w:cs="仿宋_GB2312"/>
          <w:spacing w:val="0"/>
          <w:kern w:val="0"/>
          <w:sz w:val="32"/>
          <w:szCs w:val="32"/>
          <w:u w:val="none" w:color="auto"/>
        </w:rPr>
        <w:t>对你单位作出如下行政处罚：</w:t>
      </w:r>
    </w:p>
    <w:p>
      <w:pPr>
        <w:keepNext w:val="0"/>
        <w:keepLines w:val="0"/>
        <w:pageBreakBefore w:val="0"/>
        <w:widowControl w:val="0"/>
        <w:kinsoku/>
        <w:wordWrap w:val="0"/>
        <w:overflowPunct/>
        <w:topLinePunct/>
        <w:autoSpaceDE/>
        <w:autoSpaceDN/>
        <w:bidi w:val="0"/>
        <w:adjustRightInd w:val="0"/>
        <w:snapToGrid w:val="0"/>
        <w:spacing w:line="600" w:lineRule="exact"/>
        <w:ind w:right="126" w:firstLine="640" w:firstLineChars="200"/>
        <w:jc w:val="both"/>
        <w:rPr>
          <w:rFonts w:hint="eastAsia" w:ascii="仿宋_GB2312" w:hAnsi="仿宋_GB2312" w:eastAsia="仿宋_GB2312" w:cs="仿宋_GB2312"/>
          <w:spacing w:val="0"/>
          <w:kern w:val="0"/>
          <w:sz w:val="32"/>
          <w:szCs w:val="32"/>
          <w:u w:val="none" w:color="auto"/>
          <w:lang w:val="en-US" w:eastAsia="zh-CN"/>
        </w:rPr>
      </w:pPr>
      <w:r>
        <w:rPr>
          <w:rFonts w:hint="eastAsia" w:ascii="仿宋_GB2312" w:hAnsi="仿宋_GB2312" w:eastAsia="仿宋_GB2312" w:cs="仿宋_GB2312"/>
          <w:spacing w:val="0"/>
          <w:kern w:val="0"/>
          <w:sz w:val="32"/>
          <w:szCs w:val="32"/>
          <w:u w:val="none" w:color="auto"/>
          <w:lang w:eastAsia="zh-CN"/>
        </w:rPr>
        <w:t>对你单位</w:t>
      </w:r>
      <w:r>
        <w:rPr>
          <w:rFonts w:hint="eastAsia" w:ascii="仿宋_GB2312" w:hAnsi="仿宋_GB2312" w:eastAsia="仿宋_GB2312" w:cs="仿宋_GB2312"/>
          <w:spacing w:val="0"/>
          <w:kern w:val="0"/>
          <w:sz w:val="32"/>
          <w:szCs w:val="32"/>
          <w:u w:val="none" w:color="auto"/>
          <w:lang w:val="en-US" w:eastAsia="zh-CN"/>
        </w:rPr>
        <w:t>罚款捌万贰仟元整。</w:t>
      </w:r>
    </w:p>
    <w:p>
      <w:pPr>
        <w:keepNext w:val="0"/>
        <w:keepLines w:val="0"/>
        <w:pageBreakBefore w:val="0"/>
        <w:widowControl w:val="0"/>
        <w:kinsoku w:val="0"/>
        <w:wordWrap/>
        <w:overflowPunct/>
        <w:topLinePunct w:val="0"/>
        <w:autoSpaceDE w:val="0"/>
        <w:autoSpaceDN/>
        <w:bidi w:val="0"/>
        <w:adjustRightInd w:val="0"/>
        <w:snapToGrid w:val="0"/>
        <w:spacing w:line="600" w:lineRule="exact"/>
        <w:ind w:left="5" w:right="2" w:firstLine="614"/>
        <w:jc w:val="both"/>
        <w:rPr>
          <w:rFonts w:hint="eastAsia" w:ascii="仿宋_GB2312" w:hAnsi="仿宋_GB2312" w:eastAsia="仿宋_GB2312" w:cs="仿宋_GB2312"/>
          <w:spacing w:val="0"/>
          <w:sz w:val="32"/>
          <w:szCs w:val="32"/>
          <w:u w:val="none" w:color="auto"/>
        </w:rPr>
      </w:pPr>
      <w:r>
        <w:rPr>
          <w:rFonts w:hint="eastAsia" w:ascii="仿宋_GB2312" w:hAnsi="仿宋_GB2312" w:eastAsia="仿宋_GB2312" w:cs="仿宋_GB2312"/>
          <w:spacing w:val="0"/>
          <w:sz w:val="32"/>
          <w:szCs w:val="32"/>
          <w:u w:val="none" w:color="auto"/>
        </w:rPr>
        <w:t>限于接到本处罚决定之日起十五日内到指定的银行或者通过电子支付系统缴纳罚款。逾期不缴纳罚款的，我局依据《中华人民共和国行政处罚法》第七十二条第一款第一项的规定，可以每日按罚款数额的百分之三加处罚款。</w:t>
      </w:r>
    </w:p>
    <w:p>
      <w:pPr>
        <w:keepNext w:val="0"/>
        <w:keepLines w:val="0"/>
        <w:pageBreakBefore w:val="0"/>
        <w:widowControl w:val="0"/>
        <w:kinsoku w:val="0"/>
        <w:wordWrap/>
        <w:overflowPunct/>
        <w:topLinePunct w:val="0"/>
        <w:autoSpaceDE w:val="0"/>
        <w:autoSpaceDN/>
        <w:bidi w:val="0"/>
        <w:adjustRightInd w:val="0"/>
        <w:snapToGrid w:val="0"/>
        <w:spacing w:line="600" w:lineRule="exact"/>
        <w:ind w:left="3" w:right="2" w:firstLine="597"/>
        <w:jc w:val="both"/>
        <w:rPr>
          <w:rFonts w:hint="eastAsia" w:ascii="仿宋_GB2312" w:hAnsi="仿宋_GB2312" w:eastAsia="仿宋_GB2312" w:cs="仿宋_GB2312"/>
          <w:spacing w:val="0"/>
          <w:sz w:val="32"/>
          <w:szCs w:val="32"/>
          <w:u w:val="none" w:color="auto"/>
        </w:rPr>
      </w:pPr>
      <w:r>
        <w:rPr>
          <w:rFonts w:hint="eastAsia" w:ascii="仿宋_GB2312" w:hAnsi="仿宋_GB2312" w:eastAsia="仿宋_GB2312" w:cs="仿宋_GB2312"/>
          <w:spacing w:val="0"/>
          <w:sz w:val="32"/>
          <w:szCs w:val="32"/>
          <w:u w:val="none" w:color="auto"/>
        </w:rPr>
        <w:t>你单位如不服本处罚决定，可在收到本处罚决定书之日起六十日内向</w:t>
      </w:r>
      <w:r>
        <w:rPr>
          <w:rFonts w:hint="eastAsia" w:ascii="仿宋_GB2312" w:hAnsi="仿宋_GB2312" w:eastAsia="仿宋_GB2312" w:cs="仿宋_GB2312"/>
          <w:spacing w:val="0"/>
          <w:sz w:val="32"/>
          <w:szCs w:val="32"/>
          <w:u w:val="none" w:color="auto"/>
          <w:lang w:val="en-US" w:eastAsia="zh-CN"/>
        </w:rPr>
        <w:t>大同市</w:t>
      </w:r>
      <w:r>
        <w:rPr>
          <w:rFonts w:hint="eastAsia" w:ascii="仿宋_GB2312" w:hAnsi="仿宋_GB2312" w:eastAsia="仿宋_GB2312" w:cs="仿宋_GB2312"/>
          <w:spacing w:val="0"/>
          <w:sz w:val="32"/>
          <w:szCs w:val="32"/>
          <w:u w:val="none" w:color="auto"/>
        </w:rPr>
        <w:t>人民政府申请行政复议，也可以在六个月内向</w:t>
      </w:r>
      <w:r>
        <w:rPr>
          <w:rFonts w:hint="eastAsia" w:ascii="仿宋_GB2312" w:hAnsi="仿宋_GB2312" w:eastAsia="仿宋_GB2312" w:cs="仿宋_GB2312"/>
          <w:spacing w:val="0"/>
          <w:sz w:val="32"/>
          <w:szCs w:val="32"/>
          <w:u w:val="none" w:color="auto"/>
          <w:lang w:val="en-US" w:eastAsia="zh-CN"/>
        </w:rPr>
        <w:t>大同市平城区</w:t>
      </w:r>
      <w:r>
        <w:rPr>
          <w:rFonts w:hint="eastAsia" w:ascii="仿宋_GB2312" w:hAnsi="仿宋_GB2312" w:eastAsia="仿宋_GB2312" w:cs="仿宋_GB2312"/>
          <w:spacing w:val="0"/>
          <w:sz w:val="32"/>
          <w:szCs w:val="32"/>
          <w:u w:val="none" w:color="auto"/>
        </w:rPr>
        <w:t>人民法院提起行政诉讼。申请行政复议或者提起行政诉讼，不停止行政处罚决定的执行。</w:t>
      </w:r>
    </w:p>
    <w:p>
      <w:pPr>
        <w:keepNext w:val="0"/>
        <w:keepLines w:val="0"/>
        <w:pageBreakBefore w:val="0"/>
        <w:widowControl w:val="0"/>
        <w:kinsoku w:val="0"/>
        <w:wordWrap/>
        <w:overflowPunct/>
        <w:topLinePunct w:val="0"/>
        <w:autoSpaceDE w:val="0"/>
        <w:autoSpaceDN/>
        <w:bidi w:val="0"/>
        <w:adjustRightInd w:val="0"/>
        <w:snapToGrid w:val="0"/>
        <w:spacing w:line="600" w:lineRule="exact"/>
        <w:ind w:left="18" w:right="2" w:firstLine="581"/>
        <w:rPr>
          <w:rFonts w:hint="eastAsia" w:ascii="仿宋_GB2312" w:hAnsi="仿宋_GB2312" w:eastAsia="仿宋_GB2312" w:cs="仿宋_GB2312"/>
          <w:spacing w:val="0"/>
          <w:sz w:val="32"/>
          <w:szCs w:val="32"/>
          <w:u w:val="none" w:color="auto"/>
        </w:rPr>
      </w:pPr>
      <w:r>
        <w:rPr>
          <w:rFonts w:hint="eastAsia" w:ascii="仿宋_GB2312" w:hAnsi="仿宋_GB2312" w:eastAsia="仿宋_GB2312" w:cs="仿宋_GB2312"/>
          <w:spacing w:val="0"/>
          <w:sz w:val="32"/>
          <w:szCs w:val="32"/>
          <w:u w:val="none" w:color="auto"/>
        </w:rPr>
        <w:t>逾期不申请行政复议，不提起行政诉讼，又不履行本处罚决定的，我局将依法申请</w:t>
      </w:r>
      <w:r>
        <w:rPr>
          <w:rFonts w:hint="eastAsia" w:ascii="仿宋_GB2312" w:hAnsi="仿宋_GB2312" w:eastAsia="仿宋_GB2312" w:cs="仿宋_GB2312"/>
          <w:spacing w:val="0"/>
          <w:sz w:val="32"/>
          <w:szCs w:val="32"/>
          <w:u w:val="none" w:color="auto"/>
          <w:lang w:val="en-US" w:eastAsia="zh-CN"/>
        </w:rPr>
        <w:t>大同市平城区</w:t>
      </w:r>
      <w:r>
        <w:rPr>
          <w:rFonts w:hint="eastAsia" w:ascii="仿宋_GB2312" w:hAnsi="仿宋_GB2312" w:eastAsia="仿宋_GB2312" w:cs="仿宋_GB2312"/>
          <w:spacing w:val="0"/>
          <w:sz w:val="32"/>
          <w:szCs w:val="32"/>
          <w:u w:val="none" w:color="auto"/>
        </w:rPr>
        <w:t>人民法院强制执行。</w:t>
      </w:r>
    </w:p>
    <w:p>
      <w:pPr>
        <w:keepNext w:val="0"/>
        <w:keepLines w:val="0"/>
        <w:pageBreakBefore w:val="0"/>
        <w:widowControl w:val="0"/>
        <w:kinsoku w:val="0"/>
        <w:wordWrap w:val="0"/>
        <w:overflowPunct/>
        <w:topLinePunct w:val="0"/>
        <w:autoSpaceDE w:val="0"/>
        <w:autoSpaceDN/>
        <w:bidi w:val="0"/>
        <w:adjustRightInd w:val="0"/>
        <w:snapToGrid w:val="0"/>
        <w:spacing w:line="600" w:lineRule="exact"/>
        <w:ind w:left="0"/>
        <w:jc w:val="right"/>
        <w:textAlignment w:val="baseline"/>
        <w:rPr>
          <w:rFonts w:hint="eastAsia" w:ascii="仿宋_GB2312" w:hAnsi="仿宋_GB2312" w:eastAsia="仿宋_GB2312" w:cs="仿宋_GB2312"/>
          <w:spacing w:val="0"/>
          <w:sz w:val="32"/>
          <w:szCs w:val="32"/>
          <w:u w:val="none" w:color="auto"/>
          <w:lang w:val="en-US" w:eastAsia="zh-CN"/>
        </w:rPr>
      </w:pPr>
    </w:p>
    <w:p>
      <w:pPr>
        <w:keepNext w:val="0"/>
        <w:keepLines w:val="0"/>
        <w:pageBreakBefore w:val="0"/>
        <w:widowControl w:val="0"/>
        <w:kinsoku w:val="0"/>
        <w:wordWrap w:val="0"/>
        <w:overflowPunct/>
        <w:topLinePunct w:val="0"/>
        <w:autoSpaceDE w:val="0"/>
        <w:autoSpaceDN/>
        <w:bidi w:val="0"/>
        <w:adjustRightInd w:val="0"/>
        <w:snapToGrid w:val="0"/>
        <w:spacing w:line="600" w:lineRule="exact"/>
        <w:ind w:left="0"/>
        <w:jc w:val="right"/>
        <w:textAlignment w:val="baseline"/>
        <w:rPr>
          <w:rFonts w:hint="default" w:ascii="仿宋_GB2312" w:hAnsi="仿宋_GB2312" w:eastAsia="仿宋_GB2312" w:cs="仿宋_GB2312"/>
          <w:spacing w:val="0"/>
          <w:sz w:val="32"/>
          <w:szCs w:val="32"/>
          <w:u w:val="none" w:color="auto"/>
          <w:lang w:val="en-US" w:eastAsia="zh-CN"/>
        </w:rPr>
      </w:pPr>
      <w:r>
        <w:rPr>
          <w:rFonts w:hint="eastAsia" w:ascii="仿宋_GB2312" w:hAnsi="仿宋_GB2312" w:eastAsia="仿宋_GB2312" w:cs="仿宋_GB2312"/>
          <w:spacing w:val="0"/>
          <w:sz w:val="32"/>
          <w:szCs w:val="32"/>
          <w:u w:val="none" w:color="auto"/>
          <w:lang w:val="en-US" w:eastAsia="zh-CN"/>
        </w:rPr>
        <w:t xml:space="preserve">大同市生态环境局  </w:t>
      </w:r>
    </w:p>
    <w:p>
      <w:pPr>
        <w:keepNext w:val="0"/>
        <w:keepLines w:val="0"/>
        <w:pageBreakBefore w:val="0"/>
        <w:widowControl w:val="0"/>
        <w:kinsoku w:val="0"/>
        <w:wordWrap w:val="0"/>
        <w:overflowPunct/>
        <w:topLinePunct w:val="0"/>
        <w:autoSpaceDE w:val="0"/>
        <w:autoSpaceDN/>
        <w:bidi w:val="0"/>
        <w:adjustRightInd w:val="0"/>
        <w:snapToGrid w:val="0"/>
        <w:spacing w:line="600" w:lineRule="exact"/>
        <w:ind w:left="0"/>
        <w:jc w:val="right"/>
        <w:textAlignment w:val="baseline"/>
      </w:pPr>
      <w:r>
        <w:rPr>
          <w:rFonts w:hint="eastAsia" w:ascii="仿宋_GB2312" w:hAnsi="仿宋_GB2312" w:eastAsia="仿宋_GB2312" w:cs="仿宋_GB2312"/>
          <w:spacing w:val="0"/>
          <w:sz w:val="32"/>
          <w:szCs w:val="32"/>
          <w:u w:val="none" w:color="auto"/>
          <w:lang w:val="en-US" w:eastAsia="zh-CN"/>
        </w:rPr>
        <w:t>2026</w:t>
      </w:r>
      <w:r>
        <w:rPr>
          <w:rFonts w:hint="eastAsia" w:ascii="仿宋_GB2312" w:hAnsi="仿宋_GB2312" w:eastAsia="仿宋_GB2312" w:cs="仿宋_GB2312"/>
          <w:spacing w:val="0"/>
          <w:sz w:val="32"/>
          <w:szCs w:val="32"/>
          <w:u w:val="none" w:color="auto"/>
        </w:rPr>
        <w:t>年</w:t>
      </w:r>
      <w:r>
        <w:rPr>
          <w:rFonts w:hint="eastAsia" w:ascii="仿宋_GB2312" w:hAnsi="仿宋_GB2312" w:eastAsia="仿宋_GB2312" w:cs="仿宋_GB2312"/>
          <w:spacing w:val="0"/>
          <w:sz w:val="32"/>
          <w:szCs w:val="32"/>
          <w:u w:val="none" w:color="auto"/>
          <w:lang w:val="en-US" w:eastAsia="zh-CN"/>
        </w:rPr>
        <w:t>7</w:t>
      </w:r>
      <w:r>
        <w:rPr>
          <w:rFonts w:hint="eastAsia" w:ascii="仿宋_GB2312" w:hAnsi="仿宋_GB2312" w:eastAsia="仿宋_GB2312" w:cs="仿宋_GB2312"/>
          <w:spacing w:val="0"/>
          <w:sz w:val="32"/>
          <w:szCs w:val="32"/>
          <w:u w:val="none" w:color="auto"/>
        </w:rPr>
        <w:t>月</w:t>
      </w:r>
      <w:r>
        <w:rPr>
          <w:rFonts w:hint="eastAsia" w:ascii="仿宋_GB2312" w:hAnsi="仿宋_GB2312" w:eastAsia="仿宋_GB2312" w:cs="仿宋_GB2312"/>
          <w:spacing w:val="0"/>
          <w:sz w:val="32"/>
          <w:szCs w:val="32"/>
          <w:u w:val="none" w:color="auto"/>
          <w:lang w:val="en-US" w:eastAsia="zh-CN"/>
        </w:rPr>
        <w:t>29</w:t>
      </w:r>
      <w:r>
        <w:rPr>
          <w:rFonts w:hint="eastAsia" w:ascii="仿宋_GB2312" w:hAnsi="仿宋_GB2312" w:eastAsia="仿宋_GB2312" w:cs="仿宋_GB2312"/>
          <w:spacing w:val="0"/>
          <w:sz w:val="32"/>
          <w:szCs w:val="32"/>
          <w:u w:val="none" w:color="auto"/>
        </w:rPr>
        <w:t>日</w:t>
      </w:r>
      <w:r>
        <w:rPr>
          <w:rFonts w:hint="eastAsia" w:ascii="仿宋_GB2312" w:hAnsi="仿宋_GB2312" w:eastAsia="仿宋_GB2312" w:cs="仿宋_GB2312"/>
          <w:spacing w:val="0"/>
          <w:sz w:val="32"/>
          <w:szCs w:val="32"/>
          <w:u w:val="none" w:color="auto"/>
          <w:lang w:val="en-US" w:eastAsia="zh-CN"/>
        </w:rPr>
        <w:t xml:space="preserve">  </w:t>
      </w:r>
    </w:p>
    <w:sectPr>
      <w:headerReference r:id="rId5" w:type="default"/>
      <w:pgSz w:w="11906" w:h="16838"/>
      <w:pgMar w:top="1587" w:right="1474" w:bottom="1474" w:left="1587"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12DE3"/>
    <w:rsid w:val="0168074B"/>
    <w:rsid w:val="01EA0631"/>
    <w:rsid w:val="04293179"/>
    <w:rsid w:val="049031F8"/>
    <w:rsid w:val="06B50CF4"/>
    <w:rsid w:val="0BF222C8"/>
    <w:rsid w:val="0DE105E0"/>
    <w:rsid w:val="105157C9"/>
    <w:rsid w:val="107F5CE0"/>
    <w:rsid w:val="13EC5F71"/>
    <w:rsid w:val="14F51B63"/>
    <w:rsid w:val="16041D8D"/>
    <w:rsid w:val="16611A1F"/>
    <w:rsid w:val="169F34A5"/>
    <w:rsid w:val="1EF00712"/>
    <w:rsid w:val="241A61E3"/>
    <w:rsid w:val="242805E6"/>
    <w:rsid w:val="24F37160"/>
    <w:rsid w:val="25E1345C"/>
    <w:rsid w:val="26D22DA5"/>
    <w:rsid w:val="2A884129"/>
    <w:rsid w:val="2AD52E64"/>
    <w:rsid w:val="31AA504A"/>
    <w:rsid w:val="31F3788F"/>
    <w:rsid w:val="33707BCD"/>
    <w:rsid w:val="3CD236AA"/>
    <w:rsid w:val="3E834C59"/>
    <w:rsid w:val="3F8769CB"/>
    <w:rsid w:val="3FBF6165"/>
    <w:rsid w:val="40E90FBF"/>
    <w:rsid w:val="41607BC0"/>
    <w:rsid w:val="41F21BE8"/>
    <w:rsid w:val="43B05CAD"/>
    <w:rsid w:val="45C30031"/>
    <w:rsid w:val="46195EA3"/>
    <w:rsid w:val="488241D3"/>
    <w:rsid w:val="495A6EFE"/>
    <w:rsid w:val="4C605007"/>
    <w:rsid w:val="4D2C0BB1"/>
    <w:rsid w:val="4FE90184"/>
    <w:rsid w:val="4FF86DC7"/>
    <w:rsid w:val="54F75F49"/>
    <w:rsid w:val="568E1019"/>
    <w:rsid w:val="5A6279C1"/>
    <w:rsid w:val="5B7C4AB2"/>
    <w:rsid w:val="5C630206"/>
    <w:rsid w:val="5FD2345F"/>
    <w:rsid w:val="622F287E"/>
    <w:rsid w:val="67643338"/>
    <w:rsid w:val="67C43A69"/>
    <w:rsid w:val="6C450EF0"/>
    <w:rsid w:val="6DB1177E"/>
    <w:rsid w:val="6DCF4F15"/>
    <w:rsid w:val="71BA10A6"/>
    <w:rsid w:val="74324450"/>
    <w:rsid w:val="7483607D"/>
    <w:rsid w:val="75840CDB"/>
    <w:rsid w:val="75846F2D"/>
    <w:rsid w:val="7786312E"/>
    <w:rsid w:val="791B4C63"/>
    <w:rsid w:val="7A6F5AB6"/>
    <w:rsid w:val="7B7E214D"/>
    <w:rsid w:val="7E026C41"/>
    <w:rsid w:val="7FDF723A"/>
    <w:rsid w:val="FAFAE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1464</Words>
  <Characters>1578</Characters>
  <Lines>0</Lines>
  <Paragraphs>0</Paragraphs>
  <TotalTime>9</TotalTime>
  <ScaleCrop>false</ScaleCrop>
  <LinksUpToDate>false</LinksUpToDate>
  <CharactersWithSpaces>1620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2025-09-03T15:41:00Z</dcterms:created>
  <dc:creator>Administrator</dc:creator>
  <cp:lastModifiedBy>greatwall</cp:lastModifiedBy>
  <cp:lastPrinted>2026-07-24T11:13:00Z</cp:lastPrinted>
  <dcterms:modified xsi:type="dcterms:W3CDTF">2026-07-29T16:19:06Z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A672CA1FE4B541FF9376EF7940942DF6_12</vt:lpwstr>
  </property>
  <property fmtid="{D5CDD505-2E9C-101B-9397-08002B2CF9AE}" pid="4" name="KSOTemplateDocerSaveRecord">
    <vt:lpwstr>eyJoZGlkIjoiODUxNzA2YmUxOWMwNWI1ZTRhOGI1MzNkNzY2YWNlMWYiLCJ1c2VySWQiOiI5NTQ1ODQ3MTgifQ==</vt:lpwstr>
  </property>
</Properties>
</file>