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同浑源环罚〔2025〕13号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当事人名称:浑源县喜德盛食品有限公司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法定代表人:王存喜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BH2E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地址:浑源县东坊城乡东坊城村村东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2025年2月24日，大同市生态环境局执法人员对浑源县喜德盛食品有限公司进行了检查，检查当日该公司土建已经完成，食品加工设备机器正在安装中。该项目未依法报批环境影响评价文件，擅自开工建设。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1、勘验笔录：2025年2月24日《大同市生态环境局现场检查（勘察）笔录》1份，证明以上违法事实的存在；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2、证人证言：2025年2月24日《大同市生态环境局调查询问笔录》1份，证明以上违法事实的存在；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3、视听资料：现场照片1份，证明你单位建设项目未批先建；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我局于2025年4月11日以《行政处罚事先告知书》（同浑源环罚告〔2024〕12号）告知你单位陈述申辩的权利，期限内你单位未进行陈述申辩。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依据《中华人民共和国环境影响评价法》第三十一条第一款</w:t>
      </w:r>
      <w:bookmarkStart w:id="1" w:name="_GoBack"/>
      <w:bookmarkEnd w:id="1"/>
      <w:r>
        <w:rPr>
          <w:rFonts w:hint="eastAsia" w:ascii="仿宋" w:hAnsi="仿宋" w:eastAsia="仿宋" w:cs="仿宋"/>
          <w:i w:val="0"/>
          <w:iCs w:val="0"/>
          <w:sz w:val="30"/>
          <w:szCs w:val="30"/>
          <w:u w:val="none"/>
          <w:lang w:val="en-US" w:eastAsia="zh-CN"/>
        </w:rPr>
        <w:t>参照《生态环境行政处罚自由裁量基准》（J-1），综合考虑你单位的违法事实情节、整改情况等裁量因素，我局决定对你单位作出如下行政处罚：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color w:val="auto"/>
          <w:kern w:val="2"/>
          <w:sz w:val="30"/>
          <w:szCs w:val="30"/>
          <w:u w:val="none"/>
          <w:lang w:val="en-US" w:eastAsia="zh-CN" w:bidi="ar-SA"/>
        </w:rPr>
        <w:t>罚款壹万叁仟元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2025</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4</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29</w:t>
      </w:r>
      <w:r>
        <w:rPr>
          <w:rFonts w:hint="eastAsia" w:ascii="仿宋" w:hAnsi="仿宋" w:eastAsia="仿宋" w:cs="仿宋"/>
          <w:sz w:val="30"/>
          <w:szCs w:val="30"/>
          <w:u w:val="none"/>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17B6"/>
    <w:rsid w:val="2FFFE304"/>
    <w:rsid w:val="7E9A17B6"/>
    <w:rsid w:val="7F02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964</Words>
  <Characters>1014</Characters>
  <Lines>0</Lines>
  <Paragraphs>0</Paragraphs>
  <TotalTime>3</TotalTime>
  <ScaleCrop>false</ScaleCrop>
  <LinksUpToDate>false</LinksUpToDate>
  <CharactersWithSpaces>1094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2025-04-17T16:47:00Z</dcterms:created>
  <dc:creator>WPS_403713931</dc:creator>
  <cp:lastModifiedBy>greatwall</cp:lastModifiedBy>
  <cp:lastPrinted>2025-04-29T10:27:00Z</cp:lastPrinted>
  <dcterms:modified xsi:type="dcterms:W3CDTF">2025-04-30T10:30:54Z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67CE3525ABEC43E8BCE241AA0EE525AC_11</vt:lpwstr>
  </property>
  <property fmtid="{D5CDD505-2E9C-101B-9397-08002B2CF9AE}" pid="4" name="KSOTemplateDocerSaveRecord">
    <vt:lpwstr>eyJoZGlkIjoiYTFhMWVhOWI4NmFhODY4MDEyOWNmOGU5MGFhMDFkNjMiLCJ1c2VySWQiOiI0MDM3MTM5MzEifQ==</vt:lpwstr>
  </property>
</Properties>
</file>