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29D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ind w:left="0" w:right="0" w:firstLine="0"/>
        <w:jc w:val="center"/>
        <w:rPr>
          <w:rFonts w:hint="eastAsia" w:ascii="微软雅黑" w:hAnsi="微软雅黑" w:eastAsia="宋体" w:cs="微软雅黑"/>
          <w:b/>
          <w:i w:val="0"/>
          <w:caps w:val="0"/>
          <w:color w:val="333333"/>
          <w:spacing w:val="0"/>
          <w:sz w:val="27"/>
          <w:szCs w:val="27"/>
          <w:lang w:val="en-US" w:eastAsia="zh-CN"/>
        </w:rPr>
      </w:pPr>
      <w:r>
        <w:rPr>
          <w:rFonts w:hint="eastAsia" w:ascii="宋体" w:hAnsi="宋体" w:eastAsia="宋体" w:cs="宋体"/>
          <w:b w:val="0"/>
          <w:i w:val="0"/>
          <w:caps w:val="0"/>
          <w:color w:val="000000"/>
          <w:spacing w:val="0"/>
          <w:sz w:val="30"/>
          <w:szCs w:val="30"/>
          <w:shd w:val="clear" w:fill="FFFFFF"/>
        </w:rPr>
        <w:t>大同市生态环境局灵丘分局202</w:t>
      </w:r>
      <w:r>
        <w:rPr>
          <w:rFonts w:hint="eastAsia" w:cs="宋体"/>
          <w:b w:val="0"/>
          <w:i w:val="0"/>
          <w:caps w:val="0"/>
          <w:color w:val="000000"/>
          <w:spacing w:val="0"/>
          <w:sz w:val="30"/>
          <w:szCs w:val="30"/>
          <w:shd w:val="clear" w:fill="FFFFFF"/>
          <w:lang w:val="en-US" w:eastAsia="zh-CN"/>
        </w:rPr>
        <w:t>6</w:t>
      </w:r>
      <w:r>
        <w:rPr>
          <w:rFonts w:hint="eastAsia" w:ascii="宋体" w:hAnsi="宋体" w:eastAsia="宋体" w:cs="宋体"/>
          <w:b w:val="0"/>
          <w:i w:val="0"/>
          <w:caps w:val="0"/>
          <w:color w:val="000000"/>
          <w:spacing w:val="0"/>
          <w:sz w:val="30"/>
          <w:szCs w:val="30"/>
          <w:shd w:val="clear" w:fill="FFFFFF"/>
        </w:rPr>
        <w:t>年</w:t>
      </w:r>
      <w:r>
        <w:rPr>
          <w:rFonts w:hint="eastAsia" w:cs="宋体"/>
          <w:b w:val="0"/>
          <w:i w:val="0"/>
          <w:caps w:val="0"/>
          <w:color w:val="000000"/>
          <w:spacing w:val="0"/>
          <w:sz w:val="30"/>
          <w:szCs w:val="30"/>
          <w:shd w:val="clear" w:fill="FFFFFF"/>
          <w:lang w:val="en-US" w:eastAsia="zh-CN"/>
        </w:rPr>
        <w:t>10</w:t>
      </w:r>
      <w:r>
        <w:rPr>
          <w:rFonts w:hint="eastAsia" w:ascii="宋体" w:hAnsi="宋体" w:eastAsia="宋体" w:cs="宋体"/>
          <w:b w:val="0"/>
          <w:i w:val="0"/>
          <w:caps w:val="0"/>
          <w:color w:val="000000"/>
          <w:spacing w:val="0"/>
          <w:sz w:val="30"/>
          <w:szCs w:val="30"/>
          <w:shd w:val="clear" w:fill="FFFFFF"/>
        </w:rPr>
        <w:t>月</w:t>
      </w:r>
      <w:r>
        <w:rPr>
          <w:rFonts w:hint="eastAsia" w:cs="宋体"/>
          <w:b w:val="0"/>
          <w:i w:val="0"/>
          <w:caps w:val="0"/>
          <w:color w:val="000000"/>
          <w:spacing w:val="0"/>
          <w:sz w:val="30"/>
          <w:szCs w:val="30"/>
          <w:shd w:val="clear" w:fill="FFFFFF"/>
          <w:lang w:val="en-US" w:eastAsia="zh-CN"/>
        </w:rPr>
        <w:t>16</w:t>
      </w:r>
      <w:r>
        <w:rPr>
          <w:rFonts w:hint="eastAsia" w:ascii="宋体" w:hAnsi="宋体" w:eastAsia="宋体" w:cs="宋体"/>
          <w:b w:val="0"/>
          <w:i w:val="0"/>
          <w:caps w:val="0"/>
          <w:color w:val="000000"/>
          <w:spacing w:val="0"/>
          <w:sz w:val="30"/>
          <w:szCs w:val="30"/>
          <w:shd w:val="clear" w:fill="FFFFFF"/>
        </w:rPr>
        <w:t>日拟作出的建设项目</w:t>
      </w:r>
      <w:bookmarkStart w:id="0" w:name="_GoBack"/>
      <w:bookmarkEnd w:id="0"/>
      <w:r>
        <w:rPr>
          <w:rFonts w:hint="eastAsia" w:ascii="宋体" w:hAnsi="宋体" w:eastAsia="宋体" w:cs="宋体"/>
          <w:b w:val="0"/>
          <w:i w:val="0"/>
          <w:caps w:val="0"/>
          <w:color w:val="000000"/>
          <w:spacing w:val="0"/>
          <w:sz w:val="30"/>
          <w:szCs w:val="30"/>
          <w:shd w:val="clear" w:fill="FFFFFF"/>
        </w:rPr>
        <w:t>环境影响评价文件审批意见的公示</w:t>
      </w:r>
    </w:p>
    <w:p w14:paraId="0C7D30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both"/>
        <w:rPr>
          <w:rFonts w:hint="default" w:ascii="Times New Roman" w:hAnsi="Times New Roman" w:cs="Times New Roman"/>
          <w:sz w:val="21"/>
          <w:szCs w:val="21"/>
        </w:rPr>
      </w:pPr>
      <w:r>
        <w:rPr>
          <w:rFonts w:ascii="仿宋_GB2312" w:hAnsi="Times New Roman" w:eastAsia="仿宋_GB2312" w:cs="仿宋_GB2312"/>
          <w:b w:val="0"/>
          <w:i w:val="0"/>
          <w:caps w:val="0"/>
          <w:color w:val="2A2A2A"/>
          <w:spacing w:val="0"/>
          <w:sz w:val="24"/>
          <w:szCs w:val="24"/>
          <w:shd w:val="clear" w:fill="FFFFFF"/>
        </w:rPr>
        <w:t>根据建设项目环境影响评价审批程序的有关规定，经审查，</w:t>
      </w:r>
      <w:r>
        <w:rPr>
          <w:rFonts w:hint="default" w:ascii="仿宋_GB2312" w:hAnsi="Times New Roman" w:eastAsia="仿宋_GB2312" w:cs="仿宋_GB2312"/>
          <w:b w:val="0"/>
          <w:i w:val="0"/>
          <w:caps w:val="0"/>
          <w:color w:val="2A2A2A"/>
          <w:spacing w:val="0"/>
          <w:sz w:val="24"/>
          <w:szCs w:val="24"/>
          <w:shd w:val="clear" w:fill="FFFFFF"/>
        </w:rPr>
        <w:t>202</w:t>
      </w:r>
      <w:r>
        <w:rPr>
          <w:rFonts w:hint="eastAsia" w:ascii="仿宋_GB2312" w:hAnsi="Times New Roman" w:eastAsia="仿宋_GB2312" w:cs="仿宋_GB2312"/>
          <w:b w:val="0"/>
          <w:i w:val="0"/>
          <w:caps w:val="0"/>
          <w:color w:val="2A2A2A"/>
          <w:spacing w:val="0"/>
          <w:sz w:val="24"/>
          <w:szCs w:val="24"/>
          <w:shd w:val="clear" w:fill="FFFFFF"/>
          <w:lang w:val="en-US" w:eastAsia="zh-CN"/>
        </w:rPr>
        <w:t>6</w:t>
      </w:r>
      <w:r>
        <w:rPr>
          <w:rFonts w:hint="default" w:ascii="仿宋_GB2312" w:hAnsi="Times New Roman" w:eastAsia="仿宋_GB2312" w:cs="仿宋_GB2312"/>
          <w:b w:val="0"/>
          <w:i w:val="0"/>
          <w:caps w:val="0"/>
          <w:color w:val="2A2A2A"/>
          <w:spacing w:val="0"/>
          <w:sz w:val="24"/>
          <w:szCs w:val="24"/>
          <w:shd w:val="clear" w:fill="FFFFFF"/>
        </w:rPr>
        <w:t>年</w:t>
      </w:r>
      <w:r>
        <w:rPr>
          <w:rFonts w:hint="eastAsia" w:ascii="仿宋_GB2312" w:hAnsi="Times New Roman" w:eastAsia="仿宋_GB2312" w:cs="仿宋_GB2312"/>
          <w:b w:val="0"/>
          <w:i w:val="0"/>
          <w:caps w:val="0"/>
          <w:color w:val="2A2A2A"/>
          <w:spacing w:val="0"/>
          <w:sz w:val="24"/>
          <w:szCs w:val="24"/>
          <w:shd w:val="clear" w:fill="FFFFFF"/>
          <w:lang w:val="en-US" w:eastAsia="zh-CN"/>
        </w:rPr>
        <w:t>10</w:t>
      </w:r>
      <w:r>
        <w:rPr>
          <w:rFonts w:hint="default" w:ascii="仿宋_GB2312" w:hAnsi="Times New Roman" w:eastAsia="仿宋_GB2312" w:cs="仿宋_GB2312"/>
          <w:b w:val="0"/>
          <w:i w:val="0"/>
          <w:caps w:val="0"/>
          <w:color w:val="2A2A2A"/>
          <w:spacing w:val="0"/>
          <w:sz w:val="24"/>
          <w:szCs w:val="24"/>
          <w:shd w:val="clear" w:fill="FFFFFF"/>
        </w:rPr>
        <w:t>月</w:t>
      </w:r>
      <w:r>
        <w:rPr>
          <w:rFonts w:hint="eastAsia" w:ascii="仿宋_GB2312" w:hAnsi="Times New Roman" w:eastAsia="仿宋_GB2312" w:cs="仿宋_GB2312"/>
          <w:b w:val="0"/>
          <w:i w:val="0"/>
          <w:caps w:val="0"/>
          <w:color w:val="2A2A2A"/>
          <w:spacing w:val="0"/>
          <w:sz w:val="24"/>
          <w:szCs w:val="24"/>
          <w:shd w:val="clear" w:fill="FFFFFF"/>
          <w:lang w:val="en-US" w:eastAsia="zh-CN"/>
        </w:rPr>
        <w:t>16</w:t>
      </w:r>
      <w:r>
        <w:rPr>
          <w:rFonts w:hint="default" w:ascii="仿宋_GB2312" w:hAnsi="Times New Roman" w:eastAsia="仿宋_GB2312" w:cs="仿宋_GB2312"/>
          <w:b w:val="0"/>
          <w:i w:val="0"/>
          <w:caps w:val="0"/>
          <w:color w:val="2A2A2A"/>
          <w:spacing w:val="0"/>
          <w:sz w:val="24"/>
          <w:szCs w:val="24"/>
          <w:shd w:val="clear" w:fill="FFFFFF"/>
        </w:rPr>
        <w:t>日我局拟对以下建设项目</w:t>
      </w:r>
      <w:r>
        <w:rPr>
          <w:rFonts w:hint="eastAsia" w:ascii="仿宋_GB2312" w:hAnsi="Times New Roman" w:eastAsia="仿宋_GB2312" w:cs="仿宋_GB2312"/>
          <w:b w:val="0"/>
          <w:i w:val="0"/>
          <w:caps w:val="0"/>
          <w:color w:val="2A2A2A"/>
          <w:spacing w:val="0"/>
          <w:sz w:val="24"/>
          <w:szCs w:val="24"/>
          <w:shd w:val="clear" w:fill="FFFFFF"/>
          <w:lang w:eastAsia="zh-CN"/>
        </w:rPr>
        <w:t>生态</w:t>
      </w:r>
      <w:r>
        <w:rPr>
          <w:rFonts w:hint="default" w:ascii="仿宋_GB2312" w:hAnsi="Times New Roman" w:eastAsia="仿宋_GB2312" w:cs="仿宋_GB2312"/>
          <w:b w:val="0"/>
          <w:i w:val="0"/>
          <w:caps w:val="0"/>
          <w:color w:val="2A2A2A"/>
          <w:spacing w:val="0"/>
          <w:sz w:val="24"/>
          <w:szCs w:val="24"/>
          <w:shd w:val="clear" w:fill="FFFFFF"/>
        </w:rPr>
        <w:t>环境影响评价文件作出审批意见。为保证此次审查工作的严肃性和公正性，现将拟作出审批意见的</w:t>
      </w:r>
      <w:r>
        <w:rPr>
          <w:rFonts w:hint="eastAsia" w:ascii="仿宋_GB2312" w:hAnsi="Times New Roman" w:eastAsia="仿宋_GB2312" w:cs="仿宋_GB2312"/>
          <w:b w:val="0"/>
          <w:i w:val="0"/>
          <w:caps w:val="0"/>
          <w:color w:val="2A2A2A"/>
          <w:spacing w:val="0"/>
          <w:sz w:val="24"/>
          <w:szCs w:val="24"/>
          <w:shd w:val="clear" w:fill="FFFFFF"/>
          <w:lang w:eastAsia="zh-CN"/>
        </w:rPr>
        <w:t>生态</w:t>
      </w:r>
      <w:r>
        <w:rPr>
          <w:rFonts w:hint="default" w:ascii="仿宋_GB2312" w:hAnsi="Times New Roman" w:eastAsia="仿宋_GB2312" w:cs="仿宋_GB2312"/>
          <w:b w:val="0"/>
          <w:i w:val="0"/>
          <w:caps w:val="0"/>
          <w:color w:val="2A2A2A"/>
          <w:spacing w:val="0"/>
          <w:sz w:val="24"/>
          <w:szCs w:val="24"/>
          <w:shd w:val="clear" w:fill="FFFFFF"/>
        </w:rPr>
        <w:t>环境影响评价文件基本情况予以公示，</w:t>
      </w:r>
      <w:r>
        <w:rPr>
          <w:rFonts w:hint="default" w:ascii="仿宋_GB2312" w:hAnsi="Times New Roman" w:eastAsia="仿宋_GB2312" w:cs="仿宋_GB2312"/>
          <w:b w:val="0"/>
          <w:i w:val="0"/>
          <w:caps w:val="0"/>
          <w:color w:val="3C3C3C"/>
          <w:spacing w:val="0"/>
          <w:sz w:val="24"/>
          <w:szCs w:val="24"/>
          <w:shd w:val="clear" w:fill="FFFFFF"/>
        </w:rPr>
        <w:t>公示期为202</w:t>
      </w:r>
      <w:r>
        <w:rPr>
          <w:rFonts w:hint="eastAsia" w:ascii="仿宋_GB2312" w:hAnsi="Times New Roman" w:eastAsia="仿宋_GB2312" w:cs="仿宋_GB2312"/>
          <w:b w:val="0"/>
          <w:i w:val="0"/>
          <w:caps w:val="0"/>
          <w:color w:val="3C3C3C"/>
          <w:spacing w:val="0"/>
          <w:sz w:val="24"/>
          <w:szCs w:val="24"/>
          <w:shd w:val="clear" w:fill="FFFFFF"/>
          <w:lang w:val="en-US" w:eastAsia="zh-CN"/>
        </w:rPr>
        <w:t>6</w:t>
      </w:r>
      <w:r>
        <w:rPr>
          <w:rFonts w:hint="default" w:ascii="仿宋_GB2312" w:hAnsi="Times New Roman" w:eastAsia="仿宋_GB2312" w:cs="仿宋_GB2312"/>
          <w:b w:val="0"/>
          <w:i w:val="0"/>
          <w:caps w:val="0"/>
          <w:color w:val="3C3C3C"/>
          <w:spacing w:val="0"/>
          <w:sz w:val="24"/>
          <w:szCs w:val="24"/>
          <w:shd w:val="clear" w:fill="FFFFFF"/>
        </w:rPr>
        <w:t>年</w:t>
      </w:r>
      <w:r>
        <w:rPr>
          <w:rFonts w:hint="eastAsia" w:ascii="仿宋_GB2312" w:hAnsi="Times New Roman" w:eastAsia="仿宋_GB2312" w:cs="仿宋_GB2312"/>
          <w:b w:val="0"/>
          <w:i w:val="0"/>
          <w:caps w:val="0"/>
          <w:color w:val="3C3C3C"/>
          <w:spacing w:val="0"/>
          <w:sz w:val="24"/>
          <w:szCs w:val="24"/>
          <w:shd w:val="clear" w:fill="FFFFFF"/>
          <w:lang w:val="en-US" w:eastAsia="zh-CN"/>
        </w:rPr>
        <w:t>10</w:t>
      </w:r>
      <w:r>
        <w:rPr>
          <w:rFonts w:hint="default" w:ascii="仿宋_GB2312" w:hAnsi="Times New Roman" w:eastAsia="仿宋_GB2312" w:cs="仿宋_GB2312"/>
          <w:b w:val="0"/>
          <w:i w:val="0"/>
          <w:caps w:val="0"/>
          <w:color w:val="3C3C3C"/>
          <w:spacing w:val="0"/>
          <w:sz w:val="24"/>
          <w:szCs w:val="24"/>
          <w:shd w:val="clear" w:fill="FFFFFF"/>
        </w:rPr>
        <w:t>月</w:t>
      </w:r>
      <w:r>
        <w:rPr>
          <w:rFonts w:hint="eastAsia" w:ascii="仿宋_GB2312" w:hAnsi="Times New Roman" w:eastAsia="仿宋_GB2312" w:cs="仿宋_GB2312"/>
          <w:b w:val="0"/>
          <w:i w:val="0"/>
          <w:caps w:val="0"/>
          <w:color w:val="3C3C3C"/>
          <w:spacing w:val="0"/>
          <w:sz w:val="24"/>
          <w:szCs w:val="24"/>
          <w:shd w:val="clear" w:fill="FFFFFF"/>
          <w:lang w:val="en-US" w:eastAsia="zh-CN"/>
        </w:rPr>
        <w:t>16</w:t>
      </w:r>
      <w:r>
        <w:rPr>
          <w:rFonts w:hint="default" w:ascii="仿宋_GB2312" w:hAnsi="Times New Roman" w:eastAsia="仿宋_GB2312" w:cs="仿宋_GB2312"/>
          <w:b w:val="0"/>
          <w:i w:val="0"/>
          <w:caps w:val="0"/>
          <w:color w:val="3C3C3C"/>
          <w:spacing w:val="0"/>
          <w:sz w:val="24"/>
          <w:szCs w:val="24"/>
          <w:shd w:val="clear" w:fill="FFFFFF"/>
        </w:rPr>
        <w:t>日－</w:t>
      </w:r>
      <w:r>
        <w:rPr>
          <w:rFonts w:hint="eastAsia" w:ascii="仿宋_GB2312" w:hAnsi="Times New Roman" w:eastAsia="仿宋_GB2312" w:cs="仿宋_GB2312"/>
          <w:b w:val="0"/>
          <w:i w:val="0"/>
          <w:caps w:val="0"/>
          <w:color w:val="3C3C3C"/>
          <w:spacing w:val="0"/>
          <w:sz w:val="24"/>
          <w:szCs w:val="24"/>
          <w:shd w:val="clear" w:fill="FFFFFF"/>
          <w:lang w:val="en-US" w:eastAsia="zh-CN"/>
        </w:rPr>
        <w:t>22</w:t>
      </w:r>
      <w:r>
        <w:rPr>
          <w:rFonts w:hint="default" w:ascii="仿宋_GB2312" w:hAnsi="Times New Roman" w:eastAsia="仿宋_GB2312" w:cs="仿宋_GB2312"/>
          <w:b w:val="0"/>
          <w:i w:val="0"/>
          <w:caps w:val="0"/>
          <w:color w:val="3C3C3C"/>
          <w:spacing w:val="0"/>
          <w:sz w:val="24"/>
          <w:szCs w:val="24"/>
          <w:shd w:val="clear" w:fill="FFFFFF"/>
        </w:rPr>
        <w:t>日（</w:t>
      </w:r>
      <w:r>
        <w:rPr>
          <w:rFonts w:hint="eastAsia" w:ascii="仿宋_GB2312" w:hAnsi="Times New Roman" w:eastAsia="仿宋_GB2312" w:cs="仿宋_GB2312"/>
          <w:b w:val="0"/>
          <w:i w:val="0"/>
          <w:caps w:val="0"/>
          <w:color w:val="3C3C3C"/>
          <w:spacing w:val="0"/>
          <w:sz w:val="24"/>
          <w:szCs w:val="24"/>
          <w:shd w:val="clear" w:fill="FFFFFF"/>
          <w:lang w:val="en-US" w:eastAsia="zh-CN"/>
        </w:rPr>
        <w:t>5</w:t>
      </w:r>
      <w:r>
        <w:rPr>
          <w:rFonts w:hint="default" w:ascii="仿宋_GB2312" w:hAnsi="Times New Roman" w:eastAsia="仿宋_GB2312" w:cs="仿宋_GB2312"/>
          <w:b w:val="0"/>
          <w:i w:val="0"/>
          <w:caps w:val="0"/>
          <w:color w:val="3C3C3C"/>
          <w:spacing w:val="0"/>
          <w:sz w:val="24"/>
          <w:szCs w:val="24"/>
          <w:shd w:val="clear" w:fill="FFFFFF"/>
        </w:rPr>
        <w:t>个工作日）</w:t>
      </w:r>
    </w:p>
    <w:p w14:paraId="1F8CC5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80"/>
        <w:jc w:val="left"/>
        <w:rPr>
          <w:rFonts w:hint="default" w:ascii="Times New Roman" w:hAnsi="Times New Roman" w:cs="Times New Roman"/>
          <w:sz w:val="21"/>
          <w:szCs w:val="21"/>
        </w:rPr>
      </w:pPr>
      <w:r>
        <w:rPr>
          <w:rFonts w:hint="default" w:ascii="仿宋_GB2312" w:hAnsi="Times New Roman" w:eastAsia="仿宋_GB2312" w:cs="仿宋_GB2312"/>
          <w:b w:val="0"/>
          <w:i w:val="0"/>
          <w:caps w:val="0"/>
          <w:color w:val="2A2A2A"/>
          <w:spacing w:val="0"/>
          <w:sz w:val="24"/>
          <w:szCs w:val="24"/>
          <w:shd w:val="clear" w:fill="FFFFFF"/>
        </w:rPr>
        <w:t>听证权利告知：依据《中华人民共和国行政许可法》，自公示起</w:t>
      </w:r>
      <w:r>
        <w:rPr>
          <w:rFonts w:hint="eastAsia" w:ascii="仿宋_GB2312" w:hAnsi="Times New Roman" w:eastAsia="仿宋_GB2312" w:cs="仿宋_GB2312"/>
          <w:b w:val="0"/>
          <w:i w:val="0"/>
          <w:caps w:val="0"/>
          <w:color w:val="2A2A2A"/>
          <w:spacing w:val="0"/>
          <w:sz w:val="24"/>
          <w:szCs w:val="24"/>
          <w:shd w:val="clear" w:fill="FFFFFF"/>
          <w:lang w:val="en-US" w:eastAsia="zh-CN"/>
        </w:rPr>
        <w:t>5</w:t>
      </w:r>
      <w:r>
        <w:rPr>
          <w:rFonts w:hint="default" w:ascii="仿宋_GB2312" w:hAnsi="Times New Roman" w:eastAsia="仿宋_GB2312" w:cs="仿宋_GB2312"/>
          <w:b w:val="0"/>
          <w:i w:val="0"/>
          <w:caps w:val="0"/>
          <w:color w:val="2A2A2A"/>
          <w:spacing w:val="0"/>
          <w:sz w:val="24"/>
          <w:szCs w:val="24"/>
          <w:shd w:val="clear" w:fill="FFFFFF"/>
        </w:rPr>
        <w:t>个工作日内申请人、利害关系人可对以下拟作出的建设项目</w:t>
      </w:r>
      <w:r>
        <w:rPr>
          <w:rFonts w:hint="eastAsia" w:ascii="仿宋_GB2312" w:hAnsi="Times New Roman" w:eastAsia="仿宋_GB2312" w:cs="仿宋_GB2312"/>
          <w:b w:val="0"/>
          <w:i w:val="0"/>
          <w:caps w:val="0"/>
          <w:color w:val="2A2A2A"/>
          <w:spacing w:val="0"/>
          <w:sz w:val="24"/>
          <w:szCs w:val="24"/>
          <w:shd w:val="clear" w:fill="FFFFFF"/>
          <w:lang w:eastAsia="zh-CN"/>
        </w:rPr>
        <w:t>生态</w:t>
      </w:r>
      <w:r>
        <w:rPr>
          <w:rFonts w:hint="default" w:ascii="仿宋_GB2312" w:hAnsi="Times New Roman" w:eastAsia="仿宋_GB2312" w:cs="仿宋_GB2312"/>
          <w:b w:val="0"/>
          <w:i w:val="0"/>
          <w:caps w:val="0"/>
          <w:color w:val="2A2A2A"/>
          <w:spacing w:val="0"/>
          <w:sz w:val="24"/>
          <w:szCs w:val="24"/>
          <w:shd w:val="clear" w:fill="FFFFFF"/>
        </w:rPr>
        <w:t>环境影响评价文件审批意见要求听证。</w:t>
      </w:r>
    </w:p>
    <w:p w14:paraId="377129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left"/>
        <w:rPr>
          <w:rFonts w:hint="default" w:ascii="Times New Roman" w:hAnsi="Times New Roman" w:cs="Times New Roman"/>
          <w:sz w:val="21"/>
          <w:szCs w:val="21"/>
        </w:rPr>
      </w:pPr>
      <w:r>
        <w:rPr>
          <w:rFonts w:hint="default" w:ascii="仿宋_GB2312" w:hAnsi="Times New Roman" w:eastAsia="仿宋_GB2312" w:cs="仿宋_GB2312"/>
          <w:b w:val="0"/>
          <w:i w:val="0"/>
          <w:caps w:val="0"/>
          <w:color w:val="2A2A2A"/>
          <w:spacing w:val="0"/>
          <w:sz w:val="24"/>
          <w:szCs w:val="24"/>
          <w:shd w:val="clear" w:fill="FFFFFF"/>
        </w:rPr>
        <w:t>联系电话：0352－8537</w:t>
      </w:r>
      <w:r>
        <w:rPr>
          <w:rFonts w:hint="eastAsia" w:ascii="仿宋_GB2312" w:hAnsi="Times New Roman" w:eastAsia="仿宋_GB2312" w:cs="仿宋_GB2312"/>
          <w:b w:val="0"/>
          <w:i w:val="0"/>
          <w:caps w:val="0"/>
          <w:color w:val="2A2A2A"/>
          <w:spacing w:val="0"/>
          <w:sz w:val="24"/>
          <w:szCs w:val="24"/>
          <w:shd w:val="clear" w:fill="FFFFFF"/>
          <w:lang w:val="en-US" w:eastAsia="zh-CN"/>
        </w:rPr>
        <w:t>816</w:t>
      </w:r>
      <w:r>
        <w:rPr>
          <w:rFonts w:hint="default" w:ascii="仿宋_GB2312" w:hAnsi="Times New Roman" w:eastAsia="仿宋_GB2312" w:cs="仿宋_GB2312"/>
          <w:b w:val="0"/>
          <w:i w:val="0"/>
          <w:caps w:val="0"/>
          <w:color w:val="2A2A2A"/>
          <w:spacing w:val="0"/>
          <w:sz w:val="24"/>
          <w:szCs w:val="24"/>
          <w:shd w:val="clear" w:fill="FFFFFF"/>
        </w:rPr>
        <w:t>（灵丘县政务大厅大同市生态环境局灵丘分局）</w:t>
      </w:r>
    </w:p>
    <w:p w14:paraId="67D8AF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left"/>
        <w:rPr>
          <w:rFonts w:hint="default" w:ascii="Times New Roman" w:hAnsi="Times New Roman" w:eastAsia="仿宋_GB2312" w:cs="Times New Roman"/>
          <w:sz w:val="21"/>
          <w:szCs w:val="21"/>
          <w:lang w:val="en-US" w:eastAsia="zh-CN"/>
        </w:rPr>
      </w:pPr>
      <w:r>
        <w:rPr>
          <w:rFonts w:hint="default" w:ascii="仿宋_GB2312" w:hAnsi="Times New Roman" w:eastAsia="仿宋_GB2312" w:cs="仿宋_GB2312"/>
          <w:b w:val="0"/>
          <w:i w:val="0"/>
          <w:caps w:val="0"/>
          <w:color w:val="2A2A2A"/>
          <w:spacing w:val="0"/>
          <w:sz w:val="24"/>
          <w:szCs w:val="24"/>
          <w:shd w:val="clear" w:fill="FFFFFF"/>
        </w:rPr>
        <w:t>通讯地址：灵丘县政务大厅</w:t>
      </w:r>
      <w:r>
        <w:rPr>
          <w:rFonts w:hint="default" w:ascii="仿宋_GB2312" w:hAnsi="Times New Roman" w:eastAsia="仿宋_GB2312" w:cs="仿宋_GB2312"/>
          <w:b w:val="0"/>
          <w:i w:val="0"/>
          <w:caps w:val="0"/>
          <w:color w:val="3C3C3C"/>
          <w:spacing w:val="0"/>
          <w:sz w:val="24"/>
          <w:szCs w:val="24"/>
          <w:shd w:val="clear" w:fill="FFFFFF"/>
        </w:rPr>
        <w:t>     </w:t>
      </w:r>
      <w:r>
        <w:rPr>
          <w:rFonts w:hint="default" w:ascii="仿宋_GB2312" w:hAnsi="Times New Roman" w:eastAsia="仿宋_GB2312" w:cs="仿宋_GB2312"/>
          <w:b w:val="0"/>
          <w:i w:val="0"/>
          <w:caps w:val="0"/>
          <w:color w:val="2A2A2A"/>
          <w:spacing w:val="0"/>
          <w:sz w:val="24"/>
          <w:szCs w:val="24"/>
          <w:shd w:val="clear" w:fill="FFFFFF"/>
        </w:rPr>
        <w:t>邮编：03</w:t>
      </w:r>
      <w:r>
        <w:rPr>
          <w:rFonts w:hint="eastAsia" w:ascii="仿宋_GB2312" w:hAnsi="Times New Roman" w:eastAsia="仿宋_GB2312" w:cs="仿宋_GB2312"/>
          <w:b w:val="0"/>
          <w:i w:val="0"/>
          <w:caps w:val="0"/>
          <w:color w:val="2A2A2A"/>
          <w:spacing w:val="0"/>
          <w:sz w:val="24"/>
          <w:szCs w:val="24"/>
          <w:shd w:val="clear" w:fill="FFFFFF"/>
          <w:lang w:val="en-US" w:eastAsia="zh-CN"/>
        </w:rPr>
        <w:t>4400</w:t>
      </w:r>
    </w:p>
    <w:p w14:paraId="5BC9BA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default" w:ascii="Times New Roman" w:hAnsi="Times New Roman" w:cs="Times New Roman"/>
          <w:sz w:val="21"/>
          <w:szCs w:val="21"/>
        </w:rPr>
      </w:pPr>
      <w:r>
        <w:rPr>
          <w:rFonts w:hint="default" w:ascii="Times New Roman" w:hAnsi="Times New Roman" w:eastAsia="微软雅黑" w:cs="Times New Roman"/>
          <w:i w:val="0"/>
          <w:caps w:val="0"/>
          <w:color w:val="3C3C3C"/>
          <w:spacing w:val="0"/>
          <w:sz w:val="21"/>
          <w:szCs w:val="21"/>
          <w:shd w:val="clear" w:fill="FFFFFF"/>
        </w:rPr>
        <w:t> </w:t>
      </w:r>
    </w:p>
    <w:p w14:paraId="06D13F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eastAsia="微软雅黑" w:cs="Times New Roman"/>
          <w:i w:val="0"/>
          <w:caps w:val="0"/>
          <w:color w:val="3C3C3C"/>
          <w:spacing w:val="0"/>
          <w:sz w:val="21"/>
          <w:szCs w:val="21"/>
          <w:shd w:val="clear" w:fill="FFFFFF"/>
        </w:rPr>
        <w:t> </w:t>
      </w:r>
    </w:p>
    <w:tbl>
      <w:tblPr>
        <w:tblStyle w:val="4"/>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568"/>
        <w:gridCol w:w="728"/>
        <w:gridCol w:w="766"/>
        <w:gridCol w:w="745"/>
        <w:gridCol w:w="690"/>
        <w:gridCol w:w="1718"/>
        <w:gridCol w:w="3733"/>
      </w:tblGrid>
      <w:tr w14:paraId="08A0E2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65" w:hRule="atLeast"/>
          <w:jc w:val="center"/>
        </w:trPr>
        <w:tc>
          <w:tcPr>
            <w:tcW w:w="568" w:type="dxa"/>
            <w:tcBorders>
              <w:top w:val="single" w:color="auto" w:sz="8" w:space="0"/>
              <w:left w:val="single" w:color="auto" w:sz="8" w:space="0"/>
              <w:bottom w:val="single" w:color="auto" w:sz="4" w:space="0"/>
              <w:right w:val="single" w:color="auto" w:sz="8" w:space="0"/>
            </w:tcBorders>
            <w:shd w:val="clear" w:color="auto" w:fill="auto"/>
            <w:tcMar>
              <w:left w:w="108" w:type="dxa"/>
              <w:right w:w="108" w:type="dxa"/>
            </w:tcMar>
            <w:vAlign w:val="center"/>
          </w:tcPr>
          <w:p w14:paraId="274D47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color w:val="auto"/>
                <w:sz w:val="21"/>
                <w:szCs w:val="21"/>
              </w:rPr>
            </w:pPr>
            <w:r>
              <w:rPr>
                <w:rFonts w:hint="default" w:ascii="仿宋_GB2312" w:hAnsi="Times New Roman" w:eastAsia="仿宋_GB2312" w:cs="仿宋_GB2312"/>
                <w:b w:val="0"/>
                <w:color w:val="auto"/>
                <w:sz w:val="18"/>
                <w:szCs w:val="18"/>
              </w:rPr>
              <w:t>序号</w:t>
            </w:r>
          </w:p>
        </w:tc>
        <w:tc>
          <w:tcPr>
            <w:tcW w:w="728" w:type="dxa"/>
            <w:tcBorders>
              <w:top w:val="single" w:color="auto" w:sz="8" w:space="0"/>
              <w:left w:val="nil"/>
              <w:bottom w:val="single" w:color="auto" w:sz="4" w:space="0"/>
              <w:right w:val="single" w:color="auto" w:sz="8" w:space="0"/>
            </w:tcBorders>
            <w:shd w:val="clear" w:color="auto" w:fill="auto"/>
            <w:tcMar>
              <w:left w:w="108" w:type="dxa"/>
              <w:right w:w="108" w:type="dxa"/>
            </w:tcMar>
            <w:vAlign w:val="center"/>
          </w:tcPr>
          <w:p w14:paraId="7A535C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color w:val="auto"/>
                <w:sz w:val="21"/>
                <w:szCs w:val="21"/>
              </w:rPr>
            </w:pPr>
            <w:r>
              <w:rPr>
                <w:rFonts w:hint="default" w:ascii="仿宋_GB2312" w:hAnsi="Times New Roman" w:eastAsia="仿宋_GB2312" w:cs="仿宋_GB2312"/>
                <w:b w:val="0"/>
                <w:color w:val="auto"/>
                <w:sz w:val="18"/>
                <w:szCs w:val="18"/>
              </w:rPr>
              <w:t>项目</w:t>
            </w:r>
          </w:p>
          <w:p w14:paraId="548599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color w:val="auto"/>
                <w:sz w:val="21"/>
                <w:szCs w:val="21"/>
              </w:rPr>
            </w:pPr>
            <w:r>
              <w:rPr>
                <w:rFonts w:hint="default" w:ascii="仿宋_GB2312" w:hAnsi="Times New Roman" w:eastAsia="仿宋_GB2312" w:cs="仿宋_GB2312"/>
                <w:b w:val="0"/>
                <w:color w:val="auto"/>
                <w:sz w:val="18"/>
                <w:szCs w:val="18"/>
              </w:rPr>
              <w:t>名称</w:t>
            </w:r>
          </w:p>
        </w:tc>
        <w:tc>
          <w:tcPr>
            <w:tcW w:w="766" w:type="dxa"/>
            <w:tcBorders>
              <w:top w:val="single" w:color="auto" w:sz="8" w:space="0"/>
              <w:left w:val="nil"/>
              <w:bottom w:val="single" w:color="auto" w:sz="4" w:space="0"/>
              <w:right w:val="single" w:color="auto" w:sz="8" w:space="0"/>
            </w:tcBorders>
            <w:shd w:val="clear" w:color="auto" w:fill="auto"/>
            <w:tcMar>
              <w:left w:w="108" w:type="dxa"/>
              <w:right w:w="108" w:type="dxa"/>
            </w:tcMar>
            <w:vAlign w:val="center"/>
          </w:tcPr>
          <w:p w14:paraId="42B8D4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color w:val="auto"/>
                <w:sz w:val="21"/>
                <w:szCs w:val="21"/>
              </w:rPr>
            </w:pPr>
            <w:r>
              <w:rPr>
                <w:rFonts w:hint="default" w:ascii="仿宋_GB2312" w:hAnsi="Times New Roman" w:eastAsia="仿宋_GB2312" w:cs="仿宋_GB2312"/>
                <w:b w:val="0"/>
                <w:color w:val="auto"/>
                <w:sz w:val="18"/>
                <w:szCs w:val="18"/>
              </w:rPr>
              <w:t>建设地点</w:t>
            </w:r>
          </w:p>
        </w:tc>
        <w:tc>
          <w:tcPr>
            <w:tcW w:w="745" w:type="dxa"/>
            <w:tcBorders>
              <w:top w:val="single" w:color="auto" w:sz="8" w:space="0"/>
              <w:left w:val="nil"/>
              <w:bottom w:val="single" w:color="auto" w:sz="4" w:space="0"/>
              <w:right w:val="single" w:color="auto" w:sz="8" w:space="0"/>
            </w:tcBorders>
            <w:shd w:val="clear" w:color="auto" w:fill="auto"/>
            <w:tcMar>
              <w:left w:w="108" w:type="dxa"/>
              <w:right w:w="108" w:type="dxa"/>
            </w:tcMar>
            <w:vAlign w:val="center"/>
          </w:tcPr>
          <w:p w14:paraId="29D903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color w:val="auto"/>
                <w:sz w:val="21"/>
                <w:szCs w:val="21"/>
              </w:rPr>
            </w:pPr>
            <w:r>
              <w:rPr>
                <w:rFonts w:hint="default" w:ascii="仿宋_GB2312" w:hAnsi="Times New Roman" w:eastAsia="仿宋_GB2312" w:cs="仿宋_GB2312"/>
                <w:b w:val="0"/>
                <w:color w:val="auto"/>
                <w:sz w:val="18"/>
                <w:szCs w:val="18"/>
              </w:rPr>
              <w:t>建设</w:t>
            </w:r>
          </w:p>
          <w:p w14:paraId="2BF556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color w:val="auto"/>
                <w:sz w:val="21"/>
                <w:szCs w:val="21"/>
              </w:rPr>
            </w:pPr>
            <w:r>
              <w:rPr>
                <w:rFonts w:hint="default" w:ascii="仿宋_GB2312" w:hAnsi="Times New Roman" w:eastAsia="仿宋_GB2312" w:cs="仿宋_GB2312"/>
                <w:b w:val="0"/>
                <w:color w:val="auto"/>
                <w:sz w:val="18"/>
                <w:szCs w:val="18"/>
              </w:rPr>
              <w:t>单位</w:t>
            </w:r>
          </w:p>
        </w:tc>
        <w:tc>
          <w:tcPr>
            <w:tcW w:w="690" w:type="dxa"/>
            <w:tcBorders>
              <w:top w:val="single" w:color="auto" w:sz="8" w:space="0"/>
              <w:left w:val="nil"/>
              <w:bottom w:val="single" w:color="auto" w:sz="4" w:space="0"/>
              <w:right w:val="single" w:color="auto" w:sz="8" w:space="0"/>
            </w:tcBorders>
            <w:shd w:val="clear" w:color="auto" w:fill="auto"/>
            <w:tcMar>
              <w:left w:w="108" w:type="dxa"/>
              <w:right w:w="108" w:type="dxa"/>
            </w:tcMar>
            <w:vAlign w:val="center"/>
          </w:tcPr>
          <w:p w14:paraId="41CFE1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color w:val="auto"/>
                <w:sz w:val="21"/>
                <w:szCs w:val="21"/>
              </w:rPr>
            </w:pPr>
            <w:r>
              <w:rPr>
                <w:rFonts w:hint="default" w:ascii="仿宋_GB2312" w:hAnsi="Times New Roman" w:eastAsia="仿宋_GB2312" w:cs="仿宋_GB2312"/>
                <w:b w:val="0"/>
                <w:color w:val="auto"/>
                <w:sz w:val="18"/>
                <w:szCs w:val="18"/>
              </w:rPr>
              <w:t>环境影响评价机构</w:t>
            </w:r>
          </w:p>
        </w:tc>
        <w:tc>
          <w:tcPr>
            <w:tcW w:w="1718" w:type="dxa"/>
            <w:tcBorders>
              <w:top w:val="single" w:color="auto" w:sz="8" w:space="0"/>
              <w:left w:val="nil"/>
              <w:bottom w:val="single" w:color="auto" w:sz="4" w:space="0"/>
              <w:right w:val="single" w:color="auto" w:sz="8" w:space="0"/>
            </w:tcBorders>
            <w:shd w:val="clear" w:color="auto" w:fill="auto"/>
            <w:tcMar>
              <w:left w:w="108" w:type="dxa"/>
              <w:right w:w="108" w:type="dxa"/>
            </w:tcMar>
            <w:vAlign w:val="center"/>
          </w:tcPr>
          <w:p w14:paraId="1F5C32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color w:val="auto"/>
                <w:sz w:val="21"/>
                <w:szCs w:val="21"/>
              </w:rPr>
            </w:pPr>
            <w:r>
              <w:rPr>
                <w:rFonts w:hint="default" w:ascii="仿宋_GB2312" w:hAnsi="Times New Roman" w:eastAsia="仿宋_GB2312" w:cs="仿宋_GB2312"/>
                <w:b w:val="0"/>
                <w:color w:val="auto"/>
                <w:sz w:val="18"/>
                <w:szCs w:val="18"/>
              </w:rPr>
              <w:t>项目概况</w:t>
            </w:r>
          </w:p>
        </w:tc>
        <w:tc>
          <w:tcPr>
            <w:tcW w:w="3733" w:type="dxa"/>
            <w:tcBorders>
              <w:top w:val="single" w:color="auto" w:sz="8" w:space="0"/>
              <w:left w:val="nil"/>
              <w:bottom w:val="single" w:color="auto" w:sz="4" w:space="0"/>
              <w:right w:val="single" w:color="auto" w:sz="8" w:space="0"/>
            </w:tcBorders>
            <w:shd w:val="clear" w:color="auto" w:fill="auto"/>
            <w:tcMar>
              <w:left w:w="108" w:type="dxa"/>
              <w:right w:w="108" w:type="dxa"/>
            </w:tcMar>
            <w:vAlign w:val="center"/>
          </w:tcPr>
          <w:p w14:paraId="246C29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color w:val="auto"/>
                <w:sz w:val="21"/>
                <w:szCs w:val="21"/>
              </w:rPr>
            </w:pPr>
            <w:r>
              <w:rPr>
                <w:rFonts w:hint="default" w:ascii="仿宋_GB2312" w:hAnsi="Times New Roman" w:eastAsia="仿宋_GB2312" w:cs="仿宋_GB2312"/>
                <w:b w:val="0"/>
                <w:color w:val="auto"/>
                <w:sz w:val="18"/>
                <w:szCs w:val="18"/>
              </w:rPr>
              <w:t>主要环境影响及预防或者减轻不良环境影响的对策和措施</w:t>
            </w:r>
          </w:p>
        </w:tc>
      </w:tr>
      <w:tr w14:paraId="0A3775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83" w:hRule="atLeast"/>
          <w:jc w:val="center"/>
        </w:trPr>
        <w:tc>
          <w:tcPr>
            <w:tcW w:w="568" w:type="dxa"/>
            <w:tcBorders>
              <w:top w:val="single" w:color="auto" w:sz="4" w:space="0"/>
              <w:left w:val="single" w:color="auto" w:sz="4" w:space="0"/>
              <w:bottom w:val="single" w:color="auto" w:sz="4" w:space="0"/>
              <w:right w:val="single" w:color="auto" w:sz="8" w:space="0"/>
            </w:tcBorders>
            <w:shd w:val="clear" w:color="auto" w:fill="auto"/>
            <w:tcMar>
              <w:left w:w="108" w:type="dxa"/>
              <w:right w:w="108" w:type="dxa"/>
            </w:tcMar>
            <w:vAlign w:val="center"/>
          </w:tcPr>
          <w:p w14:paraId="74203B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default" w:ascii="Times New Roman" w:hAnsi="Times New Roman" w:cs="Times New Roman"/>
                <w:color w:val="auto"/>
                <w:sz w:val="21"/>
                <w:szCs w:val="21"/>
              </w:rPr>
            </w:pPr>
            <w:r>
              <w:rPr>
                <w:rFonts w:hint="default" w:ascii="仿宋_GB2312" w:hAnsi="Times New Roman" w:eastAsia="仿宋_GB2312" w:cs="仿宋_GB2312"/>
                <w:b w:val="0"/>
                <w:color w:val="auto"/>
                <w:sz w:val="18"/>
                <w:szCs w:val="18"/>
              </w:rPr>
              <w:t>1</w:t>
            </w:r>
          </w:p>
        </w:tc>
        <w:tc>
          <w:tcPr>
            <w:tcW w:w="728" w:type="dxa"/>
            <w:tcBorders>
              <w:top w:val="single" w:color="auto" w:sz="4" w:space="0"/>
              <w:left w:val="nil"/>
              <w:bottom w:val="single" w:color="auto" w:sz="4" w:space="0"/>
              <w:right w:val="single" w:color="auto" w:sz="8" w:space="0"/>
            </w:tcBorders>
            <w:shd w:val="clear" w:color="auto" w:fill="auto"/>
            <w:tcMar>
              <w:left w:w="108" w:type="dxa"/>
              <w:right w:w="108" w:type="dxa"/>
            </w:tcMar>
            <w:vAlign w:val="center"/>
          </w:tcPr>
          <w:p w14:paraId="5CB39D7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default" w:ascii="Times New Roman" w:hAnsi="Times New Roman" w:cs="Times New Roman"/>
                <w:color w:val="auto"/>
                <w:sz w:val="18"/>
                <w:szCs w:val="18"/>
              </w:rPr>
            </w:pPr>
            <w:r>
              <w:rPr>
                <w:rFonts w:hint="eastAsia" w:ascii="Calibri" w:hAnsi="Calibri" w:eastAsia="仿宋" w:cs="Calibri"/>
                <w:sz w:val="18"/>
                <w:szCs w:val="18"/>
                <w:lang w:eastAsia="zh-CN"/>
              </w:rPr>
              <w:t>山西晋星鸭业有限公司新增生物质锅炉辅助热源项目</w:t>
            </w:r>
          </w:p>
        </w:tc>
        <w:tc>
          <w:tcPr>
            <w:tcW w:w="766" w:type="dxa"/>
            <w:tcBorders>
              <w:top w:val="single" w:color="auto" w:sz="4" w:space="0"/>
              <w:left w:val="nil"/>
              <w:bottom w:val="single" w:color="auto" w:sz="4" w:space="0"/>
              <w:right w:val="single" w:color="auto" w:sz="8" w:space="0"/>
            </w:tcBorders>
            <w:shd w:val="clear" w:color="auto" w:fill="auto"/>
            <w:tcMar>
              <w:left w:w="108" w:type="dxa"/>
              <w:right w:w="108" w:type="dxa"/>
            </w:tcMar>
            <w:vAlign w:val="center"/>
          </w:tcPr>
          <w:p w14:paraId="0F8B4F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default" w:ascii="Times New Roman" w:hAnsi="Times New Roman" w:cs="Times New Roman"/>
                <w:color w:val="auto"/>
                <w:sz w:val="18"/>
                <w:szCs w:val="18"/>
              </w:rPr>
            </w:pPr>
            <w:r>
              <w:rPr>
                <w:rFonts w:hint="eastAsia" w:ascii="仿宋" w:hAnsi="仿宋" w:eastAsia="仿宋" w:cs="仿宋"/>
                <w:color w:val="auto"/>
                <w:sz w:val="18"/>
                <w:szCs w:val="18"/>
              </w:rPr>
              <w:t>山西省大同市灵丘县石家田乡石家田村公路东侧（山西晋星鸭业有限公司厂区内）</w:t>
            </w:r>
          </w:p>
        </w:tc>
        <w:tc>
          <w:tcPr>
            <w:tcW w:w="745" w:type="dxa"/>
            <w:tcBorders>
              <w:top w:val="single" w:color="auto" w:sz="4" w:space="0"/>
              <w:left w:val="nil"/>
              <w:bottom w:val="single" w:color="auto" w:sz="4" w:space="0"/>
              <w:right w:val="single" w:color="auto" w:sz="8" w:space="0"/>
            </w:tcBorders>
            <w:shd w:val="clear" w:color="auto" w:fill="auto"/>
            <w:tcMar>
              <w:left w:w="108" w:type="dxa"/>
              <w:right w:w="108" w:type="dxa"/>
            </w:tcMar>
            <w:vAlign w:val="center"/>
          </w:tcPr>
          <w:p w14:paraId="0CD7AD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default" w:ascii="Times New Roman" w:hAnsi="Times New Roman" w:cs="Times New Roman"/>
                <w:color w:val="auto"/>
                <w:sz w:val="18"/>
                <w:szCs w:val="18"/>
              </w:rPr>
            </w:pPr>
            <w:r>
              <w:rPr>
                <w:rFonts w:hint="eastAsia" w:ascii="Calibri" w:hAnsi="Calibri" w:eastAsia="仿宋" w:cs="Calibri"/>
                <w:sz w:val="18"/>
                <w:szCs w:val="18"/>
                <w:lang w:eastAsia="zh-CN"/>
              </w:rPr>
              <w:t>山西晋星鸭业有限公司</w:t>
            </w:r>
          </w:p>
        </w:tc>
        <w:tc>
          <w:tcPr>
            <w:tcW w:w="690" w:type="dxa"/>
            <w:tcBorders>
              <w:top w:val="single" w:color="auto" w:sz="4" w:space="0"/>
              <w:left w:val="nil"/>
              <w:bottom w:val="single" w:color="auto" w:sz="4" w:space="0"/>
              <w:right w:val="single" w:color="auto" w:sz="8" w:space="0"/>
            </w:tcBorders>
            <w:shd w:val="clear" w:color="auto" w:fill="auto"/>
            <w:tcMar>
              <w:left w:w="108" w:type="dxa"/>
              <w:right w:w="108" w:type="dxa"/>
            </w:tcMar>
            <w:vAlign w:val="center"/>
          </w:tcPr>
          <w:p w14:paraId="6C3D97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default" w:ascii="Times New Roman" w:hAnsi="Times New Roman" w:cs="Times New Roman"/>
                <w:color w:val="auto"/>
                <w:sz w:val="18"/>
                <w:szCs w:val="18"/>
              </w:rPr>
            </w:pPr>
            <w:r>
              <w:rPr>
                <w:rFonts w:hint="eastAsia" w:ascii="仿宋_GB2312" w:hAnsi="Calibri" w:eastAsia="仿宋_GB2312" w:cs="仿宋_GB2312"/>
                <w:sz w:val="18"/>
                <w:szCs w:val="18"/>
                <w:lang w:eastAsia="zh-CN"/>
              </w:rPr>
              <w:t>山西迈润田环保工程有限公司</w:t>
            </w:r>
          </w:p>
        </w:tc>
        <w:tc>
          <w:tcPr>
            <w:tcW w:w="1718" w:type="dxa"/>
            <w:tcBorders>
              <w:top w:val="single" w:color="auto" w:sz="4" w:space="0"/>
              <w:left w:val="nil"/>
              <w:bottom w:val="single" w:color="auto" w:sz="4" w:space="0"/>
              <w:right w:val="single" w:color="auto" w:sz="8" w:space="0"/>
            </w:tcBorders>
            <w:shd w:val="clear" w:color="auto" w:fill="auto"/>
            <w:tcMar>
              <w:left w:w="108" w:type="dxa"/>
              <w:right w:w="108" w:type="dxa"/>
            </w:tcMar>
            <w:vAlign w:val="center"/>
          </w:tcPr>
          <w:p w14:paraId="577CCB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360"/>
              <w:jc w:val="both"/>
              <w:rPr>
                <w:rFonts w:hint="default" w:ascii="Times New Roman" w:hAnsi="Times New Roman" w:cs="Times New Roman"/>
                <w:color w:val="auto"/>
                <w:sz w:val="18"/>
                <w:szCs w:val="18"/>
              </w:rPr>
            </w:pPr>
            <w:r>
              <w:rPr>
                <w:rStyle w:val="7"/>
                <w:rFonts w:hint="eastAsia" w:ascii="仿宋_GB2312" w:hAnsi="仿宋" w:eastAsia="仿宋_GB2312"/>
                <w:b w:val="0"/>
                <w:i w:val="0"/>
                <w:caps w:val="0"/>
                <w:color w:val="000000"/>
                <w:spacing w:val="0"/>
                <w:w w:val="100"/>
                <w:sz w:val="18"/>
                <w:szCs w:val="18"/>
                <w:lang w:val="en-US" w:eastAsia="zh-CN" w:bidi="ar-SA"/>
              </w:rPr>
              <w:t>项目位于山西省大同市灵丘县石家田乡石家田村公路东侧（山西晋星鸭业有限公司厂区内）。原《山西晋星鸭业有限公司肉鸭屠宰、加工项目环境影响报告书》于2024年7月26日经大同市生态环境局以“同环函（服务）[2024]39号”予以批复，该公司并于2025年12月25日，完成了项目竣工环境保护验收。根据企业实际运营情况，需新增一台4t/h生物质锅炉，供热模式不变，原空气能热泵仍为主热源，生物质锅炉仅在采暖期低温工况启用。项目总投资230万元，环保投资150万元，占总投资比例的65.2%。</w:t>
            </w:r>
          </w:p>
        </w:tc>
        <w:tc>
          <w:tcPr>
            <w:tcW w:w="3733" w:type="dxa"/>
            <w:tcBorders>
              <w:top w:val="single" w:color="auto" w:sz="4" w:space="0"/>
              <w:left w:val="nil"/>
              <w:bottom w:val="single" w:color="auto" w:sz="4" w:space="0"/>
              <w:right w:val="single" w:color="auto" w:sz="4" w:space="0"/>
            </w:tcBorders>
            <w:shd w:val="clear" w:color="auto" w:fill="auto"/>
            <w:tcMar>
              <w:left w:w="108" w:type="dxa"/>
              <w:right w:w="108" w:type="dxa"/>
            </w:tcMar>
            <w:vAlign w:val="center"/>
          </w:tcPr>
          <w:p w14:paraId="58D885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360"/>
              <w:jc w:val="left"/>
              <w:rPr>
                <w:rFonts w:hint="default" w:ascii="Times New Roman" w:hAnsi="Times New Roman" w:cs="Times New Roman"/>
                <w:color w:val="auto"/>
                <w:sz w:val="21"/>
                <w:szCs w:val="21"/>
              </w:rPr>
            </w:pPr>
            <w:r>
              <w:rPr>
                <w:rFonts w:hint="default" w:ascii="仿宋_GB2312" w:hAnsi="Times New Roman" w:eastAsia="仿宋_GB2312" w:cs="仿宋_GB2312"/>
                <w:color w:val="auto"/>
                <w:sz w:val="18"/>
                <w:szCs w:val="18"/>
              </w:rPr>
              <w:t>环境影响及对</w:t>
            </w:r>
            <w:r>
              <w:rPr>
                <w:rFonts w:hint="eastAsia" w:ascii="仿宋_GB2312" w:hAnsi="Times New Roman" w:eastAsia="仿宋_GB2312" w:cs="仿宋_GB2312"/>
                <w:color w:val="auto"/>
                <w:sz w:val="18"/>
                <w:szCs w:val="18"/>
                <w:lang w:eastAsia="zh-CN"/>
              </w:rPr>
              <w:t>策</w:t>
            </w:r>
            <w:r>
              <w:rPr>
                <w:rFonts w:hint="default" w:ascii="仿宋_GB2312" w:hAnsi="Times New Roman" w:eastAsia="仿宋_GB2312" w:cs="仿宋_GB2312"/>
                <w:color w:val="auto"/>
                <w:sz w:val="18"/>
                <w:szCs w:val="18"/>
              </w:rPr>
              <w:t>措施:</w:t>
            </w:r>
          </w:p>
          <w:p w14:paraId="6F22CD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360"/>
              <w:jc w:val="both"/>
              <w:rPr>
                <w:rFonts w:hint="eastAsia" w:ascii="仿宋_GB2312" w:hAnsi="仿宋_GB2312" w:eastAsia="仿宋_GB2312" w:cs="仿宋_GB2312"/>
                <w:color w:val="auto"/>
                <w:spacing w:val="-11"/>
                <w:sz w:val="18"/>
                <w:szCs w:val="18"/>
                <w:lang w:val="en-US" w:eastAsia="zh-CN"/>
              </w:rPr>
            </w:pPr>
            <w:r>
              <w:rPr>
                <w:rFonts w:hint="eastAsia" w:ascii="仿宋_GB2312" w:hAnsi="仿宋_GB2312" w:eastAsia="仿宋_GB2312" w:cs="仿宋_GB2312"/>
                <w:color w:val="auto"/>
                <w:spacing w:val="-11"/>
                <w:sz w:val="18"/>
                <w:szCs w:val="18"/>
                <w:lang w:val="en-US" w:eastAsia="zh-CN"/>
              </w:rPr>
              <w:t>1、认真做好施工期环境保护工作，施工过程中加强废气、废水、噪声、固体废物环境管理，落实《报告表》提出的各项污染防治措施，严格执行“六个百分之百”，降低对周边的影响。</w:t>
            </w:r>
          </w:p>
          <w:p w14:paraId="79B0AD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360"/>
              <w:jc w:val="both"/>
              <w:rPr>
                <w:rFonts w:hint="eastAsia" w:ascii="仿宋_GB2312" w:hAnsi="仿宋_GB2312" w:eastAsia="仿宋_GB2312" w:cs="仿宋_GB2312"/>
                <w:color w:val="auto"/>
                <w:spacing w:val="-11"/>
                <w:sz w:val="18"/>
                <w:szCs w:val="18"/>
                <w:lang w:val="en-US" w:eastAsia="zh-CN"/>
              </w:rPr>
            </w:pPr>
            <w:r>
              <w:rPr>
                <w:rFonts w:hint="eastAsia" w:ascii="仿宋_GB2312" w:hAnsi="仿宋_GB2312" w:eastAsia="仿宋_GB2312" w:cs="仿宋_GB2312"/>
                <w:color w:val="auto"/>
                <w:spacing w:val="-11"/>
                <w:sz w:val="18"/>
                <w:szCs w:val="18"/>
                <w:lang w:val="en-US" w:eastAsia="zh-CN"/>
              </w:rPr>
              <w:t>2、废气污染防治措施。运营期，项目生物质锅炉配套“低氮燃烧+旋风除尘+袋式除尘器+SCR脱硝+石灰石膏法脱硫”后经35m排气筒排放。石灰筒仓仓顶设1套袋式除尘器，废气处理后经仓顶排气筒排放。运营期项目锅炉废气污染物执行《锅炉大气污染物排放标准》（DB14/1929-2019）中表2中燃生物质锅炉大气污染物排放限值，氨逃逸控制标准参照《生物质锅炉大气污染防治可行技术指南》（T/GDAEPI40-2025），石灰筒仓产生的颗粒物执行标准参照《水泥工业大气污染物排放标准》（DB14/3176-2024）。</w:t>
            </w:r>
          </w:p>
          <w:p w14:paraId="05BD16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360"/>
              <w:jc w:val="both"/>
              <w:rPr>
                <w:rFonts w:hint="eastAsia" w:ascii="仿宋_GB2312" w:hAnsi="仿宋_GB2312" w:eastAsia="仿宋_GB2312" w:cs="仿宋_GB2312"/>
                <w:color w:val="auto"/>
                <w:spacing w:val="-11"/>
                <w:sz w:val="18"/>
                <w:szCs w:val="18"/>
                <w:lang w:val="en-US" w:eastAsia="zh-CN"/>
              </w:rPr>
            </w:pPr>
            <w:r>
              <w:rPr>
                <w:rFonts w:hint="eastAsia" w:ascii="仿宋_GB2312" w:hAnsi="仿宋_GB2312" w:eastAsia="仿宋_GB2312" w:cs="仿宋_GB2312"/>
                <w:color w:val="auto"/>
                <w:spacing w:val="-11"/>
                <w:sz w:val="18"/>
                <w:szCs w:val="18"/>
                <w:lang w:val="en-US" w:eastAsia="zh-CN"/>
              </w:rPr>
              <w:t>3、废水污染防治措施。运营期，锅炉软水制备废水及锅炉定排水集中收集后全部回用于脱硫系统补水；脱硫废水经过“中和沉淀+絮凝澄清”处理后循环使用，不外排。</w:t>
            </w:r>
          </w:p>
          <w:p w14:paraId="019531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360"/>
              <w:jc w:val="both"/>
              <w:rPr>
                <w:rFonts w:hint="eastAsia" w:ascii="仿宋_GB2312" w:hAnsi="仿宋_GB2312" w:eastAsia="仿宋_GB2312" w:cs="仿宋_GB2312"/>
                <w:color w:val="auto"/>
                <w:spacing w:val="-11"/>
                <w:sz w:val="18"/>
                <w:szCs w:val="18"/>
                <w:lang w:val="en-US" w:eastAsia="zh-CN"/>
              </w:rPr>
            </w:pPr>
            <w:r>
              <w:rPr>
                <w:rFonts w:hint="eastAsia" w:ascii="仿宋_GB2312" w:hAnsi="仿宋_GB2312" w:eastAsia="仿宋_GB2312" w:cs="仿宋_GB2312"/>
                <w:color w:val="auto"/>
                <w:spacing w:val="-11"/>
                <w:sz w:val="18"/>
                <w:szCs w:val="18"/>
                <w:lang w:val="en-US" w:eastAsia="zh-CN"/>
              </w:rPr>
              <w:t>4、噪声污染防治措施。运营期，选用低噪声设备、基础减振、厂房隔声、设排风口消声装置、电机隔声罩。运营期厂界噪声排放执行《工业企业厂界环境噪声排放标准》（GB12348-2008）中的2类标准。</w:t>
            </w:r>
          </w:p>
          <w:p w14:paraId="4F1E12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360"/>
              <w:jc w:val="both"/>
              <w:rPr>
                <w:rFonts w:hint="default" w:ascii="Times New Roman" w:hAnsi="Times New Roman" w:cs="Times New Roman"/>
                <w:color w:val="auto"/>
                <w:sz w:val="21"/>
                <w:szCs w:val="21"/>
              </w:rPr>
            </w:pPr>
            <w:r>
              <w:rPr>
                <w:rFonts w:hint="eastAsia" w:ascii="仿宋_GB2312" w:hAnsi="仿宋_GB2312" w:eastAsia="仿宋_GB2312" w:cs="仿宋_GB2312"/>
                <w:color w:val="auto"/>
                <w:spacing w:val="-11"/>
                <w:sz w:val="18"/>
                <w:szCs w:val="18"/>
                <w:lang w:val="en-US" w:eastAsia="zh-CN"/>
              </w:rPr>
              <w:t>5、固体废物污染防治措施。运营期，厂区新建一座80m2全封闭一般固废贮存库，锅炉灰渣及除尘灰集中收集后暂存于一般固废贮存库，作为肥料辅料外售；脱硫石膏压滤后暂存于一般固废贮存库，定期作为建材厂辅料外售；废离子交换废树脂由厂家定期更换回收；废矿物油、废矿物油桶、废催化剂分区暂存于厂内危废贮存库，定期交有资质单位处置。一般工业固体废物执行《一般工业固体废物贮存和填埋污染控制标准》（GB18599-2020）中的有关规定。危险废物贮存设施执行《危险废物贮存污染控制标准》（GB18597-2023）中的有关规定。</w:t>
            </w:r>
          </w:p>
        </w:tc>
      </w:tr>
    </w:tbl>
    <w:p w14:paraId="635B0C05"/>
    <w:sectPr>
      <w:pgSz w:w="11906" w:h="16838"/>
      <w:pgMar w:top="1440" w:right="1587" w:bottom="1440"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mMjljZTYxNTUzNmM1NDNmMmQ3ZWM5YmI4ODgxMjIifQ=="/>
  </w:docVars>
  <w:rsids>
    <w:rsidRoot w:val="5FE433A2"/>
    <w:rsid w:val="03833AA9"/>
    <w:rsid w:val="03A8028B"/>
    <w:rsid w:val="03D23F52"/>
    <w:rsid w:val="045035B4"/>
    <w:rsid w:val="04F01EE9"/>
    <w:rsid w:val="059D40C8"/>
    <w:rsid w:val="05FA11DC"/>
    <w:rsid w:val="078912CC"/>
    <w:rsid w:val="095E0CA2"/>
    <w:rsid w:val="0B753148"/>
    <w:rsid w:val="0DDE3C53"/>
    <w:rsid w:val="0EBF04AD"/>
    <w:rsid w:val="12644A4B"/>
    <w:rsid w:val="126D4B79"/>
    <w:rsid w:val="14266074"/>
    <w:rsid w:val="15CD536B"/>
    <w:rsid w:val="1812650C"/>
    <w:rsid w:val="1A204BC7"/>
    <w:rsid w:val="1AC41ACD"/>
    <w:rsid w:val="1B4B414F"/>
    <w:rsid w:val="21072EBB"/>
    <w:rsid w:val="21A92AF2"/>
    <w:rsid w:val="21AB6F3F"/>
    <w:rsid w:val="23E758DA"/>
    <w:rsid w:val="244D6E6A"/>
    <w:rsid w:val="2AB91F8E"/>
    <w:rsid w:val="2D4557E2"/>
    <w:rsid w:val="2D8C6CD8"/>
    <w:rsid w:val="2DB141CE"/>
    <w:rsid w:val="2DDE5FD1"/>
    <w:rsid w:val="2E9077CD"/>
    <w:rsid w:val="32DD58FA"/>
    <w:rsid w:val="337A6C9E"/>
    <w:rsid w:val="36A47D2F"/>
    <w:rsid w:val="38A911EE"/>
    <w:rsid w:val="38CA5FD2"/>
    <w:rsid w:val="3C1A0739"/>
    <w:rsid w:val="3C303E6B"/>
    <w:rsid w:val="431117AE"/>
    <w:rsid w:val="44D33691"/>
    <w:rsid w:val="469E0E5C"/>
    <w:rsid w:val="47DF6CF3"/>
    <w:rsid w:val="4933371F"/>
    <w:rsid w:val="4B447E66"/>
    <w:rsid w:val="4B7E5126"/>
    <w:rsid w:val="4D5505DC"/>
    <w:rsid w:val="4F672375"/>
    <w:rsid w:val="50EC2C12"/>
    <w:rsid w:val="53E00384"/>
    <w:rsid w:val="56C8194B"/>
    <w:rsid w:val="579D6934"/>
    <w:rsid w:val="59F07925"/>
    <w:rsid w:val="5BE01C93"/>
    <w:rsid w:val="5F6D17A6"/>
    <w:rsid w:val="5FE433A2"/>
    <w:rsid w:val="61EF4230"/>
    <w:rsid w:val="634D5EED"/>
    <w:rsid w:val="64E1569E"/>
    <w:rsid w:val="65A930E7"/>
    <w:rsid w:val="66326BE9"/>
    <w:rsid w:val="66884C53"/>
    <w:rsid w:val="67B04461"/>
    <w:rsid w:val="6D867E8A"/>
    <w:rsid w:val="6FDE1205"/>
    <w:rsid w:val="708E730A"/>
    <w:rsid w:val="721E646B"/>
    <w:rsid w:val="73E24986"/>
    <w:rsid w:val="7D1D6598"/>
    <w:rsid w:val="7EBC1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6">
    <w:name w:val="正文 New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7">
    <w:name w:val="NormalCharacter"/>
    <w:qFormat/>
    <w:uiPriority w:val="0"/>
    <w:rPr>
      <w:kern w:val="2"/>
      <w:sz w:val="21"/>
      <w:lang w:val="en-US" w:eastAsia="zh-CN" w:bidi="ar-SA"/>
    </w:rPr>
  </w:style>
  <w:style w:type="paragraph" w:customStyle="1" w:styleId="8">
    <w:name w:val="UserStyle_17"/>
    <w:qFormat/>
    <w:uiPriority w:val="0"/>
    <w:pPr>
      <w:jc w:val="both"/>
      <w:textAlignment w:val="baseline"/>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1466</Words>
  <Characters>1608</Characters>
  <Lines>0</Lines>
  <Paragraphs>0</Paragraphs>
  <TotalTime>188</TotalTime>
  <ScaleCrop>false</ScaleCrop>
  <LinksUpToDate>false</LinksUpToDate>
  <CharactersWithSpaces>1619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2020-05-11T03:05:00Z</dcterms:created>
  <dc:creator>丽纱</dc:creator>
  <cp:lastModifiedBy>丽纱</cp:lastModifiedBy>
  <cp:lastPrinted>2024-12-30T08:38:00Z</cp:lastPrinted>
  <dcterms:modified xsi:type="dcterms:W3CDTF">2026-10-15T09:25:08Z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B24F4795115945519029023BE6FB5F6E</vt:lpwstr>
  </property>
  <property fmtid="{D5CDD505-2E9C-101B-9397-08002B2CF9AE}" pid="4" name="KSOTemplateDocerSaveRecord">
    <vt:lpwstr>eyJoZGlkIjoiZDlmMjljZTYxNTUzNmM1NDNmMmQ3ZWM5YmI4ODgxMjIiLCJ1c2VySWQiOiIzNTkwNDA3MTgifQ==</vt:lpwstr>
  </property>
</Properties>
</file>