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D04E2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方正小标宋简体" w:hAnsi="方正小标宋简体" w:eastAsia="方正小标宋简体" w:cs="方正小标宋简体"/>
          <w:color w:val="FF0000"/>
          <w:spacing w:val="68"/>
          <w:sz w:val="52"/>
          <w:szCs w:val="52"/>
          <w:u w:val="single"/>
          <w:lang w:val="en-US" w:eastAsia="zh-CN"/>
        </w:rPr>
      </w:pPr>
      <w:r>
        <w:rPr>
          <w:rFonts w:hint="eastAsia" w:ascii="方正小标宋简体" w:hAnsi="方正小标宋简体" w:eastAsia="方正小标宋简体" w:cs="方正小标宋简体"/>
          <w:color w:val="FF0000"/>
          <w:spacing w:val="68"/>
          <w:sz w:val="52"/>
          <w:szCs w:val="52"/>
          <w:u w:val="single"/>
          <w:lang w:val="en-US" w:eastAsia="zh-CN"/>
        </w:rPr>
        <w:t xml:space="preserve"> </w:t>
      </w:r>
      <w:r>
        <w:rPr>
          <w:rFonts w:hint="eastAsia" w:ascii="方正小标宋简体" w:hAnsi="方正小标宋简体" w:eastAsia="方正小标宋简体" w:cs="方正小标宋简体"/>
          <w:color w:val="FF0000"/>
          <w:spacing w:val="68"/>
          <w:sz w:val="52"/>
          <w:szCs w:val="52"/>
          <w:u w:val="single"/>
          <w:lang w:eastAsia="zh-CN"/>
        </w:rPr>
        <w:t>大同市生态环境局灵丘分局</w:t>
      </w:r>
      <w:r>
        <w:rPr>
          <w:rFonts w:hint="eastAsia" w:ascii="方正小标宋简体" w:hAnsi="方正小标宋简体" w:eastAsia="方正小标宋简体" w:cs="方正小标宋简体"/>
          <w:color w:val="FF0000"/>
          <w:spacing w:val="68"/>
          <w:sz w:val="52"/>
          <w:szCs w:val="52"/>
          <w:u w:val="single"/>
          <w:lang w:val="en-US" w:eastAsia="zh-CN"/>
        </w:rPr>
        <w:t xml:space="preserve"> </w:t>
      </w:r>
    </w:p>
    <w:p w14:paraId="1D3DB826">
      <w:pPr>
        <w:wordWrap w:val="0"/>
        <w:spacing w:line="600" w:lineRule="exact"/>
        <w:jc w:val="right"/>
        <w:rPr>
          <w:rFonts w:hint="eastAsia" w:ascii="仿宋" w:hAnsi="仿宋" w:eastAsia="仿宋" w:cs="仿宋"/>
          <w:spacing w:val="-11"/>
          <w:sz w:val="32"/>
          <w:szCs w:val="32"/>
          <w:lang w:val="en-US" w:eastAsia="zh-CN"/>
        </w:rPr>
      </w:pPr>
      <w:r>
        <w:rPr>
          <w:rFonts w:hint="eastAsia" w:ascii="仿宋" w:hAnsi="仿宋" w:eastAsia="仿宋" w:cs="仿宋"/>
          <w:spacing w:val="-11"/>
          <w:sz w:val="32"/>
          <w:szCs w:val="32"/>
          <w:lang w:eastAsia="zh-CN"/>
        </w:rPr>
        <w:t>灵环函〔</w:t>
      </w:r>
      <w:r>
        <w:rPr>
          <w:rFonts w:hint="eastAsia" w:ascii="仿宋" w:hAnsi="仿宋" w:eastAsia="仿宋" w:cs="仿宋"/>
          <w:spacing w:val="-11"/>
          <w:sz w:val="32"/>
          <w:szCs w:val="32"/>
          <w:lang w:val="en-US" w:eastAsia="zh-CN"/>
        </w:rPr>
        <w:t>2026〕48</w:t>
      </w:r>
      <w:bookmarkStart w:id="0" w:name="_GoBack"/>
      <w:bookmarkEnd w:id="0"/>
      <w:r>
        <w:rPr>
          <w:rFonts w:hint="eastAsia" w:ascii="仿宋" w:hAnsi="仿宋" w:eastAsia="仿宋" w:cs="仿宋"/>
          <w:spacing w:val="-11"/>
          <w:sz w:val="32"/>
          <w:szCs w:val="32"/>
          <w:lang w:val="en-US" w:eastAsia="zh-CN"/>
        </w:rPr>
        <w:t>号</w:t>
      </w:r>
    </w:p>
    <w:p w14:paraId="279015E8">
      <w:pPr>
        <w:keepNext w:val="0"/>
        <w:keepLines w:val="0"/>
        <w:pageBreakBefore w:val="0"/>
        <w:widowControl w:val="0"/>
        <w:kinsoku/>
        <w:wordWrap/>
        <w:overflowPunct/>
        <w:topLinePunct w:val="0"/>
        <w:autoSpaceDE/>
        <w:autoSpaceDN/>
        <w:bidi w:val="0"/>
        <w:adjustRightInd/>
        <w:snapToGrid/>
        <w:spacing w:line="600" w:lineRule="exact"/>
        <w:jc w:val="right"/>
        <w:textAlignment w:val="auto"/>
        <w:rPr>
          <w:rFonts w:hint="default" w:ascii="仿宋" w:hAnsi="仿宋" w:eastAsia="仿宋" w:cs="仿宋"/>
          <w:spacing w:val="-11"/>
          <w:sz w:val="21"/>
          <w:szCs w:val="21"/>
          <w:lang w:val="en-US" w:eastAsia="zh-CN"/>
        </w:rPr>
      </w:pPr>
    </w:p>
    <w:p w14:paraId="62BCEBE4">
      <w:pPr>
        <w:snapToGrid/>
        <w:spacing w:before="0" w:beforeAutospacing="0" w:after="0" w:afterAutospacing="0" w:line="600" w:lineRule="exact"/>
        <w:jc w:val="center"/>
        <w:rPr>
          <w:rStyle w:val="10"/>
          <w:rFonts w:hint="eastAsia" w:ascii="方正小标宋简体" w:hAnsi="方正小标宋简体" w:eastAsia="方正小标宋简体"/>
          <w:b w:val="0"/>
          <w:i w:val="0"/>
          <w:spacing w:val="0"/>
          <w:w w:val="100"/>
          <w:kern w:val="2"/>
          <w:sz w:val="44"/>
          <w:szCs w:val="44"/>
          <w:lang w:val="en-US" w:eastAsia="zh-CN" w:bidi="ar-SA"/>
        </w:rPr>
      </w:pPr>
      <w:r>
        <w:rPr>
          <w:rStyle w:val="10"/>
          <w:rFonts w:ascii="方正小标宋简体" w:hAnsi="方正小标宋简体" w:eastAsia="方正小标宋简体"/>
          <w:b w:val="0"/>
          <w:i w:val="0"/>
          <w:spacing w:val="0"/>
          <w:w w:val="100"/>
          <w:kern w:val="2"/>
          <w:sz w:val="44"/>
          <w:szCs w:val="44"/>
          <w:lang w:val="en-US" w:eastAsia="zh-CN" w:bidi="ar-SA"/>
        </w:rPr>
        <w:t>关于</w:t>
      </w:r>
      <w:r>
        <w:rPr>
          <w:rStyle w:val="10"/>
          <w:rFonts w:hint="eastAsia" w:ascii="方正小标宋简体" w:hAnsi="方正小标宋简体" w:eastAsia="方正小标宋简体"/>
          <w:b w:val="0"/>
          <w:i w:val="0"/>
          <w:spacing w:val="0"/>
          <w:w w:val="100"/>
          <w:kern w:val="2"/>
          <w:sz w:val="44"/>
          <w:szCs w:val="44"/>
          <w:lang w:val="en-US" w:eastAsia="zh-CN" w:bidi="ar-SA"/>
        </w:rPr>
        <w:t>山西晋星鸭业有限公司</w:t>
      </w:r>
    </w:p>
    <w:p w14:paraId="5C1285A4">
      <w:pPr>
        <w:snapToGrid/>
        <w:spacing w:before="0" w:beforeAutospacing="0" w:after="0" w:afterAutospacing="0" w:line="600" w:lineRule="exact"/>
        <w:jc w:val="center"/>
        <w:rPr>
          <w:rStyle w:val="10"/>
          <w:rFonts w:hint="eastAsia" w:ascii="方正小标宋简体" w:hAnsi="方正小标宋简体" w:eastAsia="方正小标宋简体"/>
          <w:b w:val="0"/>
          <w:i w:val="0"/>
          <w:spacing w:val="0"/>
          <w:w w:val="100"/>
          <w:kern w:val="2"/>
          <w:sz w:val="44"/>
          <w:szCs w:val="44"/>
          <w:lang w:val="en-US" w:eastAsia="zh-CN" w:bidi="ar-SA"/>
        </w:rPr>
      </w:pPr>
      <w:r>
        <w:rPr>
          <w:rStyle w:val="10"/>
          <w:rFonts w:hint="eastAsia" w:ascii="方正小标宋简体" w:hAnsi="方正小标宋简体" w:eastAsia="方正小标宋简体"/>
          <w:b w:val="0"/>
          <w:i w:val="0"/>
          <w:spacing w:val="0"/>
          <w:w w:val="100"/>
          <w:kern w:val="2"/>
          <w:sz w:val="44"/>
          <w:szCs w:val="44"/>
          <w:lang w:val="en-US" w:eastAsia="zh-CN" w:bidi="ar-SA"/>
        </w:rPr>
        <w:t>新增生物质锅炉辅助热源项目生态</w:t>
      </w:r>
    </w:p>
    <w:p w14:paraId="7991EDD9">
      <w:pPr>
        <w:snapToGrid/>
        <w:spacing w:before="0" w:beforeAutospacing="0" w:after="0" w:afterAutospacing="0" w:line="600" w:lineRule="exact"/>
        <w:jc w:val="center"/>
        <w:rPr>
          <w:rStyle w:val="10"/>
          <w:rFonts w:ascii="方正小标宋简体" w:hAnsi="方正小标宋简体" w:eastAsia="方正小标宋简体"/>
          <w:b w:val="0"/>
          <w:i w:val="0"/>
          <w:spacing w:val="0"/>
          <w:w w:val="100"/>
          <w:kern w:val="2"/>
          <w:sz w:val="44"/>
          <w:szCs w:val="44"/>
          <w:lang w:val="en-US" w:eastAsia="zh-CN" w:bidi="ar-SA"/>
        </w:rPr>
      </w:pPr>
      <w:r>
        <w:rPr>
          <w:rStyle w:val="10"/>
          <w:rFonts w:ascii="方正小标宋简体" w:hAnsi="方正小标宋简体" w:eastAsia="方正小标宋简体"/>
          <w:b w:val="0"/>
          <w:i w:val="0"/>
          <w:spacing w:val="0"/>
          <w:w w:val="100"/>
          <w:kern w:val="2"/>
          <w:sz w:val="44"/>
          <w:szCs w:val="44"/>
          <w:lang w:val="en-US" w:eastAsia="zh-CN" w:bidi="ar-SA"/>
        </w:rPr>
        <w:t>环境影响报告表的批复</w:t>
      </w:r>
    </w:p>
    <w:p w14:paraId="01F801DD">
      <w:pPr>
        <w:snapToGrid/>
        <w:spacing w:before="0" w:beforeAutospacing="0" w:after="0" w:afterAutospacing="0" w:line="240" w:lineRule="auto"/>
        <w:jc w:val="center"/>
        <w:rPr>
          <w:rStyle w:val="10"/>
          <w:rFonts w:ascii="仿宋_GB2312" w:hAnsi="仿宋_GB2312" w:eastAsia="仿宋_GB2312"/>
          <w:b w:val="0"/>
          <w:i w:val="0"/>
          <w:spacing w:val="0"/>
          <w:w w:val="100"/>
          <w:kern w:val="2"/>
          <w:sz w:val="30"/>
          <w:szCs w:val="30"/>
          <w:lang w:val="en-US" w:eastAsia="zh-CN" w:bidi="ar-SA"/>
        </w:rPr>
      </w:pPr>
    </w:p>
    <w:p w14:paraId="2038C079">
      <w:pPr>
        <w:keepNext w:val="0"/>
        <w:keepLines w:val="0"/>
        <w:pageBreakBefore w:val="0"/>
        <w:kinsoku/>
        <w:wordWrap/>
        <w:overflowPunct/>
        <w:topLinePunct w:val="0"/>
        <w:autoSpaceDE/>
        <w:autoSpaceDN/>
        <w:bidi w:val="0"/>
        <w:snapToGrid/>
        <w:spacing w:before="0" w:beforeAutospacing="0" w:after="0" w:afterAutospacing="0" w:line="560" w:lineRule="exact"/>
        <w:ind w:left="0" w:leftChars="0" w:right="0"/>
        <w:jc w:val="both"/>
        <w:rPr>
          <w:rStyle w:val="10"/>
          <w:rFonts w:hint="eastAsia" w:ascii="仿宋_GB2312" w:hAnsi="仿宋" w:eastAsia="仿宋_GB2312"/>
          <w:b w:val="0"/>
          <w:i w:val="0"/>
          <w:spacing w:val="0"/>
          <w:w w:val="100"/>
          <w:kern w:val="2"/>
          <w:sz w:val="32"/>
          <w:szCs w:val="32"/>
          <w:lang w:val="en-US" w:eastAsia="zh-CN" w:bidi="ar-SA"/>
        </w:rPr>
      </w:pPr>
      <w:r>
        <w:rPr>
          <w:rStyle w:val="10"/>
          <w:rFonts w:hint="eastAsia" w:ascii="仿宋_GB2312" w:hAnsi="仿宋" w:eastAsia="仿宋_GB2312"/>
          <w:b w:val="0"/>
          <w:i w:val="0"/>
          <w:spacing w:val="0"/>
          <w:w w:val="100"/>
          <w:kern w:val="2"/>
          <w:sz w:val="32"/>
          <w:szCs w:val="32"/>
          <w:lang w:val="en-US" w:eastAsia="zh-CN" w:bidi="ar-SA"/>
        </w:rPr>
        <w:t>山西晋星鸭业有限公司</w:t>
      </w:r>
      <w:r>
        <w:rPr>
          <w:rStyle w:val="10"/>
          <w:rFonts w:ascii="仿宋_GB2312" w:hAnsi="仿宋_GB2312" w:eastAsia="仿宋_GB2312"/>
          <w:b w:val="0"/>
          <w:i w:val="0"/>
          <w:spacing w:val="0"/>
          <w:w w:val="100"/>
          <w:kern w:val="2"/>
          <w:sz w:val="32"/>
          <w:szCs w:val="32"/>
          <w:lang w:val="en-US" w:eastAsia="zh-CN" w:bidi="ar-SA"/>
        </w:rPr>
        <w:t>：</w:t>
      </w:r>
    </w:p>
    <w:p w14:paraId="65FEB8AE">
      <w:pPr>
        <w:pStyle w:val="11"/>
        <w:keepNext w:val="0"/>
        <w:keepLines w:val="0"/>
        <w:pageBreakBefore w:val="0"/>
        <w:kinsoku/>
        <w:wordWrap/>
        <w:overflowPunct/>
        <w:topLinePunct w:val="0"/>
        <w:autoSpaceDE/>
        <w:autoSpaceDN/>
        <w:bidi w:val="0"/>
        <w:snapToGrid/>
        <w:spacing w:before="0" w:beforeAutospacing="0" w:after="0" w:afterAutospacing="0" w:line="560" w:lineRule="exact"/>
        <w:ind w:left="0" w:leftChars="0" w:right="0" w:firstLine="640" w:firstLineChars="200"/>
        <w:jc w:val="both"/>
        <w:rPr>
          <w:rStyle w:val="10"/>
          <w:rFonts w:ascii="仿宋_GB2312" w:hAnsi="仿宋" w:eastAsia="仿宋_GB2312"/>
          <w:b w:val="0"/>
          <w:i w:val="0"/>
          <w:spacing w:val="0"/>
          <w:w w:val="100"/>
          <w:kern w:val="2"/>
          <w:sz w:val="32"/>
          <w:szCs w:val="32"/>
          <w:lang w:val="en-US" w:eastAsia="zh-CN" w:bidi="ar-SA"/>
        </w:rPr>
      </w:pPr>
      <w:r>
        <w:rPr>
          <w:rStyle w:val="10"/>
          <w:rFonts w:ascii="仿宋_GB2312" w:hAnsi="仿宋" w:eastAsia="仿宋_GB2312"/>
          <w:b w:val="0"/>
          <w:i w:val="0"/>
          <w:spacing w:val="0"/>
          <w:w w:val="100"/>
          <w:kern w:val="2"/>
          <w:sz w:val="32"/>
          <w:szCs w:val="32"/>
          <w:lang w:val="en-US" w:eastAsia="zh-CN" w:bidi="ar-SA"/>
        </w:rPr>
        <w:t>你公司</w:t>
      </w:r>
      <w:r>
        <w:rPr>
          <w:rStyle w:val="10"/>
          <w:rFonts w:hint="eastAsia" w:ascii="仿宋_GB2312" w:hAnsi="仿宋" w:eastAsia="仿宋_GB2312"/>
          <w:b w:val="0"/>
          <w:i w:val="0"/>
          <w:spacing w:val="0"/>
          <w:w w:val="100"/>
          <w:kern w:val="2"/>
          <w:sz w:val="32"/>
          <w:szCs w:val="32"/>
          <w:lang w:val="en-US" w:eastAsia="zh-CN" w:bidi="ar-SA"/>
        </w:rPr>
        <w:t>关于</w:t>
      </w:r>
      <w:r>
        <w:rPr>
          <w:rStyle w:val="10"/>
          <w:rFonts w:ascii="仿宋_GB2312" w:hAnsi="仿宋" w:eastAsia="仿宋_GB2312"/>
          <w:b w:val="0"/>
          <w:i w:val="0"/>
          <w:spacing w:val="0"/>
          <w:w w:val="100"/>
          <w:kern w:val="2"/>
          <w:sz w:val="32"/>
          <w:szCs w:val="32"/>
          <w:lang w:val="en-US" w:eastAsia="zh-CN" w:bidi="ar-SA"/>
        </w:rPr>
        <w:t>《</w:t>
      </w:r>
      <w:r>
        <w:rPr>
          <w:rStyle w:val="10"/>
          <w:rFonts w:hint="eastAsia" w:ascii="仿宋_GB2312" w:hAnsi="仿宋" w:eastAsia="仿宋_GB2312"/>
          <w:b w:val="0"/>
          <w:i w:val="0"/>
          <w:spacing w:val="0"/>
          <w:w w:val="100"/>
          <w:kern w:val="2"/>
          <w:sz w:val="32"/>
          <w:szCs w:val="32"/>
          <w:lang w:val="en-US" w:eastAsia="zh-CN" w:bidi="ar-SA"/>
        </w:rPr>
        <w:t>山西晋星鸭业有限公司新增生物质锅炉辅助热源项目生态</w:t>
      </w:r>
      <w:r>
        <w:rPr>
          <w:rStyle w:val="10"/>
          <w:rFonts w:ascii="仿宋_GB2312" w:hAnsi="仿宋" w:eastAsia="仿宋_GB2312"/>
          <w:b w:val="0"/>
          <w:i w:val="0"/>
          <w:spacing w:val="0"/>
          <w:w w:val="100"/>
          <w:kern w:val="2"/>
          <w:sz w:val="32"/>
          <w:szCs w:val="32"/>
          <w:lang w:val="en-US" w:eastAsia="zh-CN" w:bidi="ar-SA"/>
        </w:rPr>
        <w:t>环境影响报告表》（以下简称《报</w:t>
      </w:r>
      <w:r>
        <w:rPr>
          <w:rStyle w:val="10"/>
          <w:rFonts w:ascii="仿宋_GB2312" w:hAnsi="仿宋" w:eastAsia="仿宋_GB2312"/>
          <w:b w:val="0"/>
          <w:i w:val="0"/>
          <w:spacing w:val="-6"/>
          <w:w w:val="100"/>
          <w:kern w:val="2"/>
          <w:sz w:val="32"/>
          <w:szCs w:val="32"/>
          <w:lang w:val="en-US" w:eastAsia="zh-CN" w:bidi="ar-SA"/>
        </w:rPr>
        <w:t>告表》）相关材料收悉。</w:t>
      </w:r>
      <w:r>
        <w:rPr>
          <w:rStyle w:val="10"/>
          <w:rFonts w:hint="eastAsia" w:ascii="仿宋_GB2312" w:hAnsi="仿宋" w:eastAsia="仿宋_GB2312"/>
          <w:b w:val="0"/>
          <w:i w:val="0"/>
          <w:spacing w:val="-6"/>
          <w:w w:val="100"/>
          <w:kern w:val="2"/>
          <w:sz w:val="32"/>
          <w:szCs w:val="32"/>
          <w:lang w:val="en-US" w:eastAsia="zh-CN" w:bidi="ar-SA"/>
        </w:rPr>
        <w:t>结合大同市生态环境评估中心出具的《关于&lt;</w:t>
      </w:r>
      <w:r>
        <w:rPr>
          <w:rStyle w:val="10"/>
          <w:rFonts w:hint="eastAsia" w:ascii="仿宋_GB2312" w:hAnsi="仿宋" w:eastAsia="仿宋_GB2312"/>
          <w:b w:val="0"/>
          <w:i w:val="0"/>
          <w:spacing w:val="0"/>
          <w:w w:val="100"/>
          <w:kern w:val="2"/>
          <w:sz w:val="32"/>
          <w:szCs w:val="32"/>
          <w:lang w:val="en-US" w:eastAsia="zh-CN" w:bidi="ar-SA"/>
        </w:rPr>
        <w:t>山西晋星鸭业有限公司新增生物质锅炉辅助热源项目生态</w:t>
      </w:r>
      <w:r>
        <w:rPr>
          <w:rStyle w:val="10"/>
          <w:rFonts w:hint="eastAsia" w:ascii="仿宋_GB2312" w:hAnsi="仿宋" w:eastAsia="仿宋_GB2312"/>
          <w:b w:val="0"/>
          <w:i w:val="0"/>
          <w:spacing w:val="-6"/>
          <w:w w:val="100"/>
          <w:kern w:val="2"/>
          <w:sz w:val="32"/>
          <w:szCs w:val="32"/>
          <w:lang w:val="en-US" w:eastAsia="zh-CN" w:bidi="ar-SA"/>
        </w:rPr>
        <w:t>环境影响报告表&gt;的技术评估报告》，</w:t>
      </w:r>
      <w:r>
        <w:rPr>
          <w:rStyle w:val="10"/>
          <w:rFonts w:ascii="仿宋_GB2312" w:hAnsi="仿宋_GB2312" w:eastAsia="仿宋_GB2312"/>
          <w:b w:val="0"/>
          <w:i w:val="0"/>
          <w:spacing w:val="-6"/>
          <w:w w:val="100"/>
          <w:kern w:val="2"/>
          <w:sz w:val="32"/>
          <w:szCs w:val="32"/>
          <w:lang w:val="en-US" w:eastAsia="zh-CN" w:bidi="ar-SA"/>
        </w:rPr>
        <w:t>经研究，批复如下：</w:t>
      </w:r>
    </w:p>
    <w:p w14:paraId="5F6AD3BA">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left"/>
        <w:rPr>
          <w:rStyle w:val="10"/>
          <w:rFonts w:ascii="仿宋_GB2312" w:hAnsi="仿宋" w:eastAsia="仿宋_GB2312"/>
          <w:b w:val="0"/>
          <w:i w:val="0"/>
          <w:color w:val="000000"/>
          <w:spacing w:val="0"/>
          <w:w w:val="100"/>
          <w:sz w:val="32"/>
          <w:szCs w:val="32"/>
          <w:lang w:val="en-US" w:eastAsia="zh-CN" w:bidi="ar-SA"/>
        </w:rPr>
      </w:pPr>
      <w:r>
        <w:rPr>
          <w:rStyle w:val="10"/>
          <w:rFonts w:ascii="仿宋_GB2312" w:hAnsi="仿宋" w:eastAsia="仿宋_GB2312"/>
          <w:b w:val="0"/>
          <w:i w:val="0"/>
          <w:color w:val="000000"/>
          <w:spacing w:val="0"/>
          <w:w w:val="100"/>
          <w:sz w:val="32"/>
          <w:szCs w:val="32"/>
          <w:lang w:val="en-US" w:eastAsia="zh-CN" w:bidi="ar-SA"/>
        </w:rPr>
        <w:t>一、该项目</w:t>
      </w:r>
      <w:r>
        <w:rPr>
          <w:rStyle w:val="10"/>
          <w:rFonts w:hint="eastAsia" w:ascii="仿宋_GB2312" w:hAnsi="仿宋" w:eastAsia="仿宋_GB2312"/>
          <w:b w:val="0"/>
          <w:i w:val="0"/>
          <w:color w:val="000000"/>
          <w:spacing w:val="0"/>
          <w:w w:val="100"/>
          <w:sz w:val="32"/>
          <w:szCs w:val="32"/>
          <w:lang w:val="en-US" w:eastAsia="zh-CN" w:bidi="ar-SA"/>
        </w:rPr>
        <w:t>位于山西省大同市灵丘县石家田乡石家田村公路东侧（山西晋星鸭业有限公司厂区内）。原《山西晋星鸭业有限公司肉鸭屠宰、加工项目环境影响报告书》于2024年7月26日经大同市生态环境局以“同环函（服务）[2024]39号”予以批复，该公司并于2025年12月25日，完成了项目竣工环境保护验收。根据企业实际运营情况，</w:t>
      </w:r>
      <w:r>
        <w:rPr>
          <w:rStyle w:val="10"/>
          <w:rFonts w:hint="eastAsia" w:ascii="仿宋_GB2312" w:hAnsi="仿宋_GB2312" w:eastAsia="仿宋_GB2312"/>
          <w:b w:val="0"/>
          <w:i w:val="0"/>
          <w:color w:val="000000"/>
          <w:spacing w:val="0"/>
          <w:w w:val="100"/>
          <w:sz w:val="32"/>
          <w:szCs w:val="32"/>
          <w:lang w:val="en-US" w:eastAsia="zh-CN" w:bidi="ar-SA"/>
        </w:rPr>
        <w:t>需新增一台4t/h生物质锅炉，供热模式不变，原空气能热泵仍为主热源，生物质锅炉仅在采暖期低温工况启用。</w:t>
      </w:r>
      <w:r>
        <w:rPr>
          <w:rStyle w:val="10"/>
          <w:rFonts w:ascii="仿宋_GB2312" w:hAnsi="仿宋" w:eastAsia="仿宋_GB2312"/>
          <w:b w:val="0"/>
          <w:i w:val="0"/>
          <w:color w:val="000000"/>
          <w:spacing w:val="0"/>
          <w:w w:val="100"/>
          <w:sz w:val="32"/>
          <w:szCs w:val="32"/>
          <w:lang w:val="en-US" w:eastAsia="zh-CN" w:bidi="ar-SA"/>
        </w:rPr>
        <w:t>项目总投资</w:t>
      </w:r>
      <w:r>
        <w:rPr>
          <w:rStyle w:val="10"/>
          <w:rFonts w:hint="eastAsia" w:ascii="仿宋_GB2312" w:hAnsi="仿宋" w:eastAsia="仿宋_GB2312"/>
          <w:b w:val="0"/>
          <w:i w:val="0"/>
          <w:color w:val="000000"/>
          <w:spacing w:val="0"/>
          <w:w w:val="100"/>
          <w:sz w:val="32"/>
          <w:szCs w:val="32"/>
          <w:lang w:val="en-US" w:eastAsia="zh-CN" w:bidi="ar-SA"/>
        </w:rPr>
        <w:t>230</w:t>
      </w:r>
      <w:r>
        <w:rPr>
          <w:rStyle w:val="10"/>
          <w:rFonts w:ascii="仿宋_GB2312" w:hAnsi="仿宋" w:eastAsia="仿宋_GB2312"/>
          <w:b w:val="0"/>
          <w:i w:val="0"/>
          <w:color w:val="000000"/>
          <w:spacing w:val="0"/>
          <w:w w:val="100"/>
          <w:sz w:val="32"/>
          <w:szCs w:val="32"/>
          <w:lang w:val="en-US" w:eastAsia="zh-CN" w:bidi="ar-SA"/>
        </w:rPr>
        <w:t>万元，环保投资</w:t>
      </w:r>
      <w:r>
        <w:rPr>
          <w:rStyle w:val="10"/>
          <w:rFonts w:hint="eastAsia" w:ascii="仿宋_GB2312" w:hAnsi="仿宋" w:eastAsia="仿宋_GB2312"/>
          <w:b w:val="0"/>
          <w:i w:val="0"/>
          <w:color w:val="000000"/>
          <w:spacing w:val="0"/>
          <w:w w:val="100"/>
          <w:sz w:val="32"/>
          <w:szCs w:val="32"/>
          <w:lang w:val="en-US" w:eastAsia="zh-CN" w:bidi="ar-SA"/>
        </w:rPr>
        <w:t>150</w:t>
      </w:r>
      <w:r>
        <w:rPr>
          <w:rStyle w:val="10"/>
          <w:rFonts w:ascii="仿宋_GB2312" w:hAnsi="仿宋" w:eastAsia="仿宋_GB2312"/>
          <w:b w:val="0"/>
          <w:i w:val="0"/>
          <w:color w:val="000000"/>
          <w:spacing w:val="0"/>
          <w:w w:val="100"/>
          <w:sz w:val="32"/>
          <w:szCs w:val="32"/>
          <w:lang w:val="en-US" w:eastAsia="zh-CN" w:bidi="ar-SA"/>
        </w:rPr>
        <w:t>万元，</w:t>
      </w:r>
      <w:r>
        <w:rPr>
          <w:rStyle w:val="10"/>
          <w:rFonts w:ascii="仿宋_GB2312" w:hAnsi="仿宋" w:eastAsia="仿宋_GB2312"/>
          <w:b w:val="0"/>
          <w:i w:val="0"/>
          <w:color w:val="000000"/>
          <w:spacing w:val="-11"/>
          <w:w w:val="100"/>
          <w:sz w:val="32"/>
          <w:szCs w:val="32"/>
          <w:lang w:val="en-US" w:eastAsia="zh-CN" w:bidi="ar-SA"/>
        </w:rPr>
        <w:t>占总投资比例的</w:t>
      </w:r>
      <w:r>
        <w:rPr>
          <w:rStyle w:val="10"/>
          <w:rFonts w:hint="eastAsia" w:ascii="仿宋_GB2312" w:hAnsi="仿宋" w:eastAsia="仿宋_GB2312"/>
          <w:b w:val="0"/>
          <w:i w:val="0"/>
          <w:color w:val="000000"/>
          <w:spacing w:val="-11"/>
          <w:w w:val="100"/>
          <w:sz w:val="32"/>
          <w:szCs w:val="32"/>
          <w:lang w:val="en-US" w:eastAsia="zh-CN" w:bidi="ar-SA"/>
        </w:rPr>
        <w:t>65.2%</w:t>
      </w:r>
      <w:r>
        <w:rPr>
          <w:rStyle w:val="10"/>
          <w:rFonts w:ascii="仿宋_GB2312" w:hAnsi="仿宋" w:eastAsia="仿宋_GB2312"/>
          <w:b w:val="0"/>
          <w:i w:val="0"/>
          <w:color w:val="000000"/>
          <w:spacing w:val="-11"/>
          <w:w w:val="100"/>
          <w:sz w:val="32"/>
          <w:szCs w:val="32"/>
          <w:lang w:val="en-US" w:eastAsia="zh-CN" w:bidi="ar-SA"/>
        </w:rPr>
        <w:t>。</w:t>
      </w:r>
      <w:r>
        <w:rPr>
          <w:rStyle w:val="10"/>
          <w:rFonts w:hint="eastAsia" w:ascii="仿宋_GB2312" w:hAnsi="仿宋" w:eastAsia="仿宋_GB2312"/>
          <w:b w:val="0"/>
          <w:i w:val="0"/>
          <w:color w:val="000000"/>
          <w:spacing w:val="-11"/>
          <w:w w:val="100"/>
          <w:sz w:val="32"/>
          <w:szCs w:val="32"/>
          <w:lang w:val="en-US" w:eastAsia="zh-CN" w:bidi="ar-SA"/>
        </w:rPr>
        <w:t>该项目属于《产业结构调整指导目录（2024年本）》中允许类项目。</w:t>
      </w:r>
      <w:r>
        <w:rPr>
          <w:rStyle w:val="10"/>
          <w:rFonts w:ascii="仿宋_GB2312" w:hAnsi="仿宋" w:eastAsia="仿宋_GB2312"/>
          <w:b w:val="0"/>
          <w:i w:val="0"/>
          <w:color w:val="000000"/>
          <w:spacing w:val="0"/>
          <w:w w:val="100"/>
          <w:sz w:val="32"/>
          <w:szCs w:val="32"/>
          <w:lang w:val="en-US" w:eastAsia="zh-CN" w:bidi="ar-SA"/>
        </w:rPr>
        <w:t>在全面落实《报告表》提出的污染防治和生态保护措施的前提下，工程建设对环境的不利影响可得到缓解和控制。我局原则同意《报告表》所列建设项目的性质、规模、地点、采用的生产工艺和采取的环境保护措施。</w:t>
      </w:r>
    </w:p>
    <w:p w14:paraId="03C5D0CA">
      <w:pPr>
        <w:pStyle w:val="11"/>
        <w:keepNext w:val="0"/>
        <w:keepLines w:val="0"/>
        <w:pageBreakBefore w:val="0"/>
        <w:kinsoku/>
        <w:wordWrap/>
        <w:overflowPunct/>
        <w:topLinePunct w:val="0"/>
        <w:autoSpaceDE/>
        <w:autoSpaceDN/>
        <w:bidi w:val="0"/>
        <w:adjustRightInd/>
        <w:snapToGrid/>
        <w:spacing w:before="0" w:beforeAutospacing="0" w:after="0" w:afterAutospacing="0" w:line="560" w:lineRule="exact"/>
        <w:ind w:right="0" w:firstLine="640" w:firstLineChars="200"/>
        <w:jc w:val="both"/>
        <w:rPr>
          <w:rStyle w:val="10"/>
          <w:rFonts w:ascii="仿宋_GB2312" w:hAnsi="仿宋_GB2312" w:eastAsia="仿宋_GB2312"/>
          <w:b w:val="0"/>
          <w:i w:val="0"/>
          <w:color w:val="000000"/>
          <w:spacing w:val="0"/>
          <w:w w:val="100"/>
          <w:kern w:val="2"/>
          <w:sz w:val="32"/>
          <w:szCs w:val="32"/>
          <w:lang w:val="en-US" w:eastAsia="zh-CN" w:bidi="ar-SA"/>
        </w:rPr>
      </w:pPr>
      <w:r>
        <w:rPr>
          <w:rStyle w:val="10"/>
          <w:rFonts w:ascii="仿宋_GB2312" w:hAnsi="仿宋_GB2312" w:eastAsia="仿宋_GB2312"/>
          <w:b w:val="0"/>
          <w:i w:val="0"/>
          <w:color w:val="000000"/>
          <w:spacing w:val="0"/>
          <w:w w:val="100"/>
          <w:kern w:val="2"/>
          <w:sz w:val="32"/>
          <w:szCs w:val="32"/>
          <w:lang w:val="en-US" w:eastAsia="zh-CN" w:bidi="ar-SA"/>
        </w:rPr>
        <w:t>二、在项目建设和运行管理中，必须对照《报告表》逐一落实各项环保对策措施，重点做好以下工作：</w:t>
      </w:r>
    </w:p>
    <w:p w14:paraId="52DF051A">
      <w:pPr>
        <w:keepNext w:val="0"/>
        <w:keepLines w:val="0"/>
        <w:pageBreakBefore w:val="0"/>
        <w:kinsoku/>
        <w:wordWrap/>
        <w:overflowPunct/>
        <w:topLinePunct w:val="0"/>
        <w:autoSpaceDE/>
        <w:autoSpaceDN/>
        <w:bidi w:val="0"/>
        <w:adjustRightInd/>
        <w:snapToGrid/>
        <w:spacing w:before="0" w:beforeAutospacing="0" w:after="0" w:afterAutospacing="0" w:line="560" w:lineRule="exact"/>
        <w:ind w:left="0" w:leftChars="0" w:firstLine="640" w:firstLineChars="200"/>
        <w:jc w:val="both"/>
        <w:rPr>
          <w:rStyle w:val="10"/>
          <w:rFonts w:ascii="仿宋_GB2312" w:hAnsi="仿宋_GB2312" w:eastAsia="仿宋_GB2312"/>
          <w:b w:val="0"/>
          <w:i w:val="0"/>
          <w:color w:val="000000"/>
          <w:spacing w:val="0"/>
          <w:w w:val="100"/>
          <w:kern w:val="2"/>
          <w:sz w:val="32"/>
          <w:szCs w:val="32"/>
          <w:lang w:val="en-US" w:eastAsia="zh-CN" w:bidi="ar-SA"/>
        </w:rPr>
      </w:pPr>
      <w:r>
        <w:rPr>
          <w:rStyle w:val="10"/>
          <w:rFonts w:ascii="仿宋_GB2312" w:hAnsi="仿宋_GB2312" w:eastAsia="仿宋_GB2312"/>
          <w:b w:val="0"/>
          <w:i w:val="0"/>
          <w:color w:val="000000"/>
          <w:spacing w:val="0"/>
          <w:w w:val="100"/>
          <w:kern w:val="2"/>
          <w:sz w:val="32"/>
          <w:szCs w:val="32"/>
          <w:lang w:val="en-US" w:eastAsia="zh-CN" w:bidi="ar-SA"/>
        </w:rPr>
        <w:t>1、认真做好施工期环境保护工作，</w:t>
      </w:r>
      <w:r>
        <w:rPr>
          <w:rStyle w:val="10"/>
          <w:rFonts w:hint="eastAsia" w:ascii="仿宋_GB2312" w:hAnsi="仿宋_GB2312" w:eastAsia="仿宋_GB2312"/>
          <w:b w:val="0"/>
          <w:i w:val="0"/>
          <w:color w:val="000000"/>
          <w:spacing w:val="0"/>
          <w:w w:val="100"/>
          <w:kern w:val="2"/>
          <w:sz w:val="32"/>
          <w:szCs w:val="32"/>
          <w:lang w:val="en-US" w:eastAsia="zh-CN" w:bidi="ar-SA"/>
        </w:rPr>
        <w:t>施工过程中</w:t>
      </w:r>
      <w:r>
        <w:rPr>
          <w:rStyle w:val="10"/>
          <w:rFonts w:ascii="仿宋_GB2312" w:hAnsi="仿宋_GB2312" w:eastAsia="仿宋_GB2312"/>
          <w:b w:val="0"/>
          <w:i w:val="0"/>
          <w:color w:val="000000"/>
          <w:spacing w:val="0"/>
          <w:w w:val="100"/>
          <w:kern w:val="2"/>
          <w:sz w:val="32"/>
          <w:szCs w:val="32"/>
          <w:lang w:val="en-US" w:eastAsia="zh-CN" w:bidi="ar-SA"/>
        </w:rPr>
        <w:t>加强</w:t>
      </w:r>
      <w:r>
        <w:rPr>
          <w:rStyle w:val="10"/>
          <w:rFonts w:hint="eastAsia" w:ascii="仿宋_GB2312" w:hAnsi="仿宋_GB2312" w:eastAsia="仿宋_GB2312"/>
          <w:b w:val="0"/>
          <w:i w:val="0"/>
          <w:color w:val="000000"/>
          <w:spacing w:val="0"/>
          <w:w w:val="100"/>
          <w:kern w:val="2"/>
          <w:sz w:val="32"/>
          <w:szCs w:val="32"/>
          <w:lang w:val="en-US" w:eastAsia="zh-CN" w:bidi="ar-SA"/>
        </w:rPr>
        <w:t>废气、废水、噪声、固体废物</w:t>
      </w:r>
      <w:r>
        <w:rPr>
          <w:rStyle w:val="10"/>
          <w:rFonts w:ascii="仿宋_GB2312" w:hAnsi="仿宋_GB2312" w:eastAsia="仿宋_GB2312"/>
          <w:b w:val="0"/>
          <w:i w:val="0"/>
          <w:color w:val="000000"/>
          <w:spacing w:val="0"/>
          <w:w w:val="100"/>
          <w:kern w:val="2"/>
          <w:sz w:val="32"/>
          <w:szCs w:val="32"/>
          <w:lang w:val="en-US" w:eastAsia="zh-CN" w:bidi="ar-SA"/>
        </w:rPr>
        <w:t>环境管理，落实《报告表》提出的各项</w:t>
      </w:r>
      <w:r>
        <w:rPr>
          <w:rStyle w:val="10"/>
          <w:rFonts w:ascii="仿宋_GB2312" w:hAnsi="仿宋_GB2312" w:eastAsia="仿宋_GB2312"/>
          <w:b w:val="0"/>
          <w:i w:val="0"/>
          <w:color w:val="000000"/>
          <w:spacing w:val="-6"/>
          <w:w w:val="100"/>
          <w:kern w:val="2"/>
          <w:sz w:val="32"/>
          <w:szCs w:val="32"/>
          <w:lang w:val="en-US" w:eastAsia="zh-CN" w:bidi="ar-SA"/>
        </w:rPr>
        <w:t>污染防治措施，</w:t>
      </w:r>
      <w:r>
        <w:rPr>
          <w:rStyle w:val="10"/>
          <w:rFonts w:hint="eastAsia" w:ascii="仿宋_GB2312" w:hAnsi="仿宋_GB2312" w:eastAsia="仿宋_GB2312"/>
          <w:b w:val="0"/>
          <w:i w:val="0"/>
          <w:color w:val="000000"/>
          <w:spacing w:val="-6"/>
          <w:w w:val="100"/>
          <w:kern w:val="2"/>
          <w:sz w:val="32"/>
          <w:szCs w:val="32"/>
          <w:lang w:val="en-US" w:eastAsia="zh-CN" w:bidi="ar-SA"/>
        </w:rPr>
        <w:t>严格执行“六个百分之百”，</w:t>
      </w:r>
      <w:r>
        <w:rPr>
          <w:rStyle w:val="10"/>
          <w:rFonts w:ascii="仿宋_GB2312" w:hAnsi="仿宋_GB2312" w:eastAsia="仿宋_GB2312"/>
          <w:b w:val="0"/>
          <w:i w:val="0"/>
          <w:color w:val="000000"/>
          <w:spacing w:val="-6"/>
          <w:w w:val="100"/>
          <w:kern w:val="2"/>
          <w:sz w:val="32"/>
          <w:szCs w:val="32"/>
          <w:lang w:val="en-US" w:eastAsia="zh-CN" w:bidi="ar-SA"/>
        </w:rPr>
        <w:t>降低对周边的影响。</w:t>
      </w:r>
    </w:p>
    <w:p w14:paraId="08ABA4E7">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left="0" w:leftChars="0" w:firstLine="640" w:firstLineChars="200"/>
        <w:jc w:val="both"/>
        <w:rPr>
          <w:rStyle w:val="10"/>
          <w:rFonts w:ascii="仿宋_GB2312" w:hAnsi="仿宋_GB2312" w:eastAsia="仿宋_GB2312"/>
          <w:b w:val="0"/>
          <w:i w:val="0"/>
          <w:color w:val="000000"/>
          <w:spacing w:val="0"/>
          <w:w w:val="100"/>
          <w:kern w:val="2"/>
          <w:sz w:val="32"/>
          <w:szCs w:val="32"/>
          <w:lang w:val="en-US" w:eastAsia="zh-CN" w:bidi="ar-SA"/>
        </w:rPr>
      </w:pPr>
      <w:r>
        <w:rPr>
          <w:rStyle w:val="10"/>
          <w:rFonts w:ascii="仿宋_GB2312" w:hAnsi="仿宋_GB2312" w:eastAsia="仿宋_GB2312"/>
          <w:b w:val="0"/>
          <w:i w:val="0"/>
          <w:color w:val="000000"/>
          <w:spacing w:val="0"/>
          <w:w w:val="100"/>
          <w:kern w:val="2"/>
          <w:sz w:val="32"/>
          <w:szCs w:val="32"/>
          <w:lang w:val="en-US" w:eastAsia="zh-CN" w:bidi="ar-SA"/>
        </w:rPr>
        <w:t>2、废气污染防治措施。运营期</w:t>
      </w:r>
      <w:r>
        <w:rPr>
          <w:rStyle w:val="10"/>
          <w:rFonts w:hint="eastAsia" w:ascii="仿宋_GB2312" w:hAnsi="仿宋_GB2312" w:eastAsia="仿宋_GB2312"/>
          <w:b w:val="0"/>
          <w:i w:val="0"/>
          <w:color w:val="000000"/>
          <w:spacing w:val="0"/>
          <w:w w:val="100"/>
          <w:kern w:val="2"/>
          <w:sz w:val="32"/>
          <w:szCs w:val="32"/>
          <w:lang w:val="en-US" w:eastAsia="zh-CN" w:bidi="ar-SA"/>
        </w:rPr>
        <w:t>，项目生物质锅炉配套“低氮燃烧+旋风除尘+袋式除尘器+SCR脱硝+石灰石膏法脱硫”，石灰筒仓仓顶设1套袋式除尘器。运营期</w:t>
      </w:r>
      <w:r>
        <w:rPr>
          <w:rStyle w:val="10"/>
          <w:rFonts w:hint="eastAsia" w:ascii="仿宋_GB2312" w:hAnsi="仿宋_GB2312" w:eastAsia="仿宋_GB2312"/>
          <w:b w:val="0"/>
          <w:i w:val="0"/>
          <w:color w:val="auto"/>
          <w:spacing w:val="0"/>
          <w:w w:val="100"/>
          <w:kern w:val="2"/>
          <w:sz w:val="32"/>
          <w:szCs w:val="32"/>
          <w:lang w:val="en-US" w:eastAsia="zh-CN" w:bidi="ar-SA"/>
        </w:rPr>
        <w:t>项目锅炉废气污染物执行《锅炉大气污染物排放标准》（DB14/1929-2019）中表2中燃生物质锅炉大气污染物排放限值，氨逃逸控制标准参照《生物质锅炉大气污染防治可行技术指南》（T/GDAEPI40-2025），石灰筒仓产生的颗粒物执行标准参照《水泥工业大气污染物排放标准》（DB14/3176-2024）。</w:t>
      </w:r>
    </w:p>
    <w:p w14:paraId="3910FE0B">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0" w:firstLineChars="200"/>
        <w:jc w:val="both"/>
        <w:rPr>
          <w:rStyle w:val="10"/>
          <w:rFonts w:ascii="仿宋_GB2312" w:hAnsi="仿宋_GB2312" w:eastAsia="仿宋_GB2312"/>
          <w:b w:val="0"/>
          <w:i w:val="0"/>
          <w:color w:val="000000"/>
          <w:spacing w:val="0"/>
          <w:w w:val="100"/>
          <w:kern w:val="2"/>
          <w:sz w:val="32"/>
          <w:szCs w:val="32"/>
          <w:lang w:val="en-US" w:eastAsia="zh-CN" w:bidi="ar-SA"/>
        </w:rPr>
      </w:pPr>
      <w:r>
        <w:rPr>
          <w:rStyle w:val="10"/>
          <w:rFonts w:ascii="仿宋_GB2312" w:hAnsi="仿宋_GB2312" w:eastAsia="仿宋_GB2312"/>
          <w:b w:val="0"/>
          <w:i w:val="0"/>
          <w:color w:val="000000"/>
          <w:spacing w:val="0"/>
          <w:w w:val="100"/>
          <w:kern w:val="2"/>
          <w:sz w:val="32"/>
          <w:szCs w:val="32"/>
          <w:lang w:val="en-US" w:eastAsia="zh-CN" w:bidi="ar-SA"/>
        </w:rPr>
        <w:t>3、废水污染防治措施。</w:t>
      </w:r>
      <w:r>
        <w:rPr>
          <w:rStyle w:val="10"/>
          <w:rFonts w:hint="eastAsia" w:ascii="仿宋_GB2312" w:hAnsi="仿宋_GB2312" w:eastAsia="仿宋_GB2312"/>
          <w:b w:val="0"/>
          <w:i w:val="0"/>
          <w:color w:val="000000"/>
          <w:spacing w:val="0"/>
          <w:w w:val="100"/>
          <w:kern w:val="2"/>
          <w:sz w:val="32"/>
          <w:szCs w:val="32"/>
          <w:lang w:val="en-US" w:eastAsia="zh-CN" w:bidi="ar-SA"/>
        </w:rPr>
        <w:t>运营期，锅炉软水制备废水及锅炉定排水集中收集后全部回用于脱硫系统补水；脱硫废水经过“中和沉淀+絮凝澄清”处理后循环使用，不外排</w:t>
      </w:r>
      <w:r>
        <w:rPr>
          <w:rStyle w:val="10"/>
          <w:rFonts w:hint="eastAsia" w:ascii="仿宋_GB2312" w:hAnsi="仿宋_GB2312" w:eastAsia="仿宋_GB2312"/>
          <w:b w:val="0"/>
          <w:i w:val="0"/>
          <w:color w:val="000000"/>
          <w:spacing w:val="-6"/>
          <w:w w:val="100"/>
          <w:kern w:val="2"/>
          <w:sz w:val="32"/>
          <w:szCs w:val="32"/>
          <w:lang w:val="en-US" w:eastAsia="zh-CN" w:bidi="ar-SA"/>
        </w:rPr>
        <w:t>。</w:t>
      </w:r>
    </w:p>
    <w:p w14:paraId="15CC26FD">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left="0" w:leftChars="0" w:firstLine="640"/>
        <w:jc w:val="both"/>
        <w:textAlignment w:val="baseline"/>
        <w:rPr>
          <w:rStyle w:val="10"/>
          <w:rFonts w:ascii="仿宋_GB2312" w:hAnsi="仿宋_GB2312" w:eastAsia="仿宋_GB2312"/>
          <w:b w:val="0"/>
          <w:i w:val="0"/>
          <w:color w:val="000000"/>
          <w:spacing w:val="0"/>
          <w:w w:val="100"/>
          <w:kern w:val="2"/>
          <w:sz w:val="32"/>
          <w:szCs w:val="32"/>
          <w:lang w:val="en-US" w:eastAsia="zh-CN" w:bidi="ar-SA"/>
        </w:rPr>
      </w:pPr>
      <w:r>
        <w:rPr>
          <w:rStyle w:val="10"/>
          <w:rFonts w:ascii="仿宋_GB2312" w:hAnsi="仿宋_GB2312" w:eastAsia="仿宋_GB2312"/>
          <w:b w:val="0"/>
          <w:i w:val="0"/>
          <w:color w:val="000000"/>
          <w:spacing w:val="0"/>
          <w:w w:val="100"/>
          <w:kern w:val="2"/>
          <w:sz w:val="32"/>
          <w:szCs w:val="32"/>
          <w:lang w:val="en-US" w:eastAsia="zh-CN" w:bidi="ar-SA"/>
        </w:rPr>
        <w:t>4、噪声污染防治措施。</w:t>
      </w:r>
      <w:r>
        <w:rPr>
          <w:rStyle w:val="10"/>
          <w:rFonts w:hint="eastAsia" w:ascii="仿宋_GB2312" w:hAnsi="仿宋_GB2312" w:eastAsia="仿宋_GB2312"/>
          <w:b w:val="0"/>
          <w:i w:val="0"/>
          <w:color w:val="000000"/>
          <w:spacing w:val="0"/>
          <w:w w:val="100"/>
          <w:kern w:val="2"/>
          <w:sz w:val="32"/>
          <w:szCs w:val="32"/>
          <w:lang w:val="en-US" w:eastAsia="zh-CN" w:bidi="ar-SA"/>
        </w:rPr>
        <w:t>运营期，选用低噪声设备、基础减振、厂房隔声、设排风口消声装置、电机隔声罩。运营期厂界噪</w:t>
      </w:r>
      <w:r>
        <w:rPr>
          <w:rStyle w:val="10"/>
          <w:rFonts w:hint="eastAsia" w:ascii="仿宋_GB2312" w:hAnsi="仿宋_GB2312" w:eastAsia="仿宋_GB2312"/>
          <w:b w:val="0"/>
          <w:i w:val="0"/>
          <w:color w:val="000000"/>
          <w:spacing w:val="-6"/>
          <w:w w:val="100"/>
          <w:kern w:val="2"/>
          <w:sz w:val="32"/>
          <w:szCs w:val="32"/>
          <w:lang w:val="en-US" w:eastAsia="zh-CN" w:bidi="ar-SA"/>
        </w:rPr>
        <w:t>声排放执行《工业企业厂界环境噪声排放标准》</w:t>
      </w:r>
      <w:r>
        <w:rPr>
          <w:rStyle w:val="10"/>
          <w:rFonts w:hint="eastAsia" w:ascii="仿宋_GB2312" w:hAnsi="仿宋_GB2312" w:eastAsia="仿宋_GB2312"/>
          <w:b w:val="0"/>
          <w:i w:val="0"/>
          <w:color w:val="000000"/>
          <w:spacing w:val="0"/>
          <w:w w:val="100"/>
          <w:kern w:val="2"/>
          <w:sz w:val="32"/>
          <w:szCs w:val="32"/>
          <w:lang w:val="en-US" w:eastAsia="zh-CN" w:bidi="ar-SA"/>
        </w:rPr>
        <w:t>（GB12348-2008）中的2类标准。</w:t>
      </w:r>
    </w:p>
    <w:p w14:paraId="054EC395">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540" w:lineRule="exact"/>
        <w:ind w:left="0" w:leftChars="0" w:firstLine="640"/>
        <w:jc w:val="both"/>
        <w:textAlignment w:val="baseline"/>
        <w:rPr>
          <w:rStyle w:val="10"/>
          <w:rFonts w:ascii="仿宋_GB2312" w:hAnsi="仿宋_GB2312" w:eastAsia="仿宋_GB2312"/>
          <w:b w:val="0"/>
          <w:i w:val="0"/>
          <w:color w:val="000000"/>
          <w:spacing w:val="0"/>
          <w:w w:val="100"/>
          <w:kern w:val="2"/>
          <w:sz w:val="32"/>
          <w:szCs w:val="32"/>
          <w:lang w:val="en-US" w:eastAsia="zh-CN" w:bidi="ar-SA"/>
        </w:rPr>
      </w:pPr>
      <w:r>
        <w:rPr>
          <w:rStyle w:val="10"/>
          <w:rFonts w:ascii="仿宋_GB2312" w:hAnsi="仿宋_GB2312" w:eastAsia="仿宋_GB2312"/>
          <w:b w:val="0"/>
          <w:i w:val="0"/>
          <w:color w:val="000000"/>
          <w:spacing w:val="0"/>
          <w:w w:val="100"/>
          <w:kern w:val="2"/>
          <w:sz w:val="32"/>
          <w:szCs w:val="32"/>
          <w:lang w:val="en-US" w:eastAsia="zh-CN" w:bidi="ar-SA"/>
        </w:rPr>
        <w:t>5、固体废物污染防治措施。运营期</w:t>
      </w:r>
      <w:r>
        <w:rPr>
          <w:rStyle w:val="10"/>
          <w:rFonts w:hint="eastAsia" w:ascii="仿宋_GB2312" w:hAnsi="仿宋_GB2312" w:eastAsia="仿宋_GB2312"/>
          <w:b w:val="0"/>
          <w:i w:val="0"/>
          <w:color w:val="000000"/>
          <w:spacing w:val="0"/>
          <w:w w:val="100"/>
          <w:kern w:val="2"/>
          <w:sz w:val="32"/>
          <w:szCs w:val="32"/>
          <w:lang w:val="en-US" w:eastAsia="zh-CN" w:bidi="ar-SA"/>
        </w:rPr>
        <w:t>，厂区新建一座80m</w:t>
      </w:r>
      <w:r>
        <w:rPr>
          <w:rStyle w:val="10"/>
          <w:rFonts w:hint="eastAsia" w:ascii="仿宋_GB2312" w:hAnsi="仿宋_GB2312" w:eastAsia="仿宋_GB2312"/>
          <w:b w:val="0"/>
          <w:i w:val="0"/>
          <w:color w:val="000000"/>
          <w:spacing w:val="0"/>
          <w:w w:val="100"/>
          <w:kern w:val="2"/>
          <w:sz w:val="32"/>
          <w:szCs w:val="32"/>
          <w:vertAlign w:val="superscript"/>
          <w:lang w:val="en-US" w:eastAsia="zh-CN" w:bidi="ar-SA"/>
        </w:rPr>
        <w:t>2</w:t>
      </w:r>
      <w:r>
        <w:rPr>
          <w:rStyle w:val="10"/>
          <w:rFonts w:hint="eastAsia" w:ascii="仿宋_GB2312" w:hAnsi="仿宋_GB2312" w:eastAsia="仿宋_GB2312"/>
          <w:b w:val="0"/>
          <w:i w:val="0"/>
          <w:color w:val="000000"/>
          <w:spacing w:val="0"/>
          <w:w w:val="100"/>
          <w:kern w:val="2"/>
          <w:sz w:val="32"/>
          <w:szCs w:val="32"/>
          <w:lang w:val="en-US" w:eastAsia="zh-CN" w:bidi="ar-SA"/>
        </w:rPr>
        <w:t>全封闭一般固废贮存库，锅炉灰渣及除尘灰集中收集后暂存于一般固废贮存库，作为肥料辅料外售；脱硫石膏压滤后暂存于一般固废贮存库，定期作为建材厂辅料外售；废离子交换废树脂由厂家定期更换回收；废矿物油、废矿物油桶、废催化剂分区暂存于厂内危废贮存库，定期交有资质单位处置。一般工业固体废物执行《一般工业固体废物贮存和填埋污染控制标准》（GB18599-2020）中的有关规定。危险废物贮存设施执行《危险废物贮存污染控制标准》（GB18597-2023）中的有关规定。</w:t>
      </w:r>
    </w:p>
    <w:p w14:paraId="418BC858">
      <w:pPr>
        <w:pStyle w:val="11"/>
        <w:keepNext w:val="0"/>
        <w:keepLines w:val="0"/>
        <w:pageBreakBefore w:val="0"/>
        <w:widowControl/>
        <w:kinsoku/>
        <w:wordWrap/>
        <w:overflowPunct/>
        <w:topLinePunct w:val="0"/>
        <w:autoSpaceDE/>
        <w:autoSpaceDN/>
        <w:bidi w:val="0"/>
        <w:adjustRightInd/>
        <w:snapToGrid/>
        <w:spacing w:before="0" w:beforeAutospacing="0" w:after="0" w:afterAutospacing="0" w:line="540" w:lineRule="exact"/>
        <w:ind w:left="0" w:leftChars="0" w:right="0" w:firstLine="640" w:firstLineChars="200"/>
        <w:jc w:val="both"/>
        <w:textAlignment w:val="baseline"/>
        <w:rPr>
          <w:rStyle w:val="10"/>
          <w:rFonts w:ascii="仿宋_GB2312" w:hAnsi="仿宋_GB2312" w:eastAsia="仿宋_GB2312"/>
          <w:b w:val="0"/>
          <w:i w:val="0"/>
          <w:color w:val="000000"/>
          <w:spacing w:val="0"/>
          <w:w w:val="100"/>
          <w:kern w:val="2"/>
          <w:sz w:val="32"/>
          <w:szCs w:val="32"/>
          <w:lang w:val="en-US" w:eastAsia="zh-CN" w:bidi="ar-SA"/>
        </w:rPr>
      </w:pPr>
      <w:r>
        <w:rPr>
          <w:rStyle w:val="10"/>
          <w:rFonts w:ascii="仿宋_GB2312" w:hAnsi="仿宋_GB2312" w:eastAsia="仿宋_GB2312"/>
          <w:b w:val="0"/>
          <w:i w:val="0"/>
          <w:color w:val="000000"/>
          <w:spacing w:val="0"/>
          <w:w w:val="100"/>
          <w:kern w:val="2"/>
          <w:sz w:val="32"/>
          <w:szCs w:val="32"/>
          <w:lang w:val="en-US" w:eastAsia="zh-CN" w:bidi="ar-SA"/>
        </w:rPr>
        <w:t>三、该项</w:t>
      </w:r>
      <w:r>
        <w:rPr>
          <w:rStyle w:val="10"/>
          <w:rFonts w:hint="eastAsia" w:ascii="仿宋_GB2312" w:hAnsi="仿宋_GB2312" w:eastAsia="仿宋_GB2312"/>
          <w:b w:val="0"/>
          <w:i w:val="0"/>
          <w:color w:val="000000"/>
          <w:spacing w:val="0"/>
          <w:w w:val="100"/>
          <w:kern w:val="2"/>
          <w:sz w:val="32"/>
          <w:szCs w:val="32"/>
          <w:lang w:val="en-US" w:eastAsia="zh-CN" w:bidi="ar-SA"/>
        </w:rPr>
        <w:t>目污染物排放量为颗粒物：0.05t/a、SO</w:t>
      </w:r>
      <w:r>
        <w:rPr>
          <w:rStyle w:val="10"/>
          <w:rFonts w:hint="eastAsia" w:ascii="仿宋_GB2312" w:hAnsi="仿宋_GB2312" w:eastAsia="仿宋_GB2312"/>
          <w:b w:val="0"/>
          <w:i w:val="0"/>
          <w:color w:val="000000"/>
          <w:spacing w:val="0"/>
          <w:w w:val="100"/>
          <w:kern w:val="2"/>
          <w:sz w:val="32"/>
          <w:szCs w:val="32"/>
          <w:vertAlign w:val="subscript"/>
          <w:lang w:val="en-US" w:eastAsia="zh-CN" w:bidi="ar-SA"/>
        </w:rPr>
        <w:t>2</w:t>
      </w:r>
      <w:r>
        <w:rPr>
          <w:rStyle w:val="10"/>
          <w:rFonts w:hint="eastAsia" w:ascii="仿宋_GB2312" w:hAnsi="仿宋_GB2312" w:eastAsia="仿宋_GB2312"/>
          <w:b w:val="0"/>
          <w:i w:val="0"/>
          <w:color w:val="000000"/>
          <w:spacing w:val="0"/>
          <w:w w:val="100"/>
          <w:kern w:val="2"/>
          <w:sz w:val="32"/>
          <w:szCs w:val="32"/>
          <w:lang w:val="en-US" w:eastAsia="zh-CN" w:bidi="ar-SA"/>
        </w:rPr>
        <w:t>：0.05t/a、NO</w:t>
      </w:r>
      <w:r>
        <w:rPr>
          <w:rStyle w:val="10"/>
          <w:rFonts w:hint="eastAsia" w:ascii="仿宋_GB2312" w:hAnsi="仿宋_GB2312" w:eastAsia="仿宋_GB2312"/>
          <w:b w:val="0"/>
          <w:i w:val="0"/>
          <w:color w:val="000000"/>
          <w:spacing w:val="0"/>
          <w:w w:val="100"/>
          <w:kern w:val="2"/>
          <w:sz w:val="32"/>
          <w:szCs w:val="32"/>
          <w:vertAlign w:val="subscript"/>
          <w:lang w:val="en-US" w:eastAsia="zh-CN" w:bidi="ar-SA"/>
        </w:rPr>
        <w:t>X</w:t>
      </w:r>
      <w:r>
        <w:rPr>
          <w:rStyle w:val="10"/>
          <w:rFonts w:hint="eastAsia" w:ascii="仿宋_GB2312" w:hAnsi="仿宋_GB2312" w:eastAsia="仿宋_GB2312"/>
          <w:b w:val="0"/>
          <w:i w:val="0"/>
          <w:color w:val="000000"/>
          <w:spacing w:val="0"/>
          <w:w w:val="100"/>
          <w:kern w:val="2"/>
          <w:sz w:val="32"/>
          <w:szCs w:val="32"/>
          <w:lang w:val="en-US" w:eastAsia="zh-CN" w:bidi="ar-SA"/>
        </w:rPr>
        <w:t>：0.337t/a。</w:t>
      </w:r>
    </w:p>
    <w:p w14:paraId="6DEEBC97">
      <w:pPr>
        <w:pStyle w:val="11"/>
        <w:keepNext w:val="0"/>
        <w:keepLines w:val="0"/>
        <w:pageBreakBefore w:val="0"/>
        <w:widowControl/>
        <w:kinsoku/>
        <w:wordWrap/>
        <w:overflowPunct/>
        <w:topLinePunct w:val="0"/>
        <w:autoSpaceDE/>
        <w:autoSpaceDN/>
        <w:bidi w:val="0"/>
        <w:adjustRightInd/>
        <w:snapToGrid/>
        <w:spacing w:before="0" w:beforeAutospacing="0" w:after="0" w:afterAutospacing="0" w:line="540" w:lineRule="exact"/>
        <w:ind w:left="0" w:leftChars="0" w:right="0" w:firstLine="640" w:firstLineChars="200"/>
        <w:jc w:val="both"/>
        <w:textAlignment w:val="baseline"/>
        <w:rPr>
          <w:rStyle w:val="10"/>
          <w:rFonts w:ascii="仿宋_GB2312" w:hAnsi="仿宋_GB2312" w:eastAsia="仿宋_GB2312"/>
          <w:b w:val="0"/>
          <w:i w:val="0"/>
          <w:spacing w:val="0"/>
          <w:w w:val="100"/>
          <w:kern w:val="2"/>
          <w:sz w:val="32"/>
          <w:szCs w:val="32"/>
          <w:lang w:val="en-US" w:eastAsia="zh-CN" w:bidi="ar-SA"/>
        </w:rPr>
      </w:pPr>
      <w:r>
        <w:rPr>
          <w:rStyle w:val="10"/>
          <w:rFonts w:ascii="仿宋_GB2312" w:hAnsi="仿宋_GB2312" w:eastAsia="仿宋_GB2312"/>
          <w:b w:val="0"/>
          <w:i w:val="0"/>
          <w:spacing w:val="0"/>
          <w:w w:val="100"/>
          <w:kern w:val="2"/>
          <w:sz w:val="32"/>
          <w:szCs w:val="32"/>
          <w:lang w:val="en-US" w:eastAsia="zh-CN" w:bidi="ar-SA"/>
        </w:rPr>
        <w:t>四、加强对工程的环境管理和环境风险预测，制定突发环境事故应急预案及环境保护管理相关制度，采取合理有效措施防范环境风险，预防突发环境事件的发生。</w:t>
      </w:r>
    </w:p>
    <w:p w14:paraId="664C6CBD">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540" w:lineRule="exact"/>
        <w:ind w:left="0" w:leftChars="0" w:right="0" w:firstLine="640" w:firstLineChars="200"/>
        <w:jc w:val="both"/>
        <w:textAlignment w:val="baseline"/>
        <w:rPr>
          <w:rStyle w:val="10"/>
          <w:rFonts w:ascii="仿宋_GB2312" w:hAnsi="仿宋_GB2312" w:eastAsia="仿宋_GB2312"/>
          <w:b w:val="0"/>
          <w:i w:val="0"/>
          <w:color w:val="292929"/>
          <w:spacing w:val="0"/>
          <w:w w:val="100"/>
          <w:kern w:val="0"/>
          <w:sz w:val="32"/>
          <w:szCs w:val="32"/>
          <w:lang w:val="en-US" w:eastAsia="zh-CN" w:bidi="ar-SA"/>
        </w:rPr>
      </w:pPr>
      <w:r>
        <w:rPr>
          <w:rStyle w:val="10"/>
          <w:rFonts w:ascii="仿宋_GB2312" w:hAnsi="仿宋_GB2312" w:eastAsia="仿宋_GB2312"/>
          <w:b w:val="0"/>
          <w:i w:val="0"/>
          <w:color w:val="292929"/>
          <w:spacing w:val="0"/>
          <w:w w:val="100"/>
          <w:kern w:val="0"/>
          <w:sz w:val="32"/>
          <w:szCs w:val="32"/>
          <w:lang w:val="en-US" w:eastAsia="zh-CN" w:bidi="ar-SA"/>
        </w:rPr>
        <w:t>五、</w:t>
      </w:r>
      <w:r>
        <w:rPr>
          <w:rStyle w:val="10"/>
          <w:rFonts w:ascii="仿宋_GB2312" w:hAnsi="仿宋_GB2312" w:eastAsia="仿宋_GB2312"/>
          <w:b w:val="0"/>
          <w:i w:val="0"/>
          <w:spacing w:val="0"/>
          <w:w w:val="100"/>
          <w:kern w:val="2"/>
          <w:sz w:val="32"/>
          <w:szCs w:val="32"/>
          <w:lang w:val="en-US" w:eastAsia="zh-CN" w:bidi="ar-SA"/>
        </w:rPr>
        <w:t>项目建设要严格执行环保“三同时”制度。并按照《报告表》中提出的各项要求,积极落实各项污染防治措施。项目建成后须按规定进行环境保护竣工验收。环境保护措施未落实到位，不得正式投入运营；如项目的性质、规模、地点、采用的防治污染、防止生态破坏措施发生重大变动的，须报经我局重新审批。</w:t>
      </w:r>
    </w:p>
    <w:p w14:paraId="1AAAC47B">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540" w:lineRule="exact"/>
        <w:ind w:left="0" w:leftChars="0" w:right="0" w:firstLine="640" w:firstLineChars="200"/>
        <w:jc w:val="both"/>
        <w:textAlignment w:val="baseline"/>
        <w:rPr>
          <w:rStyle w:val="10"/>
          <w:rFonts w:ascii="仿宋_GB2312" w:hAnsi="仿宋_GB2312" w:eastAsia="仿宋_GB2312"/>
          <w:b w:val="0"/>
          <w:i w:val="0"/>
          <w:spacing w:val="0"/>
          <w:w w:val="100"/>
          <w:kern w:val="2"/>
          <w:sz w:val="32"/>
          <w:szCs w:val="32"/>
          <w:lang w:val="en-US" w:eastAsia="zh-CN" w:bidi="ar-SA"/>
        </w:rPr>
      </w:pPr>
      <w:r>
        <w:rPr>
          <w:rStyle w:val="10"/>
          <w:rFonts w:ascii="仿宋_GB2312" w:hAnsi="仿宋_GB2312" w:eastAsia="仿宋_GB2312"/>
          <w:b w:val="0"/>
          <w:i w:val="0"/>
          <w:spacing w:val="0"/>
          <w:w w:val="100"/>
          <w:kern w:val="2"/>
          <w:sz w:val="32"/>
          <w:szCs w:val="32"/>
          <w:lang w:val="en-US" w:eastAsia="zh-CN" w:bidi="ar-SA"/>
        </w:rPr>
        <w:t>六、大同市灵丘县生态环境保护综合行政执法队负责该项目建设期及运营期日常监督管理工作。</w:t>
      </w:r>
    </w:p>
    <w:p w14:paraId="0C61F3A7">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540" w:lineRule="exact"/>
        <w:ind w:left="0" w:leftChars="0" w:right="0" w:firstLine="640" w:firstLineChars="200"/>
        <w:jc w:val="both"/>
        <w:textAlignment w:val="baseline"/>
        <w:rPr>
          <w:rStyle w:val="10"/>
          <w:rFonts w:ascii="仿宋_GB2312" w:hAnsi="仿宋_GB2312" w:eastAsia="仿宋_GB2312"/>
          <w:b w:val="0"/>
          <w:i w:val="0"/>
          <w:spacing w:val="0"/>
          <w:w w:val="100"/>
          <w:kern w:val="2"/>
          <w:sz w:val="32"/>
          <w:szCs w:val="32"/>
          <w:lang w:val="en-US" w:eastAsia="zh-CN" w:bidi="ar-SA"/>
        </w:rPr>
      </w:pPr>
    </w:p>
    <w:p w14:paraId="02E976BA">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540" w:lineRule="exact"/>
        <w:ind w:left="0" w:leftChars="0" w:right="0" w:firstLine="640" w:firstLineChars="200"/>
        <w:jc w:val="both"/>
        <w:textAlignment w:val="baseline"/>
        <w:rPr>
          <w:rStyle w:val="10"/>
          <w:rFonts w:ascii="仿宋_GB2312" w:hAnsi="仿宋_GB2312" w:eastAsia="仿宋_GB2312"/>
          <w:b w:val="0"/>
          <w:i w:val="0"/>
          <w:spacing w:val="0"/>
          <w:w w:val="100"/>
          <w:kern w:val="2"/>
          <w:sz w:val="32"/>
          <w:szCs w:val="32"/>
          <w:lang w:val="en-US" w:eastAsia="zh-CN" w:bidi="ar-SA"/>
        </w:rPr>
      </w:pPr>
    </w:p>
    <w:p w14:paraId="259EEFE9">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ind w:left="0" w:leftChars="0" w:right="0" w:firstLine="360" w:firstLineChars="200"/>
        <w:jc w:val="both"/>
        <w:textAlignment w:val="baseline"/>
        <w:rPr>
          <w:rStyle w:val="10"/>
          <w:rFonts w:ascii="仿宋_GB2312" w:hAnsi="仿宋_GB2312" w:eastAsia="仿宋_GB2312"/>
          <w:b w:val="0"/>
          <w:i w:val="0"/>
          <w:spacing w:val="0"/>
          <w:w w:val="100"/>
          <w:kern w:val="2"/>
          <w:sz w:val="18"/>
          <w:szCs w:val="18"/>
          <w:lang w:val="en-US" w:eastAsia="zh-CN" w:bidi="ar-SA"/>
        </w:rPr>
      </w:pPr>
    </w:p>
    <w:p w14:paraId="1FA79690">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540" w:lineRule="exact"/>
        <w:ind w:right="0" w:firstLine="3840" w:firstLineChars="1200"/>
        <w:jc w:val="both"/>
        <w:textAlignment w:val="baseline"/>
        <w:rPr>
          <w:rStyle w:val="10"/>
          <w:rFonts w:ascii="仿宋_GB2312" w:hAnsi="仿宋_GB2312" w:eastAsia="仿宋_GB2312"/>
          <w:b w:val="0"/>
          <w:i w:val="0"/>
          <w:spacing w:val="0"/>
          <w:w w:val="100"/>
          <w:kern w:val="2"/>
          <w:sz w:val="32"/>
          <w:szCs w:val="32"/>
          <w:lang w:val="en-US" w:eastAsia="zh-CN" w:bidi="ar-SA"/>
        </w:rPr>
      </w:pPr>
      <w:r>
        <w:rPr>
          <w:rStyle w:val="10"/>
          <w:rFonts w:ascii="仿宋_GB2312" w:hAnsi="仿宋_GB2312" w:eastAsia="仿宋_GB2312"/>
          <w:b w:val="0"/>
          <w:i w:val="0"/>
          <w:spacing w:val="0"/>
          <w:w w:val="100"/>
          <w:kern w:val="2"/>
          <w:sz w:val="32"/>
          <w:szCs w:val="32"/>
          <w:lang w:val="en-US" w:eastAsia="zh-CN" w:bidi="ar-SA"/>
        </w:rPr>
        <w:t>大同市生态环境局灵丘分局</w:t>
      </w:r>
    </w:p>
    <w:p w14:paraId="4D41F68F">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540" w:lineRule="exact"/>
        <w:ind w:right="0" w:firstLine="4480" w:firstLineChars="1400"/>
        <w:jc w:val="both"/>
        <w:textAlignment w:val="baseline"/>
        <w:rPr>
          <w:rFonts w:hint="eastAsia" w:ascii="仿宋" w:hAnsi="仿宋" w:eastAsia="仿宋" w:cs="仿宋"/>
          <w:color w:val="auto"/>
          <w:spacing w:val="68"/>
          <w:sz w:val="32"/>
          <w:szCs w:val="32"/>
          <w:u w:val="single"/>
          <w:lang w:val="en-US" w:eastAsia="zh-CN"/>
        </w:rPr>
      </w:pPr>
      <w:r>
        <w:rPr>
          <w:rStyle w:val="10"/>
          <w:rFonts w:ascii="仿宋_GB2312" w:hAnsi="仿宋_GB2312" w:eastAsia="仿宋_GB2312"/>
          <w:b w:val="0"/>
          <w:i w:val="0"/>
          <w:spacing w:val="0"/>
          <w:w w:val="100"/>
          <w:kern w:val="2"/>
          <w:sz w:val="32"/>
          <w:szCs w:val="32"/>
          <w:lang w:val="en-US" w:eastAsia="zh-CN" w:bidi="ar-SA"/>
        </w:rPr>
        <w:t>202</w:t>
      </w:r>
      <w:r>
        <w:rPr>
          <w:rStyle w:val="10"/>
          <w:rFonts w:hint="eastAsia" w:ascii="仿宋_GB2312" w:hAnsi="仿宋_GB2312" w:eastAsia="仿宋_GB2312"/>
          <w:b w:val="0"/>
          <w:i w:val="0"/>
          <w:spacing w:val="0"/>
          <w:w w:val="100"/>
          <w:kern w:val="2"/>
          <w:sz w:val="32"/>
          <w:szCs w:val="32"/>
          <w:lang w:val="en-US" w:eastAsia="zh-CN" w:bidi="ar-SA"/>
        </w:rPr>
        <w:t>6</w:t>
      </w:r>
      <w:r>
        <w:rPr>
          <w:rStyle w:val="10"/>
          <w:rFonts w:ascii="仿宋_GB2312" w:hAnsi="仿宋_GB2312" w:eastAsia="仿宋_GB2312"/>
          <w:b w:val="0"/>
          <w:i w:val="0"/>
          <w:spacing w:val="0"/>
          <w:w w:val="100"/>
          <w:kern w:val="2"/>
          <w:sz w:val="32"/>
          <w:szCs w:val="32"/>
          <w:lang w:val="en-US" w:eastAsia="zh-CN" w:bidi="ar-SA"/>
        </w:rPr>
        <w:t>年</w:t>
      </w:r>
      <w:r>
        <w:rPr>
          <w:rStyle w:val="10"/>
          <w:rFonts w:hint="eastAsia" w:ascii="仿宋_GB2312" w:hAnsi="仿宋_GB2312" w:eastAsia="仿宋_GB2312"/>
          <w:b w:val="0"/>
          <w:i w:val="0"/>
          <w:spacing w:val="0"/>
          <w:w w:val="100"/>
          <w:kern w:val="2"/>
          <w:sz w:val="32"/>
          <w:szCs w:val="32"/>
          <w:lang w:val="en-US" w:eastAsia="zh-CN" w:bidi="ar-SA"/>
        </w:rPr>
        <w:t>10</w:t>
      </w:r>
      <w:r>
        <w:rPr>
          <w:rStyle w:val="10"/>
          <w:rFonts w:ascii="仿宋_GB2312" w:hAnsi="仿宋_GB2312" w:eastAsia="仿宋_GB2312"/>
          <w:b w:val="0"/>
          <w:i w:val="0"/>
          <w:spacing w:val="0"/>
          <w:w w:val="100"/>
          <w:kern w:val="2"/>
          <w:sz w:val="32"/>
          <w:szCs w:val="32"/>
          <w:lang w:val="en-US" w:eastAsia="zh-CN" w:bidi="ar-SA"/>
        </w:rPr>
        <w:t>月</w:t>
      </w:r>
      <w:r>
        <w:rPr>
          <w:rStyle w:val="10"/>
          <w:rFonts w:hint="eastAsia" w:ascii="仿宋_GB2312" w:hAnsi="仿宋_GB2312" w:eastAsia="仿宋_GB2312"/>
          <w:b w:val="0"/>
          <w:i w:val="0"/>
          <w:spacing w:val="0"/>
          <w:w w:val="100"/>
          <w:kern w:val="2"/>
          <w:sz w:val="32"/>
          <w:szCs w:val="32"/>
          <w:lang w:val="en-US" w:eastAsia="zh-CN" w:bidi="ar-SA"/>
        </w:rPr>
        <w:t>22</w:t>
      </w:r>
      <w:r>
        <w:rPr>
          <w:rStyle w:val="10"/>
          <w:rFonts w:ascii="仿宋_GB2312" w:hAnsi="仿宋_GB2312" w:eastAsia="仿宋_GB2312"/>
          <w:b w:val="0"/>
          <w:i w:val="0"/>
          <w:spacing w:val="0"/>
          <w:w w:val="100"/>
          <w:kern w:val="2"/>
          <w:sz w:val="32"/>
          <w:szCs w:val="32"/>
          <w:lang w:val="en-US" w:eastAsia="zh-CN" w:bidi="ar-SA"/>
        </w:rPr>
        <w:t>日</w:t>
      </w:r>
    </w:p>
    <w:sectPr>
      <w:pgSz w:w="11906" w:h="16838"/>
      <w:pgMar w:top="1440" w:right="1701" w:bottom="1440" w:left="1701"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lmMjljZTYxNTUzNmM1NDNmMmQ3ZWM5YmI4ODgxMjIifQ=="/>
  </w:docVars>
  <w:rsids>
    <w:rsidRoot w:val="3B9F3D19"/>
    <w:rsid w:val="033C2BF5"/>
    <w:rsid w:val="09D31663"/>
    <w:rsid w:val="0BC63B74"/>
    <w:rsid w:val="0EEC057A"/>
    <w:rsid w:val="0F6A0E1E"/>
    <w:rsid w:val="10892C41"/>
    <w:rsid w:val="12F34CE0"/>
    <w:rsid w:val="13AC7923"/>
    <w:rsid w:val="178A1E07"/>
    <w:rsid w:val="1E8A2A3D"/>
    <w:rsid w:val="1ED24E6B"/>
    <w:rsid w:val="1EDD7021"/>
    <w:rsid w:val="25462E46"/>
    <w:rsid w:val="290F64C9"/>
    <w:rsid w:val="2AB54E7F"/>
    <w:rsid w:val="3B9F3D19"/>
    <w:rsid w:val="3F9B5BB1"/>
    <w:rsid w:val="42074515"/>
    <w:rsid w:val="48D423BE"/>
    <w:rsid w:val="49D10ACC"/>
    <w:rsid w:val="4EC64BEA"/>
    <w:rsid w:val="4EDC69DD"/>
    <w:rsid w:val="4F0C50FB"/>
    <w:rsid w:val="55110DB9"/>
    <w:rsid w:val="5AD216C5"/>
    <w:rsid w:val="61DE04AF"/>
    <w:rsid w:val="64BE25DF"/>
    <w:rsid w:val="689E2EA1"/>
    <w:rsid w:val="6A047FFE"/>
    <w:rsid w:val="70642DEE"/>
    <w:rsid w:val="71D12885"/>
    <w:rsid w:val="75E361C9"/>
    <w:rsid w:val="7B370D47"/>
    <w:rsid w:val="7BCE7C59"/>
    <w:rsid w:val="7F3369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10"/>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autoRedefine/>
    <w:semiHidden/>
    <w:qFormat/>
    <w:uiPriority w:val="0"/>
  </w:style>
  <w:style w:type="table" w:default="1" w:styleId="4">
    <w:name w:val="Normal Table"/>
    <w:autoRedefine/>
    <w:semiHidden/>
    <w:qFormat/>
    <w:uiPriority w:val="0"/>
    <w:tblPr>
      <w:tblCellMar>
        <w:top w:w="0" w:type="dxa"/>
        <w:left w:w="108" w:type="dxa"/>
        <w:bottom w:w="0" w:type="dxa"/>
        <w:right w:w="108" w:type="dxa"/>
      </w:tblCellMar>
    </w:tblPr>
  </w:style>
  <w:style w:type="paragraph" w:styleId="2">
    <w:name w:val="footer"/>
    <w:basedOn w:val="1"/>
    <w:autoRedefine/>
    <w:qFormat/>
    <w:uiPriority w:val="0"/>
    <w:pPr>
      <w:tabs>
        <w:tab w:val="center" w:pos="4153"/>
        <w:tab w:val="right" w:pos="8306"/>
      </w:tabs>
      <w:snapToGrid w:val="0"/>
      <w:jc w:val="left"/>
    </w:pPr>
    <w:rPr>
      <w:sz w:val="18"/>
    </w:rPr>
  </w:style>
  <w:style w:type="paragraph" w:styleId="3">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 w:type="character" w:styleId="6">
    <w:name w:val="page number"/>
    <w:basedOn w:val="5"/>
    <w:autoRedefine/>
    <w:qFormat/>
    <w:uiPriority w:val="0"/>
  </w:style>
  <w:style w:type="paragraph" w:customStyle="1" w:styleId="7">
    <w:name w:val="正文 New New New"/>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8">
    <w:name w:val="Default"/>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9">
    <w:name w:val="正文 New New"/>
    <w:autoRedefine/>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10">
    <w:name w:val="NormalCharacter"/>
    <w:link w:val="1"/>
    <w:autoRedefine/>
    <w:qFormat/>
    <w:uiPriority w:val="0"/>
    <w:rPr>
      <w:rFonts w:asciiTheme="minorHAnsi" w:hAnsiTheme="minorHAnsi" w:eastAsiaTheme="minorEastAsia" w:cstheme="minorBidi"/>
      <w:kern w:val="2"/>
      <w:sz w:val="21"/>
      <w:szCs w:val="24"/>
      <w:lang w:val="en-US" w:eastAsia="zh-CN" w:bidi="ar-SA"/>
    </w:rPr>
  </w:style>
  <w:style w:type="paragraph" w:customStyle="1" w:styleId="11">
    <w:name w:val="UserStyle_7"/>
    <w:autoRedefine/>
    <w:qFormat/>
    <w:uiPriority w:val="0"/>
    <w:pPr>
      <w:jc w:val="both"/>
      <w:textAlignment w:val="baseline"/>
    </w:pPr>
    <w:rPr>
      <w:rFonts w:ascii="Times New Roman" w:hAnsi="Times New Roman" w:eastAsia="宋体" w:cs="Times New Roman"/>
      <w:kern w:val="2"/>
      <w:sz w:val="21"/>
      <w:lang w:val="en-US" w:eastAsia="zh-CN" w:bidi="ar-SA"/>
    </w:rPr>
  </w:style>
  <w:style w:type="paragraph" w:customStyle="1" w:styleId="12">
    <w:name w:val="UserStyle_20"/>
    <w:autoRedefine/>
    <w:qFormat/>
    <w:uiPriority w:val="0"/>
    <w:pPr>
      <w:textAlignment w:val="baseline"/>
    </w:pPr>
    <w:rPr>
      <w:rFonts w:ascii="宋体" w:hAnsi="Calibri" w:eastAsia="宋体" w:cs="Times New Roman"/>
      <w:color w:val="000000"/>
      <w:sz w:val="24"/>
      <w:szCs w:val="24"/>
      <w:lang w:val="en-US" w:eastAsia="zh-CN" w:bidi="ar-SA"/>
    </w:rPr>
  </w:style>
  <w:style w:type="paragraph" w:customStyle="1" w:styleId="13">
    <w:name w:val="UserStyle_17"/>
    <w:autoRedefine/>
    <w:qFormat/>
    <w:uiPriority w:val="0"/>
    <w:pPr>
      <w:jc w:val="both"/>
      <w:textAlignment w:val="baseline"/>
    </w:pPr>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1534</Words>
  <Characters>1674</Characters>
  <Lines>0</Lines>
  <Paragraphs>0</Paragraphs>
  <TotalTime>0</TotalTime>
  <ScaleCrop>false</ScaleCrop>
  <LinksUpToDate>false</LinksUpToDate>
  <CharactersWithSpaces>1676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2020-05-25T09:58:00Z</dcterms:created>
  <dc:creator>丽纱</dc:creator>
  <cp:lastModifiedBy>丽纱</cp:lastModifiedBy>
  <dcterms:modified xsi:type="dcterms:W3CDTF">2026-10-22T02:41:51Z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37A6BBA76E41482195666D465E33CC4F</vt:lpwstr>
  </property>
  <property fmtid="{D5CDD505-2E9C-101B-9397-08002B2CF9AE}" pid="4" name="KSOTemplateDocerSaveRecord">
    <vt:lpwstr>eyJoZGlkIjoiZDlmMjljZTYxNTUzNmM1NDNmMmQ3ZWM5YmI4ODgxMjIiLCJ1c2VySWQiOiIzNTkwNDA3MTgifQ==</vt:lpwstr>
  </property>
</Properties>
</file>