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AB9013">
      <w:pPr>
        <w:widowControl/>
        <w:wordWrap w:val="0"/>
        <w:spacing w:line="500" w:lineRule="exact"/>
        <w:jc w:val="center"/>
        <w:rPr>
          <w:rFonts w:hint="eastAsia" w:ascii="方正小标宋简体" w:hAnsi="微软雅黑" w:eastAsia="方正小标宋简体" w:cs="宋体"/>
          <w:color w:val="000000" w:themeColor="text1"/>
          <w:kern w:val="0"/>
          <w:sz w:val="36"/>
          <w:szCs w:val="36"/>
          <w:lang w:eastAsia="zh-CN"/>
          <w14:textFill>
            <w14:solidFill>
              <w14:schemeClr w14:val="tx1"/>
            </w14:solidFill>
          </w14:textFill>
        </w:rPr>
      </w:pPr>
      <w:r>
        <w:rPr>
          <w:rFonts w:hint="eastAsia" w:ascii="方正小标宋简体" w:hAnsi="微软雅黑" w:eastAsia="方正小标宋简体" w:cs="宋体"/>
          <w:color w:val="000000" w:themeColor="text1"/>
          <w:kern w:val="0"/>
          <w:sz w:val="36"/>
          <w:szCs w:val="36"/>
          <w:lang w:eastAsia="zh-CN"/>
          <w14:textFill>
            <w14:solidFill>
              <w14:schemeClr w14:val="tx1"/>
            </w14:solidFill>
          </w14:textFill>
        </w:rPr>
        <w:t>大同市生态环境局新荣分局</w:t>
      </w:r>
    </w:p>
    <w:p w14:paraId="0F733211">
      <w:pPr>
        <w:jc w:val="center"/>
        <w:rPr>
          <w:rFonts w:hint="eastAsia" w:ascii="方正小标宋简体" w:hAnsi="微软雅黑" w:eastAsia="方正小标宋简体" w:cs="宋体"/>
          <w:color w:val="000000" w:themeColor="text1"/>
          <w:kern w:val="0"/>
          <w:sz w:val="36"/>
          <w:szCs w:val="36"/>
          <w14:textFill>
            <w14:solidFill>
              <w14:schemeClr w14:val="tx1"/>
            </w14:solidFill>
          </w14:textFill>
        </w:rPr>
      </w:pPr>
      <w:r>
        <w:rPr>
          <w:rFonts w:ascii="方正小标宋简体" w:hAnsi="微软雅黑" w:eastAsia="方正小标宋简体" w:cs="宋体"/>
          <w:color w:val="000000" w:themeColor="text1"/>
          <w:kern w:val="0"/>
          <w:sz w:val="36"/>
          <w:szCs w:val="36"/>
          <w14:textFill>
            <w14:solidFill>
              <w14:schemeClr w14:val="tx1"/>
            </w14:solidFill>
          </w14:textFill>
        </w:rPr>
        <w:t>关于</w:t>
      </w:r>
      <w:r>
        <w:rPr>
          <w:rFonts w:hint="default" w:ascii="方正小标宋简体" w:hAnsi="微软雅黑" w:eastAsia="方正小标宋简体" w:cs="宋体"/>
          <w:color w:val="000000" w:themeColor="text1"/>
          <w:kern w:val="0"/>
          <w:sz w:val="36"/>
          <w:szCs w:val="36"/>
          <w14:textFill>
            <w14:solidFill>
              <w14:schemeClr w14:val="tx1"/>
            </w14:solidFill>
          </w14:textFill>
        </w:rPr>
        <w:t>活性炭深加工项目</w:t>
      </w:r>
      <w:r>
        <w:rPr>
          <w:rFonts w:ascii="方正小标宋简体" w:hAnsi="微软雅黑" w:eastAsia="方正小标宋简体" w:cs="宋体"/>
          <w:color w:val="000000" w:themeColor="text1"/>
          <w:kern w:val="0"/>
          <w:sz w:val="36"/>
          <w:szCs w:val="36"/>
          <w14:textFill>
            <w14:solidFill>
              <w14:schemeClr w14:val="tx1"/>
            </w14:solidFill>
          </w14:textFill>
        </w:rPr>
        <w:t>环境影响评价文件拟进行审查公示</w:t>
      </w:r>
    </w:p>
    <w:p w14:paraId="2B361550">
      <w:pPr>
        <w:widowControl/>
        <w:spacing w:line="640" w:lineRule="exact"/>
        <w:ind w:firstLine="640" w:firstLineChars="200"/>
        <w:jc w:val="left"/>
        <w:rPr>
          <w:rFonts w:hint="eastAsia" w:ascii="仿宋_GB2312" w:hAnsi="微软雅黑" w:eastAsia="仿宋_GB2312" w:cs="宋体"/>
          <w:color w:val="000000" w:themeColor="text1"/>
          <w:kern w:val="0"/>
          <w:sz w:val="32"/>
          <w:szCs w:val="32"/>
          <w14:textFill>
            <w14:solidFill>
              <w14:schemeClr w14:val="tx1"/>
            </w14:solidFill>
          </w14:textFill>
        </w:rPr>
      </w:pPr>
    </w:p>
    <w:p w14:paraId="170ED897">
      <w:pPr>
        <w:widowControl/>
        <w:spacing w:line="640" w:lineRule="exact"/>
        <w:ind w:firstLine="640" w:firstLineChars="200"/>
        <w:jc w:val="left"/>
        <w:rPr>
          <w:rFonts w:ascii="仿宋_GB2312" w:hAnsi="微软雅黑" w:eastAsia="仿宋_GB2312" w:cs="宋体"/>
          <w:color w:val="000000" w:themeColor="text1"/>
          <w:kern w:val="0"/>
          <w:sz w:val="32"/>
          <w:szCs w:val="32"/>
          <w14:textFill>
            <w14:solidFill>
              <w14:schemeClr w14:val="tx1"/>
            </w14:solidFill>
          </w14:textFill>
        </w:rPr>
      </w:pPr>
      <w:r>
        <w:rPr>
          <w:rFonts w:ascii="仿宋_GB2312" w:hAnsi="微软雅黑" w:eastAsia="仿宋_GB2312" w:cs="宋体"/>
          <w:color w:val="000000" w:themeColor="text1"/>
          <w:kern w:val="0"/>
          <w:sz w:val="32"/>
          <w:szCs w:val="32"/>
          <w14:textFill>
            <w14:solidFill>
              <w14:schemeClr w14:val="tx1"/>
            </w14:solidFill>
          </w14:textFill>
        </w:rPr>
        <w:t>根据建设项目环境影响评价审批程序的有关规定，我</w:t>
      </w:r>
      <w:r>
        <w:rPr>
          <w:rFonts w:hint="eastAsia" w:ascii="仿宋_GB2312" w:hAnsi="微软雅黑" w:eastAsia="仿宋_GB2312" w:cs="宋体"/>
          <w:color w:val="000000" w:themeColor="text1"/>
          <w:kern w:val="0"/>
          <w:sz w:val="32"/>
          <w:szCs w:val="32"/>
          <w:lang w:eastAsia="zh-CN"/>
          <w14:textFill>
            <w14:solidFill>
              <w14:schemeClr w14:val="tx1"/>
            </w14:solidFill>
          </w14:textFill>
        </w:rPr>
        <w:t>分</w:t>
      </w:r>
      <w:r>
        <w:rPr>
          <w:rFonts w:hint="eastAsia" w:ascii="仿宋_GB2312" w:hAnsi="微软雅黑" w:eastAsia="仿宋_GB2312" w:cs="宋体"/>
          <w:color w:val="000000" w:themeColor="text1"/>
          <w:kern w:val="0"/>
          <w:sz w:val="32"/>
          <w:szCs w:val="32"/>
          <w14:textFill>
            <w14:solidFill>
              <w14:schemeClr w14:val="tx1"/>
            </w14:solidFill>
          </w14:textFill>
        </w:rPr>
        <w:t>局</w:t>
      </w:r>
      <w:r>
        <w:rPr>
          <w:rFonts w:ascii="仿宋_GB2312" w:hAnsi="微软雅黑" w:eastAsia="仿宋_GB2312" w:cs="宋体"/>
          <w:color w:val="000000" w:themeColor="text1"/>
          <w:kern w:val="0"/>
          <w:sz w:val="32"/>
          <w:szCs w:val="32"/>
          <w14:textFill>
            <w14:solidFill>
              <w14:schemeClr w14:val="tx1"/>
            </w14:solidFill>
          </w14:textFill>
        </w:rPr>
        <w:t>拟对</w:t>
      </w:r>
      <w:r>
        <w:rPr>
          <w:rFonts w:hint="default" w:ascii="仿宋_GB2312" w:hAnsi="微软雅黑" w:eastAsia="仿宋_GB2312" w:cs="宋体"/>
          <w:color w:val="000000" w:themeColor="text1"/>
          <w:kern w:val="0"/>
          <w:sz w:val="32"/>
          <w:szCs w:val="32"/>
          <w14:textFill>
            <w14:solidFill>
              <w14:schemeClr w14:val="tx1"/>
            </w14:solidFill>
          </w14:textFill>
        </w:rPr>
        <w:t>活性炭深加工项目</w:t>
      </w:r>
      <w:r>
        <w:rPr>
          <w:rFonts w:ascii="仿宋_GB2312" w:hAnsi="微软雅黑" w:eastAsia="仿宋_GB2312" w:cs="宋体"/>
          <w:color w:val="000000" w:themeColor="text1"/>
          <w:kern w:val="0"/>
          <w:sz w:val="32"/>
          <w:szCs w:val="32"/>
          <w14:textFill>
            <w14:solidFill>
              <w14:schemeClr w14:val="tx1"/>
            </w14:solidFill>
          </w14:textFill>
        </w:rPr>
        <w:t>环境影响评价文件进行审查。现将拟审查的环境影响评价文件基本情况予以公示，公示期为20</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26</w:t>
      </w:r>
      <w:r>
        <w:rPr>
          <w:rFonts w:ascii="仿宋_GB2312" w:hAnsi="微软雅黑" w:eastAsia="仿宋_GB2312" w:cs="宋体"/>
          <w:color w:val="000000" w:themeColor="text1"/>
          <w:kern w:val="0"/>
          <w:sz w:val="32"/>
          <w:szCs w:val="32"/>
          <w14:textFill>
            <w14:solidFill>
              <w14:schemeClr w14:val="tx1"/>
            </w14:solidFill>
          </w14:textFill>
        </w:rPr>
        <w:t>年</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9</w:t>
      </w:r>
      <w:r>
        <w:rPr>
          <w:rFonts w:ascii="仿宋_GB2312" w:hAnsi="微软雅黑" w:eastAsia="仿宋_GB2312" w:cs="宋体"/>
          <w:color w:val="000000" w:themeColor="text1"/>
          <w:kern w:val="0"/>
          <w:sz w:val="32"/>
          <w:szCs w:val="32"/>
          <w14:textFill>
            <w14:solidFill>
              <w14:schemeClr w14:val="tx1"/>
            </w14:solidFill>
          </w14:textFill>
        </w:rPr>
        <w:t>月</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8</w:t>
      </w:r>
      <w:r>
        <w:rPr>
          <w:rFonts w:ascii="仿宋_GB2312" w:hAnsi="微软雅黑" w:eastAsia="仿宋_GB2312" w:cs="宋体"/>
          <w:color w:val="000000" w:themeColor="text1"/>
          <w:kern w:val="0"/>
          <w:sz w:val="32"/>
          <w:szCs w:val="32"/>
          <w14:textFill>
            <w14:solidFill>
              <w14:schemeClr w14:val="tx1"/>
            </w14:solidFill>
          </w14:textFill>
        </w:rPr>
        <w:t>日－20</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26</w:t>
      </w:r>
      <w:r>
        <w:rPr>
          <w:rFonts w:ascii="仿宋_GB2312" w:hAnsi="微软雅黑" w:eastAsia="仿宋_GB2312" w:cs="宋体"/>
          <w:color w:val="000000" w:themeColor="text1"/>
          <w:kern w:val="0"/>
          <w:sz w:val="32"/>
          <w:szCs w:val="32"/>
          <w14:textFill>
            <w14:solidFill>
              <w14:schemeClr w14:val="tx1"/>
            </w14:solidFill>
          </w14:textFill>
        </w:rPr>
        <w:t>年</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9</w:t>
      </w:r>
      <w:r>
        <w:rPr>
          <w:rFonts w:ascii="仿宋_GB2312" w:hAnsi="微软雅黑" w:eastAsia="仿宋_GB2312" w:cs="宋体"/>
          <w:color w:val="000000" w:themeColor="text1"/>
          <w:kern w:val="0"/>
          <w:sz w:val="32"/>
          <w:szCs w:val="32"/>
          <w14:textFill>
            <w14:solidFill>
              <w14:schemeClr w14:val="tx1"/>
            </w14:solidFill>
          </w14:textFill>
        </w:rPr>
        <w:t>月</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10</w:t>
      </w:r>
      <w:r>
        <w:rPr>
          <w:rFonts w:ascii="仿宋_GB2312" w:hAnsi="微软雅黑" w:eastAsia="仿宋_GB2312" w:cs="宋体"/>
          <w:color w:val="000000" w:themeColor="text1"/>
          <w:kern w:val="0"/>
          <w:sz w:val="32"/>
          <w:szCs w:val="32"/>
          <w14:textFill>
            <w14:solidFill>
              <w14:schemeClr w14:val="tx1"/>
            </w14:solidFill>
          </w14:textFill>
        </w:rPr>
        <w:t>日（</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3个工作</w:t>
      </w:r>
      <w:r>
        <w:rPr>
          <w:rFonts w:ascii="仿宋_GB2312" w:hAnsi="微软雅黑" w:eastAsia="仿宋_GB2312" w:cs="宋体"/>
          <w:color w:val="000000" w:themeColor="text1"/>
          <w:kern w:val="0"/>
          <w:sz w:val="32"/>
          <w:szCs w:val="32"/>
          <w14:textFill>
            <w14:solidFill>
              <w14:schemeClr w14:val="tx1"/>
            </w14:solidFill>
          </w14:textFill>
        </w:rPr>
        <w:t>日）。</w:t>
      </w:r>
    </w:p>
    <w:p w14:paraId="36A02047">
      <w:pPr>
        <w:widowControl/>
        <w:spacing w:line="640" w:lineRule="exact"/>
        <w:ind w:firstLine="640" w:firstLineChars="200"/>
        <w:jc w:val="left"/>
        <w:rPr>
          <w:rFonts w:ascii="仿宋_GB2312" w:hAnsi="微软雅黑" w:eastAsia="仿宋_GB2312" w:cs="宋体"/>
          <w:color w:val="000000" w:themeColor="text1"/>
          <w:kern w:val="0"/>
          <w:sz w:val="32"/>
          <w:szCs w:val="32"/>
          <w14:textFill>
            <w14:solidFill>
              <w14:schemeClr w14:val="tx1"/>
            </w14:solidFill>
          </w14:textFill>
        </w:rPr>
      </w:pPr>
      <w:r>
        <w:rPr>
          <w:rFonts w:ascii="仿宋_GB2312" w:hAnsi="微软雅黑" w:eastAsia="仿宋_GB2312" w:cs="宋体"/>
          <w:color w:val="000000" w:themeColor="text1"/>
          <w:kern w:val="0"/>
          <w:sz w:val="32"/>
          <w:szCs w:val="32"/>
          <w14:textFill>
            <w14:solidFill>
              <w14:schemeClr w14:val="tx1"/>
            </w14:solidFill>
          </w14:textFill>
        </w:rPr>
        <w:t>听证权利告知：依据《中华人民共和国行政许可法》，</w:t>
      </w:r>
      <w:r>
        <w:rPr>
          <w:rFonts w:hint="eastAsia" w:ascii="仿宋_GB2312" w:hAnsi="微软雅黑" w:eastAsia="仿宋_GB2312" w:cs="宋体"/>
          <w:color w:val="000000" w:themeColor="text1"/>
          <w:kern w:val="0"/>
          <w:sz w:val="32"/>
          <w:szCs w:val="32"/>
          <w14:textFill>
            <w14:solidFill>
              <w14:schemeClr w14:val="tx1"/>
            </w14:solidFill>
          </w14:textFill>
        </w:rPr>
        <w:t>该项目申请人、利害关系人可提出听证申请。</w:t>
      </w:r>
    </w:p>
    <w:p w14:paraId="54380404">
      <w:pPr>
        <w:widowControl/>
        <w:spacing w:line="640" w:lineRule="exact"/>
        <w:jc w:val="left"/>
        <w:rPr>
          <w:rFonts w:hint="default" w:ascii="仿宋_GB2312" w:hAnsi="微软雅黑" w:eastAsia="仿宋_GB2312" w:cs="宋体"/>
          <w:color w:val="000000" w:themeColor="text1"/>
          <w:kern w:val="0"/>
          <w:sz w:val="32"/>
          <w:szCs w:val="32"/>
          <w:lang w:val="en-US" w:eastAsia="zh-CN"/>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联系电话：</w:t>
      </w:r>
      <w:r>
        <w:rPr>
          <w:rFonts w:ascii="仿宋_GB2312" w:hAnsi="微软雅黑" w:eastAsia="仿宋_GB2312" w:cs="宋体"/>
          <w:color w:val="000000" w:themeColor="text1"/>
          <w:kern w:val="0"/>
          <w:sz w:val="32"/>
          <w:szCs w:val="32"/>
          <w14:textFill>
            <w14:solidFill>
              <w14:schemeClr w14:val="tx1"/>
            </w14:solidFill>
          </w14:textFill>
        </w:rPr>
        <w:t>0352-307</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0277</w:t>
      </w:r>
      <w:r>
        <w:rPr>
          <w:rFonts w:ascii="仿宋_GB2312" w:hAnsi="微软雅黑" w:eastAsia="仿宋_GB2312" w:cs="宋体"/>
          <w:color w:val="000000" w:themeColor="text1"/>
          <w:kern w:val="0"/>
          <w:sz w:val="32"/>
          <w:szCs w:val="32"/>
          <w14:textFill>
            <w14:solidFill>
              <w14:schemeClr w14:val="tx1"/>
            </w14:solidFill>
          </w14:textFill>
        </w:rPr>
        <w:t xml:space="preserve">    </w:t>
      </w:r>
      <w:r>
        <w:rPr>
          <w:rFonts w:hint="eastAsia" w:ascii="仿宋_GB2312" w:hAnsi="微软雅黑" w:eastAsia="仿宋_GB2312" w:cs="宋体"/>
          <w:color w:val="000000" w:themeColor="text1"/>
          <w:kern w:val="0"/>
          <w:sz w:val="32"/>
          <w:szCs w:val="32"/>
          <w14:textFill>
            <w14:solidFill>
              <w14:schemeClr w14:val="tx1"/>
            </w14:solidFill>
          </w14:textFill>
        </w:rPr>
        <w:t>传</w:t>
      </w:r>
      <w:r>
        <w:rPr>
          <w:rFonts w:ascii="仿宋_GB2312" w:hAnsi="微软雅黑" w:eastAsia="仿宋_GB2312" w:cs="宋体"/>
          <w:color w:val="000000" w:themeColor="text1"/>
          <w:kern w:val="0"/>
          <w:sz w:val="32"/>
          <w:szCs w:val="32"/>
          <w14:textFill>
            <w14:solidFill>
              <w14:schemeClr w14:val="tx1"/>
            </w14:solidFill>
          </w14:textFill>
        </w:rPr>
        <w:t xml:space="preserve">    </w:t>
      </w:r>
      <w:r>
        <w:rPr>
          <w:rFonts w:hint="eastAsia" w:ascii="仿宋_GB2312" w:hAnsi="微软雅黑" w:eastAsia="仿宋_GB2312" w:cs="宋体"/>
          <w:color w:val="000000" w:themeColor="text1"/>
          <w:kern w:val="0"/>
          <w:sz w:val="32"/>
          <w:szCs w:val="32"/>
          <w14:textFill>
            <w14:solidFill>
              <w14:schemeClr w14:val="tx1"/>
            </w14:solidFill>
          </w14:textFill>
        </w:rPr>
        <w:t>真：</w:t>
      </w:r>
      <w:r>
        <w:rPr>
          <w:rFonts w:ascii="仿宋_GB2312" w:hAnsi="微软雅黑" w:eastAsia="仿宋_GB2312" w:cs="宋体"/>
          <w:color w:val="000000" w:themeColor="text1"/>
          <w:kern w:val="0"/>
          <w:sz w:val="32"/>
          <w:szCs w:val="32"/>
          <w14:textFill>
            <w14:solidFill>
              <w14:schemeClr w14:val="tx1"/>
            </w14:solidFill>
          </w14:textFill>
        </w:rPr>
        <w:t>0352-307</w:t>
      </w:r>
      <w:r>
        <w:rPr>
          <w:rFonts w:hint="eastAsia" w:ascii="仿宋_GB2312" w:hAnsi="微软雅黑" w:eastAsia="仿宋_GB2312" w:cs="宋体"/>
          <w:color w:val="000000" w:themeColor="text1"/>
          <w:kern w:val="0"/>
          <w:sz w:val="32"/>
          <w:szCs w:val="32"/>
          <w:lang w:val="en-US" w:eastAsia="zh-CN"/>
          <w14:textFill>
            <w14:solidFill>
              <w14:schemeClr w14:val="tx1"/>
            </w14:solidFill>
          </w14:textFill>
        </w:rPr>
        <w:t>0277</w:t>
      </w:r>
      <w:bookmarkStart w:id="0" w:name="_GoBack"/>
      <w:bookmarkEnd w:id="0"/>
    </w:p>
    <w:p w14:paraId="33FA668F">
      <w:pPr>
        <w:widowControl/>
        <w:spacing w:line="640" w:lineRule="exact"/>
        <w:jc w:val="left"/>
        <w:rPr>
          <w:rFonts w:hint="eastAsia" w:ascii="仿宋_GB2312" w:hAnsi="微软雅黑" w:eastAsia="仿宋_GB2312" w:cs="宋体"/>
          <w:color w:val="000000" w:themeColor="text1"/>
          <w:kern w:val="0"/>
          <w:sz w:val="32"/>
          <w:szCs w:val="32"/>
          <w14:textFill>
            <w14:solidFill>
              <w14:schemeClr w14:val="tx1"/>
            </w14:solidFill>
          </w14:textFill>
        </w:rPr>
      </w:pPr>
      <w:r>
        <w:rPr>
          <w:rFonts w:hint="eastAsia" w:ascii="仿宋_GB2312" w:hAnsi="微软雅黑" w:eastAsia="仿宋_GB2312" w:cs="宋体"/>
          <w:color w:val="000000" w:themeColor="text1"/>
          <w:kern w:val="0"/>
          <w:sz w:val="32"/>
          <w:szCs w:val="32"/>
          <w14:textFill>
            <w14:solidFill>
              <w14:schemeClr w14:val="tx1"/>
            </w14:solidFill>
          </w14:textFill>
        </w:rPr>
        <w:t>邮</w:t>
      </w:r>
      <w:r>
        <w:rPr>
          <w:rFonts w:ascii="仿宋_GB2312" w:hAnsi="微软雅黑" w:eastAsia="仿宋_GB2312" w:cs="宋体"/>
          <w:color w:val="000000" w:themeColor="text1"/>
          <w:kern w:val="0"/>
          <w:sz w:val="32"/>
          <w:szCs w:val="32"/>
          <w14:textFill>
            <w14:solidFill>
              <w14:schemeClr w14:val="tx1"/>
            </w14:solidFill>
          </w14:textFill>
        </w:rPr>
        <w:t xml:space="preserve">    </w:t>
      </w:r>
      <w:r>
        <w:rPr>
          <w:rFonts w:hint="eastAsia" w:ascii="仿宋_GB2312" w:hAnsi="微软雅黑" w:eastAsia="仿宋_GB2312" w:cs="宋体"/>
          <w:color w:val="000000" w:themeColor="text1"/>
          <w:kern w:val="0"/>
          <w:sz w:val="32"/>
          <w:szCs w:val="32"/>
          <w14:textFill>
            <w14:solidFill>
              <w14:schemeClr w14:val="tx1"/>
            </w14:solidFill>
          </w14:textFill>
        </w:rPr>
        <w:t>编：</w:t>
      </w:r>
      <w:r>
        <w:rPr>
          <w:rFonts w:ascii="仿宋_GB2312" w:hAnsi="微软雅黑" w:eastAsia="仿宋_GB2312" w:cs="宋体"/>
          <w:color w:val="000000" w:themeColor="text1"/>
          <w:kern w:val="0"/>
          <w:sz w:val="32"/>
          <w:szCs w:val="32"/>
          <w14:textFill>
            <w14:solidFill>
              <w14:schemeClr w14:val="tx1"/>
            </w14:solidFill>
          </w14:textFill>
        </w:rPr>
        <w:t xml:space="preserve">037002           </w:t>
      </w:r>
      <w:r>
        <w:rPr>
          <w:rFonts w:hint="eastAsia" w:ascii="仿宋_GB2312" w:hAnsi="微软雅黑" w:eastAsia="仿宋_GB2312" w:cs="宋体"/>
          <w:color w:val="000000" w:themeColor="text1"/>
          <w:kern w:val="0"/>
          <w:sz w:val="32"/>
          <w:szCs w:val="32"/>
          <w14:textFill>
            <w14:solidFill>
              <w14:schemeClr w14:val="tx1"/>
            </w14:solidFill>
          </w14:textFill>
        </w:rPr>
        <w:t>通讯地址：大同市新荣区</w:t>
      </w:r>
      <w:r>
        <w:rPr>
          <w:rFonts w:hint="eastAsia" w:ascii="仿宋_GB2312" w:hAnsi="微软雅黑" w:eastAsia="仿宋_GB2312" w:cs="宋体"/>
          <w:color w:val="000000" w:themeColor="text1"/>
          <w:kern w:val="0"/>
          <w:sz w:val="32"/>
          <w:szCs w:val="32"/>
          <w:lang w:eastAsia="zh-CN"/>
          <w14:textFill>
            <w14:solidFill>
              <w14:schemeClr w14:val="tx1"/>
            </w14:solidFill>
          </w14:textFill>
        </w:rPr>
        <w:t>府西</w:t>
      </w:r>
      <w:r>
        <w:rPr>
          <w:rFonts w:hint="eastAsia" w:ascii="仿宋_GB2312" w:hAnsi="微软雅黑" w:eastAsia="仿宋_GB2312" w:cs="宋体"/>
          <w:color w:val="000000" w:themeColor="text1"/>
          <w:kern w:val="0"/>
          <w:sz w:val="32"/>
          <w:szCs w:val="32"/>
          <w14:textFill>
            <w14:solidFill>
              <w14:schemeClr w14:val="tx1"/>
            </w14:solidFill>
          </w14:textFill>
        </w:rPr>
        <w:t>街</w:t>
      </w:r>
    </w:p>
    <w:p w14:paraId="2DCB29F7">
      <w:pPr>
        <w:pStyle w:val="3"/>
        <w:rPr>
          <w:rFonts w:hint="eastAsia" w:ascii="仿宋_GB2312" w:hAnsi="微软雅黑" w:eastAsia="仿宋_GB2312" w:cs="宋体"/>
          <w:color w:val="000000" w:themeColor="text1"/>
          <w:kern w:val="0"/>
          <w:sz w:val="32"/>
          <w:szCs w:val="32"/>
          <w14:textFill>
            <w14:solidFill>
              <w14:schemeClr w14:val="tx1"/>
            </w14:solidFill>
          </w14:textFill>
        </w:rPr>
      </w:pPr>
    </w:p>
    <w:p w14:paraId="18FCE6B7">
      <w:pPr>
        <w:rPr>
          <w:rFonts w:hint="eastAsia" w:ascii="仿宋_GB2312" w:hAnsi="微软雅黑" w:eastAsia="仿宋_GB2312" w:cs="宋体"/>
          <w:color w:val="000000" w:themeColor="text1"/>
          <w:kern w:val="0"/>
          <w:sz w:val="32"/>
          <w:szCs w:val="32"/>
          <w14:textFill>
            <w14:solidFill>
              <w14:schemeClr w14:val="tx1"/>
            </w14:solidFill>
          </w14:textFill>
        </w:rPr>
      </w:pPr>
    </w:p>
    <w:p w14:paraId="0ECA35C6">
      <w:pPr>
        <w:pStyle w:val="3"/>
        <w:rPr>
          <w:rFonts w:hint="eastAsia" w:ascii="仿宋_GB2312" w:hAnsi="微软雅黑" w:eastAsia="仿宋_GB2312" w:cs="宋体"/>
          <w:color w:val="000000" w:themeColor="text1"/>
          <w:kern w:val="0"/>
          <w:sz w:val="32"/>
          <w:szCs w:val="32"/>
          <w14:textFill>
            <w14:solidFill>
              <w14:schemeClr w14:val="tx1"/>
            </w14:solidFill>
          </w14:textFill>
        </w:rPr>
      </w:pPr>
    </w:p>
    <w:p w14:paraId="18F2A6E2">
      <w:pPr>
        <w:rPr>
          <w:rFonts w:hint="eastAsia" w:ascii="仿宋_GB2312" w:hAnsi="微软雅黑" w:eastAsia="仿宋_GB2312" w:cs="宋体"/>
          <w:color w:val="000000" w:themeColor="text1"/>
          <w:kern w:val="0"/>
          <w:sz w:val="32"/>
          <w:szCs w:val="32"/>
          <w14:textFill>
            <w14:solidFill>
              <w14:schemeClr w14:val="tx1"/>
            </w14:solidFill>
          </w14:textFill>
        </w:rPr>
      </w:pPr>
    </w:p>
    <w:p w14:paraId="088410D1">
      <w:pPr>
        <w:pStyle w:val="3"/>
        <w:rPr>
          <w:rFonts w:hint="eastAsia"/>
        </w:rPr>
      </w:pPr>
    </w:p>
    <w:tbl>
      <w:tblPr>
        <w:tblStyle w:val="25"/>
        <w:tblW w:w="153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
        <w:gridCol w:w="873"/>
        <w:gridCol w:w="1009"/>
        <w:gridCol w:w="1091"/>
        <w:gridCol w:w="1432"/>
        <w:gridCol w:w="3304"/>
        <w:gridCol w:w="7156"/>
      </w:tblGrid>
      <w:tr w14:paraId="2E2AC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 w:type="dxa"/>
            <w:vAlign w:val="center"/>
          </w:tcPr>
          <w:p w14:paraId="1A6DDA80">
            <w:pPr>
              <w:widowControl/>
              <w:spacing w:line="300" w:lineRule="atLeast"/>
              <w:jc w:val="center"/>
              <w:rPr>
                <w:rFonts w:hint="eastAsia" w:asciiTheme="minorEastAsia" w:hAnsiTheme="minorEastAsia" w:eastAsiaTheme="minorEastAsia" w:cstheme="minorEastAsia"/>
                <w:color w:val="000000" w:themeColor="text1"/>
                <w:kern w:val="0"/>
                <w:sz w:val="21"/>
                <w:szCs w:val="21"/>
                <w:vertAlign w:val="baseli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t>序号</w:t>
            </w:r>
          </w:p>
        </w:tc>
        <w:tc>
          <w:tcPr>
            <w:tcW w:w="873" w:type="dxa"/>
            <w:vAlign w:val="center"/>
          </w:tcPr>
          <w:p w14:paraId="371BE3F7">
            <w:pPr>
              <w:widowControl/>
              <w:spacing w:line="300" w:lineRule="atLeast"/>
              <w:jc w:val="center"/>
              <w:rPr>
                <w:rFonts w:hint="eastAsia" w:asciiTheme="minorEastAsia" w:hAnsiTheme="minorEastAsia" w:eastAsiaTheme="minorEastAsia" w:cstheme="minorEastAsia"/>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t>项目</w:t>
            </w:r>
          </w:p>
          <w:p w14:paraId="0AEDEF90">
            <w:pPr>
              <w:widowControl/>
              <w:spacing w:line="300" w:lineRule="atLeast"/>
              <w:jc w:val="center"/>
              <w:rPr>
                <w:rFonts w:hint="eastAsia" w:asciiTheme="minorEastAsia" w:hAnsiTheme="minorEastAsia" w:eastAsiaTheme="minorEastAsia" w:cstheme="minorEastAsia"/>
                <w:color w:val="000000" w:themeColor="text1"/>
                <w:kern w:val="0"/>
                <w:sz w:val="21"/>
                <w:szCs w:val="21"/>
                <w:vertAlign w:val="baseli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t>名称</w:t>
            </w:r>
          </w:p>
        </w:tc>
        <w:tc>
          <w:tcPr>
            <w:tcW w:w="1009" w:type="dxa"/>
            <w:vAlign w:val="center"/>
          </w:tcPr>
          <w:p w14:paraId="0838E327">
            <w:pPr>
              <w:widowControl/>
              <w:spacing w:line="300" w:lineRule="atLeast"/>
              <w:jc w:val="center"/>
              <w:rPr>
                <w:rFonts w:hint="eastAsia" w:asciiTheme="minorEastAsia" w:hAnsiTheme="minorEastAsia" w:eastAsiaTheme="minorEastAsia" w:cstheme="minorEastAsia"/>
                <w:color w:val="000000" w:themeColor="text1"/>
                <w:kern w:val="0"/>
                <w:sz w:val="21"/>
                <w:szCs w:val="21"/>
                <w:vertAlign w:val="baseli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t>建设地点</w:t>
            </w:r>
          </w:p>
        </w:tc>
        <w:tc>
          <w:tcPr>
            <w:tcW w:w="1091" w:type="dxa"/>
            <w:vAlign w:val="center"/>
          </w:tcPr>
          <w:p w14:paraId="69B84BD6">
            <w:pPr>
              <w:widowControl/>
              <w:spacing w:line="300" w:lineRule="atLeast"/>
              <w:jc w:val="center"/>
              <w:rPr>
                <w:rFonts w:hint="eastAsia" w:asciiTheme="minorEastAsia" w:hAnsiTheme="minorEastAsia" w:eastAsiaTheme="minorEastAsia" w:cstheme="minorEastAsia"/>
                <w:color w:val="000000" w:themeColor="text1"/>
                <w:kern w:val="0"/>
                <w:sz w:val="21"/>
                <w:szCs w:val="21"/>
                <w14:textFill>
                  <w14:solidFill>
                    <w14:schemeClr w14:val="tx1"/>
                  </w14:solidFill>
                </w14:textFill>
              </w:rPr>
            </w:pPr>
            <w:r>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t>建设</w:t>
            </w:r>
          </w:p>
          <w:p w14:paraId="20C6C232">
            <w:pPr>
              <w:widowControl/>
              <w:spacing w:line="300" w:lineRule="atLeast"/>
              <w:jc w:val="center"/>
              <w:rPr>
                <w:rFonts w:hint="eastAsia" w:asciiTheme="minorEastAsia" w:hAnsiTheme="minorEastAsia" w:eastAsiaTheme="minorEastAsia" w:cstheme="minorEastAsia"/>
                <w:color w:val="000000" w:themeColor="text1"/>
                <w:kern w:val="0"/>
                <w:sz w:val="21"/>
                <w:szCs w:val="21"/>
                <w:vertAlign w:val="baseli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t>单位</w:t>
            </w:r>
          </w:p>
        </w:tc>
        <w:tc>
          <w:tcPr>
            <w:tcW w:w="1432" w:type="dxa"/>
            <w:vAlign w:val="center"/>
          </w:tcPr>
          <w:p w14:paraId="28979005">
            <w:pPr>
              <w:widowControl/>
              <w:spacing w:line="300" w:lineRule="atLeast"/>
              <w:jc w:val="center"/>
              <w:rPr>
                <w:rFonts w:hint="eastAsia" w:asciiTheme="minorEastAsia" w:hAnsiTheme="minorEastAsia" w:eastAsiaTheme="minorEastAsia" w:cstheme="minorEastAsia"/>
                <w:color w:val="000000" w:themeColor="text1"/>
                <w:kern w:val="0"/>
                <w:sz w:val="21"/>
                <w:szCs w:val="21"/>
                <w:vertAlign w:val="baseli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t>环境影响评价机构</w:t>
            </w:r>
          </w:p>
        </w:tc>
        <w:tc>
          <w:tcPr>
            <w:tcW w:w="3304" w:type="dxa"/>
            <w:vAlign w:val="center"/>
          </w:tcPr>
          <w:p w14:paraId="0ED7C60F">
            <w:pPr>
              <w:widowControl/>
              <w:spacing w:line="300" w:lineRule="atLeast"/>
              <w:jc w:val="center"/>
              <w:rPr>
                <w:rFonts w:hint="eastAsia" w:asciiTheme="minorEastAsia" w:hAnsiTheme="minorEastAsia" w:eastAsiaTheme="minorEastAsia" w:cstheme="minorEastAsia"/>
                <w:color w:val="000000" w:themeColor="text1"/>
                <w:kern w:val="0"/>
                <w:sz w:val="21"/>
                <w:szCs w:val="21"/>
                <w:vertAlign w:val="baseli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t>项目概况</w:t>
            </w:r>
          </w:p>
        </w:tc>
        <w:tc>
          <w:tcPr>
            <w:tcW w:w="7156" w:type="dxa"/>
            <w:vAlign w:val="center"/>
          </w:tcPr>
          <w:p w14:paraId="3A7A714F">
            <w:pPr>
              <w:widowControl/>
              <w:spacing w:line="300" w:lineRule="atLeast"/>
              <w:jc w:val="center"/>
              <w:rPr>
                <w:rFonts w:hint="eastAsia" w:asciiTheme="minorEastAsia" w:hAnsiTheme="minorEastAsia" w:eastAsiaTheme="minorEastAsia" w:cstheme="minorEastAsia"/>
                <w:color w:val="000000" w:themeColor="text1"/>
                <w:kern w:val="0"/>
                <w:sz w:val="21"/>
                <w:szCs w:val="21"/>
                <w:vertAlign w:val="baseline"/>
                <w14:textFill>
                  <w14:solidFill>
                    <w14:schemeClr w14:val="tx1"/>
                  </w14:solidFill>
                </w14:textFill>
              </w:rPr>
            </w:pPr>
            <w:r>
              <w:rPr>
                <w:rFonts w:hint="eastAsia" w:asciiTheme="minorEastAsia" w:hAnsiTheme="minorEastAsia" w:eastAsiaTheme="minorEastAsia" w:cstheme="minorEastAsia"/>
                <w:b/>
                <w:bCs/>
                <w:color w:val="000000" w:themeColor="text1"/>
                <w:kern w:val="0"/>
                <w:sz w:val="21"/>
                <w:szCs w:val="21"/>
                <w14:textFill>
                  <w14:solidFill>
                    <w14:schemeClr w14:val="tx1"/>
                  </w14:solidFill>
                </w14:textFill>
              </w:rPr>
              <w:t>主要环境影响及预防或者减轻不良环境影响的对策和措施</w:t>
            </w:r>
          </w:p>
        </w:tc>
      </w:tr>
      <w:tr w14:paraId="35BF0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1" w:hRule="atLeast"/>
          <w:jc w:val="center"/>
        </w:trPr>
        <w:tc>
          <w:tcPr>
            <w:tcW w:w="451" w:type="dxa"/>
          </w:tcPr>
          <w:p w14:paraId="0FD76C3F">
            <w:pPr>
              <w:pStyle w:val="7"/>
              <w:ind w:left="0" w:leftChars="0" w:firstLine="0" w:firstLineChars="0"/>
              <w:rPr>
                <w:rFonts w:hint="eastAsia" w:asciiTheme="minorEastAsia" w:hAnsiTheme="minorEastAsia" w:eastAsiaTheme="minorEastAsia" w:cstheme="minorEastAsia"/>
                <w:color w:val="000000" w:themeColor="text1"/>
                <w:kern w:val="0"/>
                <w:sz w:val="21"/>
                <w:szCs w:val="21"/>
                <w:vertAlign w:val="baseli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vertAlign w:val="baseline"/>
                <w:lang w:val="en-US" w:eastAsia="zh-CN"/>
                <w14:textFill>
                  <w14:solidFill>
                    <w14:schemeClr w14:val="tx1"/>
                  </w14:solidFill>
                </w14:textFill>
              </w:rPr>
              <w:t>1</w:t>
            </w:r>
          </w:p>
        </w:tc>
        <w:tc>
          <w:tcPr>
            <w:tcW w:w="873" w:type="dxa"/>
          </w:tcPr>
          <w:p w14:paraId="574F549F">
            <w:pPr>
              <w:pStyle w:val="7"/>
              <w:ind w:left="0" w:leftChars="0" w:firstLine="0" w:firstLineChars="0"/>
              <w:rPr>
                <w:rFonts w:hint="eastAsia" w:asciiTheme="minorEastAsia" w:hAnsiTheme="minorEastAsia" w:eastAsiaTheme="minorEastAsia" w:cstheme="minorEastAsia"/>
                <w:color w:val="000000" w:themeColor="text1"/>
                <w:kern w:val="0"/>
                <w:sz w:val="21"/>
                <w:szCs w:val="21"/>
                <w:vertAlign w:val="baseline"/>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vertAlign w:val="baseline"/>
                <w:lang w:val="zh-CN"/>
                <w14:textFill>
                  <w14:solidFill>
                    <w14:schemeClr w14:val="tx1"/>
                  </w14:solidFill>
                </w14:textFill>
              </w:rPr>
              <w:t>活性炭深加工项目</w:t>
            </w:r>
          </w:p>
        </w:tc>
        <w:tc>
          <w:tcPr>
            <w:tcW w:w="1009" w:type="dxa"/>
            <w:vAlign w:val="center"/>
          </w:tcPr>
          <w:p w14:paraId="07ED971F">
            <w:pPr>
              <w:widowControl/>
              <w:spacing w:line="388" w:lineRule="atLeast"/>
              <w:jc w:val="center"/>
              <w:rPr>
                <w:rFonts w:hint="default" w:asciiTheme="minorEastAsia" w:hAnsiTheme="minorEastAsia" w:eastAsiaTheme="minorEastAsia" w:cstheme="minorEastAsia"/>
                <w:color w:val="000000" w:themeColor="text1"/>
                <w:kern w:val="0"/>
                <w:sz w:val="21"/>
                <w:szCs w:val="21"/>
                <w:vertAlign w:val="baseline"/>
                <w:lang w:val="en-US"/>
                <w14:textFill>
                  <w14:solidFill>
                    <w14:schemeClr w14:val="tx1"/>
                  </w14:solidFill>
                </w14:textFill>
              </w:rPr>
            </w:pPr>
            <w:r>
              <w:rPr>
                <w:rFonts w:hint="default" w:ascii="Times New Roman" w:hAnsi="Times New Roman" w:eastAsia="宋体" w:cs="Times New Roman"/>
                <w:bCs/>
                <w:kern w:val="0"/>
                <w:sz w:val="21"/>
                <w:szCs w:val="24"/>
                <w:lang w:val="en-US" w:eastAsia="zh-CN" w:bidi="ar-SA"/>
              </w:rPr>
              <w:t>山西省大同市新荣区花园屯镇前井村东</w:t>
            </w:r>
          </w:p>
        </w:tc>
        <w:tc>
          <w:tcPr>
            <w:tcW w:w="1091" w:type="dxa"/>
            <w:vAlign w:val="center"/>
          </w:tcPr>
          <w:p w14:paraId="46253E76">
            <w:pPr>
              <w:widowControl/>
              <w:spacing w:line="388" w:lineRule="atLeast"/>
              <w:jc w:val="center"/>
              <w:rPr>
                <w:rFonts w:hint="default" w:ascii="Times New Roman" w:hAnsi="Times New Roman" w:eastAsia="宋体" w:cs="Times New Roman"/>
                <w:bCs/>
                <w:kern w:val="0"/>
                <w:sz w:val="21"/>
                <w:szCs w:val="24"/>
                <w:lang w:val="en-US" w:eastAsia="zh-CN" w:bidi="ar-SA"/>
              </w:rPr>
            </w:pPr>
            <w:r>
              <w:rPr>
                <w:rFonts w:hint="eastAsia" w:cs="Times New Roman"/>
                <w:bCs/>
                <w:kern w:val="0"/>
                <w:sz w:val="21"/>
                <w:szCs w:val="24"/>
                <w:lang w:val="en-US" w:eastAsia="zh-CN" w:bidi="ar-SA"/>
              </w:rPr>
              <w:t>山西泓森煤基清洁能源有限公司</w:t>
            </w:r>
          </w:p>
        </w:tc>
        <w:tc>
          <w:tcPr>
            <w:tcW w:w="1432" w:type="dxa"/>
            <w:vAlign w:val="center"/>
          </w:tcPr>
          <w:p w14:paraId="65C2A877">
            <w:pPr>
              <w:widowControl/>
              <w:spacing w:line="388" w:lineRule="atLeast"/>
              <w:jc w:val="center"/>
              <w:rPr>
                <w:rFonts w:hint="default" w:ascii="Times New Roman" w:hAnsi="Times New Roman" w:eastAsia="宋体" w:cs="Times New Roman"/>
                <w:bCs/>
                <w:kern w:val="0"/>
                <w:sz w:val="21"/>
                <w:szCs w:val="24"/>
                <w:lang w:val="en-US" w:eastAsia="zh-CN" w:bidi="ar-SA"/>
              </w:rPr>
            </w:pPr>
            <w:r>
              <w:rPr>
                <w:rFonts w:hint="eastAsia" w:cs="Times New Roman"/>
                <w:bCs/>
                <w:kern w:val="0"/>
                <w:sz w:val="21"/>
                <w:szCs w:val="24"/>
                <w:lang w:val="en-US" w:eastAsia="zh-CN" w:bidi="ar-SA"/>
              </w:rPr>
              <w:t>山西碧海蓝天科技有限公司</w:t>
            </w:r>
          </w:p>
        </w:tc>
        <w:tc>
          <w:tcPr>
            <w:tcW w:w="3304" w:type="dxa"/>
            <w:vAlign w:val="center"/>
          </w:tcPr>
          <w:p w14:paraId="0D1F11FB">
            <w:pPr>
              <w:keepNext w:val="0"/>
              <w:keepLines w:val="0"/>
              <w:suppressLineNumbers w:val="0"/>
              <w:adjustRightInd w:val="0"/>
              <w:snapToGrid w:val="0"/>
              <w:spacing w:before="0" w:beforeAutospacing="0" w:after="0" w:afterAutospacing="0" w:line="360" w:lineRule="auto"/>
              <w:ind w:left="0" w:right="0"/>
              <w:rPr>
                <w:rFonts w:hint="eastAsia"/>
                <w:lang w:eastAsia="zh-CN"/>
              </w:rPr>
            </w:pPr>
            <w:r>
              <w:rPr>
                <w:rFonts w:hint="eastAsia" w:cs="宋体"/>
                <w:color w:val="auto"/>
                <w:sz w:val="24"/>
                <w:lang w:val="en-US" w:eastAsia="zh-CN"/>
              </w:rPr>
              <w:t>项目</w:t>
            </w:r>
            <w:r>
              <w:rPr>
                <w:rFonts w:hint="eastAsia" w:ascii="Times New Roman" w:hAnsi="Times New Roman" w:cs="Times New Roman"/>
                <w:color w:val="auto"/>
                <w:highlight w:val="none"/>
                <w:lang w:val="en-US" w:eastAsia="zh-CN"/>
              </w:rPr>
              <w:t>分两期建设，一期建设规模为年烘干7万吨纳米级活性炭；二期建设规模为年烘干13万吨纳米级活性炭。本项目主要工艺为烘干活性炭表面水分，降低其含水率。</w:t>
            </w:r>
          </w:p>
        </w:tc>
        <w:tc>
          <w:tcPr>
            <w:tcW w:w="7156" w:type="dxa"/>
            <w:vAlign w:val="top"/>
          </w:tcPr>
          <w:p w14:paraId="0FC827B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cs="Times New Roman"/>
                <w:b/>
                <w:bCs/>
                <w:kern w:val="0"/>
                <w:sz w:val="21"/>
                <w:szCs w:val="21"/>
              </w:rPr>
            </w:pPr>
            <w:r>
              <w:rPr>
                <w:rFonts w:hint="default" w:ascii="Times New Roman" w:hAnsi="Times New Roman" w:cs="Times New Roman"/>
                <w:b/>
                <w:bCs/>
                <w:kern w:val="0"/>
                <w:sz w:val="21"/>
                <w:szCs w:val="21"/>
              </w:rPr>
              <w:t>主要环境影响及对策：</w:t>
            </w:r>
          </w:p>
          <w:p w14:paraId="220ED445">
            <w:pPr>
              <w:spacing w:line="320" w:lineRule="exact"/>
              <w:rPr>
                <w:rFonts w:ascii="宋体" w:hAnsi="宋体" w:cs="仿宋"/>
                <w:color w:val="000000" w:themeColor="text1"/>
                <w:spacing w:val="-20"/>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详见附件：活性炭深加工项目主要环境影响及预防或者减轻不良环境影响的对策和措施。</w:t>
            </w:r>
          </w:p>
          <w:p w14:paraId="57491DB4">
            <w:pPr>
              <w:spacing w:line="320" w:lineRule="exact"/>
              <w:rPr>
                <w:rFonts w:ascii="宋体" w:hAnsi="宋体" w:cs="仿宋"/>
                <w:color w:val="000000" w:themeColor="text1"/>
                <w:spacing w:val="-20"/>
                <w:sz w:val="21"/>
                <w:szCs w:val="21"/>
                <w14:textFill>
                  <w14:solidFill>
                    <w14:schemeClr w14:val="tx1"/>
                  </w14:solidFill>
                </w14:textFill>
              </w:rPr>
            </w:pPr>
          </w:p>
          <w:p w14:paraId="2E1E6E48">
            <w:pPr>
              <w:pStyle w:val="10"/>
              <w:numPr>
                <w:ilvl w:val="0"/>
                <w:numId w:val="0"/>
              </w:numPr>
              <w:ind w:leftChars="0"/>
              <w:rPr>
                <w:rFonts w:hint="eastAsia" w:asciiTheme="minorEastAsia" w:hAnsiTheme="minorEastAsia" w:eastAsiaTheme="minorEastAsia" w:cstheme="minorEastAsia"/>
                <w:b w:val="0"/>
                <w:bCs w:val="0"/>
                <w:color w:val="000000" w:themeColor="text1"/>
                <w:sz w:val="21"/>
                <w:szCs w:val="21"/>
                <w:lang w:val="en-US" w:eastAsia="zh-CN"/>
                <w14:textFill>
                  <w14:solidFill>
                    <w14:schemeClr w14:val="tx1"/>
                  </w14:solidFill>
                </w14:textFill>
              </w:rPr>
            </w:pPr>
          </w:p>
        </w:tc>
      </w:tr>
    </w:tbl>
    <w:p w14:paraId="5E0E5E88">
      <w:pPr>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附：活性炭深加工项目主要环境影响及预防或者减轻不良环境影响的对策和措施。</w:t>
      </w:r>
    </w:p>
    <w:p w14:paraId="25A41BA8">
      <w:pPr>
        <w:pStyle w:val="7"/>
        <w:rPr>
          <w:rFonts w:hint="eastAsia" w:ascii="宋体" w:hAnsi="宋体"/>
          <w:b/>
          <w:bCs/>
          <w:color w:val="000000" w:themeColor="text1"/>
          <w:sz w:val="30"/>
          <w:szCs w:val="30"/>
          <w14:textFill>
            <w14:solidFill>
              <w14:schemeClr w14:val="tx1"/>
            </w14:solidFill>
          </w14:textFill>
        </w:rPr>
      </w:pPr>
    </w:p>
    <w:p w14:paraId="7A4A7B86">
      <w:pPr>
        <w:pStyle w:val="7"/>
        <w:rPr>
          <w:rFonts w:hint="eastAsia" w:ascii="宋体" w:hAnsi="宋体"/>
          <w:b/>
          <w:bCs/>
          <w:color w:val="000000" w:themeColor="text1"/>
          <w:sz w:val="30"/>
          <w:szCs w:val="30"/>
          <w14:textFill>
            <w14:solidFill>
              <w14:schemeClr w14:val="tx1"/>
            </w14:solidFill>
          </w14:textFill>
        </w:rPr>
      </w:pPr>
    </w:p>
    <w:p w14:paraId="78BD8DD8">
      <w:pPr>
        <w:pStyle w:val="7"/>
        <w:rPr>
          <w:rFonts w:hint="eastAsia" w:ascii="宋体" w:hAnsi="宋体"/>
          <w:b/>
          <w:bCs/>
          <w:color w:val="000000" w:themeColor="text1"/>
          <w:sz w:val="30"/>
          <w:szCs w:val="30"/>
          <w14:textFill>
            <w14:solidFill>
              <w14:schemeClr w14:val="tx1"/>
            </w14:solidFill>
          </w14:textFill>
        </w:rPr>
      </w:pPr>
    </w:p>
    <w:p w14:paraId="2B5740FD">
      <w:pPr>
        <w:pStyle w:val="7"/>
        <w:rPr>
          <w:rFonts w:hint="eastAsia" w:ascii="宋体" w:hAnsi="宋体"/>
          <w:b/>
          <w:bCs/>
          <w:color w:val="000000" w:themeColor="text1"/>
          <w:sz w:val="30"/>
          <w:szCs w:val="30"/>
          <w14:textFill>
            <w14:solidFill>
              <w14:schemeClr w14:val="tx1"/>
            </w14:solidFill>
          </w14:textFill>
        </w:rPr>
      </w:pPr>
    </w:p>
    <w:p w14:paraId="0EDA89D2">
      <w:pPr>
        <w:pStyle w:val="7"/>
        <w:rPr>
          <w:rFonts w:hint="eastAsia" w:ascii="宋体" w:hAnsi="宋体"/>
          <w:b/>
          <w:bCs/>
          <w:color w:val="000000" w:themeColor="text1"/>
          <w:sz w:val="30"/>
          <w:szCs w:val="30"/>
          <w14:textFill>
            <w14:solidFill>
              <w14:schemeClr w14:val="tx1"/>
            </w14:solidFill>
          </w14:textFill>
        </w:rPr>
      </w:pPr>
    </w:p>
    <w:p w14:paraId="459CC9B4">
      <w:pPr>
        <w:pStyle w:val="7"/>
        <w:rPr>
          <w:rFonts w:hint="eastAsia" w:ascii="宋体" w:hAnsi="宋体"/>
          <w:b/>
          <w:bCs/>
          <w:color w:val="000000" w:themeColor="text1"/>
          <w:sz w:val="30"/>
          <w:szCs w:val="30"/>
          <w:lang w:eastAsia="zh-CN"/>
          <w14:textFill>
            <w14:solidFill>
              <w14:schemeClr w14:val="tx1"/>
            </w14:solidFill>
          </w14:textFill>
        </w:rPr>
      </w:pPr>
      <w:r>
        <w:rPr>
          <w:rFonts w:hint="eastAsia" w:ascii="宋体" w:hAnsi="宋体"/>
          <w:b/>
          <w:bCs/>
          <w:color w:val="000000" w:themeColor="text1"/>
          <w:sz w:val="30"/>
          <w:szCs w:val="30"/>
          <w14:textFill>
            <w14:solidFill>
              <w14:schemeClr w14:val="tx1"/>
            </w14:solidFill>
          </w14:textFill>
        </w:rPr>
        <w:t>主要环境影响</w:t>
      </w:r>
      <w:r>
        <w:rPr>
          <w:rFonts w:hint="eastAsia" w:ascii="宋体" w:hAnsi="宋体"/>
          <w:b/>
          <w:bCs/>
          <w:color w:val="000000" w:themeColor="text1"/>
          <w:sz w:val="30"/>
          <w:szCs w:val="30"/>
          <w:lang w:eastAsia="zh-CN"/>
          <w14:textFill>
            <w14:solidFill>
              <w14:schemeClr w14:val="tx1"/>
            </w14:solidFill>
          </w14:textFill>
        </w:rPr>
        <w:t>和保护措施</w:t>
      </w:r>
    </w:p>
    <w:p w14:paraId="7BC398E4">
      <w:pPr>
        <w:pStyle w:val="8"/>
        <w:rPr>
          <w:rFonts w:hint="default" w:ascii="宋体" w:hAnsi="宋体" w:eastAsia="宋体" w:cs="Times New Roman"/>
          <w:b/>
          <w:bCs/>
          <w:color w:val="000000" w:themeColor="text1"/>
          <w:kern w:val="0"/>
          <w:sz w:val="30"/>
          <w:szCs w:val="30"/>
          <w:lang w:val="en-US" w:eastAsia="zh-CN" w:bidi="ar-SA"/>
          <w14:textFill>
            <w14:solidFill>
              <w14:schemeClr w14:val="tx1"/>
            </w14:solidFill>
          </w14:textFill>
        </w:rPr>
      </w:pPr>
      <w:r>
        <w:rPr>
          <w:rFonts w:hint="eastAsia" w:ascii="宋体" w:hAnsi="宋体" w:eastAsia="宋体" w:cs="Times New Roman"/>
          <w:b/>
          <w:bCs/>
          <w:color w:val="000000" w:themeColor="text1"/>
          <w:kern w:val="0"/>
          <w:sz w:val="30"/>
          <w:szCs w:val="30"/>
          <w:lang w:val="en-US" w:eastAsia="zh-CN" w:bidi="ar-SA"/>
          <w14:textFill>
            <w14:solidFill>
              <w14:schemeClr w14:val="tx1"/>
            </w14:solidFill>
          </w14:textFill>
        </w:rPr>
        <w:t>施工期</w:t>
      </w:r>
    </w:p>
    <w:p w14:paraId="7CF354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2" w:firstLineChars="200"/>
        <w:jc w:val="left"/>
        <w:textAlignment w:val="auto"/>
        <w:rPr>
          <w:rFonts w:hint="default"/>
          <w:color w:val="auto"/>
        </w:rPr>
      </w:pPr>
      <w:r>
        <w:rPr>
          <w:rFonts w:hint="eastAsia" w:ascii="宋体" w:hAnsi="宋体" w:eastAsia="宋体" w:cs="宋体"/>
          <w:b/>
          <w:bCs/>
          <w:color w:val="auto"/>
          <w:kern w:val="0"/>
          <w:sz w:val="24"/>
          <w:szCs w:val="24"/>
          <w:lang w:val="en-US" w:eastAsia="zh-CN" w:bidi="ar"/>
        </w:rPr>
        <w:t>一、施工扬尘环保措施</w:t>
      </w:r>
    </w:p>
    <w:p w14:paraId="2FD67B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default"/>
          <w:color w:val="auto"/>
        </w:rPr>
      </w:pPr>
      <w:r>
        <w:rPr>
          <w:rFonts w:hint="eastAsia" w:ascii="宋体" w:hAnsi="宋体" w:eastAsia="宋体" w:cs="宋体"/>
          <w:color w:val="auto"/>
          <w:kern w:val="0"/>
          <w:sz w:val="24"/>
          <w:szCs w:val="24"/>
          <w:lang w:val="en-US" w:eastAsia="zh-CN" w:bidi="ar"/>
        </w:rPr>
        <w:t>项目施工采取机械配合人工的施工工艺，生产车间为钢结构组装，现场不设</w:t>
      </w:r>
      <w:r>
        <w:rPr>
          <w:rFonts w:hint="eastAsia" w:ascii="宋体" w:hAnsi="宋体" w:cs="宋体"/>
          <w:color w:val="auto"/>
          <w:kern w:val="0"/>
          <w:sz w:val="24"/>
          <w:szCs w:val="24"/>
          <w:lang w:val="en-US" w:eastAsia="zh-CN" w:bidi="ar"/>
        </w:rPr>
        <w:t>拌和站</w:t>
      </w:r>
      <w:r>
        <w:rPr>
          <w:rFonts w:hint="eastAsia" w:ascii="宋体" w:hAnsi="宋体" w:eastAsia="宋体" w:cs="宋体"/>
          <w:color w:val="auto"/>
          <w:kern w:val="0"/>
          <w:sz w:val="24"/>
          <w:szCs w:val="24"/>
          <w:lang w:val="en-US" w:eastAsia="zh-CN" w:bidi="ar"/>
        </w:rPr>
        <w:t>。项目施工扬尘性质属面源污染</w:t>
      </w:r>
      <w:r>
        <w:rPr>
          <w:rFonts w:hint="eastAsia" w:ascii="宋体" w:hAnsi="宋体" w:cs="宋体"/>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扬尘的产生跟风力大小及气候等多种因素有关，一般情况下源强中心浓度最高，随距离增大浓度减少，影响减小。</w:t>
      </w:r>
    </w:p>
    <w:p w14:paraId="1CE469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default"/>
          <w:color w:val="auto"/>
        </w:rPr>
      </w:pPr>
      <w:r>
        <w:rPr>
          <w:rFonts w:hint="eastAsia" w:ascii="宋体" w:hAnsi="宋体" w:eastAsia="宋体" w:cs="宋体"/>
          <w:color w:val="auto"/>
          <w:kern w:val="0"/>
          <w:sz w:val="24"/>
          <w:szCs w:val="24"/>
          <w:lang w:val="en-US" w:eastAsia="zh-CN" w:bidi="ar"/>
        </w:rPr>
        <w:t>建设期间需要落实以下措施：</w:t>
      </w:r>
    </w:p>
    <w:p w14:paraId="2A0A39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default"/>
          <w:color w:val="auto"/>
        </w:rPr>
      </w:pPr>
      <w:r>
        <w:rPr>
          <w:rFonts w:hint="eastAsia" w:ascii="宋体" w:hAnsi="宋体" w:eastAsia="宋体" w:cs="宋体"/>
          <w:color w:val="auto"/>
          <w:kern w:val="0"/>
          <w:sz w:val="24"/>
          <w:szCs w:val="24"/>
          <w:lang w:val="en-US" w:eastAsia="zh-CN" w:bidi="ar"/>
        </w:rPr>
        <w:t>①垃圾清运必须全部密闭运输，覆盖不到位不允许驶离施工现场。建筑垃圾及渣土的车辆必须按指定的线路运输。渣土装车时要喷雾降尘，并安排专人清扫散落的渣土并对车辆进行保洁，确保车辆清洁方可上路；</w:t>
      </w:r>
    </w:p>
    <w:p w14:paraId="7EAB41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default"/>
          <w:color w:val="auto"/>
        </w:rPr>
      </w:pPr>
      <w:r>
        <w:rPr>
          <w:rFonts w:hint="eastAsia" w:ascii="宋体" w:hAnsi="宋体" w:eastAsia="宋体" w:cs="宋体"/>
          <w:color w:val="auto"/>
          <w:kern w:val="0"/>
          <w:sz w:val="24"/>
          <w:szCs w:val="24"/>
          <w:lang w:val="en-US" w:eastAsia="zh-CN" w:bidi="ar"/>
        </w:rPr>
        <w:t>②建筑施工工地必须严格落实“六个百分之百”标准，即施工区域</w:t>
      </w:r>
      <w:r>
        <w:rPr>
          <w:rFonts w:hint="default" w:ascii="Times New Roman" w:hAnsi="Times New Roman" w:eastAsia="宋体" w:cs="Times New Roman"/>
          <w:color w:val="auto"/>
          <w:kern w:val="0"/>
          <w:sz w:val="24"/>
          <w:szCs w:val="24"/>
          <w:lang w:val="en-US" w:eastAsia="zh-CN" w:bidi="ar"/>
        </w:rPr>
        <w:t>100%</w:t>
      </w:r>
      <w:r>
        <w:rPr>
          <w:rFonts w:hint="eastAsia" w:ascii="宋体" w:hAnsi="宋体" w:eastAsia="宋体" w:cs="宋体"/>
          <w:color w:val="auto"/>
          <w:kern w:val="0"/>
          <w:sz w:val="24"/>
          <w:szCs w:val="24"/>
          <w:lang w:val="en-US" w:eastAsia="zh-CN" w:bidi="ar"/>
        </w:rPr>
        <w:t>标准围挡、出入车辆</w:t>
      </w:r>
      <w:r>
        <w:rPr>
          <w:rFonts w:hint="default" w:ascii="Times New Roman" w:hAnsi="Times New Roman" w:eastAsia="宋体" w:cs="Times New Roman"/>
          <w:color w:val="auto"/>
          <w:kern w:val="0"/>
          <w:sz w:val="24"/>
          <w:szCs w:val="24"/>
          <w:lang w:val="en-US" w:eastAsia="zh-CN" w:bidi="ar"/>
        </w:rPr>
        <w:t>100%</w:t>
      </w:r>
      <w:r>
        <w:rPr>
          <w:rFonts w:hint="eastAsia" w:ascii="宋体" w:hAnsi="宋体" w:eastAsia="宋体" w:cs="宋体"/>
          <w:color w:val="auto"/>
          <w:kern w:val="0"/>
          <w:sz w:val="24"/>
          <w:szCs w:val="24"/>
          <w:lang w:val="en-US" w:eastAsia="zh-CN" w:bidi="ar"/>
        </w:rPr>
        <w:t>冲洗、施工场地</w:t>
      </w:r>
      <w:r>
        <w:rPr>
          <w:rFonts w:hint="default" w:ascii="Times New Roman" w:hAnsi="Times New Roman" w:eastAsia="宋体" w:cs="Times New Roman"/>
          <w:color w:val="auto"/>
          <w:kern w:val="0"/>
          <w:sz w:val="24"/>
          <w:szCs w:val="24"/>
          <w:lang w:val="en-US" w:eastAsia="zh-CN" w:bidi="ar"/>
        </w:rPr>
        <w:t>100%</w:t>
      </w:r>
      <w:r>
        <w:rPr>
          <w:rFonts w:hint="eastAsia" w:ascii="宋体" w:hAnsi="宋体" w:eastAsia="宋体" w:cs="宋体"/>
          <w:color w:val="auto"/>
          <w:kern w:val="0"/>
          <w:sz w:val="24"/>
          <w:szCs w:val="24"/>
          <w:lang w:val="en-US" w:eastAsia="zh-CN" w:bidi="ar"/>
        </w:rPr>
        <w:t>湿法作业、渣土运输车辆</w:t>
      </w:r>
      <w:r>
        <w:rPr>
          <w:rFonts w:hint="default" w:ascii="Times New Roman" w:hAnsi="Times New Roman" w:eastAsia="宋体" w:cs="Times New Roman"/>
          <w:color w:val="auto"/>
          <w:kern w:val="0"/>
          <w:sz w:val="24"/>
          <w:szCs w:val="24"/>
          <w:lang w:val="en-US" w:eastAsia="zh-CN" w:bidi="ar"/>
        </w:rPr>
        <w:t>100%</w:t>
      </w:r>
      <w:r>
        <w:rPr>
          <w:rFonts w:hint="eastAsia" w:ascii="宋体" w:hAnsi="宋体" w:eastAsia="宋体" w:cs="宋体"/>
          <w:color w:val="auto"/>
          <w:kern w:val="0"/>
          <w:sz w:val="24"/>
          <w:szCs w:val="24"/>
          <w:lang w:val="en-US" w:eastAsia="zh-CN" w:bidi="ar"/>
        </w:rPr>
        <w:t>密闭运输、施工现场地面</w:t>
      </w:r>
      <w:r>
        <w:rPr>
          <w:rFonts w:hint="default" w:ascii="Times New Roman" w:hAnsi="Times New Roman" w:eastAsia="宋体" w:cs="Times New Roman"/>
          <w:color w:val="auto"/>
          <w:kern w:val="0"/>
          <w:sz w:val="24"/>
          <w:szCs w:val="24"/>
          <w:lang w:val="en-US" w:eastAsia="zh-CN" w:bidi="ar"/>
        </w:rPr>
        <w:t>100%</w:t>
      </w:r>
      <w:r>
        <w:rPr>
          <w:rFonts w:hint="eastAsia" w:ascii="宋体" w:hAnsi="宋体" w:eastAsia="宋体" w:cs="宋体"/>
          <w:color w:val="auto"/>
          <w:kern w:val="0"/>
          <w:sz w:val="24"/>
          <w:szCs w:val="24"/>
          <w:lang w:val="en-US" w:eastAsia="zh-CN" w:bidi="ar"/>
        </w:rPr>
        <w:t>硬化、物料堆放</w:t>
      </w:r>
      <w:r>
        <w:rPr>
          <w:rFonts w:hint="default" w:ascii="Times New Roman" w:hAnsi="Times New Roman" w:eastAsia="宋体" w:cs="Times New Roman"/>
          <w:color w:val="auto"/>
          <w:kern w:val="0"/>
          <w:sz w:val="24"/>
          <w:szCs w:val="24"/>
          <w:lang w:val="en-US" w:eastAsia="zh-CN" w:bidi="ar"/>
        </w:rPr>
        <w:t>100%</w:t>
      </w:r>
      <w:r>
        <w:rPr>
          <w:rFonts w:hint="eastAsia" w:ascii="宋体" w:hAnsi="宋体" w:eastAsia="宋体" w:cs="宋体"/>
          <w:color w:val="auto"/>
          <w:kern w:val="0"/>
          <w:sz w:val="24"/>
          <w:szCs w:val="24"/>
          <w:lang w:val="en-US" w:eastAsia="zh-CN" w:bidi="ar"/>
        </w:rPr>
        <w:t>覆盖。将扬尘污染费用纳入工程造价，专款专用；</w:t>
      </w:r>
    </w:p>
    <w:p w14:paraId="215DF4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default"/>
          <w:color w:val="auto"/>
        </w:rPr>
      </w:pPr>
      <w:r>
        <w:rPr>
          <w:rFonts w:hint="eastAsia" w:ascii="宋体" w:hAnsi="宋体" w:eastAsia="宋体" w:cs="宋体"/>
          <w:color w:val="auto"/>
          <w:kern w:val="0"/>
          <w:sz w:val="24"/>
          <w:szCs w:val="24"/>
          <w:lang w:val="en-US" w:eastAsia="zh-CN" w:bidi="ar"/>
        </w:rPr>
        <w:t>③施工工地必须设置封闭式硬质围挡，本项目需设置</w:t>
      </w:r>
      <w:r>
        <w:rPr>
          <w:rFonts w:hint="default" w:ascii="Times New Roman" w:hAnsi="Times New Roman" w:eastAsia="宋体" w:cs="Times New Roman"/>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米以上围挡。围挡必须坚固稳定、整洁美观、基础牢固，无歪斜、破损。围挡底端应设置砖混等硬质防溢座，防溢座与地面之间、围挡与围挡之间无缝隙，围挡顶部设置高压雾化喷淋设施。外脚手架应使用密目式防尘网或防尘布封闭并保持整洁，提倡使用满足功能要求的新型防护材料；</w:t>
      </w:r>
    </w:p>
    <w:p w14:paraId="0F3EE5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default"/>
          <w:color w:val="auto"/>
        </w:rPr>
      </w:pPr>
      <w:r>
        <w:rPr>
          <w:rFonts w:hint="eastAsia" w:ascii="宋体" w:hAnsi="宋体" w:eastAsia="宋体" w:cs="宋体"/>
          <w:color w:val="auto"/>
          <w:kern w:val="0"/>
          <w:sz w:val="24"/>
          <w:szCs w:val="24"/>
          <w:lang w:val="en-US" w:eastAsia="zh-CN" w:bidi="ar"/>
        </w:rPr>
        <w:t>④施工现场产尘物料要采取覆盖措施，水泥、石灰等细颗粒材料应存放在库房或密闭容器内。施工期间需使用混凝土时，可使用预拌商品混凝土或进行密闭搅拌并配备防尘除尘装置，不得现场露天搅拌混凝土、</w:t>
      </w:r>
      <w:r>
        <w:rPr>
          <w:rFonts w:hint="eastAsia" w:ascii="宋体" w:hAnsi="宋体" w:cs="宋体"/>
          <w:color w:val="auto"/>
          <w:kern w:val="0"/>
          <w:sz w:val="24"/>
          <w:szCs w:val="24"/>
          <w:lang w:val="en-US" w:eastAsia="zh-CN" w:bidi="ar"/>
        </w:rPr>
        <w:t>搅</w:t>
      </w:r>
      <w:r>
        <w:rPr>
          <w:rFonts w:hint="eastAsia" w:ascii="宋体" w:hAnsi="宋体" w:eastAsia="宋体" w:cs="宋体"/>
          <w:color w:val="auto"/>
          <w:kern w:val="0"/>
          <w:sz w:val="24"/>
          <w:szCs w:val="24"/>
          <w:lang w:val="en-US" w:eastAsia="zh-CN" w:bidi="ar"/>
        </w:rPr>
        <w:t>拌石灰等。现场留置渣土必须集中堆放，裸露土地和留置渣土须采取覆盖或固化措施。覆盖防尘网伸展平整，网间拼接严密、不露尘，边缘及连接处固定牢固，定期对覆盖处洒水，促使土体表层硬化结壳，避免风蚀起尘。覆盖防尘网破损、风化后要及时更换；</w:t>
      </w:r>
    </w:p>
    <w:p w14:paraId="2C6ADD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default"/>
          <w:color w:val="auto"/>
        </w:rPr>
      </w:pPr>
      <w:r>
        <w:rPr>
          <w:rFonts w:hint="eastAsia" w:ascii="宋体" w:hAnsi="宋体" w:eastAsia="宋体" w:cs="宋体"/>
          <w:color w:val="auto"/>
          <w:kern w:val="0"/>
          <w:sz w:val="24"/>
          <w:szCs w:val="24"/>
          <w:lang w:val="en-US" w:eastAsia="zh-CN" w:bidi="ar"/>
        </w:rPr>
        <w:t>⑤场地平整等作业必须采用湿法作业，提前对作业场地进行喷注水预湿至场地无干土。出现四级或四级以上大风天气、重污染天气黄色以上等级预警时，应停止土地平整等作业；</w:t>
      </w:r>
    </w:p>
    <w:p w14:paraId="37404F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default"/>
          <w:color w:val="auto"/>
        </w:rPr>
      </w:pPr>
      <w:r>
        <w:rPr>
          <w:rFonts w:hint="eastAsia" w:ascii="宋体" w:hAnsi="宋体" w:eastAsia="宋体" w:cs="宋体"/>
          <w:color w:val="auto"/>
          <w:kern w:val="0"/>
          <w:sz w:val="24"/>
          <w:szCs w:val="24"/>
          <w:lang w:val="en-US" w:eastAsia="zh-CN" w:bidi="ar"/>
        </w:rPr>
        <w:t>⑥场地及物料防尘整治标准：现场办公区、出入口、主要施工道路必须进行硬化处理，施工现场道路两侧及大块空地必须进行覆盖或绿化。土石方作业期间临时道路宜采用铺设钢板或密目网等临时覆盖措施，并采取洒水、喷淋措施保证临时道路湿润。现场其他裸土、堆土、水泥等易产生扬尘的粉状材料等必须全部覆盖。土方堆存及其它场地及暂时不开发裸地应当进行绿化、覆盖或固化；</w:t>
      </w:r>
    </w:p>
    <w:p w14:paraId="0C3E1E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default"/>
          <w:color w:val="auto"/>
        </w:rPr>
      </w:pPr>
      <w:r>
        <w:rPr>
          <w:rFonts w:hint="eastAsia" w:ascii="宋体" w:hAnsi="宋体" w:eastAsia="宋体" w:cs="宋体"/>
          <w:color w:val="auto"/>
          <w:kern w:val="0"/>
          <w:sz w:val="24"/>
          <w:szCs w:val="24"/>
          <w:lang w:val="en-US" w:eastAsia="zh-CN" w:bidi="ar"/>
        </w:rPr>
        <w:t>⑦建筑工地出入口必须设置车辆冲洗平台，冲洗平台应实现车辆静态清洗全覆盖，保证喷淋高度和水源压力，满足冲洗要求，做到车轮车身不带泥，不得使用无冲洗装置的清洗槽等。各种工程车辆和机械设备特别是渣土车辆车轮及车身必须冲洗，严禁带泥上路。洗车平台四周应设置防溢座、废水导流渠、废水收集池、沉砂池及其他防治设施，收集洗车、施工以及降水过程中产生的废水和泥浆要定期清理。施工单位要对工程进出口两侧各</w:t>
      </w:r>
      <w:r>
        <w:rPr>
          <w:rFonts w:hint="default" w:ascii="Times New Roman" w:hAnsi="Times New Roman" w:eastAsia="宋体" w:cs="Times New Roman"/>
          <w:color w:val="auto"/>
          <w:kern w:val="0"/>
          <w:sz w:val="24"/>
          <w:szCs w:val="24"/>
          <w:lang w:val="en-US" w:eastAsia="zh-CN" w:bidi="ar"/>
        </w:rPr>
        <w:t>100</w:t>
      </w:r>
      <w:r>
        <w:rPr>
          <w:rFonts w:hint="eastAsia" w:ascii="宋体" w:hAnsi="宋体" w:eastAsia="宋体" w:cs="宋体"/>
          <w:color w:val="auto"/>
          <w:kern w:val="0"/>
          <w:sz w:val="24"/>
          <w:szCs w:val="24"/>
          <w:lang w:val="en-US" w:eastAsia="zh-CN" w:bidi="ar"/>
        </w:rPr>
        <w:t>米路面保持清洁，专人进行冲洗保洁和洒水降尘，确保“扬尘不出院、路面不见土、车辆不带泥、周边不起尘”。整个施工场地不得随意开设出入口，开设的出入口道路必须硬化，出入车辆必须清洗。</w:t>
      </w:r>
    </w:p>
    <w:p w14:paraId="16348C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default"/>
          <w:color w:val="auto"/>
        </w:rPr>
      </w:pPr>
      <w:r>
        <w:rPr>
          <w:rFonts w:hint="eastAsia" w:ascii="宋体" w:hAnsi="宋体" w:eastAsia="宋体" w:cs="宋体"/>
          <w:color w:val="auto"/>
          <w:kern w:val="0"/>
          <w:sz w:val="24"/>
          <w:szCs w:val="24"/>
          <w:lang w:val="en-US" w:eastAsia="zh-CN" w:bidi="ar"/>
        </w:rPr>
        <w:t>⑧施工现场建筑垃圾、生活垃圾要分类、集中堆放，日产日清。装饰、安装阶段宜采用成品、半成品实施装配式作业，减少因石材、砌体、混凝土等材料切割加工造成的扬尘污染，严禁露天切割。工地内从建筑上层将具有粉尘逸散性的物料、渣土或废弃物输送至地面或地下楼层时，可从电梯孔道、建筑内部管道或密闭输送管道输送，或者打包装框搬运，不得凌空抛洒。</w:t>
      </w:r>
    </w:p>
    <w:p w14:paraId="282EA8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default"/>
          <w:color w:val="auto"/>
        </w:rPr>
      </w:pPr>
      <w:r>
        <w:rPr>
          <w:rFonts w:hint="eastAsia" w:ascii="宋体" w:hAnsi="宋体" w:eastAsia="宋体" w:cs="宋体"/>
          <w:color w:val="auto"/>
          <w:kern w:val="0"/>
          <w:sz w:val="24"/>
          <w:szCs w:val="24"/>
          <w:lang w:val="en-US" w:eastAsia="zh-CN" w:bidi="ar"/>
        </w:rPr>
        <w:t>⑨建筑工地现场必须制定扬尘污染防治方案，落实责任人，建立完善检查考核制度并在住建部门备案。施工现场门口必须按要求设置扬尘防治管理公示牌。要将扬尘防治措施的各项要求纳入工人教育培训及工作奖惩，提高一线作业人员扬尘防治自觉性。在采取上述措施后，可将施工扬尘排放对周围环境的影响程度降低至最小。随着施工期的结束，施工扬尘影响也将结束。</w:t>
      </w:r>
    </w:p>
    <w:p w14:paraId="2CEB40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2" w:firstLineChars="200"/>
        <w:jc w:val="left"/>
        <w:textAlignment w:val="auto"/>
        <w:rPr>
          <w:rFonts w:hint="default"/>
          <w:color w:val="auto"/>
        </w:rPr>
      </w:pPr>
      <w:r>
        <w:rPr>
          <w:rFonts w:hint="eastAsia" w:ascii="宋体" w:hAnsi="宋体" w:eastAsia="宋体" w:cs="宋体"/>
          <w:b/>
          <w:bCs/>
          <w:color w:val="auto"/>
          <w:kern w:val="0"/>
          <w:sz w:val="24"/>
          <w:szCs w:val="24"/>
          <w:lang w:val="en-US" w:eastAsia="zh-CN" w:bidi="ar"/>
        </w:rPr>
        <w:t>二、施工废水环保措施</w:t>
      </w:r>
    </w:p>
    <w:p w14:paraId="50086A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建筑施工废水主要来源于施工设备的清洗废水及施工人员产生的生活污水等。施工废水主要污染物质为悬浮物，施工废水经临时沉淀池澄清后回用于机械冲洗和施工场地洒水抑尘，不外排。施工人员盥洗废水泼洒场地抑尘；粪污水排入临时旱厕处理。</w:t>
      </w:r>
    </w:p>
    <w:p w14:paraId="76F6E7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default"/>
          <w:color w:val="auto"/>
        </w:rPr>
      </w:pPr>
      <w:r>
        <w:rPr>
          <w:rFonts w:hint="eastAsia" w:ascii="宋体" w:hAnsi="宋体" w:eastAsia="宋体" w:cs="宋体"/>
          <w:color w:val="auto"/>
          <w:kern w:val="0"/>
          <w:sz w:val="24"/>
          <w:szCs w:val="24"/>
          <w:lang w:val="en-US" w:eastAsia="zh-CN" w:bidi="ar"/>
        </w:rPr>
        <w:t>综上，项目施工期对周围水环境影响很小。</w:t>
      </w:r>
    </w:p>
    <w:p w14:paraId="422F3C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2" w:firstLineChars="200"/>
        <w:jc w:val="left"/>
        <w:textAlignment w:val="auto"/>
        <w:rPr>
          <w:rFonts w:hint="default"/>
          <w:color w:val="auto"/>
        </w:rPr>
      </w:pPr>
      <w:r>
        <w:rPr>
          <w:rFonts w:hint="eastAsia" w:ascii="宋体" w:hAnsi="宋体" w:eastAsia="宋体" w:cs="宋体"/>
          <w:b/>
          <w:bCs/>
          <w:color w:val="auto"/>
          <w:kern w:val="0"/>
          <w:sz w:val="24"/>
          <w:szCs w:val="24"/>
          <w:lang w:val="en-US" w:eastAsia="zh-CN" w:bidi="ar"/>
        </w:rPr>
        <w:t>三、施工噪声环保措施</w:t>
      </w:r>
    </w:p>
    <w:p w14:paraId="307626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default"/>
          <w:color w:val="auto"/>
        </w:rPr>
      </w:pPr>
      <w:r>
        <w:rPr>
          <w:rFonts w:hint="eastAsia" w:ascii="宋体" w:hAnsi="宋体" w:eastAsia="宋体" w:cs="宋体"/>
          <w:color w:val="auto"/>
          <w:kern w:val="0"/>
          <w:sz w:val="24"/>
          <w:szCs w:val="24"/>
          <w:lang w:val="en-US" w:eastAsia="zh-CN" w:bidi="ar"/>
        </w:rPr>
        <w:t>项目施工期对声环境的影响主要是施工场地各类机械设备噪声、施工车辆运输噪声和施工作业噪声。施工期噪声主要来自不同施工阶段所使用的不同施工机械的非连续性作业噪声，具有阶段性、临时性和不固定性等特点。这些噪声源的声级值最高可达到</w:t>
      </w:r>
      <w:r>
        <w:rPr>
          <w:rFonts w:hint="default" w:ascii="Times New Roman" w:hAnsi="Times New Roman" w:eastAsia="宋体" w:cs="Times New Roman"/>
          <w:color w:val="auto"/>
          <w:kern w:val="0"/>
          <w:sz w:val="24"/>
          <w:szCs w:val="24"/>
          <w:lang w:val="en-US" w:eastAsia="zh-CN" w:bidi="ar"/>
        </w:rPr>
        <w:t>90dB</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A</w:t>
      </w:r>
      <w:r>
        <w:rPr>
          <w:rFonts w:hint="eastAsia" w:ascii="宋体" w:hAnsi="宋体" w:eastAsia="宋体" w:cs="宋体"/>
          <w:color w:val="auto"/>
          <w:kern w:val="0"/>
          <w:sz w:val="24"/>
          <w:szCs w:val="24"/>
          <w:lang w:val="en-US" w:eastAsia="zh-CN" w:bidi="ar"/>
        </w:rPr>
        <w:t>），将对周围环境产生一定的影响。为减轻项目对周边环境噪声的影响，建议建设单位采取以下措施：</w:t>
      </w:r>
    </w:p>
    <w:p w14:paraId="011D1F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default"/>
          <w:color w:val="auto"/>
        </w:rPr>
      </w:pPr>
      <w:r>
        <w:rPr>
          <w:rFonts w:hint="eastAsia" w:ascii="宋体" w:hAnsi="宋体" w:eastAsia="宋体" w:cs="宋体"/>
          <w:color w:val="auto"/>
          <w:kern w:val="0"/>
          <w:sz w:val="24"/>
          <w:szCs w:val="24"/>
          <w:lang w:val="en-US" w:eastAsia="zh-CN" w:bidi="ar"/>
        </w:rPr>
        <w:t>①采用先进施工设备和工艺，尽量采用低噪声、低</w:t>
      </w:r>
      <w:r>
        <w:rPr>
          <w:rFonts w:hint="eastAsia" w:ascii="宋体" w:hAnsi="宋体" w:cs="宋体"/>
          <w:color w:val="auto"/>
          <w:kern w:val="0"/>
          <w:sz w:val="24"/>
          <w:szCs w:val="24"/>
          <w:lang w:val="en-US" w:eastAsia="zh-CN" w:bidi="ar"/>
        </w:rPr>
        <w:t>振动</w:t>
      </w:r>
      <w:r>
        <w:rPr>
          <w:rFonts w:hint="eastAsia" w:ascii="宋体" w:hAnsi="宋体" w:eastAsia="宋体" w:cs="宋体"/>
          <w:color w:val="auto"/>
          <w:kern w:val="0"/>
          <w:sz w:val="24"/>
          <w:szCs w:val="24"/>
          <w:lang w:val="en-US" w:eastAsia="zh-CN" w:bidi="ar"/>
        </w:rPr>
        <w:t>的设备与施工方式进行基础和结构施工；</w:t>
      </w:r>
    </w:p>
    <w:p w14:paraId="29BEB8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default"/>
          <w:color w:val="auto"/>
        </w:rPr>
      </w:pPr>
      <w:r>
        <w:rPr>
          <w:rFonts w:hint="eastAsia" w:ascii="宋体" w:hAnsi="宋体" w:eastAsia="宋体" w:cs="宋体"/>
          <w:color w:val="auto"/>
          <w:kern w:val="0"/>
          <w:sz w:val="24"/>
          <w:szCs w:val="24"/>
          <w:lang w:val="en-US" w:eastAsia="zh-CN" w:bidi="ar"/>
        </w:rPr>
        <w:t>②建筑施工采取封闭式作业方式进行，施工厂界必须设置</w:t>
      </w:r>
      <w:r>
        <w:rPr>
          <w:rFonts w:hint="default" w:ascii="Times New Roman" w:hAnsi="Times New Roman" w:eastAsia="宋体" w:cs="Times New Roman"/>
          <w:color w:val="auto"/>
          <w:kern w:val="0"/>
          <w:sz w:val="24"/>
          <w:szCs w:val="24"/>
          <w:lang w:val="en-US" w:eastAsia="zh-CN" w:bidi="ar"/>
        </w:rPr>
        <w:t>2m</w:t>
      </w:r>
      <w:r>
        <w:rPr>
          <w:rFonts w:hint="eastAsia" w:ascii="宋体" w:hAnsi="宋体" w:eastAsia="宋体" w:cs="宋体"/>
          <w:color w:val="auto"/>
          <w:kern w:val="0"/>
          <w:sz w:val="24"/>
          <w:szCs w:val="24"/>
          <w:lang w:val="en-US" w:eastAsia="zh-CN" w:bidi="ar"/>
        </w:rPr>
        <w:t>以上的围墙或者是彩钢板围栏，结构施工采用安全护网的措施，减轻噪声对周围环境的影响；</w:t>
      </w:r>
    </w:p>
    <w:p w14:paraId="23E0EA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default"/>
          <w:color w:val="auto"/>
        </w:rPr>
      </w:pPr>
      <w:r>
        <w:rPr>
          <w:rFonts w:hint="eastAsia" w:ascii="宋体" w:hAnsi="宋体" w:eastAsia="宋体" w:cs="宋体"/>
          <w:color w:val="auto"/>
          <w:kern w:val="0"/>
          <w:sz w:val="24"/>
          <w:szCs w:val="24"/>
          <w:lang w:val="en-US" w:eastAsia="zh-CN" w:bidi="ar"/>
        </w:rPr>
        <w:t>③相对固定的施工机械，如空压机等，应选择有声屏障的地方安置，或者修建临时隔声间或围板，或安装隔声罩等；</w:t>
      </w:r>
    </w:p>
    <w:p w14:paraId="328D5E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default"/>
          <w:color w:val="auto"/>
        </w:rPr>
      </w:pPr>
      <w:r>
        <w:rPr>
          <w:rFonts w:hint="eastAsia" w:ascii="宋体" w:hAnsi="宋体" w:eastAsia="宋体" w:cs="宋体"/>
          <w:color w:val="auto"/>
          <w:kern w:val="0"/>
          <w:sz w:val="24"/>
          <w:szCs w:val="24"/>
          <w:lang w:val="en-US" w:eastAsia="zh-CN" w:bidi="ar"/>
        </w:rPr>
        <w:t>④尽量将高噪声的作业安排在白天进行，夜间不进行高噪声作业；</w:t>
      </w:r>
    </w:p>
    <w:p w14:paraId="5672F3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default"/>
          <w:color w:val="auto"/>
        </w:rPr>
      </w:pPr>
      <w:r>
        <w:rPr>
          <w:rFonts w:hint="eastAsia" w:ascii="宋体" w:hAnsi="宋体" w:eastAsia="宋体" w:cs="宋体"/>
          <w:color w:val="auto"/>
          <w:kern w:val="0"/>
          <w:sz w:val="24"/>
          <w:szCs w:val="24"/>
          <w:lang w:val="en-US" w:eastAsia="zh-CN" w:bidi="ar"/>
        </w:rPr>
        <w:t>⑤根据施工场地的地理位置及周围敏感点的分布状况，噪声设备尽量设在远离周围敏感点处，并对机械设备进行定期维护，使其保持良好的运行工况；</w:t>
      </w:r>
    </w:p>
    <w:p w14:paraId="7A24D2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default"/>
          <w:color w:val="auto"/>
        </w:rPr>
      </w:pPr>
      <w:r>
        <w:rPr>
          <w:rFonts w:hint="eastAsia" w:ascii="宋体" w:hAnsi="宋体" w:eastAsia="宋体" w:cs="宋体"/>
          <w:color w:val="auto"/>
          <w:kern w:val="0"/>
          <w:sz w:val="24"/>
          <w:szCs w:val="24"/>
          <w:lang w:val="en-US" w:eastAsia="zh-CN" w:bidi="ar"/>
        </w:rPr>
        <w:t>⑥在施工过程中，采用商品混凝土和成品窗，施工现场不发出混</w:t>
      </w:r>
      <w:r>
        <w:rPr>
          <w:rFonts w:hint="eastAsia" w:ascii="宋体" w:hAnsi="宋体" w:cs="宋体"/>
          <w:color w:val="auto"/>
          <w:kern w:val="0"/>
          <w:sz w:val="24"/>
          <w:szCs w:val="24"/>
          <w:lang w:val="en-US" w:eastAsia="zh-CN" w:bidi="ar"/>
        </w:rPr>
        <w:t>凝土</w:t>
      </w:r>
      <w:r>
        <w:rPr>
          <w:rFonts w:hint="eastAsia" w:ascii="宋体" w:hAnsi="宋体" w:eastAsia="宋体" w:cs="宋体"/>
          <w:color w:val="auto"/>
          <w:kern w:val="0"/>
          <w:sz w:val="24"/>
          <w:szCs w:val="24"/>
          <w:lang w:val="en-US" w:eastAsia="zh-CN" w:bidi="ar"/>
        </w:rPr>
        <w:t>搅拌、金属窗加工的高频噪声；大型建筑构件应在施工现场外预制，然后运到施工现场</w:t>
      </w:r>
      <w:r>
        <w:rPr>
          <w:rFonts w:hint="eastAsia" w:ascii="宋体" w:hAnsi="宋体" w:cs="宋体"/>
          <w:color w:val="auto"/>
          <w:kern w:val="0"/>
          <w:sz w:val="24"/>
          <w:szCs w:val="24"/>
          <w:lang w:val="en-US" w:eastAsia="zh-CN" w:bidi="ar"/>
        </w:rPr>
        <w:t>再</w:t>
      </w:r>
      <w:r>
        <w:rPr>
          <w:rFonts w:hint="eastAsia" w:ascii="宋体" w:hAnsi="宋体" w:eastAsia="宋体" w:cs="宋体"/>
          <w:color w:val="auto"/>
          <w:kern w:val="0"/>
          <w:sz w:val="24"/>
          <w:szCs w:val="24"/>
          <w:lang w:val="en-US" w:eastAsia="zh-CN" w:bidi="ar"/>
        </w:rPr>
        <w:t>进行安装；</w:t>
      </w:r>
    </w:p>
    <w:p w14:paraId="0057AE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default"/>
          <w:color w:val="auto"/>
          <w:lang w:val="en-US"/>
        </w:rPr>
      </w:pPr>
      <w:r>
        <w:rPr>
          <w:rFonts w:hint="eastAsia" w:ascii="宋体" w:hAnsi="宋体" w:eastAsia="宋体" w:cs="宋体"/>
          <w:color w:val="auto"/>
          <w:kern w:val="0"/>
          <w:sz w:val="24"/>
          <w:szCs w:val="24"/>
          <w:lang w:val="en-US" w:eastAsia="zh-CN" w:bidi="ar"/>
        </w:rPr>
        <w:t>⑦运输</w:t>
      </w:r>
      <w:r>
        <w:rPr>
          <w:rFonts w:hint="eastAsia" w:ascii="宋体" w:hAnsi="宋体" w:cs="宋体"/>
          <w:color w:val="auto"/>
          <w:kern w:val="0"/>
          <w:sz w:val="24"/>
          <w:szCs w:val="24"/>
          <w:lang w:val="en-US" w:eastAsia="zh-CN" w:bidi="ar"/>
        </w:rPr>
        <w:t>车辆</w:t>
      </w:r>
      <w:r>
        <w:rPr>
          <w:rFonts w:hint="eastAsia" w:ascii="宋体" w:hAnsi="宋体" w:eastAsia="宋体" w:cs="宋体"/>
          <w:color w:val="auto"/>
          <w:kern w:val="0"/>
          <w:sz w:val="24"/>
          <w:szCs w:val="24"/>
          <w:lang w:val="en-US" w:eastAsia="zh-CN" w:bidi="ar"/>
        </w:rPr>
        <w:t>进出施工现场应控制或禁止鸣笛，减少交通噪声</w:t>
      </w:r>
      <w:r>
        <w:rPr>
          <w:rFonts w:hint="eastAsia" w:ascii="宋体" w:hAnsi="宋体" w:cs="宋体"/>
          <w:color w:val="auto"/>
          <w:kern w:val="0"/>
          <w:sz w:val="24"/>
          <w:szCs w:val="24"/>
          <w:lang w:val="en-US" w:eastAsia="zh-CN" w:bidi="ar"/>
        </w:rPr>
        <w:t>；</w:t>
      </w:r>
    </w:p>
    <w:p w14:paraId="6C0CF6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eastAsia="宋体"/>
          <w:color w:val="auto"/>
          <w:lang w:eastAsia="zh-CN"/>
        </w:rPr>
      </w:pPr>
      <w:r>
        <w:rPr>
          <w:rFonts w:hint="eastAsia" w:ascii="宋体" w:hAnsi="宋体" w:eastAsia="宋体" w:cs="宋体"/>
          <w:color w:val="auto"/>
          <w:kern w:val="0"/>
          <w:sz w:val="24"/>
          <w:szCs w:val="24"/>
          <w:lang w:val="en-US" w:eastAsia="zh-CN" w:bidi="ar"/>
        </w:rPr>
        <w:t>⑧尽量选择柔性连接、基础减震方式减少设备产生的噪声</w:t>
      </w:r>
      <w:r>
        <w:rPr>
          <w:rFonts w:hint="eastAsia" w:ascii="宋体" w:hAnsi="宋体" w:cs="宋体"/>
          <w:color w:val="auto"/>
          <w:kern w:val="0"/>
          <w:sz w:val="24"/>
          <w:szCs w:val="24"/>
          <w:lang w:val="en-US" w:eastAsia="zh-CN" w:bidi="ar"/>
        </w:rPr>
        <w:t>；</w:t>
      </w:r>
    </w:p>
    <w:p w14:paraId="6759EF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default"/>
          <w:color w:val="auto"/>
        </w:rPr>
      </w:pPr>
      <w:r>
        <w:rPr>
          <w:rFonts w:hint="eastAsia" w:ascii="宋体" w:hAnsi="宋体" w:eastAsia="宋体" w:cs="宋体"/>
          <w:color w:val="auto"/>
          <w:kern w:val="0"/>
          <w:sz w:val="24"/>
          <w:szCs w:val="24"/>
          <w:lang w:val="en-US" w:eastAsia="zh-CN" w:bidi="ar"/>
        </w:rPr>
        <w:t>⑨合理安排施工时间，严禁在</w:t>
      </w:r>
      <w:r>
        <w:rPr>
          <w:rFonts w:hint="default" w:ascii="Times New Roman" w:hAnsi="Times New Roman" w:eastAsia="宋体" w:cs="Times New Roman"/>
          <w:color w:val="auto"/>
          <w:kern w:val="0"/>
          <w:sz w:val="24"/>
          <w:szCs w:val="24"/>
          <w:lang w:val="en-US" w:eastAsia="zh-CN" w:bidi="ar"/>
        </w:rPr>
        <w:t>12:00—14:00</w:t>
      </w:r>
      <w:r>
        <w:rPr>
          <w:rFonts w:hint="eastAsia" w:ascii="宋体" w:hAnsi="宋体" w:eastAsia="宋体" w:cs="宋体"/>
          <w:color w:val="auto"/>
          <w:kern w:val="0"/>
          <w:sz w:val="24"/>
          <w:szCs w:val="24"/>
          <w:lang w:val="en-US" w:eastAsia="zh-CN" w:bidi="ar"/>
        </w:rPr>
        <w:t>和</w:t>
      </w:r>
      <w:r>
        <w:rPr>
          <w:rFonts w:hint="default" w:ascii="Times New Roman" w:hAnsi="Times New Roman" w:eastAsia="宋体" w:cs="Times New Roman"/>
          <w:color w:val="auto"/>
          <w:kern w:val="0"/>
          <w:sz w:val="24"/>
          <w:szCs w:val="24"/>
          <w:lang w:val="en-US" w:eastAsia="zh-CN" w:bidi="ar"/>
        </w:rPr>
        <w:t>22:00~6:00</w:t>
      </w:r>
      <w:r>
        <w:rPr>
          <w:rFonts w:hint="eastAsia" w:ascii="宋体" w:hAnsi="宋体" w:eastAsia="宋体" w:cs="宋体"/>
          <w:color w:val="auto"/>
          <w:kern w:val="0"/>
          <w:sz w:val="24"/>
          <w:szCs w:val="24"/>
          <w:lang w:val="en-US" w:eastAsia="zh-CN" w:bidi="ar"/>
        </w:rPr>
        <w:t>施工。</w:t>
      </w:r>
    </w:p>
    <w:p w14:paraId="0DA457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2" w:firstLineChars="200"/>
        <w:jc w:val="left"/>
        <w:textAlignment w:val="auto"/>
        <w:rPr>
          <w:rFonts w:hint="default"/>
          <w:color w:val="auto"/>
        </w:rPr>
      </w:pPr>
      <w:r>
        <w:rPr>
          <w:rFonts w:hint="eastAsia" w:ascii="宋体" w:hAnsi="宋体" w:eastAsia="宋体" w:cs="宋体"/>
          <w:b/>
          <w:bCs/>
          <w:color w:val="auto"/>
          <w:kern w:val="0"/>
          <w:sz w:val="24"/>
          <w:szCs w:val="24"/>
          <w:lang w:val="en-US" w:eastAsia="zh-CN" w:bidi="ar"/>
        </w:rPr>
        <w:t>四、固体废物环保措施</w:t>
      </w:r>
    </w:p>
    <w:p w14:paraId="0199FD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default"/>
          <w:color w:val="auto"/>
          <w:highlight w:val="none"/>
        </w:rPr>
      </w:pPr>
      <w:r>
        <w:rPr>
          <w:rFonts w:hint="eastAsia" w:ascii="宋体" w:hAnsi="宋体" w:eastAsia="宋体" w:cs="宋体"/>
          <w:color w:val="auto"/>
          <w:kern w:val="0"/>
          <w:sz w:val="24"/>
          <w:szCs w:val="24"/>
          <w:highlight w:val="none"/>
          <w:lang w:val="en-US" w:eastAsia="zh-CN" w:bidi="ar"/>
        </w:rPr>
        <w:t>施工期固体废物主要为建筑垃圾、施工人员产生的生活垃圾。</w:t>
      </w:r>
      <w:r>
        <w:rPr>
          <w:rFonts w:hint="eastAsia" w:ascii="宋体" w:hAnsi="宋体" w:cs="宋体"/>
          <w:color w:val="auto"/>
          <w:kern w:val="0"/>
          <w:sz w:val="24"/>
          <w:szCs w:val="24"/>
          <w:highlight w:val="none"/>
          <w:lang w:val="en-US" w:eastAsia="zh-CN" w:bidi="ar"/>
        </w:rPr>
        <w:t>施工期的垃圾</w:t>
      </w:r>
      <w:r>
        <w:rPr>
          <w:rFonts w:hint="eastAsia" w:ascii="宋体" w:hAnsi="宋体" w:eastAsia="宋体" w:cs="宋体"/>
          <w:color w:val="auto"/>
          <w:kern w:val="0"/>
          <w:sz w:val="24"/>
          <w:szCs w:val="24"/>
          <w:highlight w:val="none"/>
          <w:lang w:val="en-US" w:eastAsia="zh-CN" w:bidi="ar"/>
        </w:rPr>
        <w:t>分类收集存放</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施工现场设置专用垃圾收集点，做好围挡遮盖，避免扬尘、雨水冲刷造成二次污染。</w:t>
      </w:r>
      <w:r>
        <w:rPr>
          <w:rFonts w:hint="default" w:ascii="Times New Roman" w:hAnsi="Times New Roman" w:eastAsia="宋体" w:cs="Times New Roman"/>
          <w:bCs/>
          <w:color w:val="auto"/>
          <w:kern w:val="44"/>
          <w:sz w:val="24"/>
          <w:szCs w:val="24"/>
          <w:highlight w:val="none"/>
        </w:rPr>
        <w:t>建筑垃圾主要是混凝土废料、废钢材、木材等，</w:t>
      </w:r>
      <w:r>
        <w:rPr>
          <w:rFonts w:hint="default" w:ascii="Times New Roman" w:hAnsi="Times New Roman" w:eastAsia="宋体" w:cs="Times New Roman"/>
          <w:bCs/>
          <w:color w:val="auto"/>
          <w:kern w:val="44"/>
          <w:sz w:val="24"/>
          <w:szCs w:val="24"/>
          <w:highlight w:val="none"/>
          <w:lang w:val="en-US" w:eastAsia="zh-CN"/>
        </w:rPr>
        <w:t>要求</w:t>
      </w:r>
      <w:r>
        <w:rPr>
          <w:rFonts w:hint="default" w:ascii="Times New Roman" w:hAnsi="Times New Roman" w:eastAsia="宋体" w:cs="Times New Roman"/>
          <w:bCs/>
          <w:color w:val="auto"/>
          <w:kern w:val="44"/>
          <w:sz w:val="24"/>
          <w:szCs w:val="24"/>
          <w:highlight w:val="none"/>
        </w:rPr>
        <w:t>建设单位对建筑垃圾进行分类处置，首先对钢板、木材等</w:t>
      </w:r>
      <w:r>
        <w:rPr>
          <w:rFonts w:hint="default" w:ascii="Times New Roman" w:hAnsi="Times New Roman" w:eastAsia="宋体" w:cs="Times New Roman"/>
          <w:bCs/>
          <w:color w:val="auto"/>
          <w:kern w:val="44"/>
          <w:sz w:val="24"/>
          <w:szCs w:val="24"/>
          <w:highlight w:val="none"/>
          <w:lang w:eastAsia="zh-CN"/>
        </w:rPr>
        <w:t>下脚料</w:t>
      </w:r>
      <w:r>
        <w:rPr>
          <w:rFonts w:hint="default" w:ascii="Times New Roman" w:hAnsi="Times New Roman" w:eastAsia="宋体" w:cs="Times New Roman"/>
          <w:bCs/>
          <w:color w:val="auto"/>
          <w:kern w:val="44"/>
          <w:sz w:val="24"/>
          <w:szCs w:val="24"/>
          <w:highlight w:val="none"/>
        </w:rPr>
        <w:t>进行分类回收利用；对混凝土废料、含砖、石、砂的杂土全部用于场地平整。生活垃圾主要为施工人员办公产生的生活垃圾，经收集后由</w:t>
      </w:r>
      <w:r>
        <w:rPr>
          <w:rFonts w:hint="default" w:ascii="Times New Roman" w:hAnsi="Times New Roman" w:eastAsia="宋体" w:cs="Times New Roman"/>
          <w:bCs/>
          <w:color w:val="auto"/>
          <w:kern w:val="44"/>
          <w:sz w:val="24"/>
          <w:szCs w:val="24"/>
          <w:highlight w:val="none"/>
          <w:lang w:val="en-US" w:eastAsia="zh-CN"/>
        </w:rPr>
        <w:t>环卫部门统一处置</w:t>
      </w:r>
      <w:r>
        <w:rPr>
          <w:rFonts w:hint="default" w:ascii="Times New Roman" w:hAnsi="Times New Roman" w:eastAsia="宋体" w:cs="Times New Roman"/>
          <w:bCs/>
          <w:color w:val="auto"/>
          <w:kern w:val="44"/>
          <w:sz w:val="24"/>
          <w:szCs w:val="24"/>
          <w:highlight w:val="none"/>
        </w:rPr>
        <w:t>。</w:t>
      </w:r>
      <w:r>
        <w:rPr>
          <w:rFonts w:hint="eastAsia" w:ascii="宋体" w:hAnsi="宋体" w:eastAsia="宋体" w:cs="宋体"/>
          <w:color w:val="auto"/>
          <w:kern w:val="0"/>
          <w:sz w:val="24"/>
          <w:szCs w:val="24"/>
          <w:highlight w:val="none"/>
          <w:lang w:val="en-US" w:eastAsia="zh-CN" w:bidi="ar"/>
        </w:rPr>
        <w:t>运输车辆密闭加盖，防止沿途撒漏；作业面做到工完场清，及时清理散落废渣</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val="en-US" w:eastAsia="zh-CN" w:bidi="ar"/>
        </w:rPr>
        <w:t>施工期环境影响是暂时的，随施工期的结束而消失。</w:t>
      </w:r>
    </w:p>
    <w:p w14:paraId="5D0981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2" w:firstLineChars="200"/>
        <w:jc w:val="left"/>
        <w:textAlignment w:val="auto"/>
        <w:rPr>
          <w:rFonts w:hint="default"/>
          <w:color w:val="auto"/>
        </w:rPr>
      </w:pPr>
      <w:r>
        <w:rPr>
          <w:rFonts w:hint="eastAsia" w:ascii="宋体" w:hAnsi="宋体" w:eastAsia="宋体" w:cs="宋体"/>
          <w:b/>
          <w:bCs/>
          <w:color w:val="auto"/>
          <w:kern w:val="0"/>
          <w:sz w:val="24"/>
          <w:szCs w:val="24"/>
          <w:lang w:val="en-US" w:eastAsia="zh-CN" w:bidi="ar"/>
        </w:rPr>
        <w:t>五、运输车辆、非道路移动机械环保措施</w:t>
      </w:r>
    </w:p>
    <w:p w14:paraId="202836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2" w:firstLineChars="200"/>
        <w:jc w:val="left"/>
        <w:textAlignment w:val="auto"/>
        <w:rPr>
          <w:rFonts w:hint="default"/>
          <w:color w:val="auto"/>
        </w:rPr>
      </w:pPr>
      <w:r>
        <w:rPr>
          <w:rFonts w:hint="eastAsia" w:ascii="宋体" w:hAnsi="宋体" w:eastAsia="宋体" w:cs="宋体"/>
          <w:b/>
          <w:bCs/>
          <w:color w:val="auto"/>
          <w:kern w:val="0"/>
          <w:sz w:val="24"/>
          <w:szCs w:val="24"/>
          <w:lang w:val="en-US" w:eastAsia="zh-CN" w:bidi="ar"/>
        </w:rPr>
        <w:t>（</w:t>
      </w:r>
      <w:r>
        <w:rPr>
          <w:rFonts w:hint="default" w:ascii="Times New Roman" w:hAnsi="Times New Roman" w:eastAsia="宋体" w:cs="Times New Roman"/>
          <w:b/>
          <w:bCs/>
          <w:color w:val="auto"/>
          <w:kern w:val="0"/>
          <w:sz w:val="24"/>
          <w:szCs w:val="24"/>
          <w:lang w:val="en-US" w:eastAsia="zh-CN" w:bidi="ar"/>
        </w:rPr>
        <w:t>1</w:t>
      </w:r>
      <w:r>
        <w:rPr>
          <w:rFonts w:hint="eastAsia" w:ascii="宋体" w:hAnsi="宋体" w:eastAsia="宋体" w:cs="宋体"/>
          <w:b/>
          <w:bCs/>
          <w:color w:val="auto"/>
          <w:kern w:val="0"/>
          <w:sz w:val="24"/>
          <w:szCs w:val="24"/>
          <w:lang w:val="en-US" w:eastAsia="zh-CN" w:bidi="ar"/>
        </w:rPr>
        <w:t>）施工期运输车辆的环保措施</w:t>
      </w:r>
    </w:p>
    <w:p w14:paraId="2293CE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default"/>
          <w:color w:val="auto"/>
        </w:rPr>
      </w:pPr>
      <w:r>
        <w:rPr>
          <w:rFonts w:hint="eastAsia" w:ascii="宋体" w:hAnsi="宋体" w:eastAsia="宋体" w:cs="宋体"/>
          <w:color w:val="auto"/>
          <w:kern w:val="0"/>
          <w:sz w:val="24"/>
          <w:szCs w:val="24"/>
          <w:lang w:val="en-US" w:eastAsia="zh-CN" w:bidi="ar"/>
        </w:rPr>
        <w:t>①工地出入口设置防止车辆带渣土出工地的设施，设置临时的洗车平台，进出场的车辆进行轮胎清洗工作；工地门卫设置扫把，车辆装运渣土符合规定，密封运输，不得超载超限，杜绝渣土运输车辆带泥土上路和抛洒滴漏现象；</w:t>
      </w:r>
    </w:p>
    <w:p w14:paraId="044271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default"/>
          <w:color w:val="auto"/>
        </w:rPr>
      </w:pPr>
      <w:r>
        <w:rPr>
          <w:rFonts w:hint="eastAsia" w:ascii="宋体" w:hAnsi="宋体" w:eastAsia="宋体" w:cs="宋体"/>
          <w:color w:val="auto"/>
          <w:kern w:val="0"/>
          <w:sz w:val="24"/>
          <w:szCs w:val="24"/>
          <w:lang w:val="en-US" w:eastAsia="zh-CN" w:bidi="ar"/>
        </w:rPr>
        <w:t>②派专人指挥运输车辆有序停放，保障车辆装卸作业安全；</w:t>
      </w:r>
    </w:p>
    <w:p w14:paraId="24D323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default"/>
          <w:color w:val="auto"/>
        </w:rPr>
      </w:pPr>
      <w:r>
        <w:rPr>
          <w:rFonts w:hint="eastAsia" w:ascii="宋体" w:hAnsi="宋体" w:eastAsia="宋体" w:cs="宋体"/>
          <w:color w:val="auto"/>
          <w:kern w:val="0"/>
          <w:sz w:val="24"/>
          <w:szCs w:val="24"/>
          <w:lang w:val="en-US" w:eastAsia="zh-CN" w:bidi="ar"/>
        </w:rPr>
        <w:t>③工地周边要设置硬质围挡，施工过程中对渣土车进行管理，防止污损，一旦发生污损，及时安排清理和整改；</w:t>
      </w:r>
    </w:p>
    <w:p w14:paraId="447C2D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default"/>
          <w:color w:val="auto"/>
        </w:rPr>
      </w:pPr>
      <w:r>
        <w:rPr>
          <w:rFonts w:hint="eastAsia" w:ascii="宋体" w:hAnsi="宋体" w:eastAsia="宋体" w:cs="宋体"/>
          <w:color w:val="auto"/>
          <w:kern w:val="0"/>
          <w:sz w:val="24"/>
          <w:szCs w:val="24"/>
          <w:lang w:val="en-US" w:eastAsia="zh-CN" w:bidi="ar"/>
        </w:rPr>
        <w:t>④运输物料、渣土、土方等车辆必须符合车辆使用规定，达标排放，鼓励使用新能源车辆；</w:t>
      </w:r>
    </w:p>
    <w:p w14:paraId="25F653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default"/>
          <w:color w:val="auto"/>
        </w:rPr>
      </w:pPr>
      <w:r>
        <w:rPr>
          <w:rFonts w:hint="eastAsia" w:ascii="宋体" w:hAnsi="宋体" w:eastAsia="宋体" w:cs="宋体"/>
          <w:color w:val="auto"/>
          <w:kern w:val="0"/>
          <w:sz w:val="24"/>
          <w:szCs w:val="24"/>
          <w:lang w:val="en-US" w:eastAsia="zh-CN" w:bidi="ar"/>
        </w:rPr>
        <w:t>⑤车厢必须全部密闭，要做到运输车辆“三不进两不出”（不达标禁止进入、无牌无照禁止进入、密闭装置损坏禁止进入；车厢未密闭禁止驶出、车身不洁禁止驶出）；</w:t>
      </w:r>
    </w:p>
    <w:p w14:paraId="7117E7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default"/>
          <w:color w:val="auto"/>
        </w:rPr>
      </w:pPr>
      <w:r>
        <w:rPr>
          <w:rFonts w:hint="eastAsia" w:ascii="宋体" w:hAnsi="宋体" w:eastAsia="宋体" w:cs="宋体"/>
          <w:color w:val="auto"/>
          <w:kern w:val="0"/>
          <w:sz w:val="24"/>
          <w:szCs w:val="24"/>
          <w:lang w:val="en-US" w:eastAsia="zh-CN" w:bidi="ar"/>
        </w:rPr>
        <w:t>⑥运送砂石、各类粉状物、建筑垃圾及渣土的车辆必须按指定的线路和</w:t>
      </w:r>
      <w:r>
        <w:rPr>
          <w:rFonts w:hint="eastAsia" w:ascii="宋体" w:hAnsi="宋体" w:cs="宋体"/>
          <w:color w:val="auto"/>
          <w:kern w:val="0"/>
          <w:sz w:val="24"/>
          <w:szCs w:val="24"/>
          <w:lang w:val="en-US" w:eastAsia="zh-CN" w:bidi="ar"/>
        </w:rPr>
        <w:t>荷载</w:t>
      </w:r>
      <w:r>
        <w:rPr>
          <w:rFonts w:hint="eastAsia" w:ascii="宋体" w:hAnsi="宋体" w:eastAsia="宋体" w:cs="宋体"/>
          <w:color w:val="auto"/>
          <w:kern w:val="0"/>
          <w:sz w:val="24"/>
          <w:szCs w:val="24"/>
          <w:lang w:val="en-US" w:eastAsia="zh-CN" w:bidi="ar"/>
        </w:rPr>
        <w:t>吨位运输；</w:t>
      </w:r>
    </w:p>
    <w:p w14:paraId="6983B6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default"/>
          <w:color w:val="auto"/>
        </w:rPr>
      </w:pPr>
      <w:r>
        <w:rPr>
          <w:rFonts w:hint="eastAsia" w:ascii="宋体" w:hAnsi="宋体" w:eastAsia="宋体" w:cs="宋体"/>
          <w:color w:val="auto"/>
          <w:kern w:val="0"/>
          <w:sz w:val="24"/>
          <w:szCs w:val="24"/>
          <w:lang w:val="en-US" w:eastAsia="zh-CN" w:bidi="ar"/>
        </w:rPr>
        <w:t>⑦车辆装卸时要喷雾降尘，并安排专人清扫散落的渣土。建筑垃圾运输车辆应安装行车记录仪与车辆定位系统。</w:t>
      </w:r>
    </w:p>
    <w:p w14:paraId="7CF2CC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2" w:firstLineChars="200"/>
        <w:jc w:val="left"/>
        <w:textAlignment w:val="auto"/>
        <w:rPr>
          <w:rFonts w:hint="default"/>
          <w:color w:val="auto"/>
        </w:rPr>
      </w:pPr>
      <w:r>
        <w:rPr>
          <w:rFonts w:hint="eastAsia" w:ascii="宋体" w:hAnsi="宋体" w:eastAsia="宋体" w:cs="宋体"/>
          <w:b/>
          <w:bCs/>
          <w:color w:val="auto"/>
          <w:kern w:val="0"/>
          <w:sz w:val="24"/>
          <w:szCs w:val="24"/>
          <w:lang w:val="en-US" w:eastAsia="zh-CN" w:bidi="ar"/>
        </w:rPr>
        <w:t>（</w:t>
      </w:r>
      <w:r>
        <w:rPr>
          <w:rFonts w:hint="default" w:ascii="Times New Roman" w:hAnsi="Times New Roman" w:eastAsia="宋体" w:cs="Times New Roman"/>
          <w:b/>
          <w:bCs/>
          <w:color w:val="auto"/>
          <w:kern w:val="0"/>
          <w:sz w:val="24"/>
          <w:szCs w:val="24"/>
          <w:lang w:val="en-US" w:eastAsia="zh-CN" w:bidi="ar"/>
        </w:rPr>
        <w:t>2</w:t>
      </w:r>
      <w:r>
        <w:rPr>
          <w:rFonts w:hint="eastAsia" w:ascii="宋体" w:hAnsi="宋体" w:eastAsia="宋体" w:cs="宋体"/>
          <w:b/>
          <w:bCs/>
          <w:color w:val="auto"/>
          <w:kern w:val="0"/>
          <w:sz w:val="24"/>
          <w:szCs w:val="24"/>
          <w:lang w:val="en-US" w:eastAsia="zh-CN" w:bidi="ar"/>
        </w:rPr>
        <w:t>）施工期非道路移动机械的环保措施</w:t>
      </w:r>
    </w:p>
    <w:p w14:paraId="3948E7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default"/>
          <w:color w:val="auto"/>
        </w:rPr>
      </w:pPr>
      <w:r>
        <w:rPr>
          <w:rFonts w:hint="eastAsia" w:ascii="宋体" w:hAnsi="宋体" w:eastAsia="宋体" w:cs="宋体"/>
          <w:color w:val="auto"/>
          <w:kern w:val="0"/>
          <w:sz w:val="24"/>
          <w:szCs w:val="24"/>
          <w:lang w:val="en-US" w:eastAsia="zh-CN" w:bidi="ar"/>
        </w:rPr>
        <w:t>①施工工地不得使用国Ⅲ以下排放标准、未在生态环境部门编码登记和悬挂环保号牌、冒黑烟等超标排放的非道路移动机械；</w:t>
      </w:r>
    </w:p>
    <w:p w14:paraId="4524BC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②对投入使用或进入施工现场的非道路移动机械，施工单位应向生态环境部门登记报备计划使用的非道路移动机械相关信息，同时报</w:t>
      </w:r>
      <w:r>
        <w:rPr>
          <w:rFonts w:hint="eastAsia" w:ascii="宋体" w:hAnsi="宋体" w:cs="宋体"/>
          <w:color w:val="auto"/>
          <w:kern w:val="0"/>
          <w:sz w:val="24"/>
          <w:szCs w:val="24"/>
          <w:lang w:val="en-US" w:eastAsia="zh-CN" w:bidi="ar"/>
        </w:rPr>
        <w:t>相关</w:t>
      </w:r>
      <w:r>
        <w:rPr>
          <w:rFonts w:hint="eastAsia" w:ascii="宋体" w:hAnsi="宋体" w:eastAsia="宋体" w:cs="宋体"/>
          <w:color w:val="auto"/>
          <w:kern w:val="0"/>
          <w:sz w:val="24"/>
          <w:szCs w:val="24"/>
          <w:lang w:val="en-US" w:eastAsia="zh-CN" w:bidi="ar"/>
        </w:rPr>
        <w:t>部门，实行机械进出场登记，同时建立机械使用管理台账。</w:t>
      </w:r>
    </w:p>
    <w:p w14:paraId="181A8C32">
      <w:pPr>
        <w:adjustRightInd w:val="0"/>
        <w:snapToGrid w:val="0"/>
        <w:spacing w:line="480" w:lineRule="atLeast"/>
        <w:ind w:firstLine="480" w:firstLineChars="200"/>
        <w:rPr>
          <w:rFonts w:hint="default" w:ascii="Times New Roman" w:hAnsi="Times New Roman" w:eastAsia="宋体" w:cs="Times New Roman"/>
          <w:bCs/>
          <w:color w:val="auto"/>
          <w:kern w:val="44"/>
          <w:sz w:val="24"/>
          <w:szCs w:val="24"/>
          <w:highlight w:val="none"/>
        </w:rPr>
      </w:pPr>
    </w:p>
    <w:p w14:paraId="633D16D5">
      <w:pPr>
        <w:bidi w:val="0"/>
        <w:jc w:val="both"/>
        <w:rPr>
          <w:rFonts w:hint="default" w:ascii="Times New Roman" w:hAnsi="Times New Roman" w:eastAsia="宋体" w:cs="Times New Roman"/>
          <w:bCs/>
          <w:color w:val="auto"/>
          <w:kern w:val="44"/>
          <w:sz w:val="24"/>
          <w:szCs w:val="24"/>
          <w:highlight w:val="none"/>
        </w:rPr>
      </w:pPr>
    </w:p>
    <w:p w14:paraId="353CC2FE">
      <w:pPr>
        <w:bidi w:val="0"/>
        <w:jc w:val="both"/>
        <w:rPr>
          <w:rFonts w:hint="default" w:ascii="Times New Roman" w:hAnsi="Times New Roman" w:eastAsia="宋体" w:cs="Times New Roman"/>
          <w:bCs/>
          <w:color w:val="auto"/>
          <w:kern w:val="44"/>
          <w:sz w:val="24"/>
          <w:szCs w:val="24"/>
          <w:highlight w:val="none"/>
        </w:rPr>
      </w:pPr>
    </w:p>
    <w:p w14:paraId="71DDA1A0">
      <w:pPr>
        <w:pStyle w:val="80"/>
        <w:spacing w:line="480" w:lineRule="exact"/>
        <w:ind w:firstLine="602" w:firstLineChars="200"/>
        <w:jc w:val="center"/>
        <w:rPr>
          <w:rFonts w:hint="default" w:eastAsia="宋体"/>
          <w:kern w:val="0"/>
          <w:lang w:val="en-US" w:eastAsia="zh-CN"/>
        </w:rPr>
      </w:pPr>
      <w:r>
        <w:rPr>
          <w:rFonts w:hint="eastAsia" w:ascii="宋体" w:hAnsi="宋体" w:eastAsia="宋体" w:cs="Times New Roman"/>
          <w:b/>
          <w:bCs/>
          <w:color w:val="000000" w:themeColor="text1"/>
          <w:kern w:val="0"/>
          <w:sz w:val="30"/>
          <w:szCs w:val="30"/>
          <w:lang w:val="en-US" w:eastAsia="zh-CN" w:bidi="ar-SA"/>
          <w14:textFill>
            <w14:solidFill>
              <w14:schemeClr w14:val="tx1"/>
            </w14:solidFill>
          </w14:textFill>
        </w:rPr>
        <w:t>营运期</w:t>
      </w:r>
    </w:p>
    <w:tbl>
      <w:tblPr>
        <w:tblStyle w:val="24"/>
        <w:tblW w:w="507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816"/>
        <w:gridCol w:w="2401"/>
        <w:gridCol w:w="1780"/>
        <w:gridCol w:w="2513"/>
        <w:gridCol w:w="5862"/>
      </w:tblGrid>
      <w:tr w14:paraId="426E0D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632" w:type="pct"/>
            <w:noWrap w:val="0"/>
            <w:vAlign w:val="center"/>
          </w:tcPr>
          <w:p w14:paraId="44FFBF08">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内容要素</w:t>
            </w:r>
          </w:p>
        </w:tc>
        <w:tc>
          <w:tcPr>
            <w:tcW w:w="835" w:type="pct"/>
            <w:noWrap w:val="0"/>
            <w:vAlign w:val="center"/>
          </w:tcPr>
          <w:p w14:paraId="78EB5A6D">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排放口(编号、</w:t>
            </w:r>
          </w:p>
          <w:p w14:paraId="3231F933">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名称)/污染源</w:t>
            </w:r>
          </w:p>
        </w:tc>
        <w:tc>
          <w:tcPr>
            <w:tcW w:w="619" w:type="pct"/>
            <w:noWrap w:val="0"/>
            <w:vAlign w:val="center"/>
          </w:tcPr>
          <w:p w14:paraId="1B84776B">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污染物</w:t>
            </w:r>
          </w:p>
        </w:tc>
        <w:tc>
          <w:tcPr>
            <w:tcW w:w="874" w:type="pct"/>
            <w:noWrap w:val="0"/>
            <w:vAlign w:val="center"/>
          </w:tcPr>
          <w:p w14:paraId="11BDCEF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环境保护措施</w:t>
            </w:r>
          </w:p>
        </w:tc>
        <w:tc>
          <w:tcPr>
            <w:tcW w:w="2038" w:type="pct"/>
            <w:noWrap w:val="0"/>
            <w:vAlign w:val="center"/>
          </w:tcPr>
          <w:p w14:paraId="1090A3E0">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执行标准</w:t>
            </w:r>
          </w:p>
        </w:tc>
      </w:tr>
      <w:tr w14:paraId="11FE2F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2" w:hRule="atLeast"/>
          <w:jc w:val="center"/>
        </w:trPr>
        <w:tc>
          <w:tcPr>
            <w:tcW w:w="632" w:type="pct"/>
            <w:vMerge w:val="restart"/>
            <w:noWrap w:val="0"/>
            <w:vAlign w:val="center"/>
          </w:tcPr>
          <w:p w14:paraId="5C1CB17A">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大气环境</w:t>
            </w:r>
          </w:p>
        </w:tc>
        <w:tc>
          <w:tcPr>
            <w:tcW w:w="835" w:type="pct"/>
            <w:tcBorders>
              <w:top w:val="single" w:color="auto" w:sz="4" w:space="0"/>
              <w:bottom w:val="single" w:color="auto" w:sz="4" w:space="0"/>
            </w:tcBorders>
            <w:noWrap w:val="0"/>
            <w:vAlign w:val="center"/>
          </w:tcPr>
          <w:p w14:paraId="54518116">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textAlignment w:val="auto"/>
              <w:rPr>
                <w:rFonts w:hint="default" w:ascii="Times New Roman" w:hAnsi="Times New Roman" w:cs="Times New Roman"/>
                <w:color w:val="auto"/>
                <w:sz w:val="21"/>
                <w:szCs w:val="21"/>
              </w:rPr>
            </w:pPr>
            <w:r>
              <w:rPr>
                <w:rFonts w:hint="eastAsia" w:cs="Times New Roman"/>
                <w:color w:val="auto"/>
                <w:sz w:val="21"/>
                <w:szCs w:val="21"/>
                <w:lang w:val="en-US" w:eastAsia="zh-CN"/>
              </w:rPr>
              <w:t>一期</w:t>
            </w:r>
            <w:r>
              <w:rPr>
                <w:rFonts w:hint="default" w:ascii="Times New Roman" w:hAnsi="Times New Roman" w:cs="Times New Roman"/>
                <w:color w:val="auto"/>
                <w:sz w:val="21"/>
                <w:szCs w:val="21"/>
                <w:lang w:val="en-US" w:eastAsia="zh-CN"/>
              </w:rPr>
              <w:t>烘干、破碎、</w:t>
            </w:r>
            <w:r>
              <w:rPr>
                <w:rFonts w:hint="eastAsia" w:cs="Times New Roman"/>
                <w:color w:val="auto"/>
                <w:sz w:val="21"/>
                <w:szCs w:val="21"/>
                <w:lang w:val="en-US" w:eastAsia="zh-CN"/>
              </w:rPr>
              <w:t>筛分</w:t>
            </w:r>
            <w:r>
              <w:rPr>
                <w:rFonts w:hint="default" w:ascii="Times New Roman" w:hAnsi="Times New Roman" w:cs="Times New Roman"/>
                <w:color w:val="auto"/>
                <w:sz w:val="21"/>
                <w:szCs w:val="21"/>
                <w:lang w:val="en-US" w:eastAsia="zh-CN"/>
              </w:rPr>
              <w:t>包装排放口DA00</w:t>
            </w:r>
            <w:r>
              <w:rPr>
                <w:rFonts w:hint="eastAsia" w:cs="Times New Roman"/>
                <w:color w:val="auto"/>
                <w:sz w:val="21"/>
                <w:szCs w:val="21"/>
                <w:lang w:val="en-US" w:eastAsia="zh-CN"/>
              </w:rPr>
              <w:t>1</w:t>
            </w:r>
          </w:p>
        </w:tc>
        <w:tc>
          <w:tcPr>
            <w:tcW w:w="619" w:type="pct"/>
            <w:vMerge w:val="restart"/>
            <w:tcBorders>
              <w:top w:val="single" w:color="auto" w:sz="4" w:space="0"/>
            </w:tcBorders>
            <w:noWrap w:val="0"/>
            <w:vAlign w:val="center"/>
          </w:tcPr>
          <w:p w14:paraId="1F09F49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颗粒物</w:t>
            </w:r>
          </w:p>
        </w:tc>
        <w:tc>
          <w:tcPr>
            <w:tcW w:w="874" w:type="pct"/>
            <w:vMerge w:val="restart"/>
            <w:tcBorders>
              <w:top w:val="single" w:color="auto" w:sz="4" w:space="0"/>
            </w:tcBorders>
            <w:noWrap w:val="0"/>
            <w:vAlign w:val="center"/>
          </w:tcPr>
          <w:p w14:paraId="01CE316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rPr>
            </w:pPr>
            <w:r>
              <w:rPr>
                <w:rFonts w:hint="eastAsia" w:ascii="Times New Roman" w:hAnsi="Times New Roman" w:cs="Times New Roman"/>
                <w:color w:val="auto"/>
                <w:sz w:val="21"/>
                <w:szCs w:val="21"/>
                <w:highlight w:val="none"/>
                <w:lang w:val="en-US" w:eastAsia="zh-CN"/>
              </w:rPr>
              <w:t>烘干烟气经旋风除尘器+袋式除尘器处理，破碎筛分包装废气经袋式除尘器处理，处理后的废气经一根15m高排气筒排放</w:t>
            </w:r>
          </w:p>
        </w:tc>
        <w:tc>
          <w:tcPr>
            <w:tcW w:w="2038" w:type="pct"/>
            <w:vMerge w:val="restart"/>
            <w:tcBorders>
              <w:top w:val="single" w:color="auto" w:sz="4" w:space="0"/>
            </w:tcBorders>
            <w:noWrap w:val="0"/>
            <w:vAlign w:val="center"/>
          </w:tcPr>
          <w:p w14:paraId="42EB324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kern w:val="0"/>
                <w:sz w:val="21"/>
                <w:szCs w:val="21"/>
                <w:lang w:val="en-US" w:eastAsia="zh-CN"/>
              </w:rPr>
              <w:t>污染物排放限值执行</w:t>
            </w:r>
            <w:r>
              <w:rPr>
                <w:rFonts w:hint="default" w:ascii="Times New Roman" w:hAnsi="Times New Roman" w:eastAsia="宋体" w:cs="Times New Roman"/>
                <w:color w:val="auto"/>
                <w:kern w:val="0"/>
                <w:sz w:val="21"/>
                <w:szCs w:val="21"/>
                <w:lang w:val="en-US" w:eastAsia="zh-CN"/>
              </w:rPr>
              <w:t>《</w:t>
            </w:r>
            <w:r>
              <w:rPr>
                <w:rFonts w:hint="eastAsia" w:ascii="Times New Roman" w:hAnsi="Times New Roman" w:cs="Times New Roman"/>
                <w:color w:val="auto"/>
                <w:kern w:val="0"/>
                <w:sz w:val="21"/>
                <w:szCs w:val="21"/>
                <w:lang w:val="en-US" w:eastAsia="zh-CN"/>
              </w:rPr>
              <w:t>工业炉窑大气污染物排放</w:t>
            </w:r>
            <w:r>
              <w:rPr>
                <w:rFonts w:hint="default" w:ascii="Times New Roman" w:hAnsi="Times New Roman" w:eastAsia="宋体" w:cs="Times New Roman"/>
                <w:color w:val="auto"/>
                <w:kern w:val="0"/>
                <w:sz w:val="21"/>
                <w:szCs w:val="21"/>
                <w:lang w:val="en-US" w:eastAsia="zh-CN"/>
              </w:rPr>
              <w:t>标准》</w:t>
            </w:r>
            <w:r>
              <w:rPr>
                <w:rFonts w:hint="eastAsia" w:ascii="Times New Roman" w:hAnsi="Times New Roman" w:cs="Times New Roman"/>
                <w:color w:val="auto"/>
                <w:kern w:val="0"/>
                <w:sz w:val="21"/>
                <w:szCs w:val="21"/>
                <w:lang w:val="en-US" w:eastAsia="zh-CN"/>
              </w:rPr>
              <w:t>GB9078-1996，企业承诺排放限值要求执行</w:t>
            </w:r>
            <w:r>
              <w:rPr>
                <w:rFonts w:hint="default" w:ascii="Times New Roman" w:hAnsi="Times New Roman" w:eastAsia="宋体" w:cs="Times New Roman"/>
                <w:color w:val="auto"/>
                <w:kern w:val="0"/>
                <w:sz w:val="21"/>
                <w:szCs w:val="21"/>
                <w:lang w:val="en-US" w:eastAsia="zh-CN"/>
              </w:rPr>
              <w:t>《活性炭工业污染物排放标准》</w:t>
            </w:r>
            <w:r>
              <w:rPr>
                <w:rFonts w:hint="eastAsia" w:ascii="Times New Roman" w:hAnsi="Times New Roman" w:cs="Times New Roman"/>
                <w:color w:val="auto"/>
                <w:kern w:val="0"/>
                <w:sz w:val="21"/>
                <w:szCs w:val="21"/>
                <w:lang w:val="en-US" w:eastAsia="zh-CN"/>
              </w:rPr>
              <w:t>（</w:t>
            </w:r>
            <w:r>
              <w:rPr>
                <w:rFonts w:hint="default" w:ascii="Times New Roman" w:hAnsi="Times New Roman" w:eastAsia="宋体" w:cs="Times New Roman"/>
                <w:color w:val="auto"/>
                <w:kern w:val="0"/>
                <w:sz w:val="21"/>
                <w:szCs w:val="21"/>
                <w:lang w:val="en-US" w:eastAsia="zh-CN"/>
              </w:rPr>
              <w:t>征求意见稿</w:t>
            </w:r>
            <w:r>
              <w:rPr>
                <w:rFonts w:hint="eastAsia" w:ascii="Times New Roman" w:hAnsi="Times New Roman" w:cs="Times New Roman"/>
                <w:color w:val="auto"/>
                <w:kern w:val="0"/>
                <w:sz w:val="21"/>
                <w:szCs w:val="21"/>
                <w:lang w:val="en-US" w:eastAsia="zh-CN"/>
              </w:rPr>
              <w:t>）</w:t>
            </w:r>
          </w:p>
        </w:tc>
      </w:tr>
      <w:tr w14:paraId="1885EA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2" w:hRule="atLeast"/>
          <w:jc w:val="center"/>
        </w:trPr>
        <w:tc>
          <w:tcPr>
            <w:tcW w:w="632" w:type="pct"/>
            <w:vMerge w:val="continue"/>
            <w:noWrap w:val="0"/>
            <w:vAlign w:val="center"/>
          </w:tcPr>
          <w:p w14:paraId="00D5B807">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textAlignment w:val="auto"/>
              <w:rPr>
                <w:rFonts w:hint="default"/>
                <w:color w:val="auto"/>
              </w:rPr>
            </w:pPr>
          </w:p>
        </w:tc>
        <w:tc>
          <w:tcPr>
            <w:tcW w:w="835" w:type="pct"/>
            <w:tcBorders>
              <w:top w:val="single" w:color="auto" w:sz="4" w:space="0"/>
              <w:bottom w:val="single" w:color="auto" w:sz="4" w:space="0"/>
            </w:tcBorders>
            <w:noWrap w:val="0"/>
            <w:vAlign w:val="center"/>
          </w:tcPr>
          <w:p w14:paraId="4BD9AE0C">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textAlignment w:val="auto"/>
              <w:rPr>
                <w:rFonts w:hint="eastAsia" w:cs="Times New Roman"/>
                <w:color w:val="auto"/>
                <w:sz w:val="21"/>
                <w:szCs w:val="21"/>
                <w:lang w:val="en-US" w:eastAsia="zh-CN"/>
              </w:rPr>
            </w:pPr>
            <w:r>
              <w:rPr>
                <w:rFonts w:hint="eastAsia" w:cs="Times New Roman"/>
                <w:color w:val="auto"/>
                <w:sz w:val="21"/>
                <w:szCs w:val="21"/>
                <w:lang w:val="en-US" w:eastAsia="zh-CN"/>
              </w:rPr>
              <w:t>二期</w:t>
            </w:r>
            <w:r>
              <w:rPr>
                <w:rFonts w:hint="default" w:ascii="Times New Roman" w:hAnsi="Times New Roman" w:cs="Times New Roman"/>
                <w:color w:val="auto"/>
                <w:sz w:val="21"/>
                <w:szCs w:val="21"/>
                <w:lang w:val="en-US" w:eastAsia="zh-CN"/>
              </w:rPr>
              <w:t>烘干、破碎、</w:t>
            </w:r>
            <w:r>
              <w:rPr>
                <w:rFonts w:hint="eastAsia" w:cs="Times New Roman"/>
                <w:color w:val="auto"/>
                <w:sz w:val="21"/>
                <w:szCs w:val="21"/>
                <w:lang w:val="en-US" w:eastAsia="zh-CN"/>
              </w:rPr>
              <w:t>筛分</w:t>
            </w:r>
            <w:r>
              <w:rPr>
                <w:rFonts w:hint="default" w:ascii="Times New Roman" w:hAnsi="Times New Roman" w:cs="Times New Roman"/>
                <w:color w:val="auto"/>
                <w:sz w:val="21"/>
                <w:szCs w:val="21"/>
                <w:lang w:val="en-US" w:eastAsia="zh-CN"/>
              </w:rPr>
              <w:t>包装排放口DA00</w:t>
            </w:r>
            <w:r>
              <w:rPr>
                <w:rFonts w:hint="eastAsia" w:cs="Times New Roman"/>
                <w:color w:val="auto"/>
                <w:sz w:val="21"/>
                <w:szCs w:val="21"/>
                <w:lang w:val="en-US" w:eastAsia="zh-CN"/>
              </w:rPr>
              <w:t>2</w:t>
            </w:r>
          </w:p>
        </w:tc>
        <w:tc>
          <w:tcPr>
            <w:tcW w:w="619" w:type="pct"/>
            <w:vMerge w:val="continue"/>
            <w:tcBorders>
              <w:bottom w:val="single" w:color="auto" w:sz="4" w:space="0"/>
            </w:tcBorders>
            <w:noWrap w:val="0"/>
            <w:vAlign w:val="center"/>
          </w:tcPr>
          <w:p w14:paraId="51670F60">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textAlignment w:val="auto"/>
              <w:rPr>
                <w:rFonts w:hint="eastAsia" w:cs="Times New Roman"/>
                <w:color w:val="auto"/>
                <w:sz w:val="21"/>
                <w:szCs w:val="21"/>
                <w:lang w:val="en-US" w:eastAsia="zh-CN"/>
              </w:rPr>
            </w:pPr>
          </w:p>
        </w:tc>
        <w:tc>
          <w:tcPr>
            <w:tcW w:w="874" w:type="pct"/>
            <w:vMerge w:val="continue"/>
            <w:tcBorders>
              <w:bottom w:val="single" w:color="auto" w:sz="4" w:space="0"/>
            </w:tcBorders>
            <w:noWrap w:val="0"/>
            <w:vAlign w:val="center"/>
          </w:tcPr>
          <w:p w14:paraId="4442F965">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textAlignment w:val="auto"/>
              <w:rPr>
                <w:rFonts w:hint="eastAsia" w:cs="Times New Roman"/>
                <w:color w:val="auto"/>
                <w:sz w:val="21"/>
                <w:szCs w:val="21"/>
                <w:lang w:val="en-US" w:eastAsia="zh-CN"/>
              </w:rPr>
            </w:pPr>
          </w:p>
        </w:tc>
        <w:tc>
          <w:tcPr>
            <w:tcW w:w="2038" w:type="pct"/>
            <w:vMerge w:val="continue"/>
            <w:noWrap w:val="0"/>
            <w:vAlign w:val="center"/>
          </w:tcPr>
          <w:p w14:paraId="0B39AAE7">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0" w:firstLineChars="0"/>
              <w:textAlignment w:val="auto"/>
              <w:rPr>
                <w:rFonts w:hint="eastAsia" w:cs="Times New Roman"/>
                <w:color w:val="auto"/>
                <w:sz w:val="21"/>
                <w:szCs w:val="21"/>
                <w:lang w:val="en-US" w:eastAsia="zh-CN"/>
              </w:rPr>
            </w:pPr>
          </w:p>
        </w:tc>
      </w:tr>
      <w:tr w14:paraId="2A18C5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32" w:type="pct"/>
            <w:vMerge w:val="continue"/>
            <w:noWrap w:val="0"/>
            <w:vAlign w:val="center"/>
          </w:tcPr>
          <w:p w14:paraId="4523633B">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p>
        </w:tc>
        <w:tc>
          <w:tcPr>
            <w:tcW w:w="835" w:type="pct"/>
            <w:tcBorders>
              <w:top w:val="single" w:color="auto" w:sz="4" w:space="0"/>
              <w:bottom w:val="single" w:color="auto" w:sz="4" w:space="0"/>
            </w:tcBorders>
            <w:noWrap w:val="0"/>
            <w:vAlign w:val="center"/>
          </w:tcPr>
          <w:p w14:paraId="472BA9BC">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textAlignment w:val="auto"/>
              <w:rPr>
                <w:rFonts w:hint="eastAsia" w:cs="Times New Roman"/>
                <w:color w:val="auto"/>
                <w:sz w:val="21"/>
                <w:szCs w:val="21"/>
                <w:lang w:val="en-US" w:eastAsia="zh-CN"/>
              </w:rPr>
            </w:pPr>
            <w:r>
              <w:rPr>
                <w:rFonts w:hint="eastAsia" w:cs="Times New Roman"/>
                <w:color w:val="auto"/>
                <w:sz w:val="21"/>
                <w:szCs w:val="21"/>
                <w:lang w:val="en-US" w:eastAsia="zh-CN"/>
              </w:rPr>
              <w:t>厂界</w:t>
            </w:r>
          </w:p>
          <w:p w14:paraId="07DEA83B">
            <w:pPr>
              <w:pStyle w:val="9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firstLine="0" w:firstLineChars="0"/>
              <w:textAlignment w:val="auto"/>
              <w:rPr>
                <w:rFonts w:hint="default" w:cs="Times New Roman"/>
                <w:color w:val="auto"/>
                <w:sz w:val="21"/>
                <w:szCs w:val="21"/>
                <w:lang w:val="en-US" w:eastAsia="zh-CN"/>
              </w:rPr>
            </w:pPr>
            <w:r>
              <w:rPr>
                <w:rFonts w:hint="eastAsia" w:cs="Times New Roman"/>
                <w:color w:val="auto"/>
                <w:sz w:val="21"/>
                <w:szCs w:val="21"/>
                <w:lang w:val="en-US" w:eastAsia="zh-CN"/>
              </w:rPr>
              <w:t>无组织废气</w:t>
            </w:r>
          </w:p>
        </w:tc>
        <w:tc>
          <w:tcPr>
            <w:tcW w:w="619" w:type="pct"/>
            <w:tcBorders>
              <w:top w:val="single" w:color="auto" w:sz="4" w:space="0"/>
              <w:bottom w:val="single" w:color="auto" w:sz="4" w:space="0"/>
            </w:tcBorders>
            <w:noWrap w:val="0"/>
            <w:vAlign w:val="center"/>
          </w:tcPr>
          <w:p w14:paraId="6220A3F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颗粒物</w:t>
            </w:r>
          </w:p>
        </w:tc>
        <w:tc>
          <w:tcPr>
            <w:tcW w:w="874" w:type="pct"/>
            <w:tcBorders>
              <w:top w:val="single" w:color="auto" w:sz="4" w:space="0"/>
              <w:bottom w:val="single" w:color="auto" w:sz="4" w:space="0"/>
            </w:tcBorders>
            <w:noWrap w:val="0"/>
            <w:vAlign w:val="center"/>
          </w:tcPr>
          <w:p w14:paraId="20F1278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厂房密闭、物料封闭廊道输送</w:t>
            </w:r>
          </w:p>
        </w:tc>
        <w:tc>
          <w:tcPr>
            <w:tcW w:w="2038" w:type="pct"/>
            <w:tcBorders>
              <w:top w:val="single" w:color="auto" w:sz="4" w:space="0"/>
            </w:tcBorders>
            <w:noWrap w:val="0"/>
            <w:vAlign w:val="center"/>
          </w:tcPr>
          <w:p w14:paraId="4F811C63">
            <w:pPr>
              <w:keepNext w:val="0"/>
              <w:keepLines w:val="0"/>
              <w:suppressLineNumbers w:val="0"/>
              <w:adjustRightInd w:val="0"/>
              <w:snapToGrid w:val="0"/>
              <w:spacing w:before="0" w:beforeAutospacing="0" w:after="0" w:afterAutospacing="0" w:line="240" w:lineRule="auto"/>
              <w:ind w:left="0" w:right="0" w:firstLine="0" w:firstLineChars="0"/>
              <w:jc w:val="both"/>
              <w:rPr>
                <w:rFonts w:hint="eastAsia" w:ascii="Times New Roman" w:hAnsi="Times New Roman" w:cs="Times New Roman"/>
                <w:color w:val="auto"/>
                <w:kern w:val="0"/>
                <w:sz w:val="21"/>
                <w:szCs w:val="21"/>
                <w:lang w:val="en-US" w:eastAsia="zh-CN"/>
              </w:rPr>
            </w:pPr>
            <w:r>
              <w:rPr>
                <w:rFonts w:hint="default" w:ascii="Times New Roman" w:hAnsi="Times New Roman" w:cs="Times New Roman"/>
                <w:color w:val="auto"/>
                <w:sz w:val="21"/>
                <w:szCs w:val="21"/>
              </w:rPr>
              <w:t>《大气污染物综合排放标准》（GB16297-1996）</w:t>
            </w:r>
          </w:p>
        </w:tc>
      </w:tr>
      <w:tr w14:paraId="3CA074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632" w:type="pct"/>
            <w:noWrap w:val="0"/>
            <w:vAlign w:val="center"/>
          </w:tcPr>
          <w:p w14:paraId="4B7DE573">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地表水环境</w:t>
            </w:r>
          </w:p>
        </w:tc>
        <w:tc>
          <w:tcPr>
            <w:tcW w:w="835" w:type="pct"/>
            <w:noWrap w:val="0"/>
            <w:vAlign w:val="center"/>
          </w:tcPr>
          <w:p w14:paraId="0A2F18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生活污水</w:t>
            </w:r>
          </w:p>
        </w:tc>
        <w:tc>
          <w:tcPr>
            <w:tcW w:w="619" w:type="pct"/>
            <w:noWrap w:val="0"/>
            <w:vAlign w:val="center"/>
          </w:tcPr>
          <w:p w14:paraId="629129F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COD</w:t>
            </w:r>
          </w:p>
          <w:p w14:paraId="033450C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BOD</w:t>
            </w:r>
            <w:r>
              <w:rPr>
                <w:rFonts w:hint="default" w:ascii="Times New Roman" w:hAnsi="Times New Roman" w:cs="Times New Roman"/>
                <w:color w:val="auto"/>
                <w:sz w:val="21"/>
                <w:szCs w:val="21"/>
                <w:highlight w:val="none"/>
                <w:vertAlign w:val="subscript"/>
                <w:lang w:val="en-US" w:eastAsia="zh-CN"/>
              </w:rPr>
              <w:t>5</w:t>
            </w:r>
          </w:p>
          <w:p w14:paraId="79B0F09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SS</w:t>
            </w:r>
          </w:p>
          <w:p w14:paraId="7F7550C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NH</w:t>
            </w:r>
            <w:r>
              <w:rPr>
                <w:rFonts w:hint="default" w:ascii="Times New Roman" w:hAnsi="Times New Roman" w:cs="Times New Roman"/>
                <w:color w:val="auto"/>
                <w:sz w:val="21"/>
                <w:szCs w:val="21"/>
                <w:highlight w:val="none"/>
                <w:vertAlign w:val="subscript"/>
                <w:lang w:val="en-US" w:eastAsia="zh-CN"/>
              </w:rPr>
              <w:t>3</w:t>
            </w:r>
            <w:r>
              <w:rPr>
                <w:rFonts w:hint="default" w:ascii="Times New Roman" w:hAnsi="Times New Roman" w:cs="Times New Roman"/>
                <w:color w:val="auto"/>
                <w:sz w:val="21"/>
                <w:szCs w:val="21"/>
                <w:highlight w:val="none"/>
                <w:lang w:val="en-US" w:eastAsia="zh-CN"/>
              </w:rPr>
              <w:t>-N</w:t>
            </w:r>
          </w:p>
        </w:tc>
        <w:tc>
          <w:tcPr>
            <w:tcW w:w="874" w:type="pct"/>
            <w:noWrap w:val="0"/>
            <w:vAlign w:val="center"/>
          </w:tcPr>
          <w:p w14:paraId="770F399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default" w:ascii="Times New Roman" w:hAnsi="Times New Roman" w:cs="Times New Roman"/>
                <w:color w:val="auto"/>
                <w:sz w:val="21"/>
                <w:szCs w:val="21"/>
                <w:highlight w:val="yellow"/>
                <w:lang w:val="en-US" w:eastAsia="zh-CN"/>
              </w:rPr>
            </w:pPr>
            <w:r>
              <w:rPr>
                <w:rFonts w:hint="eastAsia" w:ascii="Times New Roman" w:hAnsi="Times New Roman" w:cs="Times New Roman"/>
                <w:color w:val="auto"/>
                <w:sz w:val="21"/>
                <w:szCs w:val="21"/>
                <w:lang w:eastAsia="zh-CN"/>
              </w:rPr>
              <w:t>生活污水未接入园区管网时，经化粪池预处理，定期清掏外运处置；接入园区管网后，排入园区污水处理厂统一处理</w:t>
            </w:r>
          </w:p>
        </w:tc>
        <w:tc>
          <w:tcPr>
            <w:tcW w:w="2038" w:type="pct"/>
            <w:noWrap w:val="0"/>
            <w:vAlign w:val="center"/>
          </w:tcPr>
          <w:p w14:paraId="15ACB307">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64EBDF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26" w:hRule="atLeast"/>
          <w:jc w:val="center"/>
        </w:trPr>
        <w:tc>
          <w:tcPr>
            <w:tcW w:w="632" w:type="pct"/>
            <w:noWrap w:val="0"/>
            <w:vAlign w:val="center"/>
          </w:tcPr>
          <w:p w14:paraId="502567C1">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声环境</w:t>
            </w:r>
          </w:p>
        </w:tc>
        <w:tc>
          <w:tcPr>
            <w:tcW w:w="835" w:type="pct"/>
            <w:noWrap w:val="0"/>
            <w:vAlign w:val="center"/>
          </w:tcPr>
          <w:p w14:paraId="31A4FFD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eastAsia" w:ascii="Times New Roman" w:hAnsi="Times New Roman" w:cs="Times New Roman"/>
                <w:color w:val="auto"/>
                <w:sz w:val="21"/>
                <w:szCs w:val="21"/>
                <w:lang w:val="en-US" w:eastAsia="zh-CN"/>
              </w:rPr>
              <w:t>设备噪声</w:t>
            </w:r>
          </w:p>
        </w:tc>
        <w:tc>
          <w:tcPr>
            <w:tcW w:w="619" w:type="pct"/>
            <w:noWrap w:val="0"/>
            <w:vAlign w:val="center"/>
          </w:tcPr>
          <w:p w14:paraId="2A858D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噪声</w:t>
            </w:r>
          </w:p>
        </w:tc>
        <w:tc>
          <w:tcPr>
            <w:tcW w:w="874" w:type="pct"/>
            <w:noWrap w:val="0"/>
            <w:vAlign w:val="center"/>
          </w:tcPr>
          <w:p w14:paraId="06E83C0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合理布局，选用低噪声设备</w:t>
            </w:r>
            <w:r>
              <w:rPr>
                <w:rFonts w:hint="default" w:ascii="Times New Roman" w:hAnsi="Times New Roman" w:cs="Times New Roman"/>
                <w:color w:val="auto"/>
                <w:sz w:val="21"/>
                <w:szCs w:val="21"/>
                <w:lang w:eastAsia="zh-CN"/>
              </w:rPr>
              <w:t>，基础减振，室内隔声</w:t>
            </w:r>
            <w:r>
              <w:rPr>
                <w:rFonts w:hint="eastAsia" w:ascii="Times New Roman" w:hAnsi="Times New Roman" w:cs="Times New Roman"/>
                <w:color w:val="auto"/>
                <w:sz w:val="21"/>
                <w:szCs w:val="21"/>
                <w:lang w:eastAsia="zh-CN"/>
              </w:rPr>
              <w:t>、柔性连接</w:t>
            </w:r>
          </w:p>
        </w:tc>
        <w:tc>
          <w:tcPr>
            <w:tcW w:w="2038" w:type="pct"/>
            <w:noWrap w:val="0"/>
            <w:vAlign w:val="center"/>
          </w:tcPr>
          <w:p w14:paraId="00382E6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《工业企业厂界环境噪声排放标准》（GB12348-2008）</w:t>
            </w:r>
            <w:r>
              <w:rPr>
                <w:rFonts w:hint="eastAsia" w:ascii="Times New Roman" w:hAnsi="Times New Roman" w:cs="Times New Roman"/>
                <w:color w:val="auto"/>
                <w:kern w:val="0"/>
                <w:sz w:val="21"/>
                <w:szCs w:val="21"/>
                <w:lang w:val="en-US" w:eastAsia="zh-CN"/>
              </w:rPr>
              <w:t>2</w:t>
            </w:r>
            <w:r>
              <w:rPr>
                <w:rFonts w:hint="default" w:ascii="Times New Roman" w:hAnsi="Times New Roman" w:cs="Times New Roman"/>
                <w:color w:val="auto"/>
                <w:kern w:val="0"/>
                <w:sz w:val="21"/>
                <w:szCs w:val="21"/>
              </w:rPr>
              <w:t>类区限值要求</w:t>
            </w:r>
          </w:p>
        </w:tc>
      </w:tr>
      <w:tr w14:paraId="1C9542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7" w:hRule="atLeast"/>
          <w:jc w:val="center"/>
        </w:trPr>
        <w:tc>
          <w:tcPr>
            <w:tcW w:w="632" w:type="pct"/>
            <w:noWrap w:val="0"/>
            <w:vAlign w:val="center"/>
          </w:tcPr>
          <w:p w14:paraId="38D923EB">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eastAsia="zh-CN"/>
              </w:rPr>
              <w:t>电磁辐射</w:t>
            </w:r>
          </w:p>
        </w:tc>
        <w:tc>
          <w:tcPr>
            <w:tcW w:w="4367" w:type="pct"/>
            <w:gridSpan w:val="4"/>
            <w:noWrap w:val="0"/>
            <w:vAlign w:val="center"/>
          </w:tcPr>
          <w:p w14:paraId="58A0877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本项目不涉及电磁辐射内容</w:t>
            </w:r>
          </w:p>
        </w:tc>
      </w:tr>
      <w:tr w14:paraId="3D6C7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23" w:hRule="atLeast"/>
          <w:jc w:val="center"/>
        </w:trPr>
        <w:tc>
          <w:tcPr>
            <w:tcW w:w="632" w:type="pct"/>
            <w:noWrap w:val="0"/>
            <w:vAlign w:val="center"/>
          </w:tcPr>
          <w:p w14:paraId="696AAB2D">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固体废物</w:t>
            </w:r>
          </w:p>
        </w:tc>
        <w:tc>
          <w:tcPr>
            <w:tcW w:w="4367" w:type="pct"/>
            <w:gridSpan w:val="4"/>
            <w:noWrap w:val="0"/>
            <w:vAlign w:val="center"/>
          </w:tcPr>
          <w:p w14:paraId="35B0CA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r>
              <w:rPr>
                <w:rFonts w:hint="eastAsia" w:ascii="Times New Roman" w:hAnsi="Times New Roman" w:cs="Times New Roman"/>
                <w:color w:val="auto"/>
                <w:sz w:val="21"/>
                <w:szCs w:val="21"/>
                <w:lang w:val="en-US" w:eastAsia="zh-CN"/>
              </w:rPr>
              <w:t>废包装等</w:t>
            </w:r>
            <w:r>
              <w:rPr>
                <w:rFonts w:hint="default" w:ascii="Times New Roman" w:hAnsi="Times New Roman" w:cs="Times New Roman"/>
                <w:color w:val="auto"/>
                <w:sz w:val="21"/>
                <w:szCs w:val="21"/>
              </w:rPr>
              <w:t>一般固体废物</w:t>
            </w:r>
            <w:r>
              <w:rPr>
                <w:rFonts w:hint="default" w:ascii="Times New Roman" w:hAnsi="Times New Roman" w:cs="Times New Roman"/>
                <w:color w:val="auto"/>
                <w:sz w:val="21"/>
                <w:szCs w:val="21"/>
                <w:lang w:eastAsia="zh-CN"/>
              </w:rPr>
              <w:t>外售处理</w:t>
            </w:r>
            <w:r>
              <w:rPr>
                <w:rFonts w:hint="default" w:ascii="Times New Roman" w:hAnsi="Times New Roman" w:cs="Times New Roman"/>
                <w:color w:val="auto"/>
                <w:sz w:val="21"/>
                <w:szCs w:val="21"/>
              </w:rPr>
              <w:t>；</w:t>
            </w:r>
          </w:p>
          <w:p w14:paraId="28AC964A">
            <w:pPr>
              <w:keepNext w:val="0"/>
              <w:keepLines w:val="0"/>
              <w:suppressLineNumbers w:val="0"/>
              <w:adjustRightInd w:val="0"/>
              <w:snapToGrid w:val="0"/>
              <w:spacing w:before="0" w:beforeAutospacing="0" w:after="0" w:afterAutospacing="0" w:line="240" w:lineRule="auto"/>
              <w:ind w:left="0" w:right="0" w:firstLine="0" w:firstLineChars="0"/>
              <w:jc w:val="left"/>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rPr>
              <w:t>2、危险废物</w:t>
            </w:r>
            <w:r>
              <w:rPr>
                <w:rFonts w:hint="default" w:ascii="Times New Roman" w:hAnsi="Times New Roman" w:eastAsia="宋体" w:cs="Times New Roman"/>
                <w:color w:val="auto"/>
                <w:sz w:val="21"/>
                <w:szCs w:val="21"/>
                <w:lang w:eastAsia="zh-CN"/>
              </w:rPr>
              <w:t>在危废</w:t>
            </w:r>
            <w:r>
              <w:rPr>
                <w:rFonts w:hint="default" w:ascii="Times New Roman" w:hAnsi="Times New Roman" w:eastAsia="宋体" w:cs="Times New Roman"/>
                <w:color w:val="auto"/>
                <w:sz w:val="21"/>
                <w:szCs w:val="21"/>
                <w:lang w:val="en-US" w:eastAsia="zh-CN"/>
              </w:rPr>
              <w:t>贮存库</w:t>
            </w:r>
            <w:r>
              <w:rPr>
                <w:rFonts w:hint="default" w:ascii="Times New Roman" w:hAnsi="Times New Roman" w:eastAsia="宋体" w:cs="Times New Roman"/>
                <w:color w:val="auto"/>
                <w:sz w:val="21"/>
                <w:szCs w:val="21"/>
                <w:lang w:eastAsia="zh-CN"/>
              </w:rPr>
              <w:t>暂存后</w:t>
            </w:r>
            <w:r>
              <w:rPr>
                <w:rFonts w:hint="default" w:ascii="Times New Roman" w:hAnsi="Times New Roman" w:cs="Times New Roman"/>
                <w:color w:val="auto"/>
                <w:sz w:val="21"/>
                <w:szCs w:val="21"/>
              </w:rPr>
              <w:t>，及时交由有资质单位进行处置</w:t>
            </w:r>
            <w:r>
              <w:rPr>
                <w:rFonts w:hint="default" w:ascii="Times New Roman" w:hAnsi="Times New Roman" w:cs="Times New Roman"/>
                <w:color w:val="auto"/>
                <w:sz w:val="21"/>
                <w:szCs w:val="21"/>
                <w:lang w:eastAsia="zh-CN"/>
              </w:rPr>
              <w:t>；</w:t>
            </w:r>
          </w:p>
          <w:p w14:paraId="3DCDFB69">
            <w:pPr>
              <w:keepNext w:val="0"/>
              <w:keepLines w:val="0"/>
              <w:suppressLineNumbers w:val="0"/>
              <w:adjustRightInd w:val="0"/>
              <w:snapToGrid w:val="0"/>
              <w:spacing w:before="0" w:beforeAutospacing="0" w:after="0" w:afterAutospacing="0" w:line="240" w:lineRule="auto"/>
              <w:ind w:left="0" w:right="0" w:firstLine="0" w:firstLineChars="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3、生活垃圾集中收集后交由当地环卫部门统一处理</w:t>
            </w:r>
            <w:r>
              <w:rPr>
                <w:rFonts w:hint="default" w:ascii="Times New Roman" w:hAnsi="Times New Roman" w:eastAsia="宋体" w:cs="Times New Roman"/>
                <w:color w:val="auto"/>
                <w:sz w:val="21"/>
                <w:szCs w:val="21"/>
                <w:lang w:eastAsia="zh-CN"/>
              </w:rPr>
              <w:t>。</w:t>
            </w:r>
          </w:p>
        </w:tc>
      </w:tr>
      <w:tr w14:paraId="070342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04" w:hRule="atLeast"/>
          <w:jc w:val="center"/>
        </w:trPr>
        <w:tc>
          <w:tcPr>
            <w:tcW w:w="632" w:type="pct"/>
            <w:noWrap w:val="0"/>
            <w:vAlign w:val="center"/>
          </w:tcPr>
          <w:p w14:paraId="656EE557">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土壤及地下水污染防治措施</w:t>
            </w:r>
          </w:p>
        </w:tc>
        <w:tc>
          <w:tcPr>
            <w:tcW w:w="4367" w:type="pct"/>
            <w:gridSpan w:val="4"/>
            <w:noWrap w:val="0"/>
            <w:vAlign w:val="center"/>
          </w:tcPr>
          <w:p w14:paraId="68BC2AD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eastAsia="zh-CN"/>
              </w:rPr>
              <w:t>项目采取</w:t>
            </w:r>
            <w:r>
              <w:rPr>
                <w:rFonts w:hint="default" w:ascii="Times New Roman" w:hAnsi="Times New Roman" w:cs="Times New Roman"/>
                <w:color w:val="auto"/>
                <w:sz w:val="21"/>
                <w:szCs w:val="21"/>
              </w:rPr>
              <w:t>分区防渗，加强大气污染物治理措施</w:t>
            </w:r>
          </w:p>
        </w:tc>
      </w:tr>
      <w:tr w14:paraId="31E63F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1" w:hRule="atLeast"/>
          <w:jc w:val="center"/>
        </w:trPr>
        <w:tc>
          <w:tcPr>
            <w:tcW w:w="632" w:type="pct"/>
            <w:noWrap w:val="0"/>
            <w:vAlign w:val="center"/>
          </w:tcPr>
          <w:p w14:paraId="4851C897">
            <w:pPr>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生态保护</w:t>
            </w:r>
          </w:p>
          <w:p w14:paraId="237FD7C5">
            <w:pPr>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措施</w:t>
            </w:r>
          </w:p>
        </w:tc>
        <w:tc>
          <w:tcPr>
            <w:tcW w:w="4367" w:type="pct"/>
            <w:gridSpan w:val="4"/>
            <w:noWrap w:val="0"/>
            <w:vAlign w:val="center"/>
          </w:tcPr>
          <w:p w14:paraId="2DA7B1F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通过厂区绿化改善区域生态环境质量</w:t>
            </w:r>
          </w:p>
        </w:tc>
      </w:tr>
      <w:tr w14:paraId="021D99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97" w:hRule="atLeast"/>
          <w:jc w:val="center"/>
        </w:trPr>
        <w:tc>
          <w:tcPr>
            <w:tcW w:w="632" w:type="pct"/>
            <w:noWrap w:val="0"/>
            <w:vAlign w:val="center"/>
          </w:tcPr>
          <w:p w14:paraId="647BEC70">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pacing w:val="-8"/>
                <w:sz w:val="21"/>
                <w:szCs w:val="21"/>
              </w:rPr>
            </w:pPr>
            <w:r>
              <w:rPr>
                <w:rFonts w:hint="default" w:ascii="Times New Roman" w:hAnsi="Times New Roman" w:cs="Times New Roman"/>
                <w:color w:val="auto"/>
                <w:spacing w:val="-8"/>
                <w:sz w:val="21"/>
                <w:szCs w:val="21"/>
              </w:rPr>
              <w:t>环境风险</w:t>
            </w:r>
          </w:p>
          <w:p w14:paraId="51F361DD">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pacing w:val="-8"/>
                <w:sz w:val="21"/>
                <w:szCs w:val="21"/>
              </w:rPr>
            </w:pPr>
            <w:r>
              <w:rPr>
                <w:rFonts w:hint="default" w:ascii="Times New Roman" w:hAnsi="Times New Roman" w:cs="Times New Roman"/>
                <w:color w:val="auto"/>
                <w:spacing w:val="-8"/>
                <w:sz w:val="21"/>
                <w:szCs w:val="21"/>
              </w:rPr>
              <w:t>防范措施</w:t>
            </w:r>
          </w:p>
        </w:tc>
        <w:tc>
          <w:tcPr>
            <w:tcW w:w="4367" w:type="pct"/>
            <w:gridSpan w:val="4"/>
            <w:noWrap w:val="0"/>
            <w:vAlign w:val="center"/>
          </w:tcPr>
          <w:p w14:paraId="089C45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1、</w:t>
            </w:r>
            <w:r>
              <w:rPr>
                <w:rFonts w:hint="default" w:ascii="Times New Roman" w:hAnsi="Times New Roman" w:cs="Times New Roman"/>
                <w:color w:val="auto"/>
                <w:sz w:val="21"/>
                <w:szCs w:val="21"/>
              </w:rPr>
              <w:t>建立安全的操作规程，定期对厂内人员的理论知识和操作技能进行培训和检查；</w:t>
            </w:r>
          </w:p>
          <w:p w14:paraId="4A1BEF5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auto"/>
                <w:sz w:val="21"/>
                <w:szCs w:val="21"/>
                <w:lang w:eastAsia="zh-CN"/>
              </w:rPr>
            </w:pPr>
            <w:r>
              <w:rPr>
                <w:rFonts w:hint="default" w:ascii="Times New Roman" w:hAnsi="Times New Roman" w:cs="Times New Roman"/>
                <w:color w:val="auto"/>
                <w:sz w:val="21"/>
                <w:szCs w:val="21"/>
                <w:lang w:val="en-US" w:eastAsia="zh-CN"/>
              </w:rPr>
              <w:t>2、</w:t>
            </w:r>
            <w:r>
              <w:rPr>
                <w:rFonts w:hint="default" w:ascii="Times New Roman" w:hAnsi="Times New Roman" w:cs="Times New Roman"/>
                <w:color w:val="auto"/>
                <w:sz w:val="21"/>
                <w:szCs w:val="21"/>
                <w:lang w:eastAsia="zh-CN"/>
              </w:rPr>
              <w:t>编制</w:t>
            </w:r>
            <w:r>
              <w:rPr>
                <w:rFonts w:hint="eastAsia" w:ascii="Times New Roman" w:hAnsi="Times New Roman" w:cs="Times New Roman"/>
                <w:color w:val="auto"/>
                <w:sz w:val="21"/>
                <w:szCs w:val="21"/>
                <w:lang w:val="en-US" w:eastAsia="zh-CN"/>
              </w:rPr>
              <w:t>生态环境</w:t>
            </w:r>
            <w:r>
              <w:rPr>
                <w:rFonts w:hint="default" w:ascii="Times New Roman" w:hAnsi="Times New Roman" w:cs="Times New Roman"/>
                <w:color w:val="auto"/>
                <w:sz w:val="21"/>
                <w:szCs w:val="21"/>
                <w:lang w:eastAsia="zh-CN"/>
              </w:rPr>
              <w:t>突发环境事件应急预案并演练；</w:t>
            </w:r>
          </w:p>
          <w:p w14:paraId="0DFCBE5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val="en-US" w:eastAsia="zh-CN"/>
              </w:rPr>
              <w:t>3、危险废物暂存于危废贮存库，危废贮存库严格按标准要求建设，采取防渗措施</w:t>
            </w:r>
          </w:p>
        </w:tc>
      </w:tr>
      <w:tr w14:paraId="04F2B4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2" w:hRule="atLeast"/>
          <w:jc w:val="center"/>
        </w:trPr>
        <w:tc>
          <w:tcPr>
            <w:tcW w:w="632" w:type="pct"/>
            <w:noWrap w:val="0"/>
            <w:vAlign w:val="center"/>
          </w:tcPr>
          <w:p w14:paraId="7535E120">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pacing w:val="-8"/>
                <w:sz w:val="21"/>
                <w:szCs w:val="21"/>
              </w:rPr>
            </w:pPr>
            <w:r>
              <w:rPr>
                <w:rFonts w:hint="default" w:ascii="Times New Roman" w:hAnsi="Times New Roman" w:cs="Times New Roman"/>
                <w:color w:val="auto"/>
                <w:spacing w:val="-8"/>
                <w:sz w:val="21"/>
                <w:szCs w:val="21"/>
              </w:rPr>
              <w:t>其他环境</w:t>
            </w:r>
          </w:p>
          <w:p w14:paraId="44CCC20D">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pacing w:val="-8"/>
                <w:sz w:val="21"/>
                <w:szCs w:val="21"/>
              </w:rPr>
            </w:pPr>
            <w:r>
              <w:rPr>
                <w:rFonts w:hint="default" w:ascii="Times New Roman" w:hAnsi="Times New Roman" w:cs="Times New Roman"/>
                <w:color w:val="auto"/>
                <w:spacing w:val="-8"/>
                <w:sz w:val="21"/>
                <w:szCs w:val="21"/>
              </w:rPr>
              <w:t>管理要求</w:t>
            </w:r>
          </w:p>
        </w:tc>
        <w:tc>
          <w:tcPr>
            <w:tcW w:w="4367" w:type="pct"/>
            <w:gridSpan w:val="4"/>
            <w:noWrap w:val="0"/>
            <w:vAlign w:val="center"/>
          </w:tcPr>
          <w:p w14:paraId="58AE3F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建立健全环保管理部门，定期培训</w:t>
            </w:r>
          </w:p>
        </w:tc>
      </w:tr>
    </w:tbl>
    <w:p w14:paraId="544D84BE">
      <w:pPr>
        <w:pStyle w:val="80"/>
        <w:spacing w:line="480" w:lineRule="exact"/>
        <w:ind w:firstLine="480" w:firstLineChars="200"/>
        <w:jc w:val="left"/>
        <w:rPr>
          <w:kern w:val="0"/>
        </w:rPr>
      </w:pPr>
    </w:p>
    <w:p w14:paraId="38783EFC">
      <w:pPr>
        <w:pStyle w:val="8"/>
        <w:rPr>
          <w:rFonts w:hint="eastAsia"/>
          <w:lang w:val="en-US" w:eastAsia="zh-CN"/>
        </w:rPr>
      </w:pPr>
    </w:p>
    <w:sectPr>
      <w:pgSz w:w="16838" w:h="11906" w:orient="landscape"/>
      <w:pgMar w:top="567" w:right="1440" w:bottom="567" w:left="144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 w:name="PMingLiU">
    <w:altName w:val="Sitka Text"/>
    <w:panose1 w:val="02020500000000000000"/>
    <w:charset w:val="78"/>
    <w:family w:val="roman"/>
    <w:pitch w:val="default"/>
    <w:sig w:usb0="00000000" w:usb1="00000000" w:usb2="00000016" w:usb3="00000000" w:csb0="00100001" w:csb1="00000000"/>
  </w:font>
  <w:font w:name="Sitka Text">
    <w:panose1 w:val="00000000000000000000"/>
    <w:charset w:val="00"/>
    <w:family w:val="auto"/>
    <w:pitch w:val="default"/>
    <w:sig w:usb0="A00002EF" w:usb1="4000204B" w:usb2="00000000" w:usb3="00000000" w:csb0="2000019F" w:csb1="00000000"/>
  </w:font>
  <w:font w:name="仿宋_GB2312)">
    <w:altName w:val="宋体"/>
    <w:panose1 w:val="00000000000000000000"/>
    <w:charset w:val="86"/>
    <w:family w:val="roman"/>
    <w:pitch w:val="default"/>
    <w:sig w:usb0="00000000" w:usb1="00000000" w:usb2="00000000" w:usb3="00000000" w:csb0="00000000" w:csb1="00000000"/>
  </w:font>
  <w:font w:name="Segoe UI Emoji">
    <w:panose1 w:val="020B0502040204020203"/>
    <w:charset w:val="00"/>
    <w:family w:val="swiss"/>
    <w:pitch w:val="default"/>
    <w:sig w:usb0="00000001" w:usb1="02000000" w:usb2="08000000" w:usb3="00000000" w:csb0="00000001"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roman"/>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BCB07F"/>
    <w:multiLevelType w:val="singleLevel"/>
    <w:tmpl w:val="F2BCB07F"/>
    <w:lvl w:ilvl="0" w:tentative="0">
      <w:start w:val="1"/>
      <w:numFmt w:val="bullet"/>
      <w:pStyle w:val="14"/>
      <w:lvlText w:val=""/>
      <w:lvlJc w:val="left"/>
      <w:pPr>
        <w:tabs>
          <w:tab w:val="left" w:pos="2040"/>
        </w:tabs>
        <w:ind w:left="2040" w:hanging="360"/>
      </w:pPr>
      <w:rPr>
        <w:rFonts w:hint="default" w:ascii="Wingdings" w:hAnsi="Wingdings"/>
      </w:rPr>
    </w:lvl>
  </w:abstractNum>
  <w:abstractNum w:abstractNumId="1">
    <w:nsid w:val="46335E6F"/>
    <w:multiLevelType w:val="multilevel"/>
    <w:tmpl w:val="46335E6F"/>
    <w:lvl w:ilvl="0" w:tentative="0">
      <w:start w:val="1"/>
      <w:numFmt w:val="decimal"/>
      <w:pStyle w:val="50"/>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2">
    <w:nsid w:val="6DE37B95"/>
    <w:multiLevelType w:val="multilevel"/>
    <w:tmpl w:val="6DE37B95"/>
    <w:lvl w:ilvl="0" w:tentative="0">
      <w:start w:val="1"/>
      <w:numFmt w:val="decimal"/>
      <w:lvlText w:val="1.4.5.%1"/>
      <w:lvlJc w:val="left"/>
      <w:pPr>
        <w:tabs>
          <w:tab w:val="left" w:pos="720"/>
        </w:tabs>
        <w:ind w:left="0" w:firstLine="0"/>
      </w:pPr>
      <w:rPr>
        <w:rFonts w:hint="eastAsia"/>
      </w:rPr>
    </w:lvl>
    <w:lvl w:ilvl="1" w:tentative="0">
      <w:start w:val="1"/>
      <w:numFmt w:val="decimal"/>
      <w:pStyle w:val="49"/>
      <w:lvlText w:val="%1.%2"/>
      <w:lvlJc w:val="left"/>
      <w:pPr>
        <w:tabs>
          <w:tab w:val="left" w:pos="360"/>
        </w:tabs>
        <w:ind w:left="0" w:firstLine="0"/>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0ODkxYmE5MWVkOWYwMGJmYzcyZGVkNDA0ZDI2OTQifQ=="/>
  </w:docVars>
  <w:rsids>
    <w:rsidRoot w:val="42132A50"/>
    <w:rsid w:val="03C51E3B"/>
    <w:rsid w:val="03EF279C"/>
    <w:rsid w:val="05290F90"/>
    <w:rsid w:val="06F71208"/>
    <w:rsid w:val="0B761604"/>
    <w:rsid w:val="0BB9541D"/>
    <w:rsid w:val="0C310483"/>
    <w:rsid w:val="0C903ACC"/>
    <w:rsid w:val="0CE62B73"/>
    <w:rsid w:val="10AE35B0"/>
    <w:rsid w:val="10CB6044"/>
    <w:rsid w:val="117B1454"/>
    <w:rsid w:val="145148B8"/>
    <w:rsid w:val="161E62C2"/>
    <w:rsid w:val="16961ED8"/>
    <w:rsid w:val="220E36CE"/>
    <w:rsid w:val="2630148F"/>
    <w:rsid w:val="28EE08A3"/>
    <w:rsid w:val="295E6690"/>
    <w:rsid w:val="2A422D3E"/>
    <w:rsid w:val="2B4213CE"/>
    <w:rsid w:val="2CA47138"/>
    <w:rsid w:val="2EA7393D"/>
    <w:rsid w:val="303C0C05"/>
    <w:rsid w:val="30FC4F88"/>
    <w:rsid w:val="335D431A"/>
    <w:rsid w:val="34493901"/>
    <w:rsid w:val="358E1CB2"/>
    <w:rsid w:val="372D24B2"/>
    <w:rsid w:val="375370A1"/>
    <w:rsid w:val="37576944"/>
    <w:rsid w:val="3C065895"/>
    <w:rsid w:val="3C823798"/>
    <w:rsid w:val="3E6748FC"/>
    <w:rsid w:val="3E7A1991"/>
    <w:rsid w:val="3EED05DA"/>
    <w:rsid w:val="42132A50"/>
    <w:rsid w:val="443F68B0"/>
    <w:rsid w:val="4627338B"/>
    <w:rsid w:val="4E5A5D25"/>
    <w:rsid w:val="4F6770FC"/>
    <w:rsid w:val="514821E5"/>
    <w:rsid w:val="51D76269"/>
    <w:rsid w:val="554B2FD1"/>
    <w:rsid w:val="574949F9"/>
    <w:rsid w:val="574B641B"/>
    <w:rsid w:val="58FE360A"/>
    <w:rsid w:val="5B154D8F"/>
    <w:rsid w:val="5B6C7F1C"/>
    <w:rsid w:val="5BFA6989"/>
    <w:rsid w:val="5C614A63"/>
    <w:rsid w:val="5C6C0137"/>
    <w:rsid w:val="5D5657E0"/>
    <w:rsid w:val="5E272DFD"/>
    <w:rsid w:val="65E21D05"/>
    <w:rsid w:val="68DC45EC"/>
    <w:rsid w:val="6A405BA9"/>
    <w:rsid w:val="6A5C30D7"/>
    <w:rsid w:val="6BCC11D3"/>
    <w:rsid w:val="6BD63ACE"/>
    <w:rsid w:val="6D535020"/>
    <w:rsid w:val="6D896B48"/>
    <w:rsid w:val="6EF86E51"/>
    <w:rsid w:val="6FC51E46"/>
    <w:rsid w:val="74E2767B"/>
    <w:rsid w:val="770D6919"/>
    <w:rsid w:val="7A7A089E"/>
    <w:rsid w:val="7E4260CB"/>
    <w:rsid w:val="7FFB30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spacing w:line="0" w:lineRule="atLeast"/>
      <w:jc w:val="center"/>
      <w:outlineLvl w:val="0"/>
    </w:pPr>
    <w:rPr>
      <w:rFonts w:eastAsia="仿宋_GB2312"/>
      <w:spacing w:val="-20"/>
      <w:sz w:val="30"/>
    </w:rPr>
  </w:style>
  <w:style w:type="paragraph" w:styleId="3">
    <w:name w:val="heading 2"/>
    <w:basedOn w:val="1"/>
    <w:next w:val="1"/>
    <w:autoRedefine/>
    <w:qFormat/>
    <w:uiPriority w:val="0"/>
    <w:pPr>
      <w:keepNext/>
      <w:keepLines/>
      <w:spacing w:before="260" w:after="260" w:line="416" w:lineRule="auto"/>
      <w:ind w:firstLine="643" w:firstLineChars="200"/>
      <w:outlineLvl w:val="1"/>
    </w:pPr>
    <w:rPr>
      <w:rFonts w:ascii="仿宋_GB2312" w:hAnsi="Arial" w:eastAsia="仿宋_GB2312"/>
      <w:b/>
      <w:bCs/>
      <w:sz w:val="32"/>
      <w:szCs w:val="32"/>
    </w:rPr>
  </w:style>
  <w:style w:type="paragraph" w:styleId="4">
    <w:name w:val="heading 3"/>
    <w:basedOn w:val="1"/>
    <w:next w:val="1"/>
    <w:autoRedefine/>
    <w:qFormat/>
    <w:uiPriority w:val="0"/>
    <w:pPr>
      <w:keepNext/>
      <w:keepLines/>
      <w:spacing w:before="10" w:line="480" w:lineRule="atLeast"/>
      <w:outlineLvl w:val="2"/>
    </w:pPr>
    <w:rPr>
      <w:rFonts w:eastAsia="黑体"/>
      <w:bCs/>
      <w:sz w:val="28"/>
      <w:szCs w:val="32"/>
      <w:lang w:val="zh-CN"/>
    </w:rPr>
  </w:style>
  <w:style w:type="paragraph" w:styleId="5">
    <w:name w:val="heading 4"/>
    <w:basedOn w:val="1"/>
    <w:next w:val="1"/>
    <w:autoRedefine/>
    <w:qFormat/>
    <w:uiPriority w:val="0"/>
    <w:pPr>
      <w:keepNext/>
      <w:keepLines/>
      <w:spacing w:line="560" w:lineRule="exact"/>
      <w:outlineLvl w:val="3"/>
    </w:pPr>
    <w:rPr>
      <w:rFonts w:ascii="Cambria" w:hAnsi="Cambria" w:eastAsia="宋体" w:cs="Times New Roman"/>
      <w:b/>
      <w:bCs/>
      <w:kern w:val="0"/>
      <w:sz w:val="24"/>
      <w:szCs w:val="28"/>
    </w:rPr>
  </w:style>
  <w:style w:type="paragraph" w:styleId="6">
    <w:name w:val="heading 8"/>
    <w:basedOn w:val="1"/>
    <w:next w:val="1"/>
    <w:unhideWhenUsed/>
    <w:qFormat/>
    <w:uiPriority w:val="0"/>
    <w:pPr>
      <w:adjustRightInd w:val="0"/>
      <w:snapToGrid w:val="0"/>
      <w:spacing w:line="360" w:lineRule="auto"/>
      <w:ind w:firstLine="504" w:firstLineChars="200"/>
      <w:outlineLvl w:val="7"/>
    </w:pPr>
    <w:rPr>
      <w:spacing w:val="6"/>
      <w:sz w:val="24"/>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7">
    <w:name w:val="Normal Indent"/>
    <w:basedOn w:val="1"/>
    <w:next w:val="8"/>
    <w:autoRedefine/>
    <w:qFormat/>
    <w:uiPriority w:val="99"/>
    <w:pPr>
      <w:ind w:firstLine="420"/>
    </w:pPr>
    <w:rPr>
      <w:kern w:val="0"/>
    </w:rPr>
  </w:style>
  <w:style w:type="paragraph" w:customStyle="1" w:styleId="8">
    <w:name w:val="Default"/>
    <w:basedOn w:val="9"/>
    <w:autoRedefine/>
    <w:qFormat/>
    <w:uiPriority w:val="0"/>
    <w:pPr>
      <w:widowControl w:val="0"/>
      <w:autoSpaceDE w:val="0"/>
      <w:autoSpaceDN w:val="0"/>
      <w:adjustRightInd w:val="0"/>
      <w:spacing w:after="200" w:line="276" w:lineRule="auto"/>
    </w:pPr>
    <w:rPr>
      <w:rFonts w:hint="eastAsia" w:ascii="仿宋_GB2312" w:hAnsi="仿宋_GB2312" w:eastAsia="仿宋_GB2312" w:cs="Times New Roman"/>
      <w:color w:val="000000"/>
      <w:sz w:val="24"/>
      <w:szCs w:val="22"/>
      <w:lang w:val="en-US" w:eastAsia="zh-CN" w:bidi="ar-SA"/>
    </w:rPr>
  </w:style>
  <w:style w:type="paragraph" w:customStyle="1" w:styleId="9">
    <w:name w:val="表内容@"/>
    <w:basedOn w:val="1"/>
    <w:autoRedefine/>
    <w:qFormat/>
    <w:uiPriority w:val="0"/>
    <w:pPr>
      <w:adjustRightInd w:val="0"/>
      <w:spacing w:line="0" w:lineRule="atLeast"/>
      <w:jc w:val="center"/>
    </w:pPr>
    <w:rPr>
      <w:rFonts w:ascii="宋体" w:hAnsi="宋体" w:cs="Arial"/>
    </w:rPr>
  </w:style>
  <w:style w:type="paragraph" w:styleId="10">
    <w:name w:val="Body Text"/>
    <w:basedOn w:val="1"/>
    <w:next w:val="1"/>
    <w:autoRedefine/>
    <w:qFormat/>
    <w:uiPriority w:val="0"/>
    <w:pPr>
      <w:spacing w:after="120"/>
    </w:pPr>
  </w:style>
  <w:style w:type="paragraph" w:styleId="11">
    <w:name w:val="Body Text Indent"/>
    <w:basedOn w:val="1"/>
    <w:autoRedefine/>
    <w:qFormat/>
    <w:uiPriority w:val="0"/>
    <w:pPr>
      <w:spacing w:after="120" w:afterLines="0"/>
      <w:ind w:left="420" w:leftChars="200"/>
    </w:pPr>
  </w:style>
  <w:style w:type="paragraph" w:styleId="12">
    <w:name w:val="Block Text"/>
    <w:basedOn w:val="1"/>
    <w:autoRedefine/>
    <w:qFormat/>
    <w:uiPriority w:val="0"/>
    <w:pPr>
      <w:snapToGrid w:val="0"/>
      <w:spacing w:line="420" w:lineRule="exact"/>
      <w:ind w:left="101" w:leftChars="48" w:right="149" w:rightChars="71" w:firstLine="426" w:firstLineChars="203"/>
    </w:pPr>
  </w:style>
  <w:style w:type="paragraph" w:styleId="13">
    <w:name w:val="Plain Text"/>
    <w:basedOn w:val="1"/>
    <w:next w:val="1"/>
    <w:autoRedefine/>
    <w:qFormat/>
    <w:uiPriority w:val="99"/>
    <w:pPr>
      <w:spacing w:line="240" w:lineRule="auto"/>
      <w:ind w:firstLine="0" w:firstLineChars="0"/>
    </w:pPr>
    <w:rPr>
      <w:rFonts w:ascii="宋体" w:hAnsi="Courier New"/>
      <w:kern w:val="0"/>
      <w:sz w:val="20"/>
      <w:szCs w:val="21"/>
    </w:rPr>
  </w:style>
  <w:style w:type="paragraph" w:styleId="14">
    <w:name w:val="List Bullet 5"/>
    <w:basedOn w:val="1"/>
    <w:autoRedefine/>
    <w:qFormat/>
    <w:uiPriority w:val="0"/>
    <w:pPr>
      <w:numPr>
        <w:ilvl w:val="0"/>
        <w:numId w:val="1"/>
      </w:numPr>
    </w:pPr>
  </w:style>
  <w:style w:type="paragraph" w:styleId="15">
    <w:name w:val="Date"/>
    <w:basedOn w:val="1"/>
    <w:next w:val="1"/>
    <w:autoRedefine/>
    <w:qFormat/>
    <w:uiPriority w:val="0"/>
    <w:pPr>
      <w:ind w:left="100" w:leftChars="2500"/>
    </w:pPr>
  </w:style>
  <w:style w:type="paragraph" w:styleId="16">
    <w:name w:val="Body Text Indent 2"/>
    <w:basedOn w:val="1"/>
    <w:autoRedefine/>
    <w:qFormat/>
    <w:uiPriority w:val="0"/>
    <w:pPr>
      <w:ind w:left="180" w:firstLine="360"/>
    </w:pPr>
    <w:rPr>
      <w:rFonts w:hint="eastAsia" w:ascii="宋体"/>
      <w:sz w:val="24"/>
      <w:szCs w:val="20"/>
    </w:rPr>
  </w:style>
  <w:style w:type="paragraph" w:styleId="17">
    <w:name w:val="header"/>
    <w:basedOn w:val="1"/>
    <w:next w:val="1"/>
    <w:autoRedefine/>
    <w:qFormat/>
    <w:uiPriority w:val="0"/>
    <w:pPr>
      <w:pBdr>
        <w:bottom w:val="single" w:color="auto" w:sz="6" w:space="1"/>
      </w:pBdr>
      <w:tabs>
        <w:tab w:val="center" w:pos="4153"/>
        <w:tab w:val="right" w:pos="8306"/>
      </w:tabs>
      <w:snapToGrid w:val="0"/>
      <w:jc w:val="center"/>
    </w:pPr>
    <w:rPr>
      <w:sz w:val="18"/>
      <w:szCs w:val="18"/>
    </w:rPr>
  </w:style>
  <w:style w:type="paragraph" w:styleId="18">
    <w:name w:val="Body Text Indent 3"/>
    <w:basedOn w:val="1"/>
    <w:autoRedefine/>
    <w:qFormat/>
    <w:uiPriority w:val="0"/>
    <w:pPr>
      <w:spacing w:line="480" w:lineRule="exact"/>
      <w:ind w:firstLine="630" w:firstLineChars="225"/>
    </w:pPr>
    <w:rPr>
      <w:rFonts w:ascii="楷体_GB2312" w:eastAsia="楷体_GB2312"/>
      <w:sz w:val="28"/>
    </w:rPr>
  </w:style>
  <w:style w:type="paragraph" w:styleId="19">
    <w:name w:val="table of figures"/>
    <w:basedOn w:val="1"/>
    <w:next w:val="1"/>
    <w:autoRedefine/>
    <w:semiHidden/>
    <w:qFormat/>
    <w:uiPriority w:val="0"/>
    <w:pPr>
      <w:spacing w:beforeLines="50" w:afterLines="50" w:line="500" w:lineRule="exact"/>
      <w:jc w:val="center"/>
    </w:pPr>
    <w:rPr>
      <w:rFonts w:ascii="仿宋_GB2312" w:eastAsia="仿宋_GB2312"/>
      <w:sz w:val="28"/>
      <w:szCs w:val="20"/>
    </w:r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1">
    <w:name w:val="Title"/>
    <w:basedOn w:val="1"/>
    <w:next w:val="1"/>
    <w:qFormat/>
    <w:uiPriority w:val="0"/>
    <w:pPr>
      <w:outlineLvl w:val="0"/>
    </w:pPr>
    <w:rPr>
      <w:rFonts w:ascii="Cambria" w:hAnsi="Cambria" w:eastAsia="Cambria"/>
      <w:b/>
      <w:sz w:val="32"/>
      <w:szCs w:val="32"/>
    </w:rPr>
  </w:style>
  <w:style w:type="paragraph" w:styleId="22">
    <w:name w:val="Body Text First Indent"/>
    <w:basedOn w:val="1"/>
    <w:next w:val="19"/>
    <w:autoRedefine/>
    <w:qFormat/>
    <w:uiPriority w:val="0"/>
    <w:pPr>
      <w:ind w:firstLine="420" w:firstLineChars="100"/>
    </w:pPr>
    <w:rPr>
      <w:szCs w:val="24"/>
    </w:rPr>
  </w:style>
  <w:style w:type="paragraph" w:styleId="23">
    <w:name w:val="Body Text First Indent 2"/>
    <w:basedOn w:val="1"/>
    <w:next w:val="1"/>
    <w:autoRedefine/>
    <w:qFormat/>
    <w:uiPriority w:val="0"/>
    <w:pPr>
      <w:spacing w:after="120" w:afterLines="0" w:line="240" w:lineRule="auto"/>
      <w:ind w:left="420" w:leftChars="200" w:firstLine="420"/>
    </w:pPr>
    <w:rPr>
      <w:rFonts w:ascii="Times New Roman" w:eastAsia="宋体"/>
      <w:sz w:val="21"/>
    </w:rPr>
  </w:style>
  <w:style w:type="table" w:styleId="25">
    <w:name w:val="Table Grid"/>
    <w:basedOn w:val="2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rFonts w:ascii="Times New Roman" w:hAnsi="Times New Roman" w:eastAsia="宋体" w:cs="Times New Roman"/>
      <w:color w:val="0000CC"/>
      <w:u w:val="single"/>
    </w:rPr>
  </w:style>
  <w:style w:type="character" w:styleId="28">
    <w:name w:val="annotation reference"/>
    <w:semiHidden/>
    <w:qFormat/>
    <w:uiPriority w:val="0"/>
    <w:rPr>
      <w:sz w:val="21"/>
      <w:szCs w:val="21"/>
    </w:rPr>
  </w:style>
  <w:style w:type="paragraph" w:customStyle="1" w:styleId="29">
    <w:name w:val="表格文字"/>
    <w:basedOn w:val="30"/>
    <w:autoRedefine/>
    <w:qFormat/>
    <w:uiPriority w:val="0"/>
    <w:pPr>
      <w:tabs>
        <w:tab w:val="left" w:pos="5880"/>
      </w:tabs>
      <w:snapToGrid w:val="0"/>
      <w:spacing w:line="240" w:lineRule="atLeast"/>
      <w:jc w:val="center"/>
    </w:pPr>
    <w:rPr>
      <w:rFonts w:ascii="宋体" w:hAnsi="宋体"/>
      <w:kern w:val="0"/>
      <w:position w:val="-24"/>
      <w:szCs w:val="20"/>
    </w:rPr>
  </w:style>
  <w:style w:type="paragraph" w:customStyle="1" w:styleId="30">
    <w:name w:val="我的正文"/>
    <w:basedOn w:val="1"/>
    <w:qFormat/>
    <w:uiPriority w:val="0"/>
    <w:pPr>
      <w:ind w:firstLine="538"/>
    </w:pPr>
    <w:rPr>
      <w:sz w:val="28"/>
      <w:szCs w:val="20"/>
    </w:rPr>
  </w:style>
  <w:style w:type="paragraph" w:customStyle="1" w:styleId="31">
    <w:name w:val="Body Text 2"/>
    <w:basedOn w:val="1"/>
    <w:autoRedefine/>
    <w:qFormat/>
    <w:uiPriority w:val="0"/>
    <w:pPr>
      <w:autoSpaceDE w:val="0"/>
      <w:autoSpaceDN w:val="0"/>
      <w:adjustRightInd w:val="0"/>
      <w:spacing w:line="480" w:lineRule="atLeast"/>
      <w:ind w:firstLine="570" w:firstLineChars="0"/>
    </w:pPr>
    <w:rPr>
      <w:rFonts w:ascii="宋体" w:hAnsi="Tms Rmn"/>
      <w:kern w:val="0"/>
      <w:sz w:val="28"/>
      <w:szCs w:val="20"/>
    </w:rPr>
  </w:style>
  <w:style w:type="paragraph" w:customStyle="1" w:styleId="32">
    <w:name w:val="报告正文"/>
    <w:basedOn w:val="1"/>
    <w:autoRedefine/>
    <w:qFormat/>
    <w:uiPriority w:val="0"/>
    <w:pPr>
      <w:widowControl w:val="0"/>
      <w:autoSpaceDE w:val="0"/>
      <w:autoSpaceDN w:val="0"/>
      <w:adjustRightInd w:val="0"/>
      <w:snapToGrid w:val="0"/>
      <w:spacing w:line="360" w:lineRule="auto"/>
      <w:ind w:firstLine="200" w:firstLineChars="200"/>
    </w:pPr>
    <w:rPr>
      <w:sz w:val="24"/>
    </w:rPr>
  </w:style>
  <w:style w:type="paragraph" w:customStyle="1" w:styleId="33">
    <w:name w:val="Table Paragraph"/>
    <w:basedOn w:val="1"/>
    <w:qFormat/>
    <w:uiPriority w:val="1"/>
    <w:rPr>
      <w:rFonts w:ascii="宋体" w:hAnsi="宋体" w:eastAsia="宋体" w:cs="宋体"/>
      <w:lang w:val="zh-CN" w:eastAsia="zh-CN" w:bidi="zh-CN"/>
    </w:rPr>
  </w:style>
  <w:style w:type="paragraph" w:customStyle="1" w:styleId="34">
    <w:name w:val="纯文本1"/>
    <w:basedOn w:val="1"/>
    <w:autoRedefine/>
    <w:qFormat/>
    <w:uiPriority w:val="0"/>
    <w:pPr>
      <w:adjustRightInd w:val="0"/>
      <w:textAlignment w:val="baseline"/>
    </w:pPr>
    <w:rPr>
      <w:rFonts w:ascii="宋体" w:hAnsi="Courier New" w:eastAsia="仿宋_GB2312"/>
      <w:sz w:val="28"/>
      <w:szCs w:val="21"/>
    </w:rPr>
  </w:style>
  <w:style w:type="paragraph" w:customStyle="1" w:styleId="35">
    <w:name w:val="表头文字"/>
    <w:basedOn w:val="1"/>
    <w:autoRedefine/>
    <w:qFormat/>
    <w:uiPriority w:val="0"/>
    <w:pPr>
      <w:widowControl/>
      <w:adjustRightInd w:val="0"/>
      <w:snapToGrid w:val="0"/>
      <w:spacing w:line="360" w:lineRule="exact"/>
      <w:ind w:firstLine="480" w:firstLineChars="200"/>
      <w:textAlignment w:val="baseline"/>
    </w:pPr>
    <w:rPr>
      <w:rFonts w:ascii="Calibri" w:hAnsi="Calibri" w:cs="宋体"/>
      <w:b/>
      <w:bCs/>
      <w:kern w:val="0"/>
      <w:sz w:val="24"/>
      <w:szCs w:val="24"/>
    </w:rPr>
  </w:style>
  <w:style w:type="paragraph" w:customStyle="1" w:styleId="36">
    <w:name w:val="正文文字缩进"/>
    <w:basedOn w:val="1"/>
    <w:qFormat/>
    <w:uiPriority w:val="0"/>
    <w:pPr>
      <w:keepNext w:val="0"/>
      <w:keepLines w:val="0"/>
      <w:widowControl/>
      <w:suppressLineNumbers w:val="0"/>
      <w:spacing w:line="351" w:lineRule="atLeast"/>
      <w:ind w:left="436" w:firstLine="419"/>
      <w:jc w:val="both"/>
      <w:textAlignment w:val="baseline"/>
    </w:pPr>
    <w:rPr>
      <w:rFonts w:hint="default" w:ascii="仿宋_GB2312" w:hAnsi="宋体" w:eastAsia="仿宋_GB2312" w:cs="仿宋_GB2312"/>
      <w:color w:val="000000"/>
      <w:kern w:val="0"/>
      <w:sz w:val="30"/>
      <w:szCs w:val="30"/>
      <w:lang w:val="en-US" w:eastAsia="zh-CN" w:bidi="ar"/>
    </w:rPr>
  </w:style>
  <w:style w:type="paragraph" w:customStyle="1" w:styleId="37">
    <w:name w:val="_Style 2"/>
    <w:qFormat/>
    <w:uiPriority w:val="0"/>
    <w:pPr>
      <w:widowControl w:val="0"/>
      <w:jc w:val="center"/>
    </w:pPr>
    <w:rPr>
      <w:rFonts w:ascii="Times New Roman" w:hAnsi="Times New Roman" w:eastAsia="宋体" w:cs="Times New Roman"/>
      <w:kern w:val="2"/>
      <w:sz w:val="24"/>
      <w:szCs w:val="24"/>
      <w:lang w:val="en-US" w:eastAsia="zh-CN" w:bidi="ar-SA"/>
    </w:rPr>
  </w:style>
  <w:style w:type="paragraph" w:customStyle="1" w:styleId="38">
    <w:name w:val="Plain Text"/>
    <w:basedOn w:val="1"/>
    <w:qFormat/>
    <w:uiPriority w:val="0"/>
    <w:rPr>
      <w:rFonts w:ascii="宋体" w:hAnsi="Courier New" w:cs="Courier New"/>
      <w:szCs w:val="21"/>
    </w:rPr>
  </w:style>
  <w:style w:type="paragraph" w:customStyle="1" w:styleId="39">
    <w:name w:val="5正文"/>
    <w:basedOn w:val="1"/>
    <w:autoRedefine/>
    <w:qFormat/>
    <w:uiPriority w:val="0"/>
    <w:pPr>
      <w:ind w:firstLine="200" w:firstLineChars="200"/>
    </w:pPr>
    <w:rPr>
      <w:sz w:val="28"/>
      <w:szCs w:val="20"/>
    </w:rPr>
  </w:style>
  <w:style w:type="paragraph" w:customStyle="1" w:styleId="40">
    <w:name w:val="样式2"/>
    <w:basedOn w:val="7"/>
    <w:qFormat/>
    <w:uiPriority w:val="0"/>
    <w:pPr>
      <w:ind w:firstLine="480" w:firstLineChars="200"/>
    </w:pPr>
    <w:rPr>
      <w:sz w:val="24"/>
      <w:szCs w:val="24"/>
    </w:rPr>
  </w:style>
  <w:style w:type="paragraph" w:customStyle="1" w:styleId="41">
    <w:name w:val="正文1"/>
    <w:basedOn w:val="11"/>
    <w:autoRedefine/>
    <w:qFormat/>
    <w:uiPriority w:val="0"/>
    <w:pPr>
      <w:spacing w:beforeLines="25" w:afterLines="25" w:line="480" w:lineRule="exact"/>
      <w:ind w:firstLine="480" w:firstLineChars="200"/>
      <w:jc w:val="left"/>
    </w:pPr>
    <w:rPr>
      <w:sz w:val="24"/>
      <w:szCs w:val="24"/>
    </w:rPr>
  </w:style>
  <w:style w:type="paragraph" w:customStyle="1" w:styleId="42">
    <w:name w:val="新利正文"/>
    <w:basedOn w:val="1"/>
    <w:autoRedefine/>
    <w:qFormat/>
    <w:uiPriority w:val="99"/>
    <w:pPr>
      <w:adjustRightInd w:val="0"/>
      <w:snapToGrid w:val="0"/>
      <w:spacing w:beforeLines="25" w:line="440" w:lineRule="exact"/>
      <w:ind w:firstLine="480" w:firstLineChars="200"/>
    </w:pPr>
    <w:rPr>
      <w:color w:val="000000"/>
      <w:kern w:val="32"/>
      <w:sz w:val="24"/>
      <w:szCs w:val="24"/>
    </w:rPr>
  </w:style>
  <w:style w:type="paragraph" w:customStyle="1" w:styleId="43">
    <w:name w:val="1"/>
    <w:basedOn w:val="1"/>
    <w:next w:val="34"/>
    <w:autoRedefine/>
    <w:qFormat/>
    <w:uiPriority w:val="0"/>
    <w:pPr>
      <w:snapToGrid w:val="0"/>
      <w:spacing w:line="360" w:lineRule="exact"/>
    </w:pPr>
    <w:rPr>
      <w:rFonts w:ascii="宋体" w:hAnsi="Courier New" w:cs="宋体"/>
      <w:kern w:val="24"/>
      <w:sz w:val="24"/>
      <w:szCs w:val="24"/>
    </w:rPr>
  </w:style>
  <w:style w:type="paragraph" w:customStyle="1" w:styleId="44">
    <w:name w:val="a表内容"/>
    <w:basedOn w:val="1"/>
    <w:autoRedefine/>
    <w:qFormat/>
    <w:uiPriority w:val="0"/>
    <w:pPr>
      <w:jc w:val="center"/>
    </w:pPr>
    <w:rPr>
      <w:szCs w:val="21"/>
    </w:rPr>
  </w:style>
  <w:style w:type="paragraph" w:customStyle="1" w:styleId="45">
    <w:name w:val="中文报告书样式"/>
    <w:basedOn w:val="1"/>
    <w:autoRedefine/>
    <w:qFormat/>
    <w:uiPriority w:val="0"/>
    <w:pPr>
      <w:adjustRightInd w:val="0"/>
      <w:spacing w:line="480" w:lineRule="atLeast"/>
      <w:ind w:firstLine="482"/>
      <w:textAlignment w:val="baseline"/>
    </w:pPr>
    <w:rPr>
      <w:rFonts w:eastAsia="宋体"/>
      <w:kern w:val="24"/>
      <w:sz w:val="24"/>
      <w:lang w:val="en-US" w:eastAsia="zh-CN" w:bidi="ar-SA"/>
    </w:rPr>
  </w:style>
  <w:style w:type="paragraph" w:customStyle="1" w:styleId="46">
    <w:name w:val="表"/>
    <w:basedOn w:val="21"/>
    <w:qFormat/>
    <w:uiPriority w:val="0"/>
    <w:pPr>
      <w:spacing w:line="300" w:lineRule="exact"/>
    </w:pPr>
    <w:rPr>
      <w:rFonts w:ascii="Times New Roman" w:hAnsi="Times New Roman" w:eastAsia="宋体"/>
      <w:bCs/>
      <w:sz w:val="21"/>
    </w:rPr>
  </w:style>
  <w:style w:type="paragraph" w:customStyle="1" w:styleId="47">
    <w:name w:val="表头图题"/>
    <w:basedOn w:val="1"/>
    <w:qFormat/>
    <w:uiPriority w:val="0"/>
    <w:pPr>
      <w:spacing w:line="240" w:lineRule="auto"/>
      <w:ind w:firstLine="0" w:firstLineChars="0"/>
      <w:jc w:val="center"/>
    </w:pPr>
    <w:rPr>
      <w:rFonts w:eastAsia="仿宋"/>
      <w:b/>
    </w:rPr>
  </w:style>
  <w:style w:type="paragraph" w:customStyle="1" w:styleId="48">
    <w:name w:val="zhang正文"/>
    <w:basedOn w:val="11"/>
    <w:qFormat/>
    <w:uiPriority w:val="0"/>
    <w:pPr>
      <w:keepNext w:val="0"/>
      <w:keepLines w:val="0"/>
      <w:widowControl w:val="0"/>
      <w:suppressLineNumbers w:val="0"/>
      <w:autoSpaceDE w:val="0"/>
      <w:autoSpaceDN w:val="0"/>
      <w:adjustRightInd w:val="0"/>
      <w:snapToGrid w:val="0"/>
      <w:spacing w:before="0" w:beforeLines="0" w:beforeAutospacing="0" w:after="0" w:afterLines="0" w:afterAutospacing="0" w:line="500" w:lineRule="exact"/>
      <w:ind w:left="0" w:right="0" w:firstLine="539"/>
      <w:jc w:val="both"/>
    </w:pPr>
    <w:rPr>
      <w:rFonts w:hint="default" w:ascii="Times New Roman" w:hAnsi="Times New Roman" w:eastAsia="楷体_GB2312" w:cs="Times New Roman"/>
      <w:color w:val="auto"/>
      <w:kern w:val="0"/>
      <w:sz w:val="28"/>
      <w:szCs w:val="20"/>
      <w:lang w:val="en-US" w:eastAsia="zh-CN" w:bidi="ar-SA"/>
    </w:rPr>
  </w:style>
  <w:style w:type="paragraph" w:customStyle="1" w:styleId="49">
    <w:name w:val="引言二级条标题"/>
    <w:basedOn w:val="50"/>
    <w:next w:val="1"/>
    <w:autoRedefine/>
    <w:qFormat/>
    <w:uiPriority w:val="0"/>
    <w:pPr>
      <w:numPr>
        <w:ilvl w:val="1"/>
        <w:numId w:val="2"/>
      </w:numPr>
      <w:tabs>
        <w:tab w:val="left" w:pos="720"/>
      </w:tabs>
    </w:pPr>
  </w:style>
  <w:style w:type="paragraph" w:customStyle="1" w:styleId="50">
    <w:name w:val="引言一级条标题"/>
    <w:basedOn w:val="1"/>
    <w:next w:val="51"/>
    <w:qFormat/>
    <w:uiPriority w:val="0"/>
    <w:pPr>
      <w:numPr>
        <w:ilvl w:val="0"/>
        <w:numId w:val="3"/>
      </w:numPr>
    </w:pPr>
    <w:rPr>
      <w:rFonts w:eastAsia="黑体"/>
      <w:b/>
    </w:rPr>
  </w:style>
  <w:style w:type="paragraph" w:customStyle="1" w:styleId="51">
    <w:name w:val="段"/>
    <w:qFormat/>
    <w:uiPriority w:val="99"/>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52">
    <w:name w:val="表头、图题"/>
    <w:basedOn w:val="1"/>
    <w:qFormat/>
    <w:uiPriority w:val="0"/>
    <w:pPr>
      <w:ind w:firstLine="0" w:firstLineChars="0"/>
      <w:jc w:val="center"/>
    </w:pPr>
    <w:rPr>
      <w:rFonts w:eastAsia="仿宋"/>
      <w:b/>
    </w:rPr>
  </w:style>
  <w:style w:type="paragraph" w:customStyle="1" w:styleId="53">
    <w:name w:val="HJN-ZZ"/>
    <w:basedOn w:val="1"/>
    <w:qFormat/>
    <w:uiPriority w:val="0"/>
    <w:pPr>
      <w:ind w:firstLine="482"/>
      <w:jc w:val="left"/>
    </w:pPr>
    <w:rPr>
      <w:rFonts w:ascii="宋体" w:hAnsi="宋体" w:eastAsia="PMingLiU" w:cs="Times New Roman"/>
      <w:kern w:val="21"/>
      <w:szCs w:val="20"/>
    </w:rPr>
  </w:style>
  <w:style w:type="paragraph" w:customStyle="1" w:styleId="54">
    <w:name w:val="表格标题"/>
    <w:basedOn w:val="1"/>
    <w:qFormat/>
    <w:uiPriority w:val="0"/>
    <w:pPr>
      <w:spacing w:before="120" w:line="400" w:lineRule="exact"/>
      <w:jc w:val="center"/>
    </w:pPr>
    <w:rPr>
      <w:rFonts w:ascii="黑体" w:hAnsi="Calibri" w:eastAsia="黑体" w:cs="Times New Roman"/>
      <w:kern w:val="0"/>
      <w:sz w:val="24"/>
      <w:szCs w:val="20"/>
    </w:rPr>
  </w:style>
  <w:style w:type="paragraph" w:styleId="55">
    <w:name w:val="List Paragraph"/>
    <w:basedOn w:val="1"/>
    <w:qFormat/>
    <w:uiPriority w:val="0"/>
    <w:pPr>
      <w:ind w:firstLine="420" w:firstLineChars="200"/>
    </w:pPr>
    <w:rPr>
      <w:rFonts w:ascii="Times New Roman" w:hAnsi="Times New Roman" w:eastAsia="宋体" w:cs="Times New Roman"/>
    </w:rPr>
  </w:style>
  <w:style w:type="paragraph" w:customStyle="1" w:styleId="56">
    <w:name w:val="样式 样式 首行缩进:  2 字符 + (西文) Times New Roman (中文) 宋体 小四 首行缩进:  2 ..."/>
    <w:basedOn w:val="57"/>
    <w:qFormat/>
    <w:uiPriority w:val="0"/>
    <w:pPr>
      <w:spacing w:line="480" w:lineRule="exact"/>
    </w:pPr>
    <w:rPr>
      <w:rFonts w:ascii="Times New Roman" w:hAnsi="宋体" w:eastAsia="Times New Roman"/>
      <w:sz w:val="24"/>
    </w:rPr>
  </w:style>
  <w:style w:type="paragraph" w:customStyle="1" w:styleId="57">
    <w:name w:val="样式 首行缩进:  2 字符"/>
    <w:basedOn w:val="1"/>
    <w:autoRedefine/>
    <w:qFormat/>
    <w:uiPriority w:val="0"/>
    <w:pPr>
      <w:ind w:firstLine="200" w:firstLineChars="200"/>
    </w:pPr>
    <w:rPr>
      <w:rFonts w:ascii="仿宋_GB2312)" w:eastAsia="仿宋_GB2312" w:cs="宋体"/>
      <w:sz w:val="28"/>
      <w:szCs w:val="20"/>
    </w:rPr>
  </w:style>
  <w:style w:type="paragraph" w:customStyle="1" w:styleId="58">
    <w:name w:val="5-正文"/>
    <w:basedOn w:val="1"/>
    <w:qFormat/>
    <w:uiPriority w:val="0"/>
    <w:pPr>
      <w:snapToGrid w:val="0"/>
      <w:spacing w:line="480" w:lineRule="exact"/>
      <w:ind w:firstLine="200" w:firstLineChars="200"/>
    </w:pPr>
    <w:rPr>
      <w:sz w:val="24"/>
      <w:szCs w:val="20"/>
    </w:rPr>
  </w:style>
  <w:style w:type="paragraph" w:customStyle="1" w:styleId="59">
    <w:name w:val="样式 样式 黑色 行距: 固定值 25 磅 + 首行缩进:  2 字符"/>
    <w:basedOn w:val="1"/>
    <w:qFormat/>
    <w:uiPriority w:val="0"/>
    <w:pPr>
      <w:adjustRightInd/>
      <w:spacing w:line="295" w:lineRule="auto"/>
      <w:ind w:firstLine="200"/>
      <w:textAlignment w:val="auto"/>
    </w:pPr>
    <w:rPr>
      <w:rFonts w:cs="宋体"/>
      <w:color w:val="000000"/>
      <w:kern w:val="2"/>
      <w:sz w:val="25"/>
      <w:szCs w:val="20"/>
    </w:rPr>
  </w:style>
  <w:style w:type="paragraph" w:customStyle="1" w:styleId="60">
    <w:name w:val="文本"/>
    <w:basedOn w:val="1"/>
    <w:qFormat/>
    <w:uiPriority w:val="0"/>
    <w:pPr>
      <w:snapToGrid w:val="0"/>
      <w:ind w:firstLine="480"/>
      <w:textAlignment w:val="auto"/>
    </w:pPr>
    <w:rPr>
      <w:rFonts w:ascii="宋体" w:hAnsi="宋体"/>
      <w:kern w:val="2"/>
      <w:szCs w:val="24"/>
    </w:rPr>
  </w:style>
  <w:style w:type="paragraph" w:customStyle="1" w:styleId="61">
    <w:name w:val="表头"/>
    <w:basedOn w:val="7"/>
    <w:next w:val="1"/>
    <w:qFormat/>
    <w:uiPriority w:val="0"/>
    <w:pPr>
      <w:snapToGrid w:val="0"/>
      <w:spacing w:line="440" w:lineRule="exact"/>
      <w:textAlignment w:val="auto"/>
    </w:pPr>
    <w:rPr>
      <w:rFonts w:ascii="宋体" w:hAnsi="宋体"/>
      <w:b/>
      <w:bCs/>
      <w:kern w:val="2"/>
      <w:sz w:val="24"/>
      <w:szCs w:val="24"/>
    </w:rPr>
  </w:style>
  <w:style w:type="paragraph" w:customStyle="1" w:styleId="62">
    <w:name w:val="表题"/>
    <w:basedOn w:val="11"/>
    <w:qFormat/>
    <w:uiPriority w:val="0"/>
    <w:pPr>
      <w:tabs>
        <w:tab w:val="left" w:pos="4305"/>
      </w:tabs>
      <w:snapToGrid w:val="0"/>
      <w:spacing w:beforeLines="20" w:after="0" w:line="240" w:lineRule="auto"/>
      <w:ind w:left="0" w:leftChars="0" w:firstLine="0" w:firstLineChars="0"/>
      <w:jc w:val="center"/>
      <w:textAlignment w:val="auto"/>
    </w:pPr>
    <w:rPr>
      <w:rFonts w:hAnsi="宋体"/>
      <w:b/>
      <w:sz w:val="24"/>
      <w:szCs w:val="20"/>
      <w:lang w:val="zh-CN" w:eastAsia="zh-CN"/>
    </w:rPr>
  </w:style>
  <w:style w:type="paragraph" w:customStyle="1" w:styleId="63">
    <w:name w:val="无间隔1"/>
    <w:basedOn w:val="10"/>
    <w:next w:val="10"/>
    <w:qFormat/>
    <w:uiPriority w:val="1"/>
    <w:pPr>
      <w:snapToGrid w:val="0"/>
      <w:spacing w:before="0" w:line="360" w:lineRule="exact"/>
      <w:ind w:firstLine="0" w:firstLineChars="0"/>
      <w:jc w:val="center"/>
    </w:pPr>
    <w:rPr>
      <w:rFonts w:ascii="Times New Roman" w:eastAsia="黑体"/>
      <w:spacing w:val="0"/>
      <w:kern w:val="2"/>
      <w:sz w:val="21"/>
      <w:szCs w:val="20"/>
      <w:lang w:val="en-US"/>
    </w:rPr>
  </w:style>
  <w:style w:type="paragraph" w:customStyle="1" w:styleId="64">
    <w:name w:val="表文1"/>
    <w:basedOn w:val="1"/>
    <w:qFormat/>
    <w:uiPriority w:val="0"/>
    <w:pPr>
      <w:adjustRightInd/>
      <w:spacing w:line="240" w:lineRule="auto"/>
      <w:ind w:firstLine="0" w:firstLineChars="0"/>
      <w:jc w:val="center"/>
      <w:textAlignment w:val="auto"/>
    </w:pPr>
    <w:rPr>
      <w:kern w:val="2"/>
      <w:sz w:val="21"/>
    </w:rPr>
  </w:style>
  <w:style w:type="paragraph" w:customStyle="1" w:styleId="65">
    <w:name w:val="表格及图片名称"/>
    <w:basedOn w:val="1"/>
    <w:qFormat/>
    <w:uiPriority w:val="0"/>
    <w:pPr>
      <w:widowControl/>
      <w:snapToGrid w:val="0"/>
      <w:spacing w:line="480" w:lineRule="exact"/>
      <w:ind w:firstLine="0" w:firstLineChars="0"/>
      <w:jc w:val="center"/>
      <w:textAlignment w:val="auto"/>
    </w:pPr>
    <w:rPr>
      <w:rFonts w:ascii="Segoe UI Emoji" w:hAnsi="Segoe UI Emoji" w:eastAsia="Segoe UI Emoji"/>
      <w:snapToGrid w:val="0"/>
      <w:sz w:val="21"/>
    </w:rPr>
  </w:style>
  <w:style w:type="paragraph" w:customStyle="1" w:styleId="66">
    <w:name w:val="表中"/>
    <w:qFormat/>
    <w:uiPriority w:val="0"/>
    <w:pPr>
      <w:jc w:val="both"/>
    </w:pPr>
    <w:rPr>
      <w:rFonts w:ascii="Times New Roman" w:hAnsi="Times New Roman" w:eastAsia="宋体" w:cs="Times New Roman"/>
      <w:color w:val="000000"/>
      <w:kern w:val="44"/>
      <w:sz w:val="18"/>
      <w:lang w:val="en-US" w:eastAsia="zh-CN" w:bidi="ar-SA"/>
    </w:rPr>
  </w:style>
  <w:style w:type="paragraph" w:customStyle="1" w:styleId="67">
    <w:name w:val="表头1-1"/>
    <w:basedOn w:val="1"/>
    <w:qFormat/>
    <w:uiPriority w:val="0"/>
    <w:pPr>
      <w:spacing w:line="360" w:lineRule="auto"/>
      <w:jc w:val="center"/>
    </w:pPr>
    <w:rPr>
      <w:b/>
    </w:rPr>
  </w:style>
  <w:style w:type="paragraph" w:customStyle="1" w:styleId="68">
    <w:name w:val="表内文字"/>
    <w:basedOn w:val="69"/>
    <w:qFormat/>
    <w:uiPriority w:val="0"/>
    <w:rPr>
      <w:rFonts w:eastAsia="仿宋"/>
    </w:rPr>
  </w:style>
  <w:style w:type="paragraph" w:customStyle="1" w:styleId="69">
    <w:name w:val="表格内文本"/>
    <w:basedOn w:val="1"/>
    <w:qFormat/>
    <w:uiPriority w:val="0"/>
    <w:pPr>
      <w:pBdr>
        <w:top w:val="none" w:color="auto" w:sz="0" w:space="1"/>
        <w:left w:val="none" w:color="auto" w:sz="0" w:space="4"/>
        <w:bottom w:val="none" w:color="auto" w:sz="0" w:space="1"/>
        <w:right w:val="none" w:color="auto" w:sz="0" w:space="4"/>
      </w:pBdr>
      <w:spacing w:line="240" w:lineRule="auto"/>
      <w:ind w:firstLine="0" w:firstLineChars="0"/>
      <w:jc w:val="center"/>
    </w:pPr>
    <w:rPr>
      <w:rFonts w:ascii="Times New Roman" w:hAnsi="Times New Roman" w:eastAsia="宋体"/>
      <w:sz w:val="21"/>
    </w:rPr>
  </w:style>
  <w:style w:type="paragraph" w:customStyle="1" w:styleId="70">
    <w:name w:val="Char Char Char Char Char Char Char1"/>
    <w:basedOn w:val="1"/>
    <w:qFormat/>
    <w:uiPriority w:val="0"/>
    <w:pPr>
      <w:snapToGrid w:val="0"/>
      <w:spacing w:line="360" w:lineRule="auto"/>
      <w:ind w:firstLine="529" w:firstLineChars="200"/>
    </w:pPr>
    <w:rPr>
      <w:rFonts w:ascii="宋体" w:hAnsi="宋体"/>
      <w:b/>
    </w:rPr>
  </w:style>
  <w:style w:type="paragraph" w:customStyle="1" w:styleId="71">
    <w:name w:val="新正文11"/>
    <w:basedOn w:val="1"/>
    <w:qFormat/>
    <w:uiPriority w:val="0"/>
    <w:pPr>
      <w:autoSpaceDE w:val="0"/>
      <w:autoSpaceDN w:val="0"/>
      <w:adjustRightInd w:val="0"/>
      <w:spacing w:line="480" w:lineRule="exact"/>
      <w:ind w:firstLine="200" w:firstLineChars="200"/>
      <w:jc w:val="left"/>
    </w:pPr>
    <w:rPr>
      <w:rFonts w:hAnsi="宋体"/>
      <w:kern w:val="0"/>
      <w:sz w:val="24"/>
    </w:rPr>
  </w:style>
  <w:style w:type="paragraph" w:customStyle="1" w:styleId="72">
    <w:name w:val="新正文"/>
    <w:basedOn w:val="1"/>
    <w:qFormat/>
    <w:uiPriority w:val="0"/>
    <w:pPr>
      <w:widowControl/>
      <w:adjustRightInd w:val="0"/>
      <w:snapToGrid w:val="0"/>
      <w:spacing w:line="480" w:lineRule="exact"/>
      <w:ind w:firstLine="480" w:firstLineChars="200"/>
      <w:jc w:val="left"/>
    </w:pPr>
    <w:rPr>
      <w:color w:val="000000"/>
      <w:kern w:val="0"/>
      <w:sz w:val="24"/>
    </w:rPr>
  </w:style>
  <w:style w:type="paragraph" w:customStyle="1" w:styleId="73">
    <w:name w:val="表头文字1"/>
    <w:basedOn w:val="1"/>
    <w:qFormat/>
    <w:uiPriority w:val="0"/>
    <w:pPr>
      <w:spacing w:line="480" w:lineRule="exact"/>
      <w:jc w:val="center"/>
    </w:pPr>
    <w:rPr>
      <w:rFonts w:hAnsi="宋体"/>
      <w:b/>
      <w:szCs w:val="21"/>
    </w:rPr>
  </w:style>
  <w:style w:type="paragraph" w:customStyle="1" w:styleId="74">
    <w:name w:val="表格文字11"/>
    <w:basedOn w:val="1"/>
    <w:qFormat/>
    <w:uiPriority w:val="0"/>
    <w:pPr>
      <w:snapToGrid w:val="0"/>
      <w:spacing w:line="400" w:lineRule="exact"/>
      <w:jc w:val="center"/>
    </w:pPr>
    <w:rPr>
      <w:spacing w:val="6"/>
      <w:szCs w:val="21"/>
    </w:rPr>
  </w:style>
  <w:style w:type="paragraph" w:customStyle="1" w:styleId="75">
    <w:name w:val="正文01"/>
    <w:basedOn w:val="1"/>
    <w:qFormat/>
    <w:uiPriority w:val="0"/>
    <w:pPr>
      <w:spacing w:before="60" w:line="460" w:lineRule="exact"/>
      <w:ind w:firstLine="200" w:firstLineChars="200"/>
    </w:pPr>
    <w:rPr>
      <w:rFonts w:ascii="Arial" w:hAnsi="Arial"/>
      <w:kern w:val="0"/>
      <w:sz w:val="24"/>
    </w:rPr>
  </w:style>
  <w:style w:type="paragraph" w:customStyle="1" w:styleId="76">
    <w:name w:val="正文2"/>
    <w:basedOn w:val="1"/>
    <w:qFormat/>
    <w:uiPriority w:val="0"/>
    <w:pPr>
      <w:spacing w:before="156" w:beforeLines="50" w:line="360" w:lineRule="auto"/>
      <w:ind w:firstLine="560" w:firstLineChars="200"/>
    </w:pPr>
    <w:rPr>
      <w:kern w:val="0"/>
      <w:sz w:val="24"/>
      <w:szCs w:val="20"/>
    </w:rPr>
  </w:style>
  <w:style w:type="paragraph" w:customStyle="1" w:styleId="77">
    <w:name w:val=" Char Char Char3 Char"/>
    <w:basedOn w:val="1"/>
    <w:qFormat/>
    <w:uiPriority w:val="0"/>
    <w:pPr>
      <w:spacing w:line="360" w:lineRule="auto"/>
      <w:ind w:firstLine="200" w:firstLineChars="200"/>
    </w:pPr>
    <w:rPr>
      <w:rFonts w:ascii="Calibri" w:hAnsi="Calibri"/>
    </w:rPr>
  </w:style>
  <w:style w:type="paragraph" w:customStyle="1" w:styleId="78">
    <w:name w:val="样式 标题 4 + 段前: 5 磅 段后: 3 磅 行距: 固定值 26 磅"/>
    <w:basedOn w:val="5"/>
    <w:autoRedefine/>
    <w:qFormat/>
    <w:uiPriority w:val="0"/>
    <w:pPr>
      <w:spacing w:before="0" w:after="0" w:line="500" w:lineRule="exact"/>
    </w:pPr>
    <w:rPr>
      <w:rFonts w:ascii="楷体_GB2312" w:eastAsia="楷体_GB2312"/>
      <w:bCs w:val="0"/>
      <w:szCs w:val="20"/>
    </w:rPr>
  </w:style>
  <w:style w:type="paragraph" w:customStyle="1" w:styleId="79">
    <w:name w:val="正文内容"/>
    <w:autoRedefine/>
    <w:qFormat/>
    <w:uiPriority w:val="0"/>
    <w:pPr>
      <w:widowControl w:val="0"/>
      <w:snapToGrid w:val="0"/>
      <w:spacing w:before="60" w:after="60" w:line="440" w:lineRule="exact"/>
      <w:ind w:firstLine="200" w:firstLineChars="200"/>
      <w:jc w:val="both"/>
    </w:pPr>
    <w:rPr>
      <w:rFonts w:ascii="Times New Roman" w:hAnsi="Times New Roman" w:eastAsia="宋体" w:cs="Times New Roman"/>
      <w:kern w:val="2"/>
      <w:sz w:val="21"/>
      <w:szCs w:val="24"/>
      <w:lang w:val="en-US" w:eastAsia="zh-CN" w:bidi="ar-SA"/>
    </w:rPr>
  </w:style>
  <w:style w:type="paragraph" w:customStyle="1" w:styleId="80">
    <w:name w:val="Style2"/>
    <w:basedOn w:val="1"/>
    <w:autoRedefine/>
    <w:unhideWhenUsed/>
    <w:qFormat/>
    <w:uiPriority w:val="99"/>
    <w:pPr>
      <w:spacing w:line="405" w:lineRule="exact"/>
      <w:ind w:firstLine="420"/>
    </w:pPr>
    <w:rPr>
      <w:sz w:val="24"/>
    </w:rPr>
  </w:style>
  <w:style w:type="paragraph" w:customStyle="1" w:styleId="81">
    <w:name w:val="正文样式"/>
    <w:basedOn w:val="1"/>
    <w:autoRedefine/>
    <w:qFormat/>
    <w:uiPriority w:val="0"/>
    <w:pPr>
      <w:spacing w:line="360" w:lineRule="auto"/>
      <w:ind w:firstLine="480" w:firstLineChars="200"/>
    </w:pPr>
    <w:rPr>
      <w:sz w:val="24"/>
    </w:rPr>
  </w:style>
  <w:style w:type="paragraph" w:customStyle="1" w:styleId="82">
    <w:name w:val="表格"/>
    <w:basedOn w:val="13"/>
    <w:next w:val="1"/>
    <w:autoRedefine/>
    <w:qFormat/>
    <w:uiPriority w:val="0"/>
    <w:pPr>
      <w:adjustRightInd w:val="0"/>
      <w:snapToGrid w:val="0"/>
      <w:spacing w:beforeLines="10" w:afterLines="10" w:line="259" w:lineRule="auto"/>
      <w:jc w:val="center"/>
    </w:pPr>
    <w:rPr>
      <w:rFonts w:ascii="宋体"/>
      <w:kern w:val="0"/>
      <w:szCs w:val="20"/>
    </w:rPr>
  </w:style>
  <w:style w:type="paragraph" w:customStyle="1" w:styleId="83">
    <w:name w:val="正文文本 21"/>
    <w:basedOn w:val="1"/>
    <w:autoRedefine/>
    <w:qFormat/>
    <w:uiPriority w:val="0"/>
    <w:pPr>
      <w:adjustRightInd w:val="0"/>
      <w:jc w:val="center"/>
      <w:textAlignment w:val="baseline"/>
    </w:pPr>
    <w:rPr>
      <w:sz w:val="24"/>
      <w:szCs w:val="20"/>
    </w:rPr>
  </w:style>
  <w:style w:type="paragraph" w:customStyle="1" w:styleId="84">
    <w:name w:val="Table Text"/>
    <w:basedOn w:val="1"/>
    <w:semiHidden/>
    <w:qFormat/>
    <w:uiPriority w:val="0"/>
    <w:rPr>
      <w:rFonts w:ascii="宋体" w:hAnsi="宋体" w:eastAsia="宋体" w:cs="宋体"/>
      <w:sz w:val="20"/>
      <w:szCs w:val="20"/>
      <w:lang w:val="en-US" w:eastAsia="en-US" w:bidi="ar-SA"/>
    </w:rPr>
  </w:style>
  <w:style w:type="paragraph" w:customStyle="1" w:styleId="85">
    <w:name w:val="正文新 Char"/>
    <w:basedOn w:val="1"/>
    <w:autoRedefine/>
    <w:qFormat/>
    <w:uiPriority w:val="0"/>
    <w:pPr>
      <w:spacing w:line="360" w:lineRule="auto"/>
      <w:ind w:firstLine="480" w:firstLineChars="200"/>
    </w:pPr>
    <w:rPr>
      <w:rFonts w:cs="宋体"/>
      <w:sz w:val="24"/>
    </w:rPr>
  </w:style>
  <w:style w:type="paragraph" w:customStyle="1" w:styleId="86">
    <w:name w:val="1正文"/>
    <w:basedOn w:val="1"/>
    <w:autoRedefine/>
    <w:qFormat/>
    <w:uiPriority w:val="0"/>
    <w:pPr>
      <w:spacing w:line="360" w:lineRule="auto"/>
      <w:ind w:firstLine="200" w:firstLineChars="200"/>
    </w:pPr>
    <w:rPr>
      <w:rFonts w:ascii="Times New Roman" w:hAnsi="Times New Roman" w:cs="宋体"/>
      <w:sz w:val="24"/>
    </w:rPr>
  </w:style>
  <w:style w:type="paragraph" w:customStyle="1" w:styleId="87">
    <w:name w:val="zhengwen"/>
    <w:basedOn w:val="1"/>
    <w:semiHidden/>
    <w:qFormat/>
    <w:uiPriority w:val="0"/>
    <w:pPr>
      <w:spacing w:line="440" w:lineRule="exact"/>
      <w:ind w:firstLine="480" w:firstLineChars="200"/>
    </w:pPr>
    <w:rPr>
      <w:rFonts w:hAnsi="宋体"/>
      <w:sz w:val="24"/>
      <w:szCs w:val="24"/>
    </w:rPr>
  </w:style>
  <w:style w:type="paragraph" w:customStyle="1" w:styleId="88">
    <w:name w:val="正文 New New New New New New New New New New New New New New New New New New New New New New New New New New New New New New New New New New New New New New New New New New New New New New New New New New New New New New New New New New New New New New146"/>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89">
    <w:name w:val="表中文字"/>
    <w:basedOn w:val="1"/>
    <w:autoRedefine/>
    <w:qFormat/>
    <w:uiPriority w:val="0"/>
    <w:pPr>
      <w:adjustRightInd w:val="0"/>
      <w:snapToGrid w:val="0"/>
      <w:jc w:val="center"/>
    </w:pPr>
  </w:style>
  <w:style w:type="paragraph" w:customStyle="1" w:styleId="90">
    <w:name w:val="表内正文"/>
    <w:basedOn w:val="1"/>
    <w:qFormat/>
    <w:uiPriority w:val="0"/>
    <w:pPr>
      <w:spacing w:line="240" w:lineRule="auto"/>
      <w:ind w:firstLine="0" w:firstLineChars="0"/>
    </w:pPr>
    <w:rPr>
      <w:rFonts w:ascii="仿宋_GB2312" w:hAnsi="宋体" w:eastAsia="仿宋_GB2312"/>
      <w:sz w:val="21"/>
      <w:szCs w:val="24"/>
    </w:rPr>
  </w:style>
  <w:style w:type="character" w:customStyle="1" w:styleId="91">
    <w:name w:val="正文文本 (2)5"/>
    <w:basedOn w:val="92"/>
    <w:qFormat/>
    <w:uiPriority w:val="0"/>
    <w:rPr>
      <w:rFonts w:cs="宋体"/>
      <w:u w:val="none"/>
    </w:rPr>
  </w:style>
  <w:style w:type="character" w:customStyle="1" w:styleId="92">
    <w:name w:val="正文文本 (2)_"/>
    <w:basedOn w:val="26"/>
    <w:link w:val="93"/>
    <w:qFormat/>
    <w:uiPriority w:val="0"/>
    <w:rPr>
      <w:rFonts w:ascii="宋体" w:hAnsi="宋体" w:eastAsia="Times New Roman" w:cs="Times New Roman"/>
      <w:kern w:val="0"/>
      <w:sz w:val="22"/>
      <w:szCs w:val="22"/>
    </w:rPr>
  </w:style>
  <w:style w:type="paragraph" w:customStyle="1" w:styleId="93">
    <w:name w:val="正文文本 (2)1"/>
    <w:basedOn w:val="1"/>
    <w:link w:val="92"/>
    <w:qFormat/>
    <w:uiPriority w:val="0"/>
    <w:pPr>
      <w:shd w:val="clear" w:color="auto" w:fill="FFFFFF"/>
      <w:spacing w:line="240" w:lineRule="atLeast"/>
      <w:ind w:hanging="300"/>
      <w:jc w:val="left"/>
    </w:pPr>
    <w:rPr>
      <w:rFonts w:ascii="宋体" w:hAnsi="宋体" w:eastAsia="Times New Roman" w:cs="Times New Roman"/>
      <w:kern w:val="0"/>
      <w:sz w:val="22"/>
      <w:szCs w:val="22"/>
    </w:rPr>
  </w:style>
  <w:style w:type="paragraph" w:customStyle="1" w:styleId="94">
    <w:name w:val="水保"/>
    <w:basedOn w:val="1"/>
    <w:qFormat/>
    <w:uiPriority w:val="0"/>
    <w:pPr>
      <w:spacing w:line="560" w:lineRule="exact"/>
      <w:ind w:firstLine="200" w:firstLineChars="200"/>
    </w:pPr>
    <w:rPr>
      <w:kern w:val="0"/>
      <w:sz w:val="24"/>
    </w:rPr>
  </w:style>
  <w:style w:type="paragraph" w:customStyle="1" w:styleId="95">
    <w:name w:val="表文字"/>
    <w:basedOn w:val="1"/>
    <w:qFormat/>
    <w:uiPriority w:val="0"/>
    <w:pPr>
      <w:adjustRightInd w:val="0"/>
      <w:snapToGrid w:val="0"/>
      <w:spacing w:line="240" w:lineRule="auto"/>
      <w:jc w:val="center"/>
    </w:pPr>
    <w:rPr>
      <w:rFonts w:ascii="Times New Roman" w:hAnsi="Times New Roman" w:eastAsia="宋体" w:cs="Times New Roman"/>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8</Pages>
  <Words>6964</Words>
  <Characters>7804</Characters>
  <Lines>0</Lines>
  <Paragraphs>0</Paragraphs>
  <TotalTime>0</TotalTime>
  <ScaleCrop>false</ScaleCrop>
  <LinksUpToDate>false</LinksUpToDate>
  <CharactersWithSpaces>7836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2018-09-14T07:04:00Z</dcterms:created>
  <dc:creator>lenovo</dc:creator>
  <cp:lastModifiedBy>smile</cp:lastModifiedBy>
  <dcterms:modified xsi:type="dcterms:W3CDTF">2026-09-07T01:57:34Z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65903887E09E4240B5F3D5AAE9AD1D07</vt:lpwstr>
  </property>
  <property fmtid="{D5CDD505-2E9C-101B-9397-08002B2CF9AE}" pid="4" name="KSOTemplateDocerSaveRecord">
    <vt:lpwstr>eyJoZGlkIjoiZDI0ODkxYmE5MWVkOWYwMGJmYzcyZGVkNDA0ZDI2OTQiLCJ1c2VySWQiOiIzNDAxNDAwOTcifQ==</vt:lpwstr>
  </property>
</Properties>
</file>