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04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FF0000"/>
          <w:spacing w:val="68"/>
          <w:sz w:val="52"/>
          <w:szCs w:val="52"/>
          <w:u w:val="single"/>
          <w:lang w:val="en-US" w:eastAsia="zh-CN"/>
        </w:rPr>
      </w:pPr>
      <w:r>
        <w:rPr>
          <w:rFonts w:hint="eastAsia" w:ascii="方正小标宋简体" w:hAnsi="方正小标宋简体" w:eastAsia="方正小标宋简体" w:cs="方正小标宋简体"/>
          <w:color w:val="FF0000"/>
          <w:spacing w:val="68"/>
          <w:sz w:val="52"/>
          <w:szCs w:val="52"/>
          <w:u w:val="single"/>
          <w:lang w:val="en-US" w:eastAsia="zh-CN"/>
        </w:rPr>
        <w:t xml:space="preserve"> </w:t>
      </w:r>
      <w:r>
        <w:rPr>
          <w:rFonts w:hint="eastAsia" w:ascii="方正小标宋简体" w:hAnsi="方正小标宋简体" w:eastAsia="方正小标宋简体" w:cs="方正小标宋简体"/>
          <w:color w:val="FF0000"/>
          <w:spacing w:val="68"/>
          <w:sz w:val="52"/>
          <w:szCs w:val="52"/>
          <w:u w:val="single"/>
          <w:lang w:eastAsia="zh-CN"/>
        </w:rPr>
        <w:t>大同市生态环境局灵丘分局</w:t>
      </w:r>
      <w:r>
        <w:rPr>
          <w:rFonts w:hint="eastAsia" w:ascii="方正小标宋简体" w:hAnsi="方正小标宋简体" w:eastAsia="方正小标宋简体" w:cs="方正小标宋简体"/>
          <w:color w:val="FF0000"/>
          <w:spacing w:val="68"/>
          <w:sz w:val="52"/>
          <w:szCs w:val="52"/>
          <w:u w:val="single"/>
          <w:lang w:val="en-US" w:eastAsia="zh-CN"/>
        </w:rPr>
        <w:t xml:space="preserve"> </w:t>
      </w:r>
    </w:p>
    <w:p w14:paraId="1D3DB826">
      <w:pPr>
        <w:wordWrap w:val="0"/>
        <w:spacing w:line="600" w:lineRule="exact"/>
        <w:jc w:val="right"/>
        <w:rPr>
          <w:rFonts w:hint="eastAsia" w:ascii="仿宋" w:hAnsi="仿宋" w:eastAsia="仿宋" w:cs="仿宋"/>
          <w:spacing w:val="-11"/>
          <w:sz w:val="32"/>
          <w:szCs w:val="32"/>
          <w:lang w:val="en-US" w:eastAsia="zh-CN"/>
        </w:rPr>
      </w:pPr>
      <w:r>
        <w:rPr>
          <w:rFonts w:hint="eastAsia" w:ascii="仿宋" w:hAnsi="仿宋" w:eastAsia="仿宋" w:cs="仿宋"/>
          <w:spacing w:val="-11"/>
          <w:sz w:val="32"/>
          <w:szCs w:val="32"/>
          <w:lang w:eastAsia="zh-CN"/>
        </w:rPr>
        <w:t>灵环函〔</w:t>
      </w:r>
      <w:r>
        <w:rPr>
          <w:rFonts w:hint="eastAsia" w:ascii="仿宋" w:hAnsi="仿宋" w:eastAsia="仿宋" w:cs="仿宋"/>
          <w:spacing w:val="-11"/>
          <w:sz w:val="32"/>
          <w:szCs w:val="32"/>
          <w:lang w:val="en-US" w:eastAsia="zh-CN"/>
        </w:rPr>
        <w:t>2026〕32</w:t>
      </w:r>
      <w:bookmarkStart w:id="0" w:name="_GoBack"/>
      <w:bookmarkEnd w:id="0"/>
      <w:r>
        <w:rPr>
          <w:rFonts w:hint="eastAsia" w:ascii="仿宋" w:hAnsi="仿宋" w:eastAsia="仿宋" w:cs="仿宋"/>
          <w:spacing w:val="-11"/>
          <w:sz w:val="32"/>
          <w:szCs w:val="32"/>
          <w:lang w:val="en-US" w:eastAsia="zh-CN"/>
        </w:rPr>
        <w:t>号</w:t>
      </w:r>
    </w:p>
    <w:p w14:paraId="279015E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default" w:ascii="仿宋" w:hAnsi="仿宋" w:eastAsia="仿宋" w:cs="仿宋"/>
          <w:spacing w:val="-11"/>
          <w:sz w:val="21"/>
          <w:szCs w:val="21"/>
          <w:lang w:val="en-US" w:eastAsia="zh-CN"/>
        </w:rPr>
      </w:pPr>
    </w:p>
    <w:p w14:paraId="661AEA9A">
      <w:pPr>
        <w:snapToGrid/>
        <w:spacing w:before="0" w:beforeAutospacing="0" w:after="0" w:afterAutospacing="0" w:line="600" w:lineRule="exact"/>
        <w:jc w:val="center"/>
        <w:rPr>
          <w:rStyle w:val="10"/>
          <w:rFonts w:ascii="方正小标宋简体" w:hAnsi="方正小标宋简体" w:eastAsia="方正小标宋简体"/>
          <w:b w:val="0"/>
          <w:i w:val="0"/>
          <w:spacing w:val="0"/>
          <w:w w:val="100"/>
          <w:kern w:val="2"/>
          <w:sz w:val="44"/>
          <w:szCs w:val="44"/>
          <w:lang w:val="en-US" w:eastAsia="zh-CN" w:bidi="ar-SA"/>
        </w:rPr>
      </w:pPr>
      <w:r>
        <w:rPr>
          <w:rStyle w:val="10"/>
          <w:rFonts w:ascii="方正小标宋简体" w:hAnsi="方正小标宋简体" w:eastAsia="方正小标宋简体"/>
          <w:b w:val="0"/>
          <w:i w:val="0"/>
          <w:spacing w:val="0"/>
          <w:w w:val="100"/>
          <w:kern w:val="2"/>
          <w:sz w:val="44"/>
          <w:szCs w:val="44"/>
          <w:lang w:val="en-US" w:eastAsia="zh-CN" w:bidi="ar-SA"/>
        </w:rPr>
        <w:t>关于</w:t>
      </w:r>
      <w:r>
        <w:rPr>
          <w:rStyle w:val="10"/>
          <w:rFonts w:hint="eastAsia" w:ascii="方正小标宋简体" w:hAnsi="方正小标宋简体" w:eastAsia="方正小标宋简体"/>
          <w:b w:val="0"/>
          <w:i w:val="0"/>
          <w:spacing w:val="0"/>
          <w:w w:val="100"/>
          <w:kern w:val="2"/>
          <w:sz w:val="44"/>
          <w:szCs w:val="44"/>
          <w:lang w:val="en-US" w:eastAsia="zh-CN" w:bidi="ar-SA"/>
        </w:rPr>
        <w:t>灵丘县顺鑫矿业有限公司</w:t>
      </w:r>
    </w:p>
    <w:p w14:paraId="487C9579">
      <w:pPr>
        <w:snapToGrid/>
        <w:spacing w:before="0" w:beforeAutospacing="0" w:after="0" w:afterAutospacing="0" w:line="600" w:lineRule="exact"/>
        <w:jc w:val="center"/>
        <w:rPr>
          <w:rStyle w:val="10"/>
          <w:rFonts w:hint="eastAsia" w:ascii="方正小标宋简体" w:hAnsi="方正小标宋简体" w:eastAsia="方正小标宋简体"/>
          <w:b w:val="0"/>
          <w:i w:val="0"/>
          <w:spacing w:val="0"/>
          <w:w w:val="100"/>
          <w:kern w:val="2"/>
          <w:sz w:val="44"/>
          <w:szCs w:val="44"/>
          <w:lang w:val="en-US" w:eastAsia="zh-CN" w:bidi="ar-SA"/>
        </w:rPr>
      </w:pPr>
      <w:r>
        <w:rPr>
          <w:rStyle w:val="10"/>
          <w:rFonts w:hint="eastAsia" w:ascii="方正小标宋简体" w:hAnsi="方正小标宋简体" w:eastAsia="方正小标宋简体"/>
          <w:b w:val="0"/>
          <w:i w:val="0"/>
          <w:spacing w:val="0"/>
          <w:w w:val="100"/>
          <w:kern w:val="2"/>
          <w:sz w:val="44"/>
          <w:szCs w:val="44"/>
          <w:lang w:val="en-US" w:eastAsia="zh-CN" w:bidi="ar-SA"/>
        </w:rPr>
        <w:t>新建年处理30万吨固体废弃物项目</w:t>
      </w:r>
    </w:p>
    <w:p w14:paraId="70101437">
      <w:pPr>
        <w:snapToGrid/>
        <w:spacing w:before="0" w:beforeAutospacing="0" w:after="0" w:afterAutospacing="0" w:line="600" w:lineRule="exact"/>
        <w:jc w:val="center"/>
        <w:rPr>
          <w:rStyle w:val="10"/>
          <w:rFonts w:ascii="方正小标宋简体" w:hAnsi="方正小标宋简体" w:eastAsia="方正小标宋简体"/>
          <w:b w:val="0"/>
          <w:i w:val="0"/>
          <w:spacing w:val="0"/>
          <w:w w:val="100"/>
          <w:kern w:val="2"/>
          <w:sz w:val="44"/>
          <w:szCs w:val="44"/>
          <w:lang w:val="en-US" w:eastAsia="zh-CN" w:bidi="ar-SA"/>
        </w:rPr>
      </w:pPr>
      <w:r>
        <w:rPr>
          <w:rStyle w:val="10"/>
          <w:rFonts w:ascii="方正小标宋简体" w:hAnsi="方正小标宋简体" w:eastAsia="方正小标宋简体"/>
          <w:b w:val="0"/>
          <w:i w:val="0"/>
          <w:spacing w:val="0"/>
          <w:w w:val="100"/>
          <w:kern w:val="2"/>
          <w:sz w:val="44"/>
          <w:szCs w:val="44"/>
          <w:lang w:val="en-US" w:eastAsia="zh-CN" w:bidi="ar-SA"/>
        </w:rPr>
        <w:t>环境影响报告表的批复</w:t>
      </w:r>
    </w:p>
    <w:p w14:paraId="43711D72">
      <w:pPr>
        <w:snapToGrid/>
        <w:spacing w:before="0" w:beforeAutospacing="0" w:after="0" w:afterAutospacing="0" w:line="240" w:lineRule="auto"/>
        <w:jc w:val="center"/>
        <w:rPr>
          <w:rStyle w:val="10"/>
          <w:rFonts w:ascii="仿宋_GB2312" w:hAnsi="仿宋_GB2312" w:eastAsia="仿宋_GB2312"/>
          <w:b w:val="0"/>
          <w:i w:val="0"/>
          <w:spacing w:val="0"/>
          <w:w w:val="100"/>
          <w:kern w:val="2"/>
          <w:sz w:val="21"/>
          <w:szCs w:val="21"/>
          <w:lang w:val="en-US" w:eastAsia="zh-CN" w:bidi="ar-SA"/>
        </w:rPr>
      </w:pPr>
    </w:p>
    <w:p w14:paraId="7B9ECD92">
      <w:pPr>
        <w:keepNext w:val="0"/>
        <w:keepLines w:val="0"/>
        <w:pageBreakBefore w:val="0"/>
        <w:kinsoku/>
        <w:wordWrap/>
        <w:overflowPunct/>
        <w:topLinePunct w:val="0"/>
        <w:autoSpaceDE/>
        <w:autoSpaceDN/>
        <w:bidi w:val="0"/>
        <w:snapToGrid/>
        <w:spacing w:before="0" w:beforeAutospacing="0" w:after="0" w:afterAutospacing="0" w:line="560" w:lineRule="exact"/>
        <w:ind w:left="0" w:leftChars="0" w:right="0"/>
        <w:jc w:val="both"/>
        <w:rPr>
          <w:rStyle w:val="10"/>
          <w:rFonts w:hint="eastAsia" w:ascii="仿宋_GB2312" w:hAnsi="仿宋" w:eastAsia="仿宋_GB2312"/>
          <w:b w:val="0"/>
          <w:i w:val="0"/>
          <w:spacing w:val="0"/>
          <w:w w:val="100"/>
          <w:kern w:val="2"/>
          <w:sz w:val="32"/>
          <w:szCs w:val="32"/>
          <w:lang w:val="en-US" w:eastAsia="zh-CN" w:bidi="ar-SA"/>
        </w:rPr>
      </w:pPr>
      <w:r>
        <w:rPr>
          <w:rStyle w:val="10"/>
          <w:rFonts w:hint="eastAsia" w:ascii="仿宋_GB2312" w:hAnsi="仿宋" w:eastAsia="仿宋_GB2312"/>
          <w:b w:val="0"/>
          <w:i w:val="0"/>
          <w:spacing w:val="0"/>
          <w:w w:val="100"/>
          <w:kern w:val="2"/>
          <w:sz w:val="32"/>
          <w:szCs w:val="32"/>
          <w:lang w:val="en-US" w:eastAsia="zh-CN" w:bidi="ar-SA"/>
        </w:rPr>
        <w:t>灵丘县顺鑫矿业有限公司</w:t>
      </w:r>
      <w:r>
        <w:rPr>
          <w:rStyle w:val="10"/>
          <w:rFonts w:ascii="仿宋_GB2312" w:hAnsi="仿宋_GB2312" w:eastAsia="仿宋_GB2312"/>
          <w:b w:val="0"/>
          <w:i w:val="0"/>
          <w:spacing w:val="0"/>
          <w:w w:val="100"/>
          <w:kern w:val="2"/>
          <w:sz w:val="32"/>
          <w:szCs w:val="32"/>
          <w:lang w:val="en-US" w:eastAsia="zh-CN" w:bidi="ar-SA"/>
        </w:rPr>
        <w:t>：</w:t>
      </w:r>
    </w:p>
    <w:p w14:paraId="029B9593">
      <w:pPr>
        <w:pStyle w:val="11"/>
        <w:keepNext w:val="0"/>
        <w:keepLines w:val="0"/>
        <w:pageBreakBefore w:val="0"/>
        <w:kinsoku/>
        <w:wordWrap/>
        <w:overflowPunct/>
        <w:topLinePunct w:val="0"/>
        <w:autoSpaceDE/>
        <w:autoSpaceDN/>
        <w:bidi w:val="0"/>
        <w:snapToGrid/>
        <w:spacing w:before="0" w:beforeAutospacing="0" w:after="0" w:afterAutospacing="0" w:line="560" w:lineRule="exact"/>
        <w:ind w:left="0" w:leftChars="0" w:right="0" w:firstLine="640" w:firstLineChars="200"/>
        <w:jc w:val="both"/>
        <w:rPr>
          <w:rStyle w:val="10"/>
          <w:rFonts w:ascii="仿宋_GB2312" w:hAnsi="仿宋" w:eastAsia="仿宋_GB2312"/>
          <w:b w:val="0"/>
          <w:i w:val="0"/>
          <w:spacing w:val="0"/>
          <w:w w:val="100"/>
          <w:kern w:val="2"/>
          <w:sz w:val="32"/>
          <w:szCs w:val="32"/>
          <w:lang w:val="en-US" w:eastAsia="zh-CN" w:bidi="ar-SA"/>
        </w:rPr>
      </w:pPr>
      <w:r>
        <w:rPr>
          <w:rStyle w:val="10"/>
          <w:rFonts w:ascii="仿宋_GB2312" w:hAnsi="仿宋" w:eastAsia="仿宋_GB2312"/>
          <w:b w:val="0"/>
          <w:i w:val="0"/>
          <w:spacing w:val="0"/>
          <w:w w:val="100"/>
          <w:kern w:val="2"/>
          <w:sz w:val="32"/>
          <w:szCs w:val="32"/>
          <w:lang w:val="en-US" w:eastAsia="zh-CN" w:bidi="ar-SA"/>
        </w:rPr>
        <w:t>你公司</w:t>
      </w:r>
      <w:r>
        <w:rPr>
          <w:rStyle w:val="10"/>
          <w:rFonts w:hint="eastAsia" w:ascii="仿宋_GB2312" w:hAnsi="仿宋" w:eastAsia="仿宋_GB2312"/>
          <w:b w:val="0"/>
          <w:i w:val="0"/>
          <w:spacing w:val="0"/>
          <w:w w:val="100"/>
          <w:kern w:val="2"/>
          <w:sz w:val="32"/>
          <w:szCs w:val="32"/>
          <w:lang w:val="en-US" w:eastAsia="zh-CN" w:bidi="ar-SA"/>
        </w:rPr>
        <w:t>关于</w:t>
      </w:r>
      <w:r>
        <w:rPr>
          <w:rStyle w:val="10"/>
          <w:rFonts w:ascii="仿宋_GB2312" w:hAnsi="仿宋" w:eastAsia="仿宋_GB2312"/>
          <w:b w:val="0"/>
          <w:i w:val="0"/>
          <w:spacing w:val="0"/>
          <w:w w:val="100"/>
          <w:kern w:val="2"/>
          <w:sz w:val="32"/>
          <w:szCs w:val="32"/>
          <w:lang w:val="en-US" w:eastAsia="zh-CN" w:bidi="ar-SA"/>
        </w:rPr>
        <w:t>《</w:t>
      </w:r>
      <w:r>
        <w:rPr>
          <w:rStyle w:val="10"/>
          <w:rFonts w:hint="eastAsia" w:ascii="仿宋_GB2312" w:hAnsi="仿宋" w:eastAsia="仿宋_GB2312"/>
          <w:b w:val="0"/>
          <w:i w:val="0"/>
          <w:spacing w:val="0"/>
          <w:w w:val="100"/>
          <w:kern w:val="2"/>
          <w:sz w:val="32"/>
          <w:szCs w:val="32"/>
          <w:lang w:val="en-US" w:eastAsia="zh-CN" w:bidi="ar-SA"/>
        </w:rPr>
        <w:t>灵丘县顺鑫矿业有限公司新建年处理30万吨固体废弃物项目</w:t>
      </w:r>
      <w:r>
        <w:rPr>
          <w:rStyle w:val="10"/>
          <w:rFonts w:ascii="仿宋_GB2312" w:hAnsi="仿宋" w:eastAsia="仿宋_GB2312"/>
          <w:b w:val="0"/>
          <w:i w:val="0"/>
          <w:spacing w:val="0"/>
          <w:w w:val="100"/>
          <w:kern w:val="2"/>
          <w:sz w:val="32"/>
          <w:szCs w:val="32"/>
          <w:lang w:val="en-US" w:eastAsia="zh-CN" w:bidi="ar-SA"/>
        </w:rPr>
        <w:t>环境影响报告表》（以下简称《报</w:t>
      </w:r>
      <w:r>
        <w:rPr>
          <w:rStyle w:val="10"/>
          <w:rFonts w:ascii="仿宋_GB2312" w:hAnsi="仿宋" w:eastAsia="仿宋_GB2312"/>
          <w:b w:val="0"/>
          <w:i w:val="0"/>
          <w:spacing w:val="-6"/>
          <w:w w:val="100"/>
          <w:kern w:val="2"/>
          <w:sz w:val="32"/>
          <w:szCs w:val="32"/>
          <w:lang w:val="en-US" w:eastAsia="zh-CN" w:bidi="ar-SA"/>
        </w:rPr>
        <w:t>告表》）相关材料收悉。</w:t>
      </w:r>
      <w:r>
        <w:rPr>
          <w:rStyle w:val="10"/>
          <w:rFonts w:hint="eastAsia" w:ascii="仿宋_GB2312" w:hAnsi="仿宋" w:eastAsia="仿宋_GB2312"/>
          <w:b w:val="0"/>
          <w:i w:val="0"/>
          <w:spacing w:val="-6"/>
          <w:w w:val="100"/>
          <w:kern w:val="2"/>
          <w:sz w:val="32"/>
          <w:szCs w:val="32"/>
          <w:lang w:val="en-US" w:eastAsia="zh-CN" w:bidi="ar-SA"/>
        </w:rPr>
        <w:t>结合大同市生态环境评估中心出具的《关于&lt;</w:t>
      </w:r>
      <w:r>
        <w:rPr>
          <w:rStyle w:val="10"/>
          <w:rFonts w:hint="eastAsia" w:ascii="仿宋_GB2312" w:hAnsi="仿宋" w:eastAsia="仿宋_GB2312"/>
          <w:b w:val="0"/>
          <w:i w:val="0"/>
          <w:spacing w:val="0"/>
          <w:w w:val="100"/>
          <w:kern w:val="2"/>
          <w:sz w:val="32"/>
          <w:szCs w:val="32"/>
          <w:lang w:val="en-US" w:eastAsia="zh-CN" w:bidi="ar-SA"/>
        </w:rPr>
        <w:t>灵丘县顺鑫矿业有限公司新建年处理30万吨固体废弃物项目</w:t>
      </w:r>
      <w:r>
        <w:rPr>
          <w:rStyle w:val="10"/>
          <w:rFonts w:hint="eastAsia" w:ascii="仿宋_GB2312" w:hAnsi="仿宋" w:eastAsia="仿宋_GB2312"/>
          <w:b w:val="0"/>
          <w:i w:val="0"/>
          <w:spacing w:val="-6"/>
          <w:w w:val="100"/>
          <w:kern w:val="2"/>
          <w:sz w:val="32"/>
          <w:szCs w:val="32"/>
          <w:lang w:val="en-US" w:eastAsia="zh-CN" w:bidi="ar-SA"/>
        </w:rPr>
        <w:t>环境影响报告表&gt;的技术评估报告》，</w:t>
      </w:r>
      <w:r>
        <w:rPr>
          <w:rStyle w:val="10"/>
          <w:rFonts w:ascii="仿宋_GB2312" w:hAnsi="仿宋_GB2312" w:eastAsia="仿宋_GB2312"/>
          <w:b w:val="0"/>
          <w:i w:val="0"/>
          <w:spacing w:val="-6"/>
          <w:w w:val="100"/>
          <w:kern w:val="2"/>
          <w:sz w:val="32"/>
          <w:szCs w:val="32"/>
          <w:lang w:val="en-US" w:eastAsia="zh-CN" w:bidi="ar-SA"/>
        </w:rPr>
        <w:t>经研究，批复如下：</w:t>
      </w:r>
    </w:p>
    <w:p w14:paraId="5D63688B">
      <w:pPr>
        <w:keepNext w:val="0"/>
        <w:keepLines w:val="0"/>
        <w:pageBreakBefore w:val="0"/>
        <w:widowControl/>
        <w:suppressLineNumbers w:val="0"/>
        <w:kinsoku/>
        <w:wordWrap/>
        <w:overflowPunct/>
        <w:topLinePunct w:val="0"/>
        <w:autoSpaceDE/>
        <w:autoSpaceDN/>
        <w:bidi w:val="0"/>
        <w:snapToGrid/>
        <w:spacing w:line="580" w:lineRule="exact"/>
        <w:ind w:firstLine="640" w:firstLineChars="200"/>
        <w:jc w:val="left"/>
        <w:rPr>
          <w:rStyle w:val="10"/>
          <w:rFonts w:ascii="仿宋_GB2312" w:hAnsi="仿宋" w:eastAsia="仿宋_GB2312"/>
          <w:b w:val="0"/>
          <w:i w:val="0"/>
          <w:color w:val="000000"/>
          <w:spacing w:val="0"/>
          <w:w w:val="100"/>
          <w:sz w:val="32"/>
          <w:szCs w:val="32"/>
          <w:lang w:val="en-US" w:eastAsia="zh-CN" w:bidi="ar-SA"/>
        </w:rPr>
      </w:pPr>
      <w:r>
        <w:rPr>
          <w:rStyle w:val="10"/>
          <w:rFonts w:ascii="仿宋_GB2312" w:hAnsi="仿宋" w:eastAsia="仿宋_GB2312"/>
          <w:b w:val="0"/>
          <w:i w:val="0"/>
          <w:color w:val="000000"/>
          <w:spacing w:val="0"/>
          <w:w w:val="100"/>
          <w:sz w:val="32"/>
          <w:szCs w:val="32"/>
          <w:lang w:val="en-US" w:eastAsia="zh-CN" w:bidi="ar-SA"/>
        </w:rPr>
        <w:t>一、该项目</w:t>
      </w:r>
      <w:r>
        <w:rPr>
          <w:rStyle w:val="10"/>
          <w:rFonts w:hint="eastAsia" w:ascii="仿宋_GB2312" w:hAnsi="仿宋" w:eastAsia="仿宋_GB2312"/>
          <w:b w:val="0"/>
          <w:i w:val="0"/>
          <w:color w:val="000000"/>
          <w:spacing w:val="0"/>
          <w:w w:val="100"/>
          <w:sz w:val="32"/>
          <w:szCs w:val="32"/>
          <w:lang w:val="en-US" w:eastAsia="zh-CN" w:bidi="ar-SA"/>
        </w:rPr>
        <w:t>位于山西省大同市灵丘县赵北乡东沟村东南 1.71km处。用地面积</w:t>
      </w:r>
      <w:r>
        <w:rPr>
          <w:rFonts w:hint="eastAsia" w:ascii="仿宋_GB2312" w:hAnsi="仿宋_GB2312" w:eastAsia="仿宋_GB2312"/>
          <w:color w:val="000000"/>
          <w:kern w:val="0"/>
          <w:sz w:val="32"/>
          <w:szCs w:val="32"/>
          <w:lang w:val="en-US" w:eastAsia="zh-CN" w:bidi="ar"/>
        </w:rPr>
        <w:t>5333.36m</w:t>
      </w:r>
      <w:r>
        <w:rPr>
          <w:rFonts w:hint="eastAsia" w:ascii="仿宋_GB2312" w:hAnsi="仿宋_GB2312" w:eastAsia="仿宋_GB2312"/>
          <w:color w:val="000000"/>
          <w:kern w:val="0"/>
          <w:sz w:val="32"/>
          <w:szCs w:val="32"/>
          <w:vertAlign w:val="superscript"/>
          <w:lang w:val="en-US" w:eastAsia="zh-CN" w:bidi="ar"/>
        </w:rPr>
        <w:t>2</w:t>
      </w:r>
      <w:r>
        <w:rPr>
          <w:rStyle w:val="10"/>
          <w:rFonts w:hint="eastAsia" w:ascii="仿宋_GB2312" w:hAnsi="仿宋_GB2312" w:eastAsia="仿宋_GB2312"/>
          <w:b w:val="0"/>
          <w:i w:val="0"/>
          <w:color w:val="000000"/>
          <w:spacing w:val="0"/>
          <w:w w:val="100"/>
          <w:sz w:val="32"/>
          <w:szCs w:val="32"/>
          <w:lang w:val="en-US" w:eastAsia="zh-CN" w:bidi="ar-SA"/>
        </w:rPr>
        <w:t>。建设规模及内容为：项目占地8亩，总建筑面积2000平方米，其中：生产车间1800平方米、库房200平方米。配套建设破碎机，筛分机，皮带输送机，洗砂机等设备，主要工艺为将公司铁矿废石经破碎、除杂、筛分分级后制备不同粒级的砂石料。年处理废石30万吨，其中年产8.1万吨水洗机制砂。</w:t>
      </w:r>
      <w:r>
        <w:rPr>
          <w:rStyle w:val="10"/>
          <w:rFonts w:ascii="仿宋_GB2312" w:hAnsi="仿宋" w:eastAsia="仿宋_GB2312"/>
          <w:b w:val="0"/>
          <w:i w:val="0"/>
          <w:color w:val="000000"/>
          <w:spacing w:val="0"/>
          <w:w w:val="100"/>
          <w:sz w:val="32"/>
          <w:szCs w:val="32"/>
          <w:lang w:val="en-US" w:eastAsia="zh-CN" w:bidi="ar-SA"/>
        </w:rPr>
        <w:t>项目总投资</w:t>
      </w:r>
      <w:r>
        <w:rPr>
          <w:rStyle w:val="10"/>
          <w:rFonts w:hint="eastAsia" w:ascii="仿宋_GB2312" w:hAnsi="仿宋" w:eastAsia="仿宋_GB2312"/>
          <w:b w:val="0"/>
          <w:i w:val="0"/>
          <w:color w:val="000000"/>
          <w:spacing w:val="0"/>
          <w:w w:val="100"/>
          <w:sz w:val="32"/>
          <w:szCs w:val="32"/>
          <w:lang w:val="en-US" w:eastAsia="zh-CN" w:bidi="ar-SA"/>
        </w:rPr>
        <w:t>530</w:t>
      </w:r>
      <w:r>
        <w:rPr>
          <w:rStyle w:val="10"/>
          <w:rFonts w:ascii="仿宋_GB2312" w:hAnsi="仿宋" w:eastAsia="仿宋_GB2312"/>
          <w:b w:val="0"/>
          <w:i w:val="0"/>
          <w:color w:val="000000"/>
          <w:spacing w:val="0"/>
          <w:w w:val="100"/>
          <w:sz w:val="32"/>
          <w:szCs w:val="32"/>
          <w:lang w:val="en-US" w:eastAsia="zh-CN" w:bidi="ar-SA"/>
        </w:rPr>
        <w:t>万元，环保投资</w:t>
      </w:r>
      <w:r>
        <w:rPr>
          <w:rStyle w:val="10"/>
          <w:rFonts w:hint="eastAsia" w:ascii="仿宋_GB2312" w:hAnsi="仿宋" w:eastAsia="仿宋_GB2312"/>
          <w:b w:val="0"/>
          <w:i w:val="0"/>
          <w:color w:val="000000"/>
          <w:spacing w:val="0"/>
          <w:w w:val="100"/>
          <w:sz w:val="32"/>
          <w:szCs w:val="32"/>
          <w:lang w:val="en-US" w:eastAsia="zh-CN" w:bidi="ar-SA"/>
        </w:rPr>
        <w:t>4</w:t>
      </w:r>
      <w:r>
        <w:rPr>
          <w:rStyle w:val="10"/>
          <w:rFonts w:ascii="仿宋_GB2312" w:hAnsi="仿宋" w:eastAsia="仿宋_GB2312"/>
          <w:b w:val="0"/>
          <w:i w:val="0"/>
          <w:color w:val="000000"/>
          <w:spacing w:val="0"/>
          <w:w w:val="100"/>
          <w:sz w:val="32"/>
          <w:szCs w:val="32"/>
          <w:lang w:val="en-US" w:eastAsia="zh-CN" w:bidi="ar-SA"/>
        </w:rPr>
        <w:t>万元，</w:t>
      </w:r>
      <w:r>
        <w:rPr>
          <w:rStyle w:val="10"/>
          <w:rFonts w:ascii="仿宋_GB2312" w:hAnsi="仿宋" w:eastAsia="仿宋_GB2312"/>
          <w:b w:val="0"/>
          <w:i w:val="0"/>
          <w:color w:val="000000"/>
          <w:spacing w:val="-11"/>
          <w:w w:val="100"/>
          <w:sz w:val="32"/>
          <w:szCs w:val="32"/>
          <w:lang w:val="en-US" w:eastAsia="zh-CN" w:bidi="ar-SA"/>
        </w:rPr>
        <w:t>占总投资比例的</w:t>
      </w:r>
      <w:r>
        <w:rPr>
          <w:rStyle w:val="10"/>
          <w:rFonts w:hint="eastAsia" w:ascii="仿宋_GB2312" w:hAnsi="仿宋" w:eastAsia="仿宋_GB2312"/>
          <w:b w:val="0"/>
          <w:i w:val="0"/>
          <w:color w:val="000000"/>
          <w:spacing w:val="-11"/>
          <w:w w:val="100"/>
          <w:sz w:val="32"/>
          <w:szCs w:val="32"/>
          <w:lang w:val="en-US" w:eastAsia="zh-CN" w:bidi="ar-SA"/>
        </w:rPr>
        <w:t>17.74%</w:t>
      </w:r>
      <w:r>
        <w:rPr>
          <w:rStyle w:val="10"/>
          <w:rFonts w:ascii="仿宋_GB2312" w:hAnsi="仿宋" w:eastAsia="仿宋_GB2312"/>
          <w:b w:val="0"/>
          <w:i w:val="0"/>
          <w:color w:val="000000"/>
          <w:spacing w:val="-11"/>
          <w:w w:val="100"/>
          <w:sz w:val="32"/>
          <w:szCs w:val="32"/>
          <w:lang w:val="en-US" w:eastAsia="zh-CN" w:bidi="ar-SA"/>
        </w:rPr>
        <w:t>。</w:t>
      </w:r>
      <w:r>
        <w:rPr>
          <w:rStyle w:val="10"/>
          <w:rFonts w:hint="eastAsia" w:ascii="仿宋_GB2312" w:hAnsi="仿宋" w:eastAsia="仿宋_GB2312"/>
          <w:b w:val="0"/>
          <w:i w:val="0"/>
          <w:color w:val="000000"/>
          <w:spacing w:val="-11"/>
          <w:w w:val="100"/>
          <w:sz w:val="32"/>
          <w:szCs w:val="32"/>
          <w:lang w:val="en-US" w:eastAsia="zh-CN" w:bidi="ar-SA"/>
        </w:rPr>
        <w:t>该项目属于《产业结构调整指导目录（2024年本）》中允许类项目，已取得灵丘县发展改革和科技局下发的备案证（项目代码：2511-140224-89-01-132885）。</w:t>
      </w:r>
      <w:r>
        <w:rPr>
          <w:rStyle w:val="10"/>
          <w:rFonts w:ascii="仿宋_GB2312" w:hAnsi="仿宋" w:eastAsia="仿宋_GB2312"/>
          <w:b w:val="0"/>
          <w:i w:val="0"/>
          <w:color w:val="000000"/>
          <w:spacing w:val="0"/>
          <w:w w:val="100"/>
          <w:sz w:val="32"/>
          <w:szCs w:val="32"/>
          <w:lang w:val="en-US" w:eastAsia="zh-CN" w:bidi="ar-SA"/>
        </w:rPr>
        <w:t>在全面落实《报告表》提出的污染防治和生态保护措施的前提下，工程建设对环境的不利影响可得到缓解和控制。我局原则同意《报告表》所列建设项目的性质、规模、地点、采用的生产工艺和采取的环境保护措施。</w:t>
      </w:r>
    </w:p>
    <w:p w14:paraId="0B468134">
      <w:pPr>
        <w:pStyle w:val="11"/>
        <w:keepNext w:val="0"/>
        <w:keepLines w:val="0"/>
        <w:pageBreakBefore w:val="0"/>
        <w:kinsoku/>
        <w:wordWrap/>
        <w:overflowPunct/>
        <w:topLinePunct w:val="0"/>
        <w:autoSpaceDE/>
        <w:autoSpaceDN/>
        <w:bidi w:val="0"/>
        <w:snapToGrid/>
        <w:spacing w:before="0" w:beforeAutospacing="0" w:after="0" w:afterAutospacing="0" w:line="580" w:lineRule="exact"/>
        <w:ind w:right="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二、在项目建设和运行管理中，必须对照《报告表》逐一落实各项环保对策措施，重点做好以下工作：</w:t>
      </w:r>
    </w:p>
    <w:p w14:paraId="44F8042E">
      <w:pPr>
        <w:keepNext w:val="0"/>
        <w:keepLines w:val="0"/>
        <w:pageBreakBefore w:val="0"/>
        <w:kinsoku/>
        <w:wordWrap/>
        <w:overflowPunct/>
        <w:topLinePunct w:val="0"/>
        <w:autoSpaceDE/>
        <w:autoSpaceDN/>
        <w:bidi w:val="0"/>
        <w:snapToGrid/>
        <w:spacing w:before="0" w:beforeAutospacing="0" w:after="0" w:afterAutospacing="0" w:line="580" w:lineRule="exact"/>
        <w:ind w:left="0" w:leftChars="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1、认真做好施工期环境保护工作，</w:t>
      </w:r>
      <w:r>
        <w:rPr>
          <w:rStyle w:val="10"/>
          <w:rFonts w:hint="eastAsia" w:ascii="仿宋_GB2312" w:hAnsi="仿宋_GB2312" w:eastAsia="仿宋_GB2312"/>
          <w:b w:val="0"/>
          <w:i w:val="0"/>
          <w:color w:val="000000"/>
          <w:spacing w:val="0"/>
          <w:w w:val="100"/>
          <w:kern w:val="2"/>
          <w:sz w:val="32"/>
          <w:szCs w:val="32"/>
          <w:lang w:val="en-US" w:eastAsia="zh-CN" w:bidi="ar-SA"/>
        </w:rPr>
        <w:t>施工过程中</w:t>
      </w:r>
      <w:r>
        <w:rPr>
          <w:rStyle w:val="10"/>
          <w:rFonts w:ascii="仿宋_GB2312" w:hAnsi="仿宋_GB2312" w:eastAsia="仿宋_GB2312"/>
          <w:b w:val="0"/>
          <w:i w:val="0"/>
          <w:color w:val="000000"/>
          <w:spacing w:val="0"/>
          <w:w w:val="100"/>
          <w:kern w:val="2"/>
          <w:sz w:val="32"/>
          <w:szCs w:val="32"/>
          <w:lang w:val="en-US" w:eastAsia="zh-CN" w:bidi="ar-SA"/>
        </w:rPr>
        <w:t>加强</w:t>
      </w:r>
      <w:r>
        <w:rPr>
          <w:rStyle w:val="10"/>
          <w:rFonts w:hint="eastAsia" w:ascii="仿宋_GB2312" w:hAnsi="仿宋_GB2312" w:eastAsia="仿宋_GB2312"/>
          <w:b w:val="0"/>
          <w:i w:val="0"/>
          <w:color w:val="000000"/>
          <w:spacing w:val="0"/>
          <w:w w:val="100"/>
          <w:kern w:val="2"/>
          <w:sz w:val="32"/>
          <w:szCs w:val="32"/>
          <w:lang w:val="en-US" w:eastAsia="zh-CN" w:bidi="ar-SA"/>
        </w:rPr>
        <w:t>废气、废水、噪声、固体废物</w:t>
      </w:r>
      <w:r>
        <w:rPr>
          <w:rStyle w:val="10"/>
          <w:rFonts w:ascii="仿宋_GB2312" w:hAnsi="仿宋_GB2312" w:eastAsia="仿宋_GB2312"/>
          <w:b w:val="0"/>
          <w:i w:val="0"/>
          <w:color w:val="000000"/>
          <w:spacing w:val="0"/>
          <w:w w:val="100"/>
          <w:kern w:val="2"/>
          <w:sz w:val="32"/>
          <w:szCs w:val="32"/>
          <w:lang w:val="en-US" w:eastAsia="zh-CN" w:bidi="ar-SA"/>
        </w:rPr>
        <w:t>环境管理，落实《报告表》提出的各项</w:t>
      </w:r>
      <w:r>
        <w:rPr>
          <w:rStyle w:val="10"/>
          <w:rFonts w:ascii="仿宋_GB2312" w:hAnsi="仿宋_GB2312" w:eastAsia="仿宋_GB2312"/>
          <w:b w:val="0"/>
          <w:i w:val="0"/>
          <w:color w:val="000000"/>
          <w:spacing w:val="-6"/>
          <w:w w:val="100"/>
          <w:kern w:val="2"/>
          <w:sz w:val="32"/>
          <w:szCs w:val="32"/>
          <w:lang w:val="en-US" w:eastAsia="zh-CN" w:bidi="ar-SA"/>
        </w:rPr>
        <w:t>污染防治措施，</w:t>
      </w:r>
      <w:r>
        <w:rPr>
          <w:rStyle w:val="10"/>
          <w:rFonts w:hint="eastAsia" w:ascii="仿宋_GB2312" w:hAnsi="仿宋_GB2312" w:eastAsia="仿宋_GB2312"/>
          <w:b w:val="0"/>
          <w:i w:val="0"/>
          <w:color w:val="000000"/>
          <w:spacing w:val="-6"/>
          <w:w w:val="100"/>
          <w:kern w:val="2"/>
          <w:sz w:val="32"/>
          <w:szCs w:val="32"/>
          <w:lang w:val="en-US" w:eastAsia="zh-CN" w:bidi="ar-SA"/>
        </w:rPr>
        <w:t>严格执行“六个百分之百”，</w:t>
      </w:r>
      <w:r>
        <w:rPr>
          <w:rStyle w:val="10"/>
          <w:rFonts w:ascii="仿宋_GB2312" w:hAnsi="仿宋_GB2312" w:eastAsia="仿宋_GB2312"/>
          <w:b w:val="0"/>
          <w:i w:val="0"/>
          <w:color w:val="000000"/>
          <w:spacing w:val="-6"/>
          <w:w w:val="100"/>
          <w:kern w:val="2"/>
          <w:sz w:val="32"/>
          <w:szCs w:val="32"/>
          <w:lang w:val="en-US" w:eastAsia="zh-CN" w:bidi="ar-SA"/>
        </w:rPr>
        <w:t>降低对周边的影响。</w:t>
      </w:r>
    </w:p>
    <w:p w14:paraId="1030620A">
      <w:pPr>
        <w:keepNext w:val="0"/>
        <w:keepLines w:val="0"/>
        <w:pageBreakBefore w:val="0"/>
        <w:widowControl w:val="0"/>
        <w:kinsoku/>
        <w:wordWrap/>
        <w:overflowPunct/>
        <w:topLinePunct w:val="0"/>
        <w:autoSpaceDE/>
        <w:autoSpaceDN/>
        <w:bidi w:val="0"/>
        <w:snapToGrid/>
        <w:spacing w:before="0" w:beforeAutospacing="0" w:after="0" w:afterAutospacing="0" w:line="580" w:lineRule="exact"/>
        <w:ind w:left="0" w:leftChars="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2、废气污染防治措施。运营期</w:t>
      </w:r>
      <w:r>
        <w:rPr>
          <w:rStyle w:val="10"/>
          <w:rFonts w:hint="eastAsia" w:ascii="仿宋_GB2312" w:hAnsi="仿宋_GB2312" w:eastAsia="仿宋_GB2312"/>
          <w:b w:val="0"/>
          <w:i w:val="0"/>
          <w:color w:val="000000"/>
          <w:spacing w:val="0"/>
          <w:w w:val="100"/>
          <w:kern w:val="2"/>
          <w:sz w:val="32"/>
          <w:szCs w:val="32"/>
          <w:lang w:val="en-US" w:eastAsia="zh-CN" w:bidi="ar-SA"/>
        </w:rPr>
        <w:t>，废石开挖作业时避开10m/s以上的大风天气，采用大功率雾炮等进行洒水抑尘；给料机、颚式破碎机、圆锥破碎机、振动筛产生的粉尘经集尘罩收集后通过布袋除尘器处理后由排气筒排放；成品库为全封闭储库，地面硬化；厂区道路硬化，并派专人对厂区及专用道路进行洒水抑尘。依托干选站设置的1座洗车平台对运输车辆进行清洗。运营期产生的颗粒物排放执行《大气污染物综合排放标准》（GB16297-96）中二级标准。</w:t>
      </w:r>
    </w:p>
    <w:p w14:paraId="713D96BA">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3、废水污染防治措施。</w:t>
      </w:r>
      <w:r>
        <w:rPr>
          <w:rStyle w:val="10"/>
          <w:rFonts w:hint="eastAsia" w:ascii="仿宋_GB2312" w:hAnsi="仿宋_GB2312" w:eastAsia="仿宋_GB2312"/>
          <w:b w:val="0"/>
          <w:i w:val="0"/>
          <w:color w:val="000000"/>
          <w:spacing w:val="0"/>
          <w:w w:val="100"/>
          <w:kern w:val="2"/>
          <w:sz w:val="32"/>
          <w:szCs w:val="32"/>
          <w:lang w:val="en-US" w:eastAsia="zh-CN" w:bidi="ar-SA"/>
        </w:rPr>
        <w:t>运营期，洗砂废水经脱水筛、浓缩罐处理后回用于生产，不外排；建设一座容积为250m</w:t>
      </w:r>
      <w:r>
        <w:rPr>
          <w:rStyle w:val="10"/>
          <w:rFonts w:hint="eastAsia" w:ascii="仿宋_GB2312" w:hAnsi="仿宋_GB2312" w:eastAsia="仿宋_GB2312"/>
          <w:b w:val="0"/>
          <w:i w:val="0"/>
          <w:color w:val="000000"/>
          <w:spacing w:val="0"/>
          <w:w w:val="100"/>
          <w:kern w:val="2"/>
          <w:sz w:val="32"/>
          <w:szCs w:val="32"/>
          <w:vertAlign w:val="superscript"/>
          <w:lang w:val="en-US" w:eastAsia="zh-CN" w:bidi="ar-SA"/>
        </w:rPr>
        <w:t>3</w:t>
      </w:r>
      <w:r>
        <w:rPr>
          <w:rStyle w:val="10"/>
          <w:rFonts w:hint="eastAsia" w:ascii="仿宋_GB2312" w:hAnsi="仿宋_GB2312" w:eastAsia="仿宋_GB2312"/>
          <w:b w:val="0"/>
          <w:i w:val="0"/>
          <w:color w:val="000000"/>
          <w:spacing w:val="0"/>
          <w:w w:val="100"/>
          <w:kern w:val="2"/>
          <w:sz w:val="32"/>
          <w:szCs w:val="32"/>
          <w:lang w:val="en-US" w:eastAsia="zh-CN" w:bidi="ar-SA"/>
        </w:rPr>
        <w:t>的事故水池；洗车废水经50m</w:t>
      </w:r>
      <w:r>
        <w:rPr>
          <w:rStyle w:val="10"/>
          <w:rFonts w:hint="eastAsia" w:ascii="仿宋_GB2312" w:hAnsi="仿宋_GB2312" w:eastAsia="仿宋_GB2312"/>
          <w:b w:val="0"/>
          <w:i w:val="0"/>
          <w:color w:val="000000"/>
          <w:spacing w:val="0"/>
          <w:w w:val="100"/>
          <w:kern w:val="2"/>
          <w:sz w:val="32"/>
          <w:szCs w:val="32"/>
          <w:vertAlign w:val="superscript"/>
          <w:lang w:val="en-US" w:eastAsia="zh-CN" w:bidi="ar-SA"/>
        </w:rPr>
        <w:t>3</w:t>
      </w:r>
      <w:r>
        <w:rPr>
          <w:rStyle w:val="10"/>
          <w:rFonts w:hint="eastAsia" w:ascii="仿宋_GB2312" w:hAnsi="仿宋_GB2312" w:eastAsia="仿宋_GB2312"/>
          <w:b w:val="0"/>
          <w:i w:val="0"/>
          <w:color w:val="000000"/>
          <w:spacing w:val="0"/>
          <w:w w:val="100"/>
          <w:kern w:val="2"/>
          <w:sz w:val="32"/>
          <w:szCs w:val="32"/>
          <w:lang w:val="en-US" w:eastAsia="zh-CN" w:bidi="ar-SA"/>
        </w:rPr>
        <w:t>沉淀池沉淀处理后循环利用不外排；在工业场地西南侧设1座容积75m</w:t>
      </w:r>
      <w:r>
        <w:rPr>
          <w:rStyle w:val="10"/>
          <w:rFonts w:hint="eastAsia" w:ascii="仿宋_GB2312" w:hAnsi="仿宋_GB2312" w:eastAsia="仿宋_GB2312"/>
          <w:b w:val="0"/>
          <w:i w:val="0"/>
          <w:color w:val="000000"/>
          <w:spacing w:val="0"/>
          <w:w w:val="100"/>
          <w:kern w:val="2"/>
          <w:sz w:val="32"/>
          <w:szCs w:val="32"/>
          <w:vertAlign w:val="superscript"/>
          <w:lang w:val="en-US" w:eastAsia="zh-CN" w:bidi="ar-SA"/>
        </w:rPr>
        <w:t>3</w:t>
      </w:r>
      <w:r>
        <w:rPr>
          <w:rStyle w:val="10"/>
          <w:rFonts w:hint="eastAsia" w:ascii="仿宋_GB2312" w:hAnsi="仿宋_GB2312" w:eastAsia="仿宋_GB2312"/>
          <w:b w:val="0"/>
          <w:i w:val="0"/>
          <w:color w:val="000000"/>
          <w:spacing w:val="0"/>
          <w:w w:val="100"/>
          <w:kern w:val="2"/>
          <w:sz w:val="32"/>
          <w:szCs w:val="32"/>
          <w:lang w:val="en-US" w:eastAsia="zh-CN" w:bidi="ar-SA"/>
        </w:rPr>
        <w:t>的初期雨水池，收集后的雨水经沉淀后，用于厂区</w:t>
      </w:r>
      <w:r>
        <w:rPr>
          <w:rStyle w:val="10"/>
          <w:rFonts w:hint="eastAsia" w:ascii="仿宋_GB2312" w:hAnsi="仿宋_GB2312" w:eastAsia="仿宋_GB2312"/>
          <w:b w:val="0"/>
          <w:i w:val="0"/>
          <w:color w:val="000000"/>
          <w:spacing w:val="-6"/>
          <w:w w:val="100"/>
          <w:kern w:val="2"/>
          <w:sz w:val="32"/>
          <w:szCs w:val="32"/>
          <w:lang w:val="en-US" w:eastAsia="zh-CN" w:bidi="ar-SA"/>
        </w:rPr>
        <w:t>道路洒水降尘；生活污水排入旱厕，定期清掏用作周围农田肥料。</w:t>
      </w:r>
    </w:p>
    <w:p w14:paraId="2B74AD58">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firstLine="64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4、噪声污染防治措施。</w:t>
      </w:r>
      <w:r>
        <w:rPr>
          <w:rStyle w:val="10"/>
          <w:rFonts w:hint="eastAsia" w:ascii="仿宋_GB2312" w:hAnsi="仿宋_GB2312" w:eastAsia="仿宋_GB2312"/>
          <w:b w:val="0"/>
          <w:i w:val="0"/>
          <w:color w:val="000000"/>
          <w:spacing w:val="0"/>
          <w:w w:val="100"/>
          <w:kern w:val="2"/>
          <w:sz w:val="32"/>
          <w:szCs w:val="32"/>
          <w:lang w:val="en-US" w:eastAsia="zh-CN" w:bidi="ar-SA"/>
        </w:rPr>
        <w:t>运营期，选用低噪声设备，采取减振措施，设置隔声集中控制室或隔声值班室，加强绿化等。运营期厂界噪</w:t>
      </w:r>
      <w:r>
        <w:rPr>
          <w:rStyle w:val="10"/>
          <w:rFonts w:hint="eastAsia" w:ascii="仿宋_GB2312" w:hAnsi="仿宋_GB2312" w:eastAsia="仿宋_GB2312"/>
          <w:b w:val="0"/>
          <w:i w:val="0"/>
          <w:color w:val="000000"/>
          <w:spacing w:val="-6"/>
          <w:w w:val="100"/>
          <w:kern w:val="2"/>
          <w:sz w:val="32"/>
          <w:szCs w:val="32"/>
          <w:lang w:val="en-US" w:eastAsia="zh-CN" w:bidi="ar-SA"/>
        </w:rPr>
        <w:t>声排放执行《工业企业厂界环境噪声排放标准》</w:t>
      </w:r>
      <w:r>
        <w:rPr>
          <w:rStyle w:val="10"/>
          <w:rFonts w:hint="eastAsia" w:ascii="仿宋_GB2312" w:hAnsi="仿宋_GB2312" w:eastAsia="仿宋_GB2312"/>
          <w:b w:val="0"/>
          <w:i w:val="0"/>
          <w:color w:val="000000"/>
          <w:spacing w:val="0"/>
          <w:w w:val="100"/>
          <w:kern w:val="2"/>
          <w:sz w:val="32"/>
          <w:szCs w:val="32"/>
          <w:lang w:val="en-US" w:eastAsia="zh-CN" w:bidi="ar-SA"/>
        </w:rPr>
        <w:t>（GB12348-2008）中的2类标准。</w:t>
      </w:r>
    </w:p>
    <w:p w14:paraId="24C2FF1C">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firstLine="64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5、固体废物污染防治措施。运营期</w:t>
      </w:r>
      <w:r>
        <w:rPr>
          <w:rStyle w:val="10"/>
          <w:rFonts w:hint="eastAsia" w:ascii="仿宋_GB2312" w:hAnsi="仿宋_GB2312" w:eastAsia="仿宋_GB2312"/>
          <w:b w:val="0"/>
          <w:i w:val="0"/>
          <w:color w:val="000000"/>
          <w:spacing w:val="0"/>
          <w:w w:val="100"/>
          <w:kern w:val="2"/>
          <w:sz w:val="32"/>
          <w:szCs w:val="32"/>
          <w:lang w:val="en-US" w:eastAsia="zh-CN" w:bidi="ar-SA"/>
        </w:rPr>
        <w:t>，除尘灰加工为水洗砂外售。压滤污泥、洗车平台底泥送矿山废石场处置；废矿物油、废油桶暂存于干选站危废贮存库，收集后定期送有资质单位处理；生活垃圾日产日清，定期送环卫部门指定地点由环卫部门统一处置。一般工业固体废物执行《一般工业固体废物贮存和填埋污染控制标准》（GB18599-2020）中的有关规定。危险废物贮存设施执行《危险废物贮存污染控制标准》（GB18597-2023）中的有关规定。</w:t>
      </w:r>
    </w:p>
    <w:p w14:paraId="27E4FF12">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firstLine="640"/>
        <w:jc w:val="both"/>
        <w:rPr>
          <w:rStyle w:val="10"/>
          <w:rFonts w:hint="eastAsia" w:ascii="仿宋_GB2312" w:hAnsi="仿宋_GB2312" w:eastAsia="仿宋_GB2312"/>
          <w:b w:val="0"/>
          <w:i w:val="0"/>
          <w:color w:val="000000"/>
          <w:spacing w:val="0"/>
          <w:w w:val="100"/>
          <w:kern w:val="2"/>
          <w:sz w:val="32"/>
          <w:szCs w:val="32"/>
          <w:lang w:val="en-US" w:eastAsia="zh-CN" w:bidi="ar-SA"/>
        </w:rPr>
      </w:pPr>
      <w:r>
        <w:rPr>
          <w:rStyle w:val="10"/>
          <w:rFonts w:hint="eastAsia" w:ascii="仿宋_GB2312" w:hAnsi="仿宋_GB2312" w:eastAsia="仿宋_GB2312"/>
          <w:b w:val="0"/>
          <w:i w:val="0"/>
          <w:color w:val="000000"/>
          <w:spacing w:val="0"/>
          <w:w w:val="100"/>
          <w:kern w:val="2"/>
          <w:sz w:val="32"/>
          <w:szCs w:val="32"/>
          <w:lang w:val="en-US" w:eastAsia="zh-CN" w:bidi="ar-SA"/>
        </w:rPr>
        <w:t>6、加强厂区的绿化美化工作，改善周边生态环境。</w:t>
      </w:r>
    </w:p>
    <w:p w14:paraId="3FE77B5D">
      <w:pPr>
        <w:pStyle w:val="11"/>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三、该项</w:t>
      </w:r>
      <w:r>
        <w:rPr>
          <w:rStyle w:val="10"/>
          <w:rFonts w:hint="eastAsia" w:ascii="仿宋_GB2312" w:hAnsi="仿宋_GB2312" w:eastAsia="仿宋_GB2312"/>
          <w:b w:val="0"/>
          <w:i w:val="0"/>
          <w:color w:val="000000"/>
          <w:spacing w:val="0"/>
          <w:w w:val="100"/>
          <w:kern w:val="2"/>
          <w:sz w:val="32"/>
          <w:szCs w:val="32"/>
          <w:lang w:val="en-US" w:eastAsia="zh-CN" w:bidi="ar-SA"/>
        </w:rPr>
        <w:t>目污染物排放量为颗粒物1.017t/a。</w:t>
      </w:r>
    </w:p>
    <w:p w14:paraId="73938293">
      <w:pPr>
        <w:pStyle w:val="11"/>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640" w:firstLineChars="2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四、加强对工程的环境管理和环境风险预测，制定突发环境事故应急预案及环境保护管理相关制度，采取合理有效措施防范环境风险，预防突发环境事件的发生。</w:t>
      </w:r>
    </w:p>
    <w:p w14:paraId="32E17E16">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640" w:firstLineChars="200"/>
        <w:jc w:val="both"/>
        <w:rPr>
          <w:rStyle w:val="10"/>
          <w:rFonts w:ascii="仿宋_GB2312" w:hAnsi="仿宋_GB2312" w:eastAsia="仿宋_GB2312"/>
          <w:b w:val="0"/>
          <w:i w:val="0"/>
          <w:color w:val="292929"/>
          <w:spacing w:val="0"/>
          <w:w w:val="100"/>
          <w:kern w:val="0"/>
          <w:sz w:val="32"/>
          <w:szCs w:val="32"/>
          <w:lang w:val="en-US" w:eastAsia="zh-CN" w:bidi="ar-SA"/>
        </w:rPr>
      </w:pPr>
      <w:r>
        <w:rPr>
          <w:rStyle w:val="10"/>
          <w:rFonts w:ascii="仿宋_GB2312" w:hAnsi="仿宋_GB2312" w:eastAsia="仿宋_GB2312"/>
          <w:b w:val="0"/>
          <w:i w:val="0"/>
          <w:color w:val="292929"/>
          <w:spacing w:val="0"/>
          <w:w w:val="100"/>
          <w:kern w:val="0"/>
          <w:sz w:val="32"/>
          <w:szCs w:val="32"/>
          <w:lang w:val="en-US" w:eastAsia="zh-CN" w:bidi="ar-SA"/>
        </w:rPr>
        <w:t>五、</w:t>
      </w:r>
      <w:r>
        <w:rPr>
          <w:rStyle w:val="10"/>
          <w:rFonts w:ascii="仿宋_GB2312" w:hAnsi="仿宋_GB2312" w:eastAsia="仿宋_GB2312"/>
          <w:b w:val="0"/>
          <w:i w:val="0"/>
          <w:spacing w:val="0"/>
          <w:w w:val="100"/>
          <w:kern w:val="2"/>
          <w:sz w:val="32"/>
          <w:szCs w:val="32"/>
          <w:lang w:val="en-US" w:eastAsia="zh-CN" w:bidi="ar-SA"/>
        </w:rPr>
        <w:t>项目建设要严格执行环保“三同时”制度。并按照《报告表》中提出的各项要求,积极落实各项污染防治措施。项目建成后须按规定进行环境保护竣工验收。环境保护措施未落实到位，不得正式投入运营；如项目的性质、规模、地点、采用的防治污染、防止生态破坏措施发生重大变动的，须报经我局重新审批。</w:t>
      </w:r>
    </w:p>
    <w:p w14:paraId="06A3A081">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640" w:firstLineChars="2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六、大同市灵丘县生态环境保护综合行政执法队负责该项目建设期及运营期日常监督管理工作。</w:t>
      </w:r>
    </w:p>
    <w:p w14:paraId="4611511E">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1AB699F0">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6CACE88F">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3C1F7069">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352BF07A">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497AC5DB">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11AA2B9F">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right="0" w:firstLine="3840" w:firstLineChars="12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大同市生态环境局灵丘分局</w:t>
      </w:r>
    </w:p>
    <w:p w14:paraId="41F82244">
      <w:pPr>
        <w:pStyle w:val="13"/>
        <w:keepNext w:val="0"/>
        <w:keepLines w:val="0"/>
        <w:pageBreakBefore w:val="0"/>
        <w:widowControl/>
        <w:kinsoku/>
        <w:wordWrap/>
        <w:overflowPunct/>
        <w:topLinePunct w:val="0"/>
        <w:autoSpaceDE/>
        <w:autoSpaceDN/>
        <w:bidi w:val="0"/>
        <w:snapToGrid/>
        <w:spacing w:before="0" w:beforeAutospacing="0" w:after="0" w:afterAutospacing="0" w:line="580" w:lineRule="exact"/>
        <w:ind w:right="0" w:firstLine="4480" w:firstLineChars="14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202</w:t>
      </w:r>
      <w:r>
        <w:rPr>
          <w:rStyle w:val="10"/>
          <w:rFonts w:hint="eastAsia" w:ascii="仿宋_GB2312" w:hAnsi="仿宋_GB2312" w:eastAsia="仿宋_GB2312"/>
          <w:b w:val="0"/>
          <w:i w:val="0"/>
          <w:spacing w:val="0"/>
          <w:w w:val="100"/>
          <w:kern w:val="2"/>
          <w:sz w:val="32"/>
          <w:szCs w:val="32"/>
          <w:lang w:val="en-US" w:eastAsia="zh-CN" w:bidi="ar-SA"/>
        </w:rPr>
        <w:t>6</w:t>
      </w:r>
      <w:r>
        <w:rPr>
          <w:rStyle w:val="10"/>
          <w:rFonts w:ascii="仿宋_GB2312" w:hAnsi="仿宋_GB2312" w:eastAsia="仿宋_GB2312"/>
          <w:b w:val="0"/>
          <w:i w:val="0"/>
          <w:spacing w:val="0"/>
          <w:w w:val="100"/>
          <w:kern w:val="2"/>
          <w:sz w:val="32"/>
          <w:szCs w:val="32"/>
          <w:lang w:val="en-US" w:eastAsia="zh-CN" w:bidi="ar-SA"/>
        </w:rPr>
        <w:t>年</w:t>
      </w:r>
      <w:r>
        <w:rPr>
          <w:rStyle w:val="10"/>
          <w:rFonts w:hint="eastAsia" w:ascii="仿宋_GB2312" w:hAnsi="仿宋_GB2312" w:eastAsia="仿宋_GB2312"/>
          <w:b w:val="0"/>
          <w:i w:val="0"/>
          <w:spacing w:val="0"/>
          <w:w w:val="100"/>
          <w:kern w:val="2"/>
          <w:sz w:val="32"/>
          <w:szCs w:val="32"/>
          <w:lang w:val="en-US" w:eastAsia="zh-CN" w:bidi="ar-SA"/>
        </w:rPr>
        <w:t>8</w:t>
      </w:r>
      <w:r>
        <w:rPr>
          <w:rStyle w:val="10"/>
          <w:rFonts w:ascii="仿宋_GB2312" w:hAnsi="仿宋_GB2312" w:eastAsia="仿宋_GB2312"/>
          <w:b w:val="0"/>
          <w:i w:val="0"/>
          <w:spacing w:val="0"/>
          <w:w w:val="100"/>
          <w:kern w:val="2"/>
          <w:sz w:val="32"/>
          <w:szCs w:val="32"/>
          <w:lang w:val="en-US" w:eastAsia="zh-CN" w:bidi="ar-SA"/>
        </w:rPr>
        <w:t>月</w:t>
      </w:r>
      <w:r>
        <w:rPr>
          <w:rStyle w:val="10"/>
          <w:rFonts w:hint="eastAsia" w:ascii="仿宋_GB2312" w:hAnsi="仿宋_GB2312" w:eastAsia="仿宋_GB2312"/>
          <w:b w:val="0"/>
          <w:i w:val="0"/>
          <w:spacing w:val="0"/>
          <w:w w:val="100"/>
          <w:kern w:val="2"/>
          <w:sz w:val="32"/>
          <w:szCs w:val="32"/>
          <w:lang w:val="en-US" w:eastAsia="zh-CN" w:bidi="ar-SA"/>
        </w:rPr>
        <w:t>20</w:t>
      </w:r>
      <w:r>
        <w:rPr>
          <w:rStyle w:val="10"/>
          <w:rFonts w:ascii="仿宋_GB2312" w:hAnsi="仿宋_GB2312" w:eastAsia="仿宋_GB2312"/>
          <w:b w:val="0"/>
          <w:i w:val="0"/>
          <w:spacing w:val="0"/>
          <w:w w:val="100"/>
          <w:kern w:val="2"/>
          <w:sz w:val="32"/>
          <w:szCs w:val="32"/>
          <w:lang w:val="en-US" w:eastAsia="zh-CN" w:bidi="ar-SA"/>
        </w:rPr>
        <w:t>日</w:t>
      </w:r>
    </w:p>
    <w:p w14:paraId="2DAE774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right="0" w:firstLine="4480" w:firstLineChars="1400"/>
        <w:jc w:val="both"/>
        <w:textAlignment w:val="baseline"/>
        <w:rPr>
          <w:rFonts w:hint="eastAsia" w:ascii="仿宋_GB2312" w:hAnsi="仿宋_GB2312" w:eastAsia="仿宋_GB2312" w:cs="仿宋_GB2312"/>
          <w:spacing w:val="0"/>
          <w:sz w:val="32"/>
          <w:szCs w:val="32"/>
        </w:rPr>
      </w:pPr>
    </w:p>
    <w:p w14:paraId="6D6BC83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right="0" w:firstLine="6384" w:firstLineChars="1400"/>
        <w:jc w:val="both"/>
        <w:textAlignment w:val="baseline"/>
        <w:rPr>
          <w:rFonts w:hint="eastAsia" w:ascii="仿宋" w:hAnsi="仿宋" w:eastAsia="仿宋" w:cs="仿宋"/>
          <w:color w:val="auto"/>
          <w:spacing w:val="68"/>
          <w:sz w:val="32"/>
          <w:szCs w:val="32"/>
          <w:u w:val="single"/>
          <w:lang w:val="en-US" w:eastAsia="zh-CN"/>
        </w:rPr>
      </w:pPr>
    </w:p>
    <w:sectPr>
      <w:pgSz w:w="11906" w:h="16838"/>
      <w:pgMar w:top="1440" w:right="1701" w:bottom="144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MjljZTYxNTUzNmM1NDNmMmQ3ZWM5YmI4ODgxMjIifQ=="/>
  </w:docVars>
  <w:rsids>
    <w:rsidRoot w:val="3B9F3D19"/>
    <w:rsid w:val="033C2BF5"/>
    <w:rsid w:val="09D31663"/>
    <w:rsid w:val="0BC63B74"/>
    <w:rsid w:val="0EEC057A"/>
    <w:rsid w:val="0F6A0E1E"/>
    <w:rsid w:val="10892C41"/>
    <w:rsid w:val="12F34CE0"/>
    <w:rsid w:val="13AC7923"/>
    <w:rsid w:val="178A1E07"/>
    <w:rsid w:val="19617B82"/>
    <w:rsid w:val="1E8A2A3D"/>
    <w:rsid w:val="1ED24E6B"/>
    <w:rsid w:val="1EDD7021"/>
    <w:rsid w:val="25462E46"/>
    <w:rsid w:val="290F64C9"/>
    <w:rsid w:val="2AB54E7F"/>
    <w:rsid w:val="2C6F3863"/>
    <w:rsid w:val="3B9F3D19"/>
    <w:rsid w:val="3F9B5BB1"/>
    <w:rsid w:val="42074515"/>
    <w:rsid w:val="45F62015"/>
    <w:rsid w:val="48D423BE"/>
    <w:rsid w:val="49D10ACC"/>
    <w:rsid w:val="4EC64BEA"/>
    <w:rsid w:val="4F0C50FB"/>
    <w:rsid w:val="55110DB9"/>
    <w:rsid w:val="5AD216C5"/>
    <w:rsid w:val="61DE04AF"/>
    <w:rsid w:val="64BE25DF"/>
    <w:rsid w:val="689E2EA1"/>
    <w:rsid w:val="6A047FFE"/>
    <w:rsid w:val="71D12885"/>
    <w:rsid w:val="75E361C9"/>
    <w:rsid w:val="7B370D47"/>
    <w:rsid w:val="7BCE7C59"/>
    <w:rsid w:val="7F336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page number"/>
    <w:basedOn w:val="5"/>
    <w:autoRedefine/>
    <w:qFormat/>
    <w:uiPriority w:val="0"/>
  </w:style>
  <w:style w:type="paragraph" w:customStyle="1" w:styleId="7">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
    <w:name w:val="NormalCharacter"/>
    <w:autoRedefine/>
    <w:qFormat/>
    <w:uiPriority w:val="0"/>
    <w:rPr>
      <w:kern w:val="2"/>
      <w:sz w:val="21"/>
      <w:lang w:val="en-US" w:eastAsia="zh-CN" w:bidi="ar-SA"/>
    </w:rPr>
  </w:style>
  <w:style w:type="paragraph" w:customStyle="1" w:styleId="11">
    <w:name w:val="UserStyle_7"/>
    <w:autoRedefine/>
    <w:qFormat/>
    <w:uiPriority w:val="0"/>
    <w:pPr>
      <w:jc w:val="both"/>
      <w:textAlignment w:val="baseline"/>
    </w:pPr>
    <w:rPr>
      <w:rFonts w:ascii="Times New Roman" w:hAnsi="Times New Roman" w:eastAsia="宋体" w:cs="Times New Roman"/>
      <w:kern w:val="2"/>
      <w:sz w:val="21"/>
      <w:lang w:val="en-US" w:eastAsia="zh-CN" w:bidi="ar-SA"/>
    </w:rPr>
  </w:style>
  <w:style w:type="paragraph" w:customStyle="1" w:styleId="12">
    <w:name w:val="UserStyle_20"/>
    <w:autoRedefine/>
    <w:qFormat/>
    <w:uiPriority w:val="0"/>
    <w:pPr>
      <w:textAlignment w:val="baseline"/>
    </w:pPr>
    <w:rPr>
      <w:rFonts w:ascii="宋体" w:hAnsi="Calibri" w:eastAsia="宋体" w:cs="Times New Roman"/>
      <w:color w:val="000000"/>
      <w:sz w:val="24"/>
      <w:szCs w:val="24"/>
      <w:lang w:val="en-US" w:eastAsia="zh-CN" w:bidi="ar-SA"/>
    </w:rPr>
  </w:style>
  <w:style w:type="paragraph" w:customStyle="1" w:styleId="13">
    <w:name w:val="UserStyle_17"/>
    <w:autoRedefine/>
    <w:qFormat/>
    <w:uiPriority w:val="0"/>
    <w:pPr>
      <w:jc w:val="both"/>
      <w:textAlignment w:val="baseline"/>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1589</Words>
  <Characters>1719</Characters>
  <Lines>0</Lines>
  <Paragraphs>0</Paragraphs>
  <TotalTime>1</TotalTime>
  <ScaleCrop>false</ScaleCrop>
  <LinksUpToDate>false</LinksUpToDate>
  <CharactersWithSpaces>1722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2020-05-25T09:58:00Z</dcterms:created>
  <dc:creator>丽纱</dc:creator>
  <cp:lastModifiedBy>丽纱</cp:lastModifiedBy>
  <dcterms:modified xsi:type="dcterms:W3CDTF">2026-08-24T02:10:22Z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37A6BBA76E41482195666D465E33CC4F</vt:lpwstr>
  </property>
  <property fmtid="{D5CDD505-2E9C-101B-9397-08002B2CF9AE}" pid="4" name="KSOTemplateDocerSaveRecord">
    <vt:lpwstr>eyJoZGlkIjoiZDlmMjljZTYxNTUzNmM1NDNmMmQ3ZWM5YmI4ODgxMjIiLCJ1c2VySWQiOiIzNTkwNDA3MTgifQ==</vt:lpwstr>
  </property>
</Properties>
</file>