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04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FF0000"/>
          <w:spacing w:val="68"/>
          <w:sz w:val="52"/>
          <w:szCs w:val="52"/>
          <w:u w:val="single"/>
          <w:lang w:val="en-US" w:eastAsia="zh-CN"/>
        </w:rPr>
      </w:pPr>
      <w:r>
        <w:rPr>
          <w:rFonts w:hint="eastAsia" w:ascii="方正小标宋简体" w:hAnsi="方正小标宋简体" w:eastAsia="方正小标宋简体" w:cs="方正小标宋简体"/>
          <w:color w:val="FF0000"/>
          <w:spacing w:val="68"/>
          <w:sz w:val="52"/>
          <w:szCs w:val="52"/>
          <w:u w:val="single"/>
          <w:lang w:val="en-US" w:eastAsia="zh-CN"/>
        </w:rPr>
        <w:t xml:space="preserve"> </w:t>
      </w:r>
      <w:r>
        <w:rPr>
          <w:rFonts w:hint="eastAsia" w:ascii="方正小标宋简体" w:hAnsi="方正小标宋简体" w:eastAsia="方正小标宋简体" w:cs="方正小标宋简体"/>
          <w:color w:val="FF0000"/>
          <w:spacing w:val="68"/>
          <w:sz w:val="52"/>
          <w:szCs w:val="52"/>
          <w:u w:val="single"/>
          <w:lang w:eastAsia="zh-CN"/>
        </w:rPr>
        <w:t>大同市生态环境局灵丘分局</w:t>
      </w:r>
      <w:r>
        <w:rPr>
          <w:rFonts w:hint="eastAsia" w:ascii="方正小标宋简体" w:hAnsi="方正小标宋简体" w:eastAsia="方正小标宋简体" w:cs="方正小标宋简体"/>
          <w:color w:val="FF0000"/>
          <w:spacing w:val="68"/>
          <w:sz w:val="52"/>
          <w:szCs w:val="52"/>
          <w:u w:val="single"/>
          <w:lang w:val="en-US" w:eastAsia="zh-CN"/>
        </w:rPr>
        <w:t xml:space="preserve"> </w:t>
      </w:r>
    </w:p>
    <w:p w14:paraId="1D3DB826">
      <w:pPr>
        <w:wordWrap w:val="0"/>
        <w:spacing w:line="600" w:lineRule="exact"/>
        <w:jc w:val="right"/>
        <w:rPr>
          <w:rFonts w:hint="eastAsia" w:ascii="仿宋" w:hAnsi="仿宋" w:eastAsia="仿宋" w:cs="仿宋"/>
          <w:spacing w:val="-11"/>
          <w:sz w:val="32"/>
          <w:szCs w:val="32"/>
          <w:lang w:val="en-US" w:eastAsia="zh-CN"/>
        </w:rPr>
      </w:pPr>
      <w:r>
        <w:rPr>
          <w:rFonts w:hint="eastAsia" w:ascii="仿宋" w:hAnsi="仿宋" w:eastAsia="仿宋" w:cs="仿宋"/>
          <w:spacing w:val="-11"/>
          <w:sz w:val="32"/>
          <w:szCs w:val="32"/>
          <w:lang w:eastAsia="zh-CN"/>
        </w:rPr>
        <w:t>灵环函〔</w:t>
      </w:r>
      <w:r>
        <w:rPr>
          <w:rFonts w:hint="eastAsia" w:ascii="仿宋" w:hAnsi="仿宋" w:eastAsia="仿宋" w:cs="仿宋"/>
          <w:spacing w:val="-11"/>
          <w:sz w:val="32"/>
          <w:szCs w:val="32"/>
          <w:lang w:val="en-US" w:eastAsia="zh-CN"/>
        </w:rPr>
        <w:t>2026〕31</w:t>
      </w:r>
      <w:bookmarkStart w:id="0" w:name="_GoBack"/>
      <w:bookmarkEnd w:id="0"/>
      <w:r>
        <w:rPr>
          <w:rFonts w:hint="eastAsia" w:ascii="仿宋" w:hAnsi="仿宋" w:eastAsia="仿宋" w:cs="仿宋"/>
          <w:spacing w:val="-11"/>
          <w:sz w:val="32"/>
          <w:szCs w:val="32"/>
          <w:lang w:val="en-US" w:eastAsia="zh-CN"/>
        </w:rPr>
        <w:t>号</w:t>
      </w:r>
    </w:p>
    <w:p w14:paraId="279015E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default" w:ascii="仿宋" w:hAnsi="仿宋" w:eastAsia="仿宋" w:cs="仿宋"/>
          <w:spacing w:val="-11"/>
          <w:sz w:val="21"/>
          <w:szCs w:val="21"/>
          <w:lang w:val="en-US" w:eastAsia="zh-CN"/>
        </w:rPr>
      </w:pPr>
    </w:p>
    <w:p w14:paraId="1CDBA7DF">
      <w:pPr>
        <w:snapToGrid/>
        <w:spacing w:before="0" w:beforeAutospacing="0" w:after="0" w:afterAutospacing="0" w:line="600" w:lineRule="exact"/>
        <w:jc w:val="center"/>
        <w:textAlignment w:val="baseline"/>
        <w:rPr>
          <w:rStyle w:val="10"/>
          <w:rFonts w:hint="eastAsia" w:ascii="方正小标宋简体" w:hAnsi="方正小标宋简体" w:eastAsia="方正小标宋简体"/>
          <w:b w:val="0"/>
          <w:i w:val="0"/>
          <w:caps w:val="0"/>
          <w:spacing w:val="0"/>
          <w:w w:val="100"/>
          <w:kern w:val="2"/>
          <w:sz w:val="44"/>
          <w:szCs w:val="44"/>
          <w:lang w:val="en-US" w:eastAsia="zh-CN" w:bidi="ar-SA"/>
        </w:rPr>
      </w:pPr>
      <w:r>
        <w:rPr>
          <w:rStyle w:val="10"/>
          <w:rFonts w:ascii="方正小标宋简体" w:hAnsi="方正小标宋简体" w:eastAsia="方正小标宋简体"/>
          <w:b w:val="0"/>
          <w:i w:val="0"/>
          <w:caps w:val="0"/>
          <w:spacing w:val="0"/>
          <w:w w:val="100"/>
          <w:kern w:val="2"/>
          <w:sz w:val="44"/>
          <w:szCs w:val="44"/>
          <w:lang w:val="en-US" w:eastAsia="zh-CN" w:bidi="ar-SA"/>
        </w:rPr>
        <w:t>关于</w:t>
      </w:r>
      <w:r>
        <w:rPr>
          <w:rStyle w:val="10"/>
          <w:rFonts w:hint="eastAsia" w:ascii="方正小标宋简体" w:hAnsi="方正小标宋简体" w:eastAsia="方正小标宋简体"/>
          <w:b w:val="0"/>
          <w:i w:val="0"/>
          <w:caps w:val="0"/>
          <w:spacing w:val="0"/>
          <w:w w:val="100"/>
          <w:kern w:val="2"/>
          <w:sz w:val="44"/>
          <w:szCs w:val="44"/>
          <w:lang w:val="en-US" w:eastAsia="zh-CN" w:bidi="ar-SA"/>
        </w:rPr>
        <w:t>灵丘县中源矿业有限责任公司</w:t>
      </w:r>
    </w:p>
    <w:p w14:paraId="1829C5DC">
      <w:pPr>
        <w:snapToGrid/>
        <w:spacing w:before="0" w:beforeAutospacing="0" w:after="0" w:afterAutospacing="0" w:line="600" w:lineRule="exact"/>
        <w:jc w:val="center"/>
        <w:textAlignment w:val="baseline"/>
        <w:rPr>
          <w:rStyle w:val="10"/>
          <w:rFonts w:hint="eastAsia" w:ascii="方正小标宋简体" w:hAnsi="方正小标宋简体" w:eastAsia="方正小标宋简体"/>
          <w:b w:val="0"/>
          <w:i w:val="0"/>
          <w:caps w:val="0"/>
          <w:spacing w:val="0"/>
          <w:w w:val="100"/>
          <w:kern w:val="2"/>
          <w:sz w:val="44"/>
          <w:szCs w:val="44"/>
          <w:lang w:val="en-US" w:eastAsia="zh-CN" w:bidi="ar-SA"/>
        </w:rPr>
      </w:pPr>
      <w:r>
        <w:rPr>
          <w:rStyle w:val="10"/>
          <w:rFonts w:hint="eastAsia" w:ascii="方正小标宋简体" w:hAnsi="方正小标宋简体" w:eastAsia="方正小标宋简体"/>
          <w:b w:val="0"/>
          <w:i w:val="0"/>
          <w:caps w:val="0"/>
          <w:spacing w:val="0"/>
          <w:w w:val="100"/>
          <w:kern w:val="2"/>
          <w:sz w:val="44"/>
          <w:szCs w:val="44"/>
          <w:lang w:val="en-US" w:eastAsia="zh-CN" w:bidi="ar-SA"/>
        </w:rPr>
        <w:t>固体废物治理利用加工改扩建项目</w:t>
      </w:r>
    </w:p>
    <w:p w14:paraId="47CB2528">
      <w:pPr>
        <w:snapToGrid/>
        <w:spacing w:before="0" w:beforeAutospacing="0" w:after="0" w:afterAutospacing="0" w:line="600" w:lineRule="exact"/>
        <w:jc w:val="center"/>
        <w:textAlignment w:val="baseline"/>
        <w:rPr>
          <w:rStyle w:val="10"/>
          <w:rFonts w:ascii="方正小标宋简体" w:hAnsi="方正小标宋简体" w:eastAsia="方正小标宋简体"/>
          <w:b w:val="0"/>
          <w:i w:val="0"/>
          <w:caps w:val="0"/>
          <w:spacing w:val="-11"/>
          <w:w w:val="100"/>
          <w:kern w:val="2"/>
          <w:sz w:val="44"/>
          <w:szCs w:val="44"/>
          <w:lang w:val="en-US" w:eastAsia="zh-CN" w:bidi="ar-SA"/>
        </w:rPr>
      </w:pPr>
      <w:r>
        <w:rPr>
          <w:rStyle w:val="10"/>
          <w:rFonts w:ascii="方正小标宋简体" w:hAnsi="方正小标宋简体" w:eastAsia="方正小标宋简体"/>
          <w:b w:val="0"/>
          <w:i w:val="0"/>
          <w:caps w:val="0"/>
          <w:spacing w:val="0"/>
          <w:w w:val="100"/>
          <w:kern w:val="2"/>
          <w:sz w:val="44"/>
          <w:szCs w:val="44"/>
          <w:lang w:val="en-US" w:eastAsia="zh-CN" w:bidi="ar-SA"/>
        </w:rPr>
        <w:t>环境影响报告表的批复</w:t>
      </w:r>
    </w:p>
    <w:p w14:paraId="22A9F803">
      <w:pPr>
        <w:snapToGrid/>
        <w:spacing w:before="0" w:beforeAutospacing="0" w:after="0" w:afterAutospacing="0" w:line="240" w:lineRule="auto"/>
        <w:jc w:val="center"/>
        <w:textAlignment w:val="baseline"/>
        <w:rPr>
          <w:rStyle w:val="10"/>
          <w:rFonts w:ascii="仿宋_GB2312" w:hAnsi="仿宋_GB2312" w:eastAsia="仿宋_GB2312"/>
          <w:b w:val="0"/>
          <w:i w:val="0"/>
          <w:caps w:val="0"/>
          <w:spacing w:val="0"/>
          <w:w w:val="100"/>
          <w:kern w:val="2"/>
          <w:sz w:val="21"/>
          <w:szCs w:val="21"/>
          <w:lang w:val="en-US" w:eastAsia="zh-CN" w:bidi="ar-SA"/>
        </w:rPr>
      </w:pPr>
    </w:p>
    <w:p w14:paraId="104959A6">
      <w:pPr>
        <w:snapToGrid/>
        <w:spacing w:before="0" w:beforeAutospacing="0" w:after="0" w:afterAutospacing="0" w:line="240" w:lineRule="auto"/>
        <w:jc w:val="center"/>
        <w:rPr>
          <w:rStyle w:val="10"/>
          <w:rFonts w:ascii="仿宋_GB2312" w:hAnsi="仿宋_GB2312" w:eastAsia="仿宋_GB2312"/>
          <w:b w:val="0"/>
          <w:i w:val="0"/>
          <w:spacing w:val="0"/>
          <w:w w:val="100"/>
          <w:kern w:val="2"/>
          <w:sz w:val="21"/>
          <w:szCs w:val="21"/>
          <w:lang w:val="en-US" w:eastAsia="zh-CN" w:bidi="ar-SA"/>
        </w:rPr>
      </w:pPr>
    </w:p>
    <w:p w14:paraId="053B5736">
      <w:pPr>
        <w:keepNext w:val="0"/>
        <w:keepLines w:val="0"/>
        <w:pageBreakBefore w:val="0"/>
        <w:kinsoku/>
        <w:wordWrap/>
        <w:overflowPunct/>
        <w:topLinePunct w:val="0"/>
        <w:autoSpaceDE/>
        <w:autoSpaceDN/>
        <w:bidi w:val="0"/>
        <w:snapToGrid/>
        <w:spacing w:before="0" w:beforeAutospacing="0" w:after="0" w:afterAutospacing="0" w:line="560" w:lineRule="exact"/>
        <w:ind w:left="0" w:leftChars="0" w:right="0"/>
        <w:jc w:val="both"/>
        <w:rPr>
          <w:rStyle w:val="10"/>
          <w:rFonts w:hint="eastAsia" w:ascii="仿宋_GB2312" w:hAnsi="仿宋" w:eastAsia="仿宋_GB2312"/>
          <w:b w:val="0"/>
          <w:i w:val="0"/>
          <w:spacing w:val="0"/>
          <w:w w:val="100"/>
          <w:kern w:val="2"/>
          <w:sz w:val="32"/>
          <w:szCs w:val="32"/>
          <w:lang w:val="en-US" w:eastAsia="zh-CN" w:bidi="ar-SA"/>
        </w:rPr>
      </w:pPr>
      <w:r>
        <w:rPr>
          <w:rStyle w:val="10"/>
          <w:rFonts w:hint="eastAsia" w:ascii="仿宋_GB2312" w:hAnsi="仿宋" w:eastAsia="仿宋_GB2312"/>
          <w:b w:val="0"/>
          <w:i w:val="0"/>
          <w:spacing w:val="0"/>
          <w:w w:val="100"/>
          <w:kern w:val="2"/>
          <w:sz w:val="32"/>
          <w:szCs w:val="32"/>
          <w:lang w:val="en-US" w:eastAsia="zh-CN" w:bidi="ar-SA"/>
        </w:rPr>
        <w:t>灵丘县中源矿业有限责任公司</w:t>
      </w:r>
      <w:r>
        <w:rPr>
          <w:rStyle w:val="10"/>
          <w:rFonts w:ascii="仿宋_GB2312" w:hAnsi="仿宋_GB2312" w:eastAsia="仿宋_GB2312"/>
          <w:b w:val="0"/>
          <w:i w:val="0"/>
          <w:spacing w:val="0"/>
          <w:w w:val="100"/>
          <w:kern w:val="2"/>
          <w:sz w:val="32"/>
          <w:szCs w:val="32"/>
          <w:lang w:val="en-US" w:eastAsia="zh-CN" w:bidi="ar-SA"/>
        </w:rPr>
        <w:t>：</w:t>
      </w:r>
    </w:p>
    <w:p w14:paraId="5B4F0365">
      <w:pPr>
        <w:pStyle w:val="11"/>
        <w:keepNext w:val="0"/>
        <w:keepLines w:val="0"/>
        <w:pageBreakBefore w:val="0"/>
        <w:kinsoku/>
        <w:wordWrap/>
        <w:overflowPunct/>
        <w:topLinePunct w:val="0"/>
        <w:autoSpaceDE/>
        <w:autoSpaceDN/>
        <w:bidi w:val="0"/>
        <w:snapToGrid/>
        <w:spacing w:before="0" w:beforeAutospacing="0" w:after="0" w:afterAutospacing="0" w:line="560" w:lineRule="exact"/>
        <w:ind w:left="0" w:leftChars="0" w:right="0" w:firstLine="640" w:firstLineChars="200"/>
        <w:jc w:val="both"/>
        <w:rPr>
          <w:rStyle w:val="10"/>
          <w:rFonts w:ascii="仿宋_GB2312" w:hAnsi="仿宋" w:eastAsia="仿宋_GB2312"/>
          <w:b w:val="0"/>
          <w:i w:val="0"/>
          <w:spacing w:val="0"/>
          <w:w w:val="100"/>
          <w:kern w:val="2"/>
          <w:sz w:val="32"/>
          <w:szCs w:val="32"/>
          <w:lang w:val="en-US" w:eastAsia="zh-CN" w:bidi="ar-SA"/>
        </w:rPr>
      </w:pPr>
      <w:r>
        <w:rPr>
          <w:rStyle w:val="10"/>
          <w:rFonts w:ascii="仿宋_GB2312" w:hAnsi="仿宋" w:eastAsia="仿宋_GB2312"/>
          <w:b w:val="0"/>
          <w:i w:val="0"/>
          <w:spacing w:val="0"/>
          <w:w w:val="100"/>
          <w:kern w:val="2"/>
          <w:sz w:val="32"/>
          <w:szCs w:val="32"/>
          <w:lang w:val="en-US" w:eastAsia="zh-CN" w:bidi="ar-SA"/>
        </w:rPr>
        <w:t>你公司</w:t>
      </w:r>
      <w:r>
        <w:rPr>
          <w:rStyle w:val="10"/>
          <w:rFonts w:hint="eastAsia" w:ascii="仿宋_GB2312" w:hAnsi="仿宋" w:eastAsia="仿宋_GB2312"/>
          <w:b w:val="0"/>
          <w:i w:val="0"/>
          <w:spacing w:val="0"/>
          <w:w w:val="100"/>
          <w:kern w:val="2"/>
          <w:sz w:val="32"/>
          <w:szCs w:val="32"/>
          <w:lang w:val="en-US" w:eastAsia="zh-CN" w:bidi="ar-SA"/>
        </w:rPr>
        <w:t>关于</w:t>
      </w:r>
      <w:r>
        <w:rPr>
          <w:rStyle w:val="10"/>
          <w:rFonts w:ascii="仿宋_GB2312" w:hAnsi="仿宋" w:eastAsia="仿宋_GB2312"/>
          <w:b w:val="0"/>
          <w:i w:val="0"/>
          <w:spacing w:val="0"/>
          <w:w w:val="100"/>
          <w:kern w:val="2"/>
          <w:sz w:val="32"/>
          <w:szCs w:val="32"/>
          <w:lang w:val="en-US" w:eastAsia="zh-CN" w:bidi="ar-SA"/>
        </w:rPr>
        <w:t>《</w:t>
      </w:r>
      <w:r>
        <w:rPr>
          <w:rStyle w:val="10"/>
          <w:rFonts w:hint="eastAsia" w:ascii="仿宋_GB2312" w:hAnsi="仿宋" w:eastAsia="仿宋_GB2312"/>
          <w:b w:val="0"/>
          <w:i w:val="0"/>
          <w:spacing w:val="0"/>
          <w:w w:val="100"/>
          <w:kern w:val="2"/>
          <w:sz w:val="32"/>
          <w:szCs w:val="32"/>
          <w:lang w:val="en-US" w:eastAsia="zh-CN" w:bidi="ar-SA"/>
        </w:rPr>
        <w:t>灵丘县中源矿业有限责任公司固体废物治理利用加工改扩建项目</w:t>
      </w:r>
      <w:r>
        <w:rPr>
          <w:rStyle w:val="10"/>
          <w:rFonts w:ascii="仿宋_GB2312" w:hAnsi="仿宋" w:eastAsia="仿宋_GB2312"/>
          <w:b w:val="0"/>
          <w:i w:val="0"/>
          <w:spacing w:val="0"/>
          <w:w w:val="100"/>
          <w:kern w:val="2"/>
          <w:sz w:val="32"/>
          <w:szCs w:val="32"/>
          <w:lang w:val="en-US" w:eastAsia="zh-CN" w:bidi="ar-SA"/>
        </w:rPr>
        <w:t>环境影响报告表》（以下简称《报</w:t>
      </w:r>
      <w:r>
        <w:rPr>
          <w:rStyle w:val="10"/>
          <w:rFonts w:ascii="仿宋_GB2312" w:hAnsi="仿宋" w:eastAsia="仿宋_GB2312"/>
          <w:b w:val="0"/>
          <w:i w:val="0"/>
          <w:spacing w:val="-6"/>
          <w:w w:val="100"/>
          <w:kern w:val="2"/>
          <w:sz w:val="32"/>
          <w:szCs w:val="32"/>
          <w:lang w:val="en-US" w:eastAsia="zh-CN" w:bidi="ar-SA"/>
        </w:rPr>
        <w:t>告表》）相关材料收悉。</w:t>
      </w:r>
      <w:r>
        <w:rPr>
          <w:rStyle w:val="10"/>
          <w:rFonts w:hint="eastAsia" w:ascii="仿宋_GB2312" w:hAnsi="仿宋" w:eastAsia="仿宋_GB2312"/>
          <w:b w:val="0"/>
          <w:i w:val="0"/>
          <w:spacing w:val="-6"/>
          <w:w w:val="100"/>
          <w:kern w:val="2"/>
          <w:sz w:val="32"/>
          <w:szCs w:val="32"/>
          <w:lang w:val="en-US" w:eastAsia="zh-CN" w:bidi="ar-SA"/>
        </w:rPr>
        <w:t>结合大同市生态环境评估中心出具的《关于&lt;</w:t>
      </w:r>
      <w:r>
        <w:rPr>
          <w:rStyle w:val="10"/>
          <w:rFonts w:hint="eastAsia" w:ascii="仿宋_GB2312" w:hAnsi="仿宋" w:eastAsia="仿宋_GB2312"/>
          <w:b w:val="0"/>
          <w:i w:val="0"/>
          <w:spacing w:val="0"/>
          <w:w w:val="100"/>
          <w:kern w:val="2"/>
          <w:sz w:val="32"/>
          <w:szCs w:val="32"/>
          <w:lang w:val="en-US" w:eastAsia="zh-CN" w:bidi="ar-SA"/>
        </w:rPr>
        <w:t>灵丘县中源矿业有限责任公司固体废物治理利用加工改扩建项目</w:t>
      </w:r>
      <w:r>
        <w:rPr>
          <w:rStyle w:val="10"/>
          <w:rFonts w:hint="eastAsia" w:ascii="仿宋_GB2312" w:hAnsi="仿宋" w:eastAsia="仿宋_GB2312"/>
          <w:b w:val="0"/>
          <w:i w:val="0"/>
          <w:spacing w:val="-6"/>
          <w:w w:val="100"/>
          <w:kern w:val="2"/>
          <w:sz w:val="32"/>
          <w:szCs w:val="32"/>
          <w:lang w:val="en-US" w:eastAsia="zh-CN" w:bidi="ar-SA"/>
        </w:rPr>
        <w:t>环境影响报告表&gt;的技术评估报告》，</w:t>
      </w:r>
      <w:r>
        <w:rPr>
          <w:rStyle w:val="10"/>
          <w:rFonts w:ascii="仿宋_GB2312" w:hAnsi="仿宋_GB2312" w:eastAsia="仿宋_GB2312"/>
          <w:b w:val="0"/>
          <w:i w:val="0"/>
          <w:spacing w:val="-6"/>
          <w:w w:val="100"/>
          <w:kern w:val="2"/>
          <w:sz w:val="32"/>
          <w:szCs w:val="32"/>
          <w:lang w:val="en-US" w:eastAsia="zh-CN" w:bidi="ar-SA"/>
        </w:rPr>
        <w:t>经研究，批复如下：</w:t>
      </w:r>
    </w:p>
    <w:p w14:paraId="0648302E">
      <w:pPr>
        <w:keepNext w:val="0"/>
        <w:keepLines w:val="0"/>
        <w:widowControl/>
        <w:suppressLineNumbers w:val="0"/>
        <w:ind w:firstLine="640" w:firstLineChars="200"/>
        <w:jc w:val="left"/>
        <w:rPr>
          <w:rStyle w:val="10"/>
          <w:rFonts w:ascii="仿宋_GB2312" w:hAnsi="仿宋" w:eastAsia="仿宋_GB2312"/>
          <w:b w:val="0"/>
          <w:i w:val="0"/>
          <w:color w:val="000000"/>
          <w:spacing w:val="0"/>
          <w:w w:val="100"/>
          <w:sz w:val="32"/>
          <w:szCs w:val="32"/>
          <w:lang w:val="en-US" w:eastAsia="zh-CN" w:bidi="ar-SA"/>
        </w:rPr>
      </w:pPr>
      <w:r>
        <w:rPr>
          <w:rStyle w:val="10"/>
          <w:rFonts w:ascii="仿宋_GB2312" w:hAnsi="仿宋" w:eastAsia="仿宋_GB2312"/>
          <w:b w:val="0"/>
          <w:i w:val="0"/>
          <w:color w:val="000000"/>
          <w:spacing w:val="0"/>
          <w:w w:val="100"/>
          <w:sz w:val="32"/>
          <w:szCs w:val="32"/>
          <w:lang w:val="en-US" w:eastAsia="zh-CN" w:bidi="ar-SA"/>
        </w:rPr>
        <w:t>一、该项目</w:t>
      </w:r>
      <w:r>
        <w:rPr>
          <w:rStyle w:val="10"/>
          <w:rFonts w:hint="eastAsia" w:ascii="仿宋_GB2312" w:hAnsi="仿宋" w:eastAsia="仿宋_GB2312"/>
          <w:b w:val="0"/>
          <w:i w:val="0"/>
          <w:color w:val="000000"/>
          <w:spacing w:val="0"/>
          <w:w w:val="100"/>
          <w:sz w:val="32"/>
          <w:szCs w:val="32"/>
          <w:lang w:val="en-US" w:eastAsia="zh-CN" w:bidi="ar-SA"/>
        </w:rPr>
        <w:t>位于山西省大同市灵丘县武灵镇高渠沟村北侧约0.6km处（灵丘县中源矿业有限责任公司现有厂区内）。用地面积</w:t>
      </w:r>
      <w:r>
        <w:rPr>
          <w:rFonts w:hint="eastAsia" w:ascii="仿宋_GB2312" w:hAnsi="仿宋_GB2312" w:eastAsia="仿宋_GB2312"/>
          <w:color w:val="000000"/>
          <w:kern w:val="0"/>
          <w:sz w:val="32"/>
          <w:szCs w:val="32"/>
          <w:lang w:val="en-US" w:eastAsia="zh-CN" w:bidi="ar"/>
        </w:rPr>
        <w:t>37796m</w:t>
      </w:r>
      <w:r>
        <w:rPr>
          <w:rFonts w:hint="eastAsia" w:ascii="仿宋_GB2312" w:hAnsi="仿宋_GB2312" w:eastAsia="仿宋_GB2312"/>
          <w:color w:val="000000"/>
          <w:kern w:val="0"/>
          <w:sz w:val="32"/>
          <w:szCs w:val="32"/>
          <w:vertAlign w:val="superscript"/>
          <w:lang w:val="en-US" w:eastAsia="zh-CN" w:bidi="ar"/>
        </w:rPr>
        <w:t>2</w:t>
      </w:r>
      <w:r>
        <w:rPr>
          <w:rFonts w:hint="eastAsia" w:ascii="仿宋_GB2312" w:hAnsi="仿宋_GB2312" w:eastAsia="仿宋_GB2312"/>
          <w:color w:val="000000"/>
          <w:kern w:val="0"/>
          <w:sz w:val="32"/>
          <w:szCs w:val="32"/>
          <w:lang w:val="en-US" w:eastAsia="zh-CN" w:bidi="ar"/>
        </w:rPr>
        <w:t>（灵丘县中源矿业有限责任公司厂区总面积为85268m</w:t>
      </w:r>
      <w:r>
        <w:rPr>
          <w:rFonts w:hint="eastAsia" w:ascii="仿宋_GB2312" w:hAnsi="仿宋_GB2312" w:eastAsia="仿宋_GB2312"/>
          <w:color w:val="000000"/>
          <w:kern w:val="0"/>
          <w:sz w:val="32"/>
          <w:szCs w:val="32"/>
          <w:vertAlign w:val="superscript"/>
          <w:lang w:val="en-US" w:eastAsia="zh-CN" w:bidi="ar"/>
        </w:rPr>
        <w:t>2</w:t>
      </w:r>
      <w:r>
        <w:rPr>
          <w:rFonts w:hint="eastAsia" w:ascii="仿宋_GB2312" w:hAnsi="仿宋_GB2312" w:eastAsia="仿宋_GB2312"/>
          <w:color w:val="000000"/>
          <w:kern w:val="0"/>
          <w:sz w:val="32"/>
          <w:szCs w:val="32"/>
          <w:lang w:val="en-US" w:eastAsia="zh-CN" w:bidi="ar"/>
        </w:rPr>
        <w:t>）</w:t>
      </w:r>
      <w:r>
        <w:rPr>
          <w:rStyle w:val="10"/>
          <w:rFonts w:hint="eastAsia" w:ascii="仿宋_GB2312" w:hAnsi="仿宋_GB2312" w:eastAsia="仿宋_GB2312"/>
          <w:b w:val="0"/>
          <w:i w:val="0"/>
          <w:color w:val="000000"/>
          <w:spacing w:val="0"/>
          <w:w w:val="100"/>
          <w:sz w:val="32"/>
          <w:szCs w:val="32"/>
          <w:lang w:val="en-US" w:eastAsia="zh-CN" w:bidi="ar-SA"/>
        </w:rPr>
        <w:t>。目前厂区内已建有冶炼尘灰综合利用项目（年综合利用除尘灰1万吨），项目已于2024年12月25日经我局予以批复（灵环函〔2024〕17号）。而此次工程在该生产线的基础上新增一条固体废物治理利用加工生产线（年综合利用除尘灰10万吨），主要购置安装给料机、皮带输送机、破碎机、筛分机、磨机、搅拌机、磁选机、压滤机等设备，办公用房、机修车间等公辅工程依托现有。</w:t>
      </w:r>
      <w:r>
        <w:rPr>
          <w:rStyle w:val="10"/>
          <w:rFonts w:ascii="仿宋_GB2312" w:hAnsi="仿宋" w:eastAsia="仿宋_GB2312"/>
          <w:b w:val="0"/>
          <w:i w:val="0"/>
          <w:color w:val="000000"/>
          <w:spacing w:val="0"/>
          <w:w w:val="100"/>
          <w:sz w:val="32"/>
          <w:szCs w:val="32"/>
          <w:lang w:val="en-US" w:eastAsia="zh-CN" w:bidi="ar-SA"/>
        </w:rPr>
        <w:t>项目总投资</w:t>
      </w:r>
      <w:r>
        <w:rPr>
          <w:rStyle w:val="10"/>
          <w:rFonts w:hint="eastAsia" w:ascii="仿宋_GB2312" w:hAnsi="仿宋" w:eastAsia="仿宋_GB2312"/>
          <w:b w:val="0"/>
          <w:i w:val="0"/>
          <w:color w:val="000000"/>
          <w:spacing w:val="0"/>
          <w:w w:val="100"/>
          <w:sz w:val="32"/>
          <w:szCs w:val="32"/>
          <w:lang w:val="en-US" w:eastAsia="zh-CN" w:bidi="ar-SA"/>
        </w:rPr>
        <w:t>684.5</w:t>
      </w:r>
      <w:r>
        <w:rPr>
          <w:rStyle w:val="10"/>
          <w:rFonts w:ascii="仿宋_GB2312" w:hAnsi="仿宋" w:eastAsia="仿宋_GB2312"/>
          <w:b w:val="0"/>
          <w:i w:val="0"/>
          <w:color w:val="000000"/>
          <w:spacing w:val="0"/>
          <w:w w:val="100"/>
          <w:sz w:val="32"/>
          <w:szCs w:val="32"/>
          <w:lang w:val="en-US" w:eastAsia="zh-CN" w:bidi="ar-SA"/>
        </w:rPr>
        <w:t>万元，</w:t>
      </w:r>
      <w:r>
        <w:rPr>
          <w:rStyle w:val="10"/>
          <w:rFonts w:ascii="仿宋_GB2312" w:hAnsi="仿宋" w:eastAsia="仿宋_GB2312"/>
          <w:b w:val="0"/>
          <w:i w:val="0"/>
          <w:color w:val="000000"/>
          <w:spacing w:val="-11"/>
          <w:w w:val="100"/>
          <w:sz w:val="32"/>
          <w:szCs w:val="32"/>
          <w:lang w:val="en-US" w:eastAsia="zh-CN" w:bidi="ar-SA"/>
        </w:rPr>
        <w:t>环保投资</w:t>
      </w:r>
      <w:r>
        <w:rPr>
          <w:rStyle w:val="10"/>
          <w:rFonts w:hint="eastAsia" w:ascii="仿宋_GB2312" w:hAnsi="仿宋" w:eastAsia="仿宋_GB2312"/>
          <w:b w:val="0"/>
          <w:i w:val="0"/>
          <w:color w:val="000000"/>
          <w:spacing w:val="-11"/>
          <w:w w:val="100"/>
          <w:sz w:val="32"/>
          <w:szCs w:val="32"/>
          <w:lang w:val="en-US" w:eastAsia="zh-CN" w:bidi="ar-SA"/>
        </w:rPr>
        <w:t>40</w:t>
      </w:r>
      <w:r>
        <w:rPr>
          <w:rStyle w:val="10"/>
          <w:rFonts w:ascii="仿宋_GB2312" w:hAnsi="仿宋" w:eastAsia="仿宋_GB2312"/>
          <w:b w:val="0"/>
          <w:i w:val="0"/>
          <w:color w:val="000000"/>
          <w:spacing w:val="-11"/>
          <w:w w:val="100"/>
          <w:sz w:val="32"/>
          <w:szCs w:val="32"/>
          <w:lang w:val="en-US" w:eastAsia="zh-CN" w:bidi="ar-SA"/>
        </w:rPr>
        <w:t>万元，占总投资比例的</w:t>
      </w:r>
      <w:r>
        <w:rPr>
          <w:rStyle w:val="10"/>
          <w:rFonts w:hint="eastAsia" w:ascii="仿宋_GB2312" w:hAnsi="仿宋" w:eastAsia="仿宋_GB2312"/>
          <w:b w:val="0"/>
          <w:i w:val="0"/>
          <w:color w:val="000000"/>
          <w:spacing w:val="-11"/>
          <w:w w:val="100"/>
          <w:sz w:val="32"/>
          <w:szCs w:val="32"/>
          <w:lang w:val="en-US" w:eastAsia="zh-CN" w:bidi="ar-SA"/>
        </w:rPr>
        <w:t>5.84%</w:t>
      </w:r>
      <w:r>
        <w:rPr>
          <w:rStyle w:val="10"/>
          <w:rFonts w:ascii="仿宋_GB2312" w:hAnsi="仿宋" w:eastAsia="仿宋_GB2312"/>
          <w:b w:val="0"/>
          <w:i w:val="0"/>
          <w:color w:val="000000"/>
          <w:spacing w:val="-11"/>
          <w:w w:val="100"/>
          <w:sz w:val="32"/>
          <w:szCs w:val="32"/>
          <w:lang w:val="en-US" w:eastAsia="zh-CN" w:bidi="ar-SA"/>
        </w:rPr>
        <w:t>。</w:t>
      </w:r>
      <w:r>
        <w:rPr>
          <w:rStyle w:val="10"/>
          <w:rFonts w:hint="eastAsia" w:ascii="仿宋_GB2312" w:hAnsi="仿宋" w:eastAsia="仿宋_GB2312"/>
          <w:b w:val="0"/>
          <w:i w:val="0"/>
          <w:color w:val="000000"/>
          <w:spacing w:val="-17"/>
          <w:w w:val="100"/>
          <w:sz w:val="32"/>
          <w:szCs w:val="32"/>
          <w:lang w:val="en-US" w:eastAsia="zh-CN" w:bidi="ar-SA"/>
        </w:rPr>
        <w:t>该项目属于《产业结构调整指导目录（2024年本）》中鼓励类项目，已取得灵丘县发展改革和科技局下发的备案证（项目代码：2604-140224-89-02-242766）。</w:t>
      </w:r>
      <w:r>
        <w:rPr>
          <w:rStyle w:val="10"/>
          <w:rFonts w:ascii="仿宋_GB2312" w:hAnsi="仿宋" w:eastAsia="仿宋_GB2312"/>
          <w:b w:val="0"/>
          <w:i w:val="0"/>
          <w:color w:val="000000"/>
          <w:spacing w:val="0"/>
          <w:w w:val="100"/>
          <w:sz w:val="32"/>
          <w:szCs w:val="32"/>
          <w:lang w:val="en-US" w:eastAsia="zh-CN" w:bidi="ar-SA"/>
        </w:rPr>
        <w:t>在全面落实《报告表》提出的污染防治和生态保护措施的前提下，工程建设对环境的不利影响可得到缓解和控制。我局原则同意《报告表》所列建设项目的性质、规模、地点、采用的生产工艺和采取的环境保护措施。</w:t>
      </w:r>
    </w:p>
    <w:p w14:paraId="4320022D">
      <w:pPr>
        <w:pStyle w:val="11"/>
        <w:keepNext w:val="0"/>
        <w:keepLines w:val="0"/>
        <w:pageBreakBefore w:val="0"/>
        <w:kinsoku/>
        <w:wordWrap/>
        <w:overflowPunct/>
        <w:topLinePunct w:val="0"/>
        <w:autoSpaceDE/>
        <w:autoSpaceDN/>
        <w:bidi w:val="0"/>
        <w:snapToGrid/>
        <w:spacing w:before="0" w:beforeAutospacing="0" w:after="0" w:afterAutospacing="0" w:line="540" w:lineRule="exact"/>
        <w:ind w:right="0"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二、在项目建设和运行管理中，必须对照《报告表》逐一落实各项环保对策措施，重点做好以下工作：</w:t>
      </w:r>
    </w:p>
    <w:p w14:paraId="5A5AC409">
      <w:pPr>
        <w:keepNext w:val="0"/>
        <w:keepLines w:val="0"/>
        <w:pageBreakBefore w:val="0"/>
        <w:kinsoku/>
        <w:wordWrap/>
        <w:overflowPunct/>
        <w:topLinePunct w:val="0"/>
        <w:autoSpaceDE/>
        <w:autoSpaceDN/>
        <w:bidi w:val="0"/>
        <w:snapToGrid/>
        <w:spacing w:before="0" w:beforeAutospacing="0" w:after="0" w:afterAutospacing="0" w:line="540" w:lineRule="exact"/>
        <w:ind w:left="0" w:leftChars="0"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1、认真做好施工期环境保护工作，</w:t>
      </w:r>
      <w:r>
        <w:rPr>
          <w:rStyle w:val="10"/>
          <w:rFonts w:hint="eastAsia" w:ascii="仿宋_GB2312" w:hAnsi="仿宋_GB2312" w:eastAsia="仿宋_GB2312"/>
          <w:b w:val="0"/>
          <w:i w:val="0"/>
          <w:color w:val="000000"/>
          <w:spacing w:val="0"/>
          <w:w w:val="100"/>
          <w:kern w:val="2"/>
          <w:sz w:val="32"/>
          <w:szCs w:val="32"/>
          <w:lang w:val="en-US" w:eastAsia="zh-CN" w:bidi="ar-SA"/>
        </w:rPr>
        <w:t>施工过程中</w:t>
      </w:r>
      <w:r>
        <w:rPr>
          <w:rStyle w:val="10"/>
          <w:rFonts w:ascii="仿宋_GB2312" w:hAnsi="仿宋_GB2312" w:eastAsia="仿宋_GB2312"/>
          <w:b w:val="0"/>
          <w:i w:val="0"/>
          <w:color w:val="000000"/>
          <w:spacing w:val="0"/>
          <w:w w:val="100"/>
          <w:kern w:val="2"/>
          <w:sz w:val="32"/>
          <w:szCs w:val="32"/>
          <w:lang w:val="en-US" w:eastAsia="zh-CN" w:bidi="ar-SA"/>
        </w:rPr>
        <w:t>加强</w:t>
      </w:r>
      <w:r>
        <w:rPr>
          <w:rStyle w:val="10"/>
          <w:rFonts w:hint="eastAsia" w:ascii="仿宋_GB2312" w:hAnsi="仿宋_GB2312" w:eastAsia="仿宋_GB2312"/>
          <w:b w:val="0"/>
          <w:i w:val="0"/>
          <w:color w:val="000000"/>
          <w:spacing w:val="0"/>
          <w:w w:val="100"/>
          <w:kern w:val="2"/>
          <w:sz w:val="32"/>
          <w:szCs w:val="32"/>
          <w:lang w:val="en-US" w:eastAsia="zh-CN" w:bidi="ar-SA"/>
        </w:rPr>
        <w:t>废气、废水、噪声、固体废物</w:t>
      </w:r>
      <w:r>
        <w:rPr>
          <w:rStyle w:val="10"/>
          <w:rFonts w:ascii="仿宋_GB2312" w:hAnsi="仿宋_GB2312" w:eastAsia="仿宋_GB2312"/>
          <w:b w:val="0"/>
          <w:i w:val="0"/>
          <w:color w:val="000000"/>
          <w:spacing w:val="0"/>
          <w:w w:val="100"/>
          <w:kern w:val="2"/>
          <w:sz w:val="32"/>
          <w:szCs w:val="32"/>
          <w:lang w:val="en-US" w:eastAsia="zh-CN" w:bidi="ar-SA"/>
        </w:rPr>
        <w:t>环境管理，落实《报告表》提出的各项</w:t>
      </w:r>
      <w:r>
        <w:rPr>
          <w:rStyle w:val="10"/>
          <w:rFonts w:ascii="仿宋_GB2312" w:hAnsi="仿宋_GB2312" w:eastAsia="仿宋_GB2312"/>
          <w:b w:val="0"/>
          <w:i w:val="0"/>
          <w:color w:val="000000"/>
          <w:spacing w:val="-6"/>
          <w:w w:val="100"/>
          <w:kern w:val="2"/>
          <w:sz w:val="32"/>
          <w:szCs w:val="32"/>
          <w:lang w:val="en-US" w:eastAsia="zh-CN" w:bidi="ar-SA"/>
        </w:rPr>
        <w:t>污染防治措施，</w:t>
      </w:r>
      <w:r>
        <w:rPr>
          <w:rStyle w:val="10"/>
          <w:rFonts w:hint="eastAsia" w:ascii="仿宋_GB2312" w:hAnsi="仿宋_GB2312" w:eastAsia="仿宋_GB2312"/>
          <w:b w:val="0"/>
          <w:i w:val="0"/>
          <w:color w:val="000000"/>
          <w:spacing w:val="-6"/>
          <w:w w:val="100"/>
          <w:kern w:val="2"/>
          <w:sz w:val="32"/>
          <w:szCs w:val="32"/>
          <w:lang w:val="en-US" w:eastAsia="zh-CN" w:bidi="ar-SA"/>
        </w:rPr>
        <w:t>严格执行“六个百分之百”，</w:t>
      </w:r>
      <w:r>
        <w:rPr>
          <w:rStyle w:val="10"/>
          <w:rFonts w:ascii="仿宋_GB2312" w:hAnsi="仿宋_GB2312" w:eastAsia="仿宋_GB2312"/>
          <w:b w:val="0"/>
          <w:i w:val="0"/>
          <w:color w:val="000000"/>
          <w:spacing w:val="-6"/>
          <w:w w:val="100"/>
          <w:kern w:val="2"/>
          <w:sz w:val="32"/>
          <w:szCs w:val="32"/>
          <w:lang w:val="en-US" w:eastAsia="zh-CN" w:bidi="ar-SA"/>
        </w:rPr>
        <w:t>降低对周边的影响。</w:t>
      </w:r>
    </w:p>
    <w:p w14:paraId="4E08425F">
      <w:pPr>
        <w:keepNext w:val="0"/>
        <w:keepLines w:val="0"/>
        <w:pageBreakBefore w:val="0"/>
        <w:widowControl w:val="0"/>
        <w:kinsoku/>
        <w:wordWrap/>
        <w:overflowPunct/>
        <w:topLinePunct w:val="0"/>
        <w:autoSpaceDE/>
        <w:autoSpaceDN/>
        <w:bidi w:val="0"/>
        <w:snapToGrid/>
        <w:spacing w:before="0" w:beforeAutospacing="0" w:after="0" w:afterAutospacing="0" w:line="540" w:lineRule="exact"/>
        <w:ind w:left="0" w:leftChars="0"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2、废气污染防治措施。运营期</w:t>
      </w:r>
      <w:r>
        <w:rPr>
          <w:rStyle w:val="10"/>
          <w:rFonts w:hint="eastAsia" w:ascii="仿宋_GB2312" w:hAnsi="仿宋_GB2312" w:eastAsia="仿宋_GB2312"/>
          <w:b w:val="0"/>
          <w:i w:val="0"/>
          <w:color w:val="000000"/>
          <w:spacing w:val="0"/>
          <w:w w:val="100"/>
          <w:kern w:val="2"/>
          <w:sz w:val="32"/>
          <w:szCs w:val="32"/>
          <w:lang w:val="en-US" w:eastAsia="zh-CN" w:bidi="ar-SA"/>
        </w:rPr>
        <w:t>，全封闭彩钢结构，地面全部硬化，并定期洒水抑尘，对物料装卸过程中产生的扬尘加强管理，同时使用移动式雾炮装置进行喷雾抑尘，减少粉尘的散出；将进料仓进行三面围挡，在进料仓上方设置1个上吸式集气罩，将2台破碎机和1台筛分机等设备的进、出料口均采用密闭罩与输送皮带密闭连接，且输送皮带为全封闭设置，原料进料、二级破碎及筛分过程产生的废气经收集后引入同一台布袋除尘器进行处理，废气经处理达标后由排气筒排放；对厂区内地面定期派专人进行路面清扫、洒水，经过村庄时，要求减速慢行，以减少道路扬尘。运输车辆采用厢式汽车，且运输车辆全部达到国六排放标准或使用新能源车辆。另外，全厂除绿化场地外，其他地面全部硬化，不得留有裸露地面。运营期产生的颗粒物排放执行《大气污染物综合排放标准》（GB16297-96）中二级标准。</w:t>
      </w:r>
    </w:p>
    <w:p w14:paraId="2E1CE2DB">
      <w:pPr>
        <w:pStyle w:val="13"/>
        <w:keepNext w:val="0"/>
        <w:keepLines w:val="0"/>
        <w:pageBreakBefore w:val="0"/>
        <w:widowControl/>
        <w:kinsoku/>
        <w:wordWrap/>
        <w:overflowPunct/>
        <w:topLinePunct w:val="0"/>
        <w:autoSpaceDE/>
        <w:autoSpaceDN/>
        <w:bidi w:val="0"/>
        <w:snapToGrid/>
        <w:spacing w:before="0" w:beforeAutospacing="0" w:after="0" w:afterAutospacing="0" w:line="540" w:lineRule="exact"/>
        <w:ind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3、废水污染防治措施。</w:t>
      </w:r>
      <w:r>
        <w:rPr>
          <w:rStyle w:val="10"/>
          <w:rFonts w:hint="eastAsia" w:ascii="仿宋_GB2312" w:hAnsi="仿宋_GB2312" w:eastAsia="仿宋_GB2312"/>
          <w:b w:val="0"/>
          <w:i w:val="0"/>
          <w:color w:val="000000"/>
          <w:spacing w:val="0"/>
          <w:w w:val="100"/>
          <w:kern w:val="2"/>
          <w:sz w:val="32"/>
          <w:szCs w:val="32"/>
          <w:lang w:val="en-US" w:eastAsia="zh-CN" w:bidi="ar-SA"/>
        </w:rPr>
        <w:t>运营期，原料渗出水、压滤废水经三级沉淀后全部返回生产线，不外排；搅拌洗涤循环水定期经废水处理站进行处理后回用于生产，不外排；洗车废水经沉淀后循环使用；在厂区北侧地势最低处建设一座不小于 800m</w:t>
      </w:r>
      <w:r>
        <w:rPr>
          <w:rStyle w:val="10"/>
          <w:rFonts w:hint="eastAsia" w:ascii="仿宋_GB2312" w:hAnsi="仿宋_GB2312" w:eastAsia="仿宋_GB2312"/>
          <w:b w:val="0"/>
          <w:i w:val="0"/>
          <w:color w:val="000000"/>
          <w:spacing w:val="0"/>
          <w:w w:val="100"/>
          <w:kern w:val="2"/>
          <w:sz w:val="32"/>
          <w:szCs w:val="32"/>
          <w:vertAlign w:val="superscript"/>
          <w:lang w:val="en-US" w:eastAsia="zh-CN" w:bidi="ar-SA"/>
        </w:rPr>
        <w:t>3</w:t>
      </w:r>
      <w:r>
        <w:rPr>
          <w:rStyle w:val="10"/>
          <w:rFonts w:hint="eastAsia" w:ascii="仿宋_GB2312" w:hAnsi="仿宋_GB2312" w:eastAsia="仿宋_GB2312"/>
          <w:b w:val="0"/>
          <w:i w:val="0"/>
          <w:color w:val="000000"/>
          <w:spacing w:val="0"/>
          <w:w w:val="100"/>
          <w:kern w:val="2"/>
          <w:sz w:val="32"/>
          <w:szCs w:val="32"/>
          <w:lang w:val="en-US" w:eastAsia="zh-CN" w:bidi="ar-SA"/>
        </w:rPr>
        <w:t>的初期雨水收集池，收集后的雨水经沉淀后，用于厂区</w:t>
      </w:r>
      <w:r>
        <w:rPr>
          <w:rStyle w:val="10"/>
          <w:rFonts w:hint="eastAsia" w:ascii="仿宋_GB2312" w:hAnsi="仿宋_GB2312" w:eastAsia="仿宋_GB2312"/>
          <w:b w:val="0"/>
          <w:i w:val="0"/>
          <w:color w:val="000000"/>
          <w:spacing w:val="-6"/>
          <w:w w:val="100"/>
          <w:kern w:val="2"/>
          <w:sz w:val="32"/>
          <w:szCs w:val="32"/>
          <w:lang w:val="en-US" w:eastAsia="zh-CN" w:bidi="ar-SA"/>
        </w:rPr>
        <w:t>道路洒水降尘；生活污水排入旱厕，定期清掏用作周围农田肥料。</w:t>
      </w:r>
    </w:p>
    <w:p w14:paraId="16D23163">
      <w:pPr>
        <w:pStyle w:val="13"/>
        <w:keepNext w:val="0"/>
        <w:keepLines w:val="0"/>
        <w:pageBreakBefore w:val="0"/>
        <w:widowControl/>
        <w:kinsoku/>
        <w:wordWrap/>
        <w:overflowPunct/>
        <w:topLinePunct w:val="0"/>
        <w:autoSpaceDE/>
        <w:autoSpaceDN/>
        <w:bidi w:val="0"/>
        <w:snapToGrid/>
        <w:spacing w:before="0" w:beforeAutospacing="0" w:after="0" w:afterAutospacing="0" w:line="560" w:lineRule="exact"/>
        <w:ind w:left="0" w:leftChars="0" w:firstLine="64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4、噪声污染防治措施。</w:t>
      </w:r>
      <w:r>
        <w:rPr>
          <w:rStyle w:val="10"/>
          <w:rFonts w:hint="eastAsia" w:ascii="仿宋_GB2312" w:hAnsi="仿宋_GB2312" w:eastAsia="仿宋_GB2312"/>
          <w:b w:val="0"/>
          <w:i w:val="0"/>
          <w:color w:val="000000"/>
          <w:spacing w:val="0"/>
          <w:w w:val="100"/>
          <w:kern w:val="2"/>
          <w:sz w:val="32"/>
          <w:szCs w:val="32"/>
          <w:lang w:val="en-US" w:eastAsia="zh-CN" w:bidi="ar-SA"/>
        </w:rPr>
        <w:t>运营期，选用低噪设备，各生产设备均设置于全封闭厂房内，设置基础减震、建筑物隔声，定期维护，加强管理等措施。运营期厂界噪</w:t>
      </w:r>
      <w:r>
        <w:rPr>
          <w:rStyle w:val="10"/>
          <w:rFonts w:hint="eastAsia" w:ascii="仿宋_GB2312" w:hAnsi="仿宋_GB2312" w:eastAsia="仿宋_GB2312"/>
          <w:b w:val="0"/>
          <w:i w:val="0"/>
          <w:color w:val="000000"/>
          <w:spacing w:val="-6"/>
          <w:w w:val="100"/>
          <w:kern w:val="2"/>
          <w:sz w:val="32"/>
          <w:szCs w:val="32"/>
          <w:lang w:val="en-US" w:eastAsia="zh-CN" w:bidi="ar-SA"/>
        </w:rPr>
        <w:t>声排放执行《工业企业厂界环境噪声排放标准》</w:t>
      </w:r>
      <w:r>
        <w:rPr>
          <w:rStyle w:val="10"/>
          <w:rFonts w:hint="eastAsia" w:ascii="仿宋_GB2312" w:hAnsi="仿宋_GB2312" w:eastAsia="仿宋_GB2312"/>
          <w:b w:val="0"/>
          <w:i w:val="0"/>
          <w:color w:val="000000"/>
          <w:spacing w:val="0"/>
          <w:w w:val="100"/>
          <w:kern w:val="2"/>
          <w:sz w:val="32"/>
          <w:szCs w:val="32"/>
          <w:lang w:val="en-US" w:eastAsia="zh-CN" w:bidi="ar-SA"/>
        </w:rPr>
        <w:t>（GB12348-2008）中的2类标准。</w:t>
      </w:r>
    </w:p>
    <w:p w14:paraId="01B76A90">
      <w:pPr>
        <w:pStyle w:val="13"/>
        <w:keepNext w:val="0"/>
        <w:keepLines w:val="0"/>
        <w:pageBreakBefore w:val="0"/>
        <w:widowControl/>
        <w:kinsoku/>
        <w:wordWrap/>
        <w:overflowPunct/>
        <w:topLinePunct w:val="0"/>
        <w:autoSpaceDE/>
        <w:autoSpaceDN/>
        <w:bidi w:val="0"/>
        <w:snapToGrid/>
        <w:spacing w:before="0" w:beforeAutospacing="0" w:after="0" w:afterAutospacing="0" w:line="560" w:lineRule="exact"/>
        <w:ind w:left="0" w:leftChars="0" w:firstLine="64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5、固体废物污染防治措施。运营期</w:t>
      </w:r>
      <w:r>
        <w:rPr>
          <w:rStyle w:val="10"/>
          <w:rFonts w:hint="eastAsia" w:ascii="仿宋_GB2312" w:hAnsi="仿宋_GB2312" w:eastAsia="仿宋_GB2312"/>
          <w:b w:val="0"/>
          <w:i w:val="0"/>
          <w:color w:val="000000"/>
          <w:spacing w:val="0"/>
          <w:w w:val="100"/>
          <w:kern w:val="2"/>
          <w:sz w:val="32"/>
          <w:szCs w:val="32"/>
          <w:lang w:val="en-US" w:eastAsia="zh-CN" w:bidi="ar-SA"/>
        </w:rPr>
        <w:t>，除尘灰及沉淀池泥沙经收集后返回生产线作为原料，压滤泥饼经收集后暂存于一般固废库，定期委外作为建材综合利用，生产过程中产生的废包装袋，可外售至废品回收站；废矿物油、废油桶等危险废物储存于一座20m</w:t>
      </w:r>
      <w:r>
        <w:rPr>
          <w:rStyle w:val="10"/>
          <w:rFonts w:hint="eastAsia" w:ascii="仿宋_GB2312" w:hAnsi="仿宋_GB2312" w:eastAsia="仿宋_GB2312"/>
          <w:b w:val="0"/>
          <w:i w:val="0"/>
          <w:color w:val="000000"/>
          <w:spacing w:val="0"/>
          <w:w w:val="100"/>
          <w:kern w:val="2"/>
          <w:sz w:val="32"/>
          <w:szCs w:val="32"/>
          <w:vertAlign w:val="superscript"/>
          <w:lang w:val="en-US" w:eastAsia="zh-CN" w:bidi="ar-SA"/>
        </w:rPr>
        <w:t>2</w:t>
      </w:r>
      <w:r>
        <w:rPr>
          <w:rStyle w:val="10"/>
          <w:rFonts w:hint="eastAsia" w:ascii="仿宋_GB2312" w:hAnsi="仿宋_GB2312" w:eastAsia="仿宋_GB2312"/>
          <w:b w:val="0"/>
          <w:i w:val="0"/>
          <w:color w:val="000000"/>
          <w:spacing w:val="0"/>
          <w:w w:val="100"/>
          <w:kern w:val="2"/>
          <w:sz w:val="32"/>
          <w:szCs w:val="32"/>
          <w:lang w:val="en-US" w:eastAsia="zh-CN" w:bidi="ar-SA"/>
        </w:rPr>
        <w:t>危废贮存点内，定期交由有资质的单位处置，贮存点内部要进行硬化防渗处理，并在进出入口设置围堰，防止废矿物油泄漏流出贮存点；生活垃圾圾经收集后运至环卫部门指定地点，由环卫部门统一处置。一般工业固体废物执行《一般工业固体废物贮存和填埋污染控制标准》（GB18599-2020）中的有关规定。危险废物贮存设施执行《危险废物贮存污染控制标准》（GB18597-2023）中的有关规定。</w:t>
      </w:r>
    </w:p>
    <w:p w14:paraId="51AD7BFF">
      <w:pPr>
        <w:pStyle w:val="13"/>
        <w:keepNext w:val="0"/>
        <w:keepLines w:val="0"/>
        <w:pageBreakBefore w:val="0"/>
        <w:widowControl/>
        <w:kinsoku/>
        <w:wordWrap/>
        <w:overflowPunct/>
        <w:topLinePunct w:val="0"/>
        <w:autoSpaceDE/>
        <w:autoSpaceDN/>
        <w:bidi w:val="0"/>
        <w:snapToGrid/>
        <w:spacing w:before="0" w:beforeAutospacing="0" w:after="0" w:afterAutospacing="0" w:line="560" w:lineRule="exact"/>
        <w:ind w:left="0" w:leftChars="0" w:firstLine="640"/>
        <w:jc w:val="both"/>
        <w:rPr>
          <w:rStyle w:val="10"/>
          <w:rFonts w:hint="eastAsia" w:ascii="仿宋_GB2312" w:hAnsi="仿宋_GB2312" w:eastAsia="仿宋_GB2312"/>
          <w:b w:val="0"/>
          <w:i w:val="0"/>
          <w:color w:val="000000"/>
          <w:spacing w:val="0"/>
          <w:w w:val="100"/>
          <w:kern w:val="2"/>
          <w:sz w:val="32"/>
          <w:szCs w:val="32"/>
          <w:lang w:val="en-US" w:eastAsia="zh-CN" w:bidi="ar-SA"/>
        </w:rPr>
      </w:pPr>
      <w:r>
        <w:rPr>
          <w:rStyle w:val="10"/>
          <w:rFonts w:hint="eastAsia" w:ascii="仿宋_GB2312" w:hAnsi="仿宋_GB2312" w:eastAsia="仿宋_GB2312"/>
          <w:b w:val="0"/>
          <w:i w:val="0"/>
          <w:color w:val="000000"/>
          <w:spacing w:val="0"/>
          <w:w w:val="100"/>
          <w:kern w:val="2"/>
          <w:sz w:val="32"/>
          <w:szCs w:val="32"/>
          <w:lang w:val="en-US" w:eastAsia="zh-CN" w:bidi="ar-SA"/>
        </w:rPr>
        <w:t>6、加强厂区的绿化美化工作，改善周边生态环境。</w:t>
      </w:r>
    </w:p>
    <w:p w14:paraId="0446A305">
      <w:pPr>
        <w:pStyle w:val="11"/>
        <w:keepNext w:val="0"/>
        <w:keepLines w:val="0"/>
        <w:pageBreakBefore w:val="0"/>
        <w:widowControl/>
        <w:kinsoku/>
        <w:wordWrap/>
        <w:overflowPunct/>
        <w:topLinePunct w:val="0"/>
        <w:autoSpaceDE/>
        <w:autoSpaceDN/>
        <w:bidi w:val="0"/>
        <w:snapToGrid/>
        <w:spacing w:before="0" w:beforeAutospacing="0" w:after="0" w:afterAutospacing="0" w:line="560" w:lineRule="exact"/>
        <w:ind w:left="0" w:leftChars="0" w:right="0" w:firstLine="640" w:firstLineChars="200"/>
        <w:jc w:val="both"/>
        <w:rPr>
          <w:rStyle w:val="10"/>
          <w:rFonts w:ascii="仿宋_GB2312" w:hAnsi="仿宋_GB2312" w:eastAsia="仿宋_GB2312"/>
          <w:b w:val="0"/>
          <w:i w:val="0"/>
          <w:color w:val="000000"/>
          <w:spacing w:val="0"/>
          <w:w w:val="100"/>
          <w:kern w:val="2"/>
          <w:sz w:val="32"/>
          <w:szCs w:val="32"/>
          <w:lang w:val="en-US" w:eastAsia="zh-CN" w:bidi="ar-SA"/>
        </w:rPr>
      </w:pPr>
      <w:r>
        <w:rPr>
          <w:rStyle w:val="10"/>
          <w:rFonts w:ascii="仿宋_GB2312" w:hAnsi="仿宋_GB2312" w:eastAsia="仿宋_GB2312"/>
          <w:b w:val="0"/>
          <w:i w:val="0"/>
          <w:color w:val="000000"/>
          <w:spacing w:val="0"/>
          <w:w w:val="100"/>
          <w:kern w:val="2"/>
          <w:sz w:val="32"/>
          <w:szCs w:val="32"/>
          <w:lang w:val="en-US" w:eastAsia="zh-CN" w:bidi="ar-SA"/>
        </w:rPr>
        <w:t>三、该项</w:t>
      </w:r>
      <w:r>
        <w:rPr>
          <w:rStyle w:val="10"/>
          <w:rFonts w:hint="eastAsia" w:ascii="仿宋_GB2312" w:hAnsi="仿宋_GB2312" w:eastAsia="仿宋_GB2312"/>
          <w:b w:val="0"/>
          <w:i w:val="0"/>
          <w:color w:val="000000"/>
          <w:spacing w:val="0"/>
          <w:w w:val="100"/>
          <w:kern w:val="2"/>
          <w:sz w:val="32"/>
          <w:szCs w:val="32"/>
          <w:lang w:val="en-US" w:eastAsia="zh-CN" w:bidi="ar-SA"/>
        </w:rPr>
        <w:t>目污染物排放量为颗粒物1.39t/a。</w:t>
      </w:r>
    </w:p>
    <w:p w14:paraId="3F646743">
      <w:pPr>
        <w:pStyle w:val="11"/>
        <w:keepNext w:val="0"/>
        <w:keepLines w:val="0"/>
        <w:pageBreakBefore w:val="0"/>
        <w:widowControl/>
        <w:kinsoku/>
        <w:wordWrap/>
        <w:overflowPunct/>
        <w:topLinePunct w:val="0"/>
        <w:autoSpaceDE/>
        <w:autoSpaceDN/>
        <w:bidi w:val="0"/>
        <w:snapToGrid/>
        <w:spacing w:before="0" w:beforeAutospacing="0" w:after="0" w:afterAutospacing="0" w:line="560" w:lineRule="exact"/>
        <w:ind w:left="0" w:leftChars="0" w:right="0" w:firstLine="640" w:firstLineChars="200"/>
        <w:jc w:val="both"/>
        <w:rPr>
          <w:rStyle w:val="10"/>
          <w:rFonts w:ascii="仿宋_GB2312" w:hAnsi="仿宋_GB2312" w:eastAsia="仿宋_GB2312"/>
          <w:b w:val="0"/>
          <w:i w:val="0"/>
          <w:spacing w:val="0"/>
          <w:w w:val="100"/>
          <w:kern w:val="2"/>
          <w:sz w:val="32"/>
          <w:szCs w:val="32"/>
          <w:lang w:val="en-US" w:eastAsia="zh-CN" w:bidi="ar-SA"/>
        </w:rPr>
      </w:pPr>
      <w:r>
        <w:rPr>
          <w:rStyle w:val="10"/>
          <w:rFonts w:ascii="仿宋_GB2312" w:hAnsi="仿宋_GB2312" w:eastAsia="仿宋_GB2312"/>
          <w:b w:val="0"/>
          <w:i w:val="0"/>
          <w:spacing w:val="0"/>
          <w:w w:val="100"/>
          <w:kern w:val="2"/>
          <w:sz w:val="32"/>
          <w:szCs w:val="32"/>
          <w:lang w:val="en-US" w:eastAsia="zh-CN" w:bidi="ar-SA"/>
        </w:rPr>
        <w:t>四、加强对工程的环境管理和环境风险预测，制定突发环境事故应急预案及环境保护管理相关制度，采取合理有效措施防范环境风险，预防突发环境事件的发生。</w:t>
      </w:r>
    </w:p>
    <w:p w14:paraId="7BE73CBA">
      <w:pPr>
        <w:pStyle w:val="13"/>
        <w:keepNext w:val="0"/>
        <w:keepLines w:val="0"/>
        <w:pageBreakBefore w:val="0"/>
        <w:widowControl/>
        <w:kinsoku/>
        <w:wordWrap/>
        <w:overflowPunct/>
        <w:topLinePunct w:val="0"/>
        <w:autoSpaceDE/>
        <w:autoSpaceDN/>
        <w:bidi w:val="0"/>
        <w:snapToGrid/>
        <w:spacing w:before="0" w:beforeAutospacing="0" w:after="0" w:afterAutospacing="0" w:line="560" w:lineRule="exact"/>
        <w:ind w:left="0" w:leftChars="0" w:right="0" w:firstLine="640" w:firstLineChars="200"/>
        <w:jc w:val="both"/>
        <w:rPr>
          <w:rStyle w:val="10"/>
          <w:rFonts w:ascii="仿宋_GB2312" w:hAnsi="仿宋_GB2312" w:eastAsia="仿宋_GB2312"/>
          <w:b w:val="0"/>
          <w:i w:val="0"/>
          <w:color w:val="292929"/>
          <w:spacing w:val="0"/>
          <w:w w:val="100"/>
          <w:kern w:val="0"/>
          <w:sz w:val="32"/>
          <w:szCs w:val="32"/>
          <w:lang w:val="en-US" w:eastAsia="zh-CN" w:bidi="ar-SA"/>
        </w:rPr>
      </w:pPr>
      <w:r>
        <w:rPr>
          <w:rStyle w:val="10"/>
          <w:rFonts w:ascii="仿宋_GB2312" w:hAnsi="仿宋_GB2312" w:eastAsia="仿宋_GB2312"/>
          <w:b w:val="0"/>
          <w:i w:val="0"/>
          <w:color w:val="292929"/>
          <w:spacing w:val="0"/>
          <w:w w:val="100"/>
          <w:kern w:val="0"/>
          <w:sz w:val="32"/>
          <w:szCs w:val="32"/>
          <w:lang w:val="en-US" w:eastAsia="zh-CN" w:bidi="ar-SA"/>
        </w:rPr>
        <w:t>五、</w:t>
      </w:r>
      <w:r>
        <w:rPr>
          <w:rStyle w:val="10"/>
          <w:rFonts w:ascii="仿宋_GB2312" w:hAnsi="仿宋_GB2312" w:eastAsia="仿宋_GB2312"/>
          <w:b w:val="0"/>
          <w:i w:val="0"/>
          <w:spacing w:val="0"/>
          <w:w w:val="100"/>
          <w:kern w:val="2"/>
          <w:sz w:val="32"/>
          <w:szCs w:val="32"/>
          <w:lang w:val="en-US" w:eastAsia="zh-CN" w:bidi="ar-SA"/>
        </w:rPr>
        <w:t>项目建设要严格执行环保“三同时”制度。并按照《报告表》中提出的各项要求,积极落实各项污染防治措施。项目建成后须</w:t>
      </w:r>
      <w:r>
        <w:rPr>
          <w:rStyle w:val="10"/>
          <w:rFonts w:hint="eastAsia" w:ascii="仿宋_GB2312" w:hAnsi="仿宋_GB2312" w:eastAsia="仿宋_GB2312"/>
          <w:b w:val="0"/>
          <w:i w:val="0"/>
          <w:spacing w:val="0"/>
          <w:w w:val="100"/>
          <w:kern w:val="2"/>
          <w:sz w:val="32"/>
          <w:szCs w:val="32"/>
          <w:lang w:val="en-US" w:eastAsia="zh-CN" w:bidi="ar-SA"/>
        </w:rPr>
        <w:t>及时办理排污许可证，并</w:t>
      </w:r>
      <w:r>
        <w:rPr>
          <w:rStyle w:val="10"/>
          <w:rFonts w:ascii="仿宋_GB2312" w:hAnsi="仿宋_GB2312" w:eastAsia="仿宋_GB2312"/>
          <w:b w:val="0"/>
          <w:i w:val="0"/>
          <w:spacing w:val="0"/>
          <w:w w:val="100"/>
          <w:kern w:val="2"/>
          <w:sz w:val="32"/>
          <w:szCs w:val="32"/>
          <w:lang w:val="en-US" w:eastAsia="zh-CN" w:bidi="ar-SA"/>
        </w:rPr>
        <w:t>按规定进行环境保护竣工验收。环境保护措施未落实到位，不得正式投入运营；如项目的性质、规模、地点、采用的防治污染、防止生态破坏措施发生重大变动的，须报经我局重新审批。</w:t>
      </w:r>
    </w:p>
    <w:p w14:paraId="3EFA7BEC">
      <w:pPr>
        <w:pStyle w:val="13"/>
        <w:keepNext w:val="0"/>
        <w:keepLines w:val="0"/>
        <w:pageBreakBefore w:val="0"/>
        <w:widowControl/>
        <w:kinsoku/>
        <w:wordWrap/>
        <w:overflowPunct/>
        <w:topLinePunct w:val="0"/>
        <w:autoSpaceDE/>
        <w:autoSpaceDN/>
        <w:bidi w:val="0"/>
        <w:snapToGrid/>
        <w:spacing w:before="0" w:beforeAutospacing="0" w:after="0" w:afterAutospacing="0" w:line="560" w:lineRule="exact"/>
        <w:ind w:left="0" w:leftChars="0" w:right="0" w:firstLine="640" w:firstLineChars="200"/>
        <w:jc w:val="both"/>
        <w:rPr>
          <w:rStyle w:val="10"/>
          <w:rFonts w:ascii="仿宋_GB2312" w:hAnsi="仿宋_GB2312" w:eastAsia="仿宋_GB2312"/>
          <w:b w:val="0"/>
          <w:i w:val="0"/>
          <w:spacing w:val="0"/>
          <w:w w:val="100"/>
          <w:kern w:val="2"/>
          <w:sz w:val="32"/>
          <w:szCs w:val="32"/>
          <w:lang w:val="en-US" w:eastAsia="zh-CN" w:bidi="ar-SA"/>
        </w:rPr>
      </w:pPr>
      <w:r>
        <w:rPr>
          <w:rStyle w:val="10"/>
          <w:rFonts w:ascii="仿宋_GB2312" w:hAnsi="仿宋_GB2312" w:eastAsia="仿宋_GB2312"/>
          <w:b w:val="0"/>
          <w:i w:val="0"/>
          <w:spacing w:val="0"/>
          <w:w w:val="100"/>
          <w:kern w:val="2"/>
          <w:sz w:val="32"/>
          <w:szCs w:val="32"/>
          <w:lang w:val="en-US" w:eastAsia="zh-CN" w:bidi="ar-SA"/>
        </w:rPr>
        <w:t>六、大同市灵丘县生态环境保护综合行政执法队负责该项目建设期及运营期日常监督管理工作。</w:t>
      </w:r>
    </w:p>
    <w:p w14:paraId="307A5BA5">
      <w:pPr>
        <w:pStyle w:val="13"/>
        <w:keepNext w:val="0"/>
        <w:keepLines w:val="0"/>
        <w:pageBreakBefore w:val="0"/>
        <w:widowControl/>
        <w:kinsoku/>
        <w:wordWrap/>
        <w:overflowPunct/>
        <w:topLinePunct w:val="0"/>
        <w:autoSpaceDE/>
        <w:autoSpaceDN/>
        <w:bidi w:val="0"/>
        <w:snapToGrid/>
        <w:spacing w:before="0" w:beforeAutospacing="0" w:after="0" w:afterAutospacing="0" w:line="54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2414F992">
      <w:pPr>
        <w:pStyle w:val="13"/>
        <w:keepNext w:val="0"/>
        <w:keepLines w:val="0"/>
        <w:pageBreakBefore w:val="0"/>
        <w:widowControl/>
        <w:kinsoku/>
        <w:wordWrap/>
        <w:overflowPunct/>
        <w:topLinePunct w:val="0"/>
        <w:autoSpaceDE/>
        <w:autoSpaceDN/>
        <w:bidi w:val="0"/>
        <w:snapToGrid/>
        <w:spacing w:before="0" w:beforeAutospacing="0" w:after="0" w:afterAutospacing="0" w:line="54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6A15227A">
      <w:pPr>
        <w:pStyle w:val="13"/>
        <w:keepNext w:val="0"/>
        <w:keepLines w:val="0"/>
        <w:pageBreakBefore w:val="0"/>
        <w:widowControl/>
        <w:kinsoku/>
        <w:wordWrap/>
        <w:overflowPunct/>
        <w:topLinePunct w:val="0"/>
        <w:autoSpaceDE/>
        <w:autoSpaceDN/>
        <w:bidi w:val="0"/>
        <w:snapToGrid/>
        <w:spacing w:before="0" w:beforeAutospacing="0" w:after="0" w:afterAutospacing="0" w:line="54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16749EA8">
      <w:pPr>
        <w:pStyle w:val="13"/>
        <w:keepNext w:val="0"/>
        <w:keepLines w:val="0"/>
        <w:pageBreakBefore w:val="0"/>
        <w:widowControl/>
        <w:kinsoku/>
        <w:wordWrap/>
        <w:overflowPunct/>
        <w:topLinePunct w:val="0"/>
        <w:autoSpaceDE/>
        <w:autoSpaceDN/>
        <w:bidi w:val="0"/>
        <w:snapToGrid/>
        <w:spacing w:before="0" w:beforeAutospacing="0" w:after="0" w:afterAutospacing="0" w:line="540" w:lineRule="exact"/>
        <w:ind w:left="0" w:leftChars="0" w:right="0" w:firstLine="360" w:firstLineChars="200"/>
        <w:jc w:val="both"/>
        <w:rPr>
          <w:rStyle w:val="10"/>
          <w:rFonts w:ascii="仿宋_GB2312" w:hAnsi="仿宋_GB2312" w:eastAsia="仿宋_GB2312"/>
          <w:b w:val="0"/>
          <w:i w:val="0"/>
          <w:spacing w:val="0"/>
          <w:w w:val="100"/>
          <w:kern w:val="2"/>
          <w:sz w:val="18"/>
          <w:szCs w:val="18"/>
          <w:lang w:val="en-US" w:eastAsia="zh-CN" w:bidi="ar-SA"/>
        </w:rPr>
      </w:pPr>
    </w:p>
    <w:p w14:paraId="75298FA3">
      <w:pPr>
        <w:pStyle w:val="13"/>
        <w:keepNext w:val="0"/>
        <w:keepLines w:val="0"/>
        <w:pageBreakBefore w:val="0"/>
        <w:widowControl/>
        <w:kinsoku/>
        <w:wordWrap/>
        <w:overflowPunct/>
        <w:topLinePunct w:val="0"/>
        <w:autoSpaceDE/>
        <w:autoSpaceDN/>
        <w:bidi w:val="0"/>
        <w:snapToGrid/>
        <w:spacing w:before="0" w:beforeAutospacing="0" w:after="0" w:afterAutospacing="0" w:line="540" w:lineRule="exact"/>
        <w:ind w:right="0" w:firstLine="3840" w:firstLineChars="1200"/>
        <w:jc w:val="both"/>
        <w:rPr>
          <w:rStyle w:val="10"/>
          <w:rFonts w:ascii="仿宋_GB2312" w:hAnsi="仿宋_GB2312" w:eastAsia="仿宋_GB2312"/>
          <w:b w:val="0"/>
          <w:i w:val="0"/>
          <w:spacing w:val="0"/>
          <w:w w:val="100"/>
          <w:kern w:val="2"/>
          <w:sz w:val="32"/>
          <w:szCs w:val="32"/>
          <w:lang w:val="en-US" w:eastAsia="zh-CN" w:bidi="ar-SA"/>
        </w:rPr>
      </w:pPr>
      <w:r>
        <w:rPr>
          <w:rStyle w:val="10"/>
          <w:rFonts w:ascii="仿宋_GB2312" w:hAnsi="仿宋_GB2312" w:eastAsia="仿宋_GB2312"/>
          <w:b w:val="0"/>
          <w:i w:val="0"/>
          <w:spacing w:val="0"/>
          <w:w w:val="100"/>
          <w:kern w:val="2"/>
          <w:sz w:val="32"/>
          <w:szCs w:val="32"/>
          <w:lang w:val="en-US" w:eastAsia="zh-CN" w:bidi="ar-SA"/>
        </w:rPr>
        <w:t>大同市生态环境局灵丘分局</w:t>
      </w:r>
    </w:p>
    <w:p w14:paraId="76DA55DE">
      <w:pPr>
        <w:pStyle w:val="13"/>
        <w:keepNext w:val="0"/>
        <w:keepLines w:val="0"/>
        <w:pageBreakBefore w:val="0"/>
        <w:widowControl/>
        <w:kinsoku/>
        <w:wordWrap/>
        <w:overflowPunct/>
        <w:topLinePunct w:val="0"/>
        <w:autoSpaceDE/>
        <w:autoSpaceDN/>
        <w:bidi w:val="0"/>
        <w:snapToGrid/>
        <w:spacing w:before="0" w:beforeAutospacing="0" w:after="0" w:afterAutospacing="0" w:line="540" w:lineRule="exact"/>
        <w:ind w:right="0" w:firstLine="4480" w:firstLineChars="1400"/>
        <w:jc w:val="both"/>
        <w:rPr>
          <w:rStyle w:val="10"/>
          <w:rFonts w:ascii="仿宋_GB2312" w:hAnsi="仿宋_GB2312" w:eastAsia="仿宋_GB2312"/>
          <w:b w:val="0"/>
          <w:i w:val="0"/>
          <w:spacing w:val="0"/>
          <w:w w:val="100"/>
          <w:kern w:val="2"/>
          <w:sz w:val="32"/>
          <w:szCs w:val="32"/>
          <w:lang w:val="en-US" w:eastAsia="zh-CN" w:bidi="ar-SA"/>
        </w:rPr>
      </w:pPr>
      <w:r>
        <w:rPr>
          <w:rStyle w:val="10"/>
          <w:rFonts w:ascii="仿宋_GB2312" w:hAnsi="仿宋_GB2312" w:eastAsia="仿宋_GB2312"/>
          <w:b w:val="0"/>
          <w:i w:val="0"/>
          <w:spacing w:val="0"/>
          <w:w w:val="100"/>
          <w:kern w:val="2"/>
          <w:sz w:val="32"/>
          <w:szCs w:val="32"/>
          <w:lang w:val="en-US" w:eastAsia="zh-CN" w:bidi="ar-SA"/>
        </w:rPr>
        <w:t>202</w:t>
      </w:r>
      <w:r>
        <w:rPr>
          <w:rStyle w:val="10"/>
          <w:rFonts w:hint="eastAsia" w:ascii="仿宋_GB2312" w:hAnsi="仿宋_GB2312" w:eastAsia="仿宋_GB2312"/>
          <w:b w:val="0"/>
          <w:i w:val="0"/>
          <w:spacing w:val="0"/>
          <w:w w:val="100"/>
          <w:kern w:val="2"/>
          <w:sz w:val="32"/>
          <w:szCs w:val="32"/>
          <w:lang w:val="en-US" w:eastAsia="zh-CN" w:bidi="ar-SA"/>
        </w:rPr>
        <w:t>6</w:t>
      </w:r>
      <w:r>
        <w:rPr>
          <w:rStyle w:val="10"/>
          <w:rFonts w:ascii="仿宋_GB2312" w:hAnsi="仿宋_GB2312" w:eastAsia="仿宋_GB2312"/>
          <w:b w:val="0"/>
          <w:i w:val="0"/>
          <w:spacing w:val="0"/>
          <w:w w:val="100"/>
          <w:kern w:val="2"/>
          <w:sz w:val="32"/>
          <w:szCs w:val="32"/>
          <w:lang w:val="en-US" w:eastAsia="zh-CN" w:bidi="ar-SA"/>
        </w:rPr>
        <w:t>年</w:t>
      </w:r>
      <w:r>
        <w:rPr>
          <w:rStyle w:val="10"/>
          <w:rFonts w:hint="eastAsia" w:ascii="仿宋_GB2312" w:hAnsi="仿宋_GB2312" w:eastAsia="仿宋_GB2312"/>
          <w:b w:val="0"/>
          <w:i w:val="0"/>
          <w:spacing w:val="0"/>
          <w:w w:val="100"/>
          <w:kern w:val="2"/>
          <w:sz w:val="32"/>
          <w:szCs w:val="32"/>
          <w:lang w:val="en-US" w:eastAsia="zh-CN" w:bidi="ar-SA"/>
        </w:rPr>
        <w:t>8</w:t>
      </w:r>
      <w:r>
        <w:rPr>
          <w:rStyle w:val="10"/>
          <w:rFonts w:ascii="仿宋_GB2312" w:hAnsi="仿宋_GB2312" w:eastAsia="仿宋_GB2312"/>
          <w:b w:val="0"/>
          <w:i w:val="0"/>
          <w:spacing w:val="0"/>
          <w:w w:val="100"/>
          <w:kern w:val="2"/>
          <w:sz w:val="32"/>
          <w:szCs w:val="32"/>
          <w:lang w:val="en-US" w:eastAsia="zh-CN" w:bidi="ar-SA"/>
        </w:rPr>
        <w:t>月</w:t>
      </w:r>
      <w:r>
        <w:rPr>
          <w:rStyle w:val="10"/>
          <w:rFonts w:hint="eastAsia" w:ascii="仿宋_GB2312" w:hAnsi="仿宋_GB2312" w:eastAsia="仿宋_GB2312"/>
          <w:b w:val="0"/>
          <w:i w:val="0"/>
          <w:spacing w:val="0"/>
          <w:w w:val="100"/>
          <w:kern w:val="2"/>
          <w:sz w:val="32"/>
          <w:szCs w:val="32"/>
          <w:lang w:val="en-US" w:eastAsia="zh-CN" w:bidi="ar-SA"/>
        </w:rPr>
        <w:t>20</w:t>
      </w:r>
      <w:r>
        <w:rPr>
          <w:rStyle w:val="10"/>
          <w:rFonts w:ascii="仿宋_GB2312" w:hAnsi="仿宋_GB2312" w:eastAsia="仿宋_GB2312"/>
          <w:b w:val="0"/>
          <w:i w:val="0"/>
          <w:spacing w:val="0"/>
          <w:w w:val="100"/>
          <w:kern w:val="2"/>
          <w:sz w:val="32"/>
          <w:szCs w:val="32"/>
          <w:lang w:val="en-US" w:eastAsia="zh-CN" w:bidi="ar-SA"/>
        </w:rPr>
        <w:t>日</w:t>
      </w:r>
    </w:p>
    <w:p w14:paraId="4020C47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right="0" w:firstLine="6384" w:firstLineChars="1400"/>
        <w:jc w:val="both"/>
        <w:textAlignment w:val="baseline"/>
        <w:rPr>
          <w:rFonts w:hint="eastAsia" w:ascii="仿宋" w:hAnsi="仿宋" w:eastAsia="仿宋" w:cs="仿宋"/>
          <w:color w:val="auto"/>
          <w:spacing w:val="68"/>
          <w:sz w:val="32"/>
          <w:szCs w:val="32"/>
          <w:u w:val="single"/>
          <w:lang w:val="en-US" w:eastAsia="zh-CN"/>
        </w:rPr>
      </w:pPr>
    </w:p>
    <w:sectPr>
      <w:pgSz w:w="11906" w:h="16838"/>
      <w:pgMar w:top="1440" w:right="1701" w:bottom="1440"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MjljZTYxNTUzNmM1NDNmMmQ3ZWM5YmI4ODgxMjIifQ=="/>
  </w:docVars>
  <w:rsids>
    <w:rsidRoot w:val="3B9F3D19"/>
    <w:rsid w:val="033C2BF5"/>
    <w:rsid w:val="09D31663"/>
    <w:rsid w:val="0BC63B74"/>
    <w:rsid w:val="0EEC057A"/>
    <w:rsid w:val="0F6A0E1E"/>
    <w:rsid w:val="10892C41"/>
    <w:rsid w:val="12F34CE0"/>
    <w:rsid w:val="13AC7923"/>
    <w:rsid w:val="178A1E07"/>
    <w:rsid w:val="19617B82"/>
    <w:rsid w:val="1E8A2A3D"/>
    <w:rsid w:val="1ED24E6B"/>
    <w:rsid w:val="1EDD7021"/>
    <w:rsid w:val="25462E46"/>
    <w:rsid w:val="290F64C9"/>
    <w:rsid w:val="2AB54E7F"/>
    <w:rsid w:val="3B9F3D19"/>
    <w:rsid w:val="3F9B5BB1"/>
    <w:rsid w:val="42074515"/>
    <w:rsid w:val="48D423BE"/>
    <w:rsid w:val="49D10ACC"/>
    <w:rsid w:val="4EC64BEA"/>
    <w:rsid w:val="4F0C50FB"/>
    <w:rsid w:val="55110DB9"/>
    <w:rsid w:val="5AD216C5"/>
    <w:rsid w:val="61DE04AF"/>
    <w:rsid w:val="64BE25DF"/>
    <w:rsid w:val="689E2EA1"/>
    <w:rsid w:val="6A047FFE"/>
    <w:rsid w:val="7025739C"/>
    <w:rsid w:val="71D12885"/>
    <w:rsid w:val="75E361C9"/>
    <w:rsid w:val="7B370D47"/>
    <w:rsid w:val="7BCE7C59"/>
    <w:rsid w:val="7F336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6">
    <w:name w:val="page number"/>
    <w:basedOn w:val="5"/>
    <w:autoRedefine/>
    <w:qFormat/>
    <w:uiPriority w:val="0"/>
  </w:style>
  <w:style w:type="paragraph" w:customStyle="1" w:styleId="7">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
    <w:name w:val="NormalCharacter"/>
    <w:autoRedefine/>
    <w:qFormat/>
    <w:uiPriority w:val="0"/>
    <w:rPr>
      <w:kern w:val="2"/>
      <w:sz w:val="21"/>
      <w:lang w:val="en-US" w:eastAsia="zh-CN" w:bidi="ar-SA"/>
    </w:rPr>
  </w:style>
  <w:style w:type="paragraph" w:customStyle="1" w:styleId="11">
    <w:name w:val="UserStyle_7"/>
    <w:autoRedefine/>
    <w:qFormat/>
    <w:uiPriority w:val="0"/>
    <w:pPr>
      <w:jc w:val="both"/>
      <w:textAlignment w:val="baseline"/>
    </w:pPr>
    <w:rPr>
      <w:rFonts w:ascii="Times New Roman" w:hAnsi="Times New Roman" w:eastAsia="宋体" w:cs="Times New Roman"/>
      <w:kern w:val="2"/>
      <w:sz w:val="21"/>
      <w:lang w:val="en-US" w:eastAsia="zh-CN" w:bidi="ar-SA"/>
    </w:rPr>
  </w:style>
  <w:style w:type="paragraph" w:customStyle="1" w:styleId="12">
    <w:name w:val="UserStyle_20"/>
    <w:autoRedefine/>
    <w:qFormat/>
    <w:uiPriority w:val="0"/>
    <w:pPr>
      <w:textAlignment w:val="baseline"/>
    </w:pPr>
    <w:rPr>
      <w:rFonts w:ascii="宋体" w:hAnsi="Calibri" w:eastAsia="宋体" w:cs="Times New Roman"/>
      <w:color w:val="000000"/>
      <w:sz w:val="24"/>
      <w:szCs w:val="24"/>
      <w:lang w:val="en-US" w:eastAsia="zh-CN" w:bidi="ar-SA"/>
    </w:rPr>
  </w:style>
  <w:style w:type="paragraph" w:customStyle="1" w:styleId="13">
    <w:name w:val="UserStyle_17"/>
    <w:autoRedefine/>
    <w:qFormat/>
    <w:uiPriority w:val="0"/>
    <w:pPr>
      <w:jc w:val="both"/>
      <w:textAlignment w:val="baseline"/>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629</Words>
  <Characters>693</Characters>
  <Lines>0</Lines>
  <Paragraphs>0</Paragraphs>
  <TotalTime>0</TotalTime>
  <ScaleCrop>false</ScaleCrop>
  <LinksUpToDate>false</LinksUpToDate>
  <CharactersWithSpaces>695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2020-05-25T09:58:00Z</dcterms:created>
  <dc:creator>丽纱</dc:creator>
  <cp:lastModifiedBy>丽纱</cp:lastModifiedBy>
  <dcterms:modified xsi:type="dcterms:W3CDTF">2026-08-24T02:17:33Z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37A6BBA76E41482195666D465E33CC4F</vt:lpwstr>
  </property>
  <property fmtid="{D5CDD505-2E9C-101B-9397-08002B2CF9AE}" pid="4" name="KSOTemplateDocerSaveRecord">
    <vt:lpwstr>eyJoZGlkIjoiZDlmMjljZTYxNTUzNmM1NDNmMmQ3ZWM5YmI4ODgxMjIiLCJ1c2VySWQiOiIzNTkwNDA3MTgifQ==</vt:lpwstr>
  </property>
</Properties>
</file>