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01FD5E">
      <w:pPr>
        <w:keepNext w:val="0"/>
        <w:keepLines w:val="0"/>
        <w:pageBreakBefore w:val="0"/>
        <w:widowControl/>
        <w:kinsoku/>
        <w:wordWrap w:val="0"/>
        <w:overflowPunct/>
        <w:topLinePunct w:val="0"/>
        <w:autoSpaceDE/>
        <w:autoSpaceDN/>
        <w:bidi w:val="0"/>
        <w:adjustRightInd/>
        <w:snapToGrid/>
        <w:spacing w:line="360" w:lineRule="exact"/>
        <w:jc w:val="center"/>
        <w:textAlignment w:val="auto"/>
        <w:outlineLvl w:val="9"/>
        <w:rPr>
          <w:rFonts w:hint="eastAsia" w:ascii="宋体" w:hAnsi="宋体" w:cs="宋体"/>
          <w:b/>
          <w:bCs/>
          <w:color w:val="000000"/>
          <w:kern w:val="0"/>
          <w:sz w:val="30"/>
          <w:szCs w:val="30"/>
          <w:lang w:val="en-US" w:eastAsia="zh-CN"/>
        </w:rPr>
      </w:pPr>
      <w:r>
        <w:rPr>
          <w:rFonts w:hint="eastAsia" w:ascii="宋体" w:hAnsi="宋体" w:cs="宋体"/>
          <w:b/>
          <w:bCs/>
          <w:color w:val="000000"/>
          <w:kern w:val="0"/>
          <w:sz w:val="30"/>
          <w:szCs w:val="30"/>
          <w:lang w:val="en-US" w:eastAsia="zh-CN"/>
        </w:rPr>
        <w:t>大同市生态环境局天镇分局</w:t>
      </w:r>
    </w:p>
    <w:p w14:paraId="57F72148">
      <w:pPr>
        <w:keepNext w:val="0"/>
        <w:keepLines w:val="0"/>
        <w:pageBreakBefore w:val="0"/>
        <w:widowControl/>
        <w:kinsoku/>
        <w:wordWrap w:val="0"/>
        <w:overflowPunct/>
        <w:topLinePunct w:val="0"/>
        <w:autoSpaceDE/>
        <w:autoSpaceDN/>
        <w:bidi w:val="0"/>
        <w:adjustRightInd/>
        <w:snapToGrid/>
        <w:spacing w:line="360" w:lineRule="exact"/>
        <w:jc w:val="center"/>
        <w:textAlignment w:val="auto"/>
        <w:outlineLvl w:val="9"/>
        <w:rPr>
          <w:rFonts w:hint="eastAsia" w:ascii="宋体" w:hAnsi="宋体" w:eastAsia="宋体" w:cs="宋体"/>
          <w:b/>
          <w:bCs/>
          <w:color w:val="000000"/>
          <w:kern w:val="0"/>
          <w:sz w:val="30"/>
          <w:szCs w:val="30"/>
        </w:rPr>
      </w:pPr>
      <w:r>
        <w:rPr>
          <w:rFonts w:hint="eastAsia" w:ascii="宋体" w:hAnsi="宋体" w:eastAsia="宋体" w:cs="宋体"/>
          <w:b/>
          <w:bCs/>
          <w:color w:val="000000"/>
          <w:kern w:val="0"/>
          <w:sz w:val="30"/>
          <w:szCs w:val="30"/>
        </w:rPr>
        <w:t>关于</w:t>
      </w:r>
      <w:r>
        <w:rPr>
          <w:rFonts w:hint="eastAsia" w:ascii="宋体" w:hAnsi="宋体" w:cs="宋体"/>
          <w:b/>
          <w:bCs/>
          <w:color w:val="000000"/>
          <w:kern w:val="0"/>
          <w:sz w:val="30"/>
          <w:szCs w:val="30"/>
          <w:lang w:eastAsia="zh-CN"/>
        </w:rPr>
        <w:t>20</w:t>
      </w:r>
      <w:r>
        <w:rPr>
          <w:rFonts w:hint="eastAsia" w:ascii="宋体" w:hAnsi="宋体" w:cs="宋体"/>
          <w:b/>
          <w:bCs/>
          <w:color w:val="000000"/>
          <w:kern w:val="0"/>
          <w:sz w:val="30"/>
          <w:szCs w:val="30"/>
          <w:lang w:val="en-US" w:eastAsia="zh-CN"/>
        </w:rPr>
        <w:t>26</w:t>
      </w:r>
      <w:r>
        <w:rPr>
          <w:rFonts w:hint="eastAsia" w:ascii="宋体" w:hAnsi="宋体" w:cs="宋体"/>
          <w:b/>
          <w:bCs/>
          <w:color w:val="000000"/>
          <w:kern w:val="0"/>
          <w:sz w:val="30"/>
          <w:szCs w:val="30"/>
          <w:lang w:eastAsia="zh-CN"/>
        </w:rPr>
        <w:t>年</w:t>
      </w:r>
      <w:r>
        <w:rPr>
          <w:rFonts w:hint="eastAsia" w:ascii="宋体" w:hAnsi="宋体" w:cs="宋体"/>
          <w:b/>
          <w:bCs/>
          <w:color w:val="000000"/>
          <w:kern w:val="0"/>
          <w:sz w:val="30"/>
          <w:szCs w:val="30"/>
          <w:lang w:val="en-US" w:eastAsia="zh-CN"/>
        </w:rPr>
        <w:t>8</w:t>
      </w:r>
      <w:r>
        <w:rPr>
          <w:rFonts w:hint="eastAsia" w:ascii="宋体" w:hAnsi="宋体" w:cs="宋体"/>
          <w:b/>
          <w:bCs/>
          <w:color w:val="000000"/>
          <w:kern w:val="0"/>
          <w:sz w:val="30"/>
          <w:szCs w:val="30"/>
          <w:lang w:eastAsia="zh-CN"/>
        </w:rPr>
        <w:t>月</w:t>
      </w:r>
      <w:r>
        <w:rPr>
          <w:rFonts w:hint="eastAsia" w:ascii="宋体" w:hAnsi="宋体" w:cs="宋体"/>
          <w:b/>
          <w:bCs/>
          <w:color w:val="000000"/>
          <w:kern w:val="0"/>
          <w:sz w:val="30"/>
          <w:szCs w:val="30"/>
          <w:lang w:val="en-US" w:eastAsia="zh-CN"/>
        </w:rPr>
        <w:t>6</w:t>
      </w:r>
      <w:r>
        <w:rPr>
          <w:rFonts w:hint="eastAsia" w:ascii="宋体" w:hAnsi="宋体" w:cs="宋体"/>
          <w:b/>
          <w:bCs/>
          <w:color w:val="000000"/>
          <w:kern w:val="0"/>
          <w:sz w:val="30"/>
          <w:szCs w:val="30"/>
          <w:lang w:eastAsia="zh-CN"/>
        </w:rPr>
        <w:t>日建设项目</w:t>
      </w:r>
      <w:bookmarkStart w:id="0" w:name="_GoBack"/>
      <w:bookmarkEnd w:id="0"/>
      <w:r>
        <w:rPr>
          <w:rFonts w:hint="eastAsia" w:ascii="宋体" w:hAnsi="宋体" w:cs="宋体"/>
          <w:b/>
          <w:bCs/>
          <w:color w:val="000000"/>
          <w:kern w:val="0"/>
          <w:sz w:val="30"/>
          <w:szCs w:val="30"/>
          <w:lang w:eastAsia="zh-CN"/>
        </w:rPr>
        <w:t>环境影响评价文件</w:t>
      </w:r>
      <w:r>
        <w:rPr>
          <w:rFonts w:hint="eastAsia" w:ascii="宋体" w:hAnsi="宋体" w:eastAsia="宋体" w:cs="宋体"/>
          <w:b/>
          <w:bCs/>
          <w:color w:val="000000"/>
          <w:kern w:val="0"/>
          <w:sz w:val="30"/>
          <w:szCs w:val="30"/>
        </w:rPr>
        <w:t>拟进行审查公示</w:t>
      </w:r>
    </w:p>
    <w:p w14:paraId="584ADE62">
      <w:pPr>
        <w:keepNext w:val="0"/>
        <w:keepLines w:val="0"/>
        <w:pageBreakBefore w:val="0"/>
        <w:widowControl/>
        <w:kinsoku/>
        <w:wordWrap/>
        <w:overflowPunct/>
        <w:topLinePunct w:val="0"/>
        <w:autoSpaceDE/>
        <w:autoSpaceDN/>
        <w:bidi w:val="0"/>
        <w:adjustRightInd/>
        <w:snapToGrid/>
        <w:spacing w:line="400" w:lineRule="exact"/>
        <w:jc w:val="left"/>
        <w:textAlignment w:val="auto"/>
        <w:outlineLvl w:val="9"/>
        <w:rPr>
          <w:rFonts w:ascii="仿宋_GB2312" w:hAnsi="微软雅黑" w:eastAsia="仿宋_GB2312" w:cs="宋体"/>
          <w:color w:val="000000"/>
          <w:kern w:val="0"/>
          <w:sz w:val="32"/>
          <w:szCs w:val="32"/>
        </w:rPr>
      </w:pPr>
    </w:p>
    <w:p w14:paraId="4531E833">
      <w:pPr>
        <w:keepNext w:val="0"/>
        <w:keepLines w:val="0"/>
        <w:pageBreakBefore w:val="0"/>
        <w:widowControl/>
        <w:kinsoku/>
        <w:wordWrap/>
        <w:overflowPunct/>
        <w:topLinePunct w:val="0"/>
        <w:autoSpaceDE/>
        <w:autoSpaceDN/>
        <w:bidi w:val="0"/>
        <w:adjustRightInd/>
        <w:snapToGrid/>
        <w:spacing w:line="280" w:lineRule="exact"/>
        <w:ind w:firstLine="360" w:firstLineChars="200"/>
        <w:jc w:val="both"/>
        <w:textAlignment w:val="auto"/>
        <w:outlineLvl w:val="9"/>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根据建设项目环境影响评价审批程序的有关规定，我局拟对</w:t>
      </w:r>
      <w:r>
        <w:rPr>
          <w:rFonts w:hint="eastAsia" w:ascii="仿宋" w:hAnsi="仿宋" w:eastAsia="仿宋" w:cs="仿宋"/>
          <w:color w:val="000000"/>
          <w:kern w:val="0"/>
          <w:sz w:val="18"/>
          <w:szCs w:val="18"/>
          <w:lang w:val="en-US" w:eastAsia="zh-CN"/>
        </w:rPr>
        <w:t>1个建设项目</w:t>
      </w:r>
      <w:r>
        <w:rPr>
          <w:rFonts w:hint="eastAsia" w:ascii="仿宋" w:hAnsi="仿宋" w:eastAsia="仿宋" w:cs="仿宋"/>
          <w:color w:val="000000"/>
          <w:kern w:val="0"/>
          <w:sz w:val="18"/>
          <w:szCs w:val="18"/>
        </w:rPr>
        <w:t>环境影响</w:t>
      </w:r>
      <w:r>
        <w:rPr>
          <w:rFonts w:hint="eastAsia" w:ascii="仿宋" w:hAnsi="仿宋" w:eastAsia="仿宋" w:cs="仿宋"/>
          <w:color w:val="000000"/>
          <w:kern w:val="0"/>
          <w:sz w:val="18"/>
          <w:szCs w:val="18"/>
          <w:lang w:val="en-US" w:eastAsia="zh-CN"/>
        </w:rPr>
        <w:t>报告表</w:t>
      </w:r>
      <w:r>
        <w:rPr>
          <w:rFonts w:hint="eastAsia" w:ascii="仿宋" w:hAnsi="仿宋" w:eastAsia="仿宋" w:cs="仿宋"/>
          <w:color w:val="000000"/>
          <w:kern w:val="0"/>
          <w:sz w:val="18"/>
          <w:szCs w:val="18"/>
        </w:rPr>
        <w:t>进行审查。现将拟审查的环境影响评价文件基本情况予以公示，公示期为20</w:t>
      </w:r>
      <w:r>
        <w:rPr>
          <w:rFonts w:hint="eastAsia" w:ascii="仿宋" w:hAnsi="仿宋" w:eastAsia="仿宋" w:cs="仿宋"/>
          <w:color w:val="000000"/>
          <w:kern w:val="0"/>
          <w:sz w:val="18"/>
          <w:szCs w:val="18"/>
          <w:lang w:val="en-US" w:eastAsia="zh-CN"/>
        </w:rPr>
        <w:t>25</w:t>
      </w:r>
      <w:r>
        <w:rPr>
          <w:rFonts w:hint="eastAsia" w:ascii="仿宋" w:hAnsi="仿宋" w:eastAsia="仿宋" w:cs="仿宋"/>
          <w:color w:val="000000"/>
          <w:kern w:val="0"/>
          <w:sz w:val="18"/>
          <w:szCs w:val="18"/>
        </w:rPr>
        <w:t>年</w:t>
      </w:r>
      <w:r>
        <w:rPr>
          <w:rFonts w:hint="eastAsia" w:ascii="仿宋" w:hAnsi="仿宋" w:eastAsia="仿宋" w:cs="仿宋"/>
          <w:color w:val="000000"/>
          <w:kern w:val="0"/>
          <w:sz w:val="18"/>
          <w:szCs w:val="18"/>
          <w:lang w:val="en-US" w:eastAsia="zh-CN"/>
        </w:rPr>
        <w:t>8</w:t>
      </w:r>
      <w:r>
        <w:rPr>
          <w:rFonts w:hint="eastAsia" w:ascii="仿宋" w:hAnsi="仿宋" w:eastAsia="仿宋" w:cs="仿宋"/>
          <w:color w:val="000000"/>
          <w:kern w:val="0"/>
          <w:sz w:val="18"/>
          <w:szCs w:val="18"/>
        </w:rPr>
        <w:t>月</w:t>
      </w:r>
      <w:r>
        <w:rPr>
          <w:rFonts w:hint="eastAsia" w:ascii="仿宋" w:hAnsi="仿宋" w:eastAsia="仿宋" w:cs="仿宋"/>
          <w:color w:val="000000"/>
          <w:kern w:val="0"/>
          <w:sz w:val="18"/>
          <w:szCs w:val="18"/>
          <w:lang w:val="en-US" w:eastAsia="zh-CN"/>
        </w:rPr>
        <w:t>6</w:t>
      </w:r>
      <w:r>
        <w:rPr>
          <w:rFonts w:hint="eastAsia" w:ascii="仿宋" w:hAnsi="仿宋" w:eastAsia="仿宋" w:cs="仿宋"/>
          <w:color w:val="000000"/>
          <w:kern w:val="0"/>
          <w:sz w:val="18"/>
          <w:szCs w:val="18"/>
        </w:rPr>
        <w:t>日－20</w:t>
      </w:r>
      <w:r>
        <w:rPr>
          <w:rFonts w:hint="eastAsia" w:ascii="仿宋" w:hAnsi="仿宋" w:eastAsia="仿宋" w:cs="仿宋"/>
          <w:color w:val="000000"/>
          <w:kern w:val="0"/>
          <w:sz w:val="18"/>
          <w:szCs w:val="18"/>
          <w:lang w:val="en-US" w:eastAsia="zh-CN"/>
        </w:rPr>
        <w:t>25</w:t>
      </w:r>
      <w:r>
        <w:rPr>
          <w:rFonts w:hint="eastAsia" w:ascii="仿宋" w:hAnsi="仿宋" w:eastAsia="仿宋" w:cs="仿宋"/>
          <w:color w:val="000000"/>
          <w:kern w:val="0"/>
          <w:sz w:val="18"/>
          <w:szCs w:val="18"/>
        </w:rPr>
        <w:t>年</w:t>
      </w:r>
      <w:r>
        <w:rPr>
          <w:rFonts w:hint="eastAsia" w:ascii="仿宋" w:hAnsi="仿宋" w:eastAsia="仿宋" w:cs="仿宋"/>
          <w:color w:val="000000"/>
          <w:kern w:val="0"/>
          <w:sz w:val="18"/>
          <w:szCs w:val="18"/>
          <w:lang w:val="en-US" w:eastAsia="zh-CN"/>
        </w:rPr>
        <w:t>8</w:t>
      </w:r>
      <w:r>
        <w:rPr>
          <w:rFonts w:hint="eastAsia" w:ascii="仿宋" w:hAnsi="仿宋" w:eastAsia="仿宋" w:cs="仿宋"/>
          <w:color w:val="000000"/>
          <w:kern w:val="0"/>
          <w:sz w:val="18"/>
          <w:szCs w:val="18"/>
        </w:rPr>
        <w:t>月</w:t>
      </w:r>
      <w:r>
        <w:rPr>
          <w:rFonts w:hint="eastAsia" w:ascii="仿宋" w:hAnsi="仿宋" w:eastAsia="仿宋" w:cs="仿宋"/>
          <w:color w:val="000000"/>
          <w:kern w:val="0"/>
          <w:sz w:val="18"/>
          <w:szCs w:val="18"/>
          <w:lang w:val="en-US" w:eastAsia="zh-CN"/>
        </w:rPr>
        <w:t>12</w:t>
      </w:r>
      <w:r>
        <w:rPr>
          <w:rFonts w:hint="eastAsia" w:ascii="仿宋" w:hAnsi="仿宋" w:eastAsia="仿宋" w:cs="仿宋"/>
          <w:color w:val="000000"/>
          <w:kern w:val="0"/>
          <w:sz w:val="18"/>
          <w:szCs w:val="18"/>
        </w:rPr>
        <w:t>日（</w:t>
      </w:r>
      <w:r>
        <w:rPr>
          <w:rFonts w:hint="eastAsia" w:ascii="仿宋" w:hAnsi="仿宋" w:eastAsia="仿宋" w:cs="仿宋"/>
          <w:color w:val="000000"/>
          <w:kern w:val="0"/>
          <w:sz w:val="18"/>
          <w:szCs w:val="18"/>
          <w:lang w:val="en-US" w:eastAsia="zh-CN"/>
        </w:rPr>
        <w:t>5</w:t>
      </w:r>
      <w:r>
        <w:rPr>
          <w:rFonts w:hint="eastAsia" w:ascii="仿宋" w:hAnsi="仿宋" w:eastAsia="仿宋" w:cs="仿宋"/>
          <w:color w:val="000000"/>
          <w:kern w:val="0"/>
          <w:sz w:val="18"/>
          <w:szCs w:val="18"/>
        </w:rPr>
        <w:t>个工作日）。</w:t>
      </w:r>
    </w:p>
    <w:p w14:paraId="05027708">
      <w:pPr>
        <w:keepNext w:val="0"/>
        <w:keepLines w:val="0"/>
        <w:pageBreakBefore w:val="0"/>
        <w:widowControl/>
        <w:kinsoku/>
        <w:wordWrap/>
        <w:overflowPunct/>
        <w:topLinePunct w:val="0"/>
        <w:autoSpaceDE/>
        <w:autoSpaceDN/>
        <w:bidi w:val="0"/>
        <w:adjustRightInd/>
        <w:snapToGrid/>
        <w:spacing w:line="280" w:lineRule="exact"/>
        <w:ind w:firstLine="360" w:firstLineChars="200"/>
        <w:jc w:val="both"/>
        <w:textAlignment w:val="auto"/>
        <w:outlineLvl w:val="9"/>
        <w:rPr>
          <w:rFonts w:hint="eastAsia" w:ascii="仿宋" w:hAnsi="仿宋" w:eastAsia="仿宋" w:cs="仿宋"/>
          <w:color w:val="000000"/>
          <w:kern w:val="0"/>
          <w:sz w:val="18"/>
          <w:szCs w:val="18"/>
        </w:rPr>
      </w:pPr>
      <w:r>
        <w:rPr>
          <w:rFonts w:hint="eastAsia" w:ascii="仿宋" w:hAnsi="仿宋" w:eastAsia="仿宋" w:cs="仿宋"/>
          <w:color w:val="000000"/>
          <w:kern w:val="0"/>
          <w:sz w:val="18"/>
          <w:szCs w:val="18"/>
        </w:rPr>
        <w:t>听证权利告知：依据《中华人民共和国行政许可法》，自公示起</w:t>
      </w:r>
      <w:r>
        <w:rPr>
          <w:rFonts w:hint="eastAsia" w:ascii="仿宋" w:hAnsi="仿宋" w:eastAsia="仿宋" w:cs="仿宋"/>
          <w:color w:val="000000"/>
          <w:kern w:val="0"/>
          <w:sz w:val="18"/>
          <w:szCs w:val="18"/>
          <w:lang w:val="en-US" w:eastAsia="zh-CN"/>
        </w:rPr>
        <w:t>3</w:t>
      </w:r>
      <w:r>
        <w:rPr>
          <w:rFonts w:hint="eastAsia" w:ascii="仿宋" w:hAnsi="仿宋" w:eastAsia="仿宋" w:cs="仿宋"/>
          <w:color w:val="000000"/>
          <w:kern w:val="0"/>
          <w:sz w:val="18"/>
          <w:szCs w:val="18"/>
        </w:rPr>
        <w:t>日内申请人、利害关系人可提出听证申请。</w:t>
      </w:r>
    </w:p>
    <w:p w14:paraId="3827E9C6">
      <w:pPr>
        <w:keepNext w:val="0"/>
        <w:keepLines w:val="0"/>
        <w:pageBreakBefore w:val="0"/>
        <w:widowControl/>
        <w:kinsoku/>
        <w:wordWrap/>
        <w:overflowPunct/>
        <w:topLinePunct w:val="0"/>
        <w:autoSpaceDE/>
        <w:autoSpaceDN/>
        <w:bidi w:val="0"/>
        <w:adjustRightInd/>
        <w:snapToGrid/>
        <w:spacing w:line="280" w:lineRule="exact"/>
        <w:ind w:left="638" w:leftChars="304" w:firstLine="0" w:firstLineChars="0"/>
        <w:jc w:val="both"/>
        <w:textAlignment w:val="auto"/>
        <w:outlineLvl w:val="9"/>
        <w:rPr>
          <w:rFonts w:hint="eastAsia" w:ascii="仿宋" w:hAnsi="仿宋" w:eastAsia="仿宋" w:cs="仿宋"/>
          <w:color w:val="000000"/>
          <w:kern w:val="0"/>
          <w:sz w:val="18"/>
          <w:szCs w:val="18"/>
          <w:lang w:val="en-US" w:eastAsia="zh-CN"/>
        </w:rPr>
      </w:pPr>
      <w:r>
        <w:rPr>
          <w:rFonts w:hint="eastAsia" w:ascii="仿宋" w:hAnsi="仿宋" w:eastAsia="仿宋" w:cs="仿宋"/>
          <w:color w:val="000000"/>
          <w:kern w:val="0"/>
          <w:sz w:val="18"/>
          <w:szCs w:val="18"/>
        </w:rPr>
        <w:t>通讯地址：</w:t>
      </w:r>
      <w:r>
        <w:rPr>
          <w:rFonts w:hint="eastAsia" w:ascii="仿宋" w:hAnsi="仿宋" w:eastAsia="仿宋" w:cs="仿宋"/>
          <w:kern w:val="1"/>
          <w:sz w:val="18"/>
          <w:szCs w:val="18"/>
        </w:rPr>
        <w:t>天镇县城新区</w:t>
      </w:r>
      <w:r>
        <w:rPr>
          <w:rFonts w:hint="eastAsia" w:ascii="仿宋" w:hAnsi="仿宋" w:eastAsia="仿宋" w:cs="仿宋"/>
          <w:kern w:val="1"/>
          <w:sz w:val="18"/>
          <w:szCs w:val="18"/>
          <w:lang w:val="en-US" w:eastAsia="zh-CN"/>
        </w:rPr>
        <w:t>新时代大道</w:t>
      </w:r>
      <w:r>
        <w:rPr>
          <w:rFonts w:hint="eastAsia" w:ascii="仿宋" w:hAnsi="仿宋" w:eastAsia="仿宋" w:cs="仿宋"/>
          <w:kern w:val="1"/>
          <w:sz w:val="18"/>
          <w:szCs w:val="18"/>
        </w:rPr>
        <w:t>南侧，西五路西侧。</w:t>
      </w:r>
      <w:r>
        <w:rPr>
          <w:rFonts w:hint="eastAsia" w:ascii="仿宋" w:hAnsi="仿宋" w:eastAsia="仿宋" w:cs="仿宋"/>
          <w:color w:val="000000"/>
          <w:kern w:val="0"/>
          <w:sz w:val="18"/>
          <w:szCs w:val="18"/>
        </w:rPr>
        <w:t>邮 编：</w:t>
      </w:r>
      <w:r>
        <w:rPr>
          <w:rFonts w:hint="eastAsia" w:ascii="仿宋" w:hAnsi="仿宋" w:eastAsia="仿宋" w:cs="仿宋"/>
          <w:color w:val="000000"/>
          <w:kern w:val="0"/>
          <w:sz w:val="18"/>
          <w:szCs w:val="18"/>
          <w:lang w:val="en-US" w:eastAsia="zh-CN"/>
        </w:rPr>
        <w:t>038200</w:t>
      </w:r>
    </w:p>
    <w:tbl>
      <w:tblPr>
        <w:tblStyle w:val="14"/>
        <w:tblW w:w="113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91"/>
        <w:gridCol w:w="645"/>
        <w:gridCol w:w="645"/>
        <w:gridCol w:w="600"/>
        <w:gridCol w:w="810"/>
        <w:gridCol w:w="1913"/>
        <w:gridCol w:w="5649"/>
        <w:gridCol w:w="689"/>
      </w:tblGrid>
      <w:tr w14:paraId="0F8D2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578" w:hRule="atLeast"/>
          <w:jc w:val="center"/>
        </w:trPr>
        <w:tc>
          <w:tcPr>
            <w:tcW w:w="391" w:type="dxa"/>
            <w:tcMar>
              <w:top w:w="0" w:type="dxa"/>
              <w:left w:w="108" w:type="dxa"/>
              <w:bottom w:w="0" w:type="dxa"/>
              <w:right w:w="108" w:type="dxa"/>
            </w:tcMar>
            <w:vAlign w:val="center"/>
          </w:tcPr>
          <w:p w14:paraId="5D6A05F8">
            <w:pPr>
              <w:widowControl/>
              <w:spacing w:line="300" w:lineRule="atLeast"/>
              <w:jc w:val="center"/>
              <w:rPr>
                <w:rFonts w:hint="eastAsia" w:ascii="仿宋" w:hAnsi="仿宋" w:eastAsia="仿宋" w:cs="仿宋"/>
                <w:kern w:val="0"/>
                <w:sz w:val="18"/>
                <w:szCs w:val="18"/>
              </w:rPr>
            </w:pPr>
            <w:r>
              <w:rPr>
                <w:rFonts w:hint="eastAsia" w:ascii="仿宋" w:hAnsi="仿宋" w:eastAsia="仿宋" w:cs="仿宋"/>
                <w:b/>
                <w:bCs/>
                <w:kern w:val="0"/>
                <w:sz w:val="18"/>
                <w:szCs w:val="18"/>
              </w:rPr>
              <w:t>序号</w:t>
            </w:r>
          </w:p>
        </w:tc>
        <w:tc>
          <w:tcPr>
            <w:tcW w:w="645" w:type="dxa"/>
            <w:tcMar>
              <w:top w:w="0" w:type="dxa"/>
              <w:left w:w="108" w:type="dxa"/>
              <w:bottom w:w="0" w:type="dxa"/>
              <w:right w:w="108" w:type="dxa"/>
            </w:tcMar>
            <w:vAlign w:val="center"/>
          </w:tcPr>
          <w:p w14:paraId="1C98508E">
            <w:pPr>
              <w:widowControl/>
              <w:spacing w:line="300" w:lineRule="atLeast"/>
              <w:jc w:val="center"/>
              <w:rPr>
                <w:rFonts w:hint="eastAsia" w:ascii="仿宋" w:hAnsi="仿宋" w:eastAsia="仿宋" w:cs="仿宋"/>
                <w:kern w:val="0"/>
                <w:sz w:val="18"/>
                <w:szCs w:val="18"/>
              </w:rPr>
            </w:pPr>
            <w:r>
              <w:rPr>
                <w:rFonts w:hint="eastAsia" w:ascii="仿宋" w:hAnsi="仿宋" w:eastAsia="仿宋" w:cs="仿宋"/>
                <w:b/>
                <w:bCs/>
                <w:kern w:val="0"/>
                <w:sz w:val="18"/>
                <w:szCs w:val="18"/>
              </w:rPr>
              <w:t>项目</w:t>
            </w:r>
          </w:p>
          <w:p w14:paraId="3353B798">
            <w:pPr>
              <w:widowControl/>
              <w:spacing w:line="300" w:lineRule="atLeast"/>
              <w:jc w:val="center"/>
              <w:rPr>
                <w:rFonts w:hint="eastAsia" w:ascii="仿宋" w:hAnsi="仿宋" w:eastAsia="仿宋" w:cs="仿宋"/>
                <w:kern w:val="0"/>
                <w:sz w:val="18"/>
                <w:szCs w:val="18"/>
              </w:rPr>
            </w:pPr>
            <w:r>
              <w:rPr>
                <w:rFonts w:hint="eastAsia" w:ascii="仿宋" w:hAnsi="仿宋" w:eastAsia="仿宋" w:cs="仿宋"/>
                <w:b/>
                <w:bCs/>
                <w:kern w:val="0"/>
                <w:sz w:val="18"/>
                <w:szCs w:val="18"/>
              </w:rPr>
              <w:t>名称</w:t>
            </w:r>
          </w:p>
        </w:tc>
        <w:tc>
          <w:tcPr>
            <w:tcW w:w="645" w:type="dxa"/>
            <w:tcMar>
              <w:top w:w="0" w:type="dxa"/>
              <w:left w:w="108" w:type="dxa"/>
              <w:bottom w:w="0" w:type="dxa"/>
              <w:right w:w="108" w:type="dxa"/>
            </w:tcMar>
            <w:vAlign w:val="center"/>
          </w:tcPr>
          <w:p w14:paraId="3BCD1B37">
            <w:pPr>
              <w:widowControl/>
              <w:spacing w:line="300" w:lineRule="atLeast"/>
              <w:jc w:val="center"/>
              <w:rPr>
                <w:rFonts w:hint="eastAsia" w:ascii="仿宋" w:hAnsi="仿宋" w:eastAsia="仿宋" w:cs="仿宋"/>
                <w:kern w:val="0"/>
                <w:sz w:val="18"/>
                <w:szCs w:val="18"/>
              </w:rPr>
            </w:pPr>
            <w:r>
              <w:rPr>
                <w:rFonts w:hint="eastAsia" w:ascii="仿宋" w:hAnsi="仿宋" w:eastAsia="仿宋" w:cs="仿宋"/>
                <w:b/>
                <w:bCs/>
                <w:kern w:val="0"/>
                <w:sz w:val="18"/>
                <w:szCs w:val="18"/>
              </w:rPr>
              <w:t>建设地点</w:t>
            </w:r>
          </w:p>
        </w:tc>
        <w:tc>
          <w:tcPr>
            <w:tcW w:w="600" w:type="dxa"/>
            <w:tcMar>
              <w:top w:w="0" w:type="dxa"/>
              <w:left w:w="108" w:type="dxa"/>
              <w:bottom w:w="0" w:type="dxa"/>
              <w:right w:w="108" w:type="dxa"/>
            </w:tcMar>
            <w:vAlign w:val="center"/>
          </w:tcPr>
          <w:p w14:paraId="25D2A9E9">
            <w:pPr>
              <w:widowControl/>
              <w:spacing w:line="300" w:lineRule="atLeast"/>
              <w:jc w:val="center"/>
              <w:rPr>
                <w:rFonts w:hint="eastAsia" w:ascii="仿宋" w:hAnsi="仿宋" w:eastAsia="仿宋" w:cs="仿宋"/>
                <w:kern w:val="0"/>
                <w:sz w:val="18"/>
                <w:szCs w:val="18"/>
              </w:rPr>
            </w:pPr>
            <w:r>
              <w:rPr>
                <w:rFonts w:hint="eastAsia" w:ascii="仿宋" w:hAnsi="仿宋" w:eastAsia="仿宋" w:cs="仿宋"/>
                <w:b/>
                <w:bCs/>
                <w:kern w:val="0"/>
                <w:sz w:val="18"/>
                <w:szCs w:val="18"/>
              </w:rPr>
              <w:t>建设</w:t>
            </w:r>
          </w:p>
          <w:p w14:paraId="1B1EF2EF">
            <w:pPr>
              <w:widowControl/>
              <w:spacing w:line="300" w:lineRule="atLeast"/>
              <w:jc w:val="center"/>
              <w:rPr>
                <w:rFonts w:hint="eastAsia" w:ascii="仿宋" w:hAnsi="仿宋" w:eastAsia="仿宋" w:cs="仿宋"/>
                <w:kern w:val="0"/>
                <w:sz w:val="18"/>
                <w:szCs w:val="18"/>
              </w:rPr>
            </w:pPr>
            <w:r>
              <w:rPr>
                <w:rFonts w:hint="eastAsia" w:ascii="仿宋" w:hAnsi="仿宋" w:eastAsia="仿宋" w:cs="仿宋"/>
                <w:b/>
                <w:bCs/>
                <w:kern w:val="0"/>
                <w:sz w:val="18"/>
                <w:szCs w:val="18"/>
              </w:rPr>
              <w:t>单位</w:t>
            </w:r>
          </w:p>
        </w:tc>
        <w:tc>
          <w:tcPr>
            <w:tcW w:w="810" w:type="dxa"/>
            <w:tcMar>
              <w:top w:w="0" w:type="dxa"/>
              <w:left w:w="108" w:type="dxa"/>
              <w:bottom w:w="0" w:type="dxa"/>
              <w:right w:w="108" w:type="dxa"/>
            </w:tcMar>
            <w:vAlign w:val="center"/>
          </w:tcPr>
          <w:p w14:paraId="7C651819">
            <w:pPr>
              <w:widowControl/>
              <w:spacing w:line="300" w:lineRule="atLeast"/>
              <w:jc w:val="center"/>
              <w:rPr>
                <w:rFonts w:hint="eastAsia" w:ascii="仿宋" w:hAnsi="仿宋" w:eastAsia="仿宋" w:cs="仿宋"/>
                <w:kern w:val="0"/>
                <w:sz w:val="18"/>
                <w:szCs w:val="18"/>
              </w:rPr>
            </w:pPr>
            <w:r>
              <w:rPr>
                <w:rFonts w:hint="eastAsia" w:ascii="仿宋" w:hAnsi="仿宋" w:eastAsia="仿宋" w:cs="仿宋"/>
                <w:b/>
                <w:bCs/>
                <w:kern w:val="0"/>
                <w:sz w:val="18"/>
                <w:szCs w:val="18"/>
              </w:rPr>
              <w:t>环境影响评价机构</w:t>
            </w:r>
          </w:p>
        </w:tc>
        <w:tc>
          <w:tcPr>
            <w:tcW w:w="1913" w:type="dxa"/>
            <w:tcMar>
              <w:top w:w="0" w:type="dxa"/>
              <w:left w:w="108" w:type="dxa"/>
              <w:bottom w:w="0" w:type="dxa"/>
              <w:right w:w="108" w:type="dxa"/>
            </w:tcMar>
            <w:vAlign w:val="center"/>
          </w:tcPr>
          <w:p w14:paraId="07EED431">
            <w:pPr>
              <w:widowControl/>
              <w:spacing w:line="300" w:lineRule="atLeast"/>
              <w:jc w:val="center"/>
              <w:rPr>
                <w:rFonts w:hint="eastAsia" w:ascii="仿宋" w:hAnsi="仿宋" w:eastAsia="仿宋" w:cs="仿宋"/>
                <w:kern w:val="0"/>
                <w:sz w:val="18"/>
                <w:szCs w:val="18"/>
              </w:rPr>
            </w:pPr>
            <w:r>
              <w:rPr>
                <w:rFonts w:hint="eastAsia" w:ascii="仿宋" w:hAnsi="仿宋" w:eastAsia="仿宋" w:cs="仿宋"/>
                <w:b/>
                <w:bCs/>
                <w:kern w:val="0"/>
                <w:sz w:val="18"/>
                <w:szCs w:val="18"/>
              </w:rPr>
              <w:t>项目概况</w:t>
            </w:r>
          </w:p>
        </w:tc>
        <w:tc>
          <w:tcPr>
            <w:tcW w:w="5649" w:type="dxa"/>
            <w:tcMar>
              <w:top w:w="0" w:type="dxa"/>
              <w:left w:w="108" w:type="dxa"/>
              <w:bottom w:w="0" w:type="dxa"/>
              <w:right w:w="108" w:type="dxa"/>
            </w:tcMar>
            <w:vAlign w:val="center"/>
          </w:tcPr>
          <w:p w14:paraId="7F651F29">
            <w:pPr>
              <w:widowControl/>
              <w:spacing w:line="300" w:lineRule="atLeast"/>
              <w:jc w:val="center"/>
              <w:rPr>
                <w:rFonts w:hint="eastAsia" w:ascii="仿宋" w:hAnsi="仿宋" w:eastAsia="仿宋" w:cs="仿宋"/>
                <w:kern w:val="0"/>
                <w:sz w:val="18"/>
                <w:szCs w:val="18"/>
              </w:rPr>
            </w:pPr>
            <w:r>
              <w:rPr>
                <w:rFonts w:hint="eastAsia" w:ascii="仿宋" w:hAnsi="仿宋" w:eastAsia="仿宋" w:cs="仿宋"/>
                <w:b/>
                <w:bCs/>
                <w:kern w:val="0"/>
                <w:sz w:val="18"/>
                <w:szCs w:val="18"/>
              </w:rPr>
              <w:t>主要环境影响及预防或者减轻不良环境影响的对策和措施</w:t>
            </w:r>
          </w:p>
        </w:tc>
        <w:tc>
          <w:tcPr>
            <w:tcW w:w="689" w:type="dxa"/>
            <w:tcMar>
              <w:top w:w="0" w:type="dxa"/>
              <w:left w:w="108" w:type="dxa"/>
              <w:bottom w:w="0" w:type="dxa"/>
              <w:right w:w="108" w:type="dxa"/>
            </w:tcMar>
            <w:vAlign w:val="center"/>
          </w:tcPr>
          <w:p w14:paraId="2F4F9293">
            <w:pPr>
              <w:widowControl/>
              <w:spacing w:line="300" w:lineRule="atLeast"/>
              <w:jc w:val="center"/>
              <w:rPr>
                <w:rFonts w:hint="eastAsia" w:ascii="仿宋" w:hAnsi="仿宋" w:eastAsia="仿宋" w:cs="仿宋"/>
                <w:kern w:val="0"/>
                <w:sz w:val="18"/>
                <w:szCs w:val="18"/>
              </w:rPr>
            </w:pPr>
            <w:r>
              <w:rPr>
                <w:rFonts w:hint="eastAsia" w:ascii="仿宋" w:hAnsi="仿宋" w:eastAsia="仿宋" w:cs="仿宋"/>
                <w:b/>
                <w:bCs/>
                <w:kern w:val="0"/>
                <w:sz w:val="18"/>
                <w:szCs w:val="18"/>
              </w:rPr>
              <w:t>联系电话</w:t>
            </w:r>
          </w:p>
        </w:tc>
      </w:tr>
      <w:tr w14:paraId="32D5F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11384" w:hRule="atLeast"/>
          <w:jc w:val="center"/>
        </w:trPr>
        <w:tc>
          <w:tcPr>
            <w:tcW w:w="391" w:type="dxa"/>
            <w:tcMar>
              <w:top w:w="0" w:type="dxa"/>
              <w:left w:w="108" w:type="dxa"/>
              <w:bottom w:w="0" w:type="dxa"/>
              <w:right w:w="108" w:type="dxa"/>
            </w:tcMar>
            <w:vAlign w:val="center"/>
          </w:tcPr>
          <w:p w14:paraId="267E666B">
            <w:pPr>
              <w:widowControl/>
              <w:spacing w:line="300" w:lineRule="atLeast"/>
              <w:jc w:val="center"/>
              <w:rPr>
                <w:rFonts w:ascii="宋体" w:hAnsi="宋体" w:cs="宋体"/>
                <w:kern w:val="0"/>
                <w:sz w:val="18"/>
                <w:szCs w:val="18"/>
              </w:rPr>
            </w:pPr>
            <w:r>
              <w:rPr>
                <w:rFonts w:hint="eastAsia" w:ascii="宋体" w:hAnsi="宋体" w:cs="宋体"/>
                <w:kern w:val="0"/>
                <w:szCs w:val="21"/>
              </w:rPr>
              <w:t>1</w:t>
            </w:r>
          </w:p>
        </w:tc>
        <w:tc>
          <w:tcPr>
            <w:tcW w:w="645" w:type="dxa"/>
            <w:tcMar>
              <w:top w:w="0" w:type="dxa"/>
              <w:left w:w="108" w:type="dxa"/>
              <w:bottom w:w="0" w:type="dxa"/>
              <w:right w:w="108" w:type="dxa"/>
            </w:tcMar>
            <w:vAlign w:val="center"/>
          </w:tcPr>
          <w:p w14:paraId="19DAA027">
            <w:pPr>
              <w:widowControl/>
              <w:spacing w:line="388" w:lineRule="atLeast"/>
              <w:jc w:val="left"/>
              <w:rPr>
                <w:rFonts w:hint="default"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马家皂乡安家皂村农用薄膜加工生产项目</w:t>
            </w:r>
          </w:p>
        </w:tc>
        <w:tc>
          <w:tcPr>
            <w:tcW w:w="645" w:type="dxa"/>
            <w:tcMar>
              <w:top w:w="0" w:type="dxa"/>
              <w:left w:w="108" w:type="dxa"/>
              <w:bottom w:w="0" w:type="dxa"/>
              <w:right w:w="108" w:type="dxa"/>
            </w:tcMar>
            <w:vAlign w:val="center"/>
          </w:tcPr>
          <w:p w14:paraId="2F0A9BC4">
            <w:pPr>
              <w:widowControl/>
              <w:spacing w:line="388" w:lineRule="atLeast"/>
              <w:jc w:val="left"/>
              <w:rPr>
                <w:rFonts w:hint="eastAsia" w:ascii="仿宋" w:hAnsi="仿宋" w:eastAsia="仿宋" w:cs="仿宋"/>
                <w:kern w:val="0"/>
                <w:sz w:val="18"/>
                <w:szCs w:val="18"/>
                <w:lang w:val="en-US" w:eastAsia="zh-CN" w:bidi="ar-SA"/>
              </w:rPr>
            </w:pPr>
            <w:r>
              <w:rPr>
                <w:rFonts w:hint="eastAsia" w:ascii="仿宋" w:hAnsi="仿宋" w:eastAsia="仿宋" w:cs="仿宋"/>
                <w:kern w:val="0"/>
                <w:sz w:val="18"/>
                <w:szCs w:val="18"/>
                <w:lang w:val="en-US" w:eastAsia="zh-CN" w:bidi="ar-SA"/>
              </w:rPr>
              <w:t>山西省大同市天镇县马家皂乡家皂村东 220m</w:t>
            </w:r>
          </w:p>
          <w:p w14:paraId="7E940980">
            <w:pPr>
              <w:widowControl/>
              <w:spacing w:line="388" w:lineRule="atLeast"/>
              <w:jc w:val="left"/>
              <w:rPr>
                <w:rFonts w:hint="eastAsia" w:ascii="仿宋" w:hAnsi="仿宋" w:eastAsia="仿宋" w:cs="仿宋"/>
                <w:kern w:val="0"/>
                <w:sz w:val="18"/>
                <w:szCs w:val="18"/>
                <w:lang w:val="en-US" w:eastAsia="zh-CN" w:bidi="ar-SA"/>
              </w:rPr>
            </w:pPr>
          </w:p>
        </w:tc>
        <w:tc>
          <w:tcPr>
            <w:tcW w:w="600" w:type="dxa"/>
            <w:tcMar>
              <w:top w:w="0" w:type="dxa"/>
              <w:left w:w="108" w:type="dxa"/>
              <w:bottom w:w="0" w:type="dxa"/>
              <w:right w:w="108" w:type="dxa"/>
            </w:tcMar>
            <w:vAlign w:val="center"/>
          </w:tcPr>
          <w:p w14:paraId="14C76972">
            <w:pPr>
              <w:widowControl/>
              <w:spacing w:line="388" w:lineRule="atLeast"/>
              <w:jc w:val="left"/>
              <w:rPr>
                <w:rFonts w:hint="default"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天镇县马家皂乡人民政府</w:t>
            </w:r>
          </w:p>
        </w:tc>
        <w:tc>
          <w:tcPr>
            <w:tcW w:w="810" w:type="dxa"/>
            <w:tcMar>
              <w:top w:w="0" w:type="dxa"/>
              <w:left w:w="108" w:type="dxa"/>
              <w:bottom w:w="0" w:type="dxa"/>
              <w:right w:w="108" w:type="dxa"/>
            </w:tcMar>
            <w:vAlign w:val="center"/>
          </w:tcPr>
          <w:p w14:paraId="12B1D519">
            <w:pPr>
              <w:keepNext w:val="0"/>
              <w:keepLines w:val="0"/>
              <w:pageBreakBefore w:val="0"/>
              <w:widowControl/>
              <w:kinsoku/>
              <w:wordWrap/>
              <w:overflowPunct/>
              <w:topLinePunct w:val="0"/>
              <w:autoSpaceDE/>
              <w:autoSpaceDN/>
              <w:bidi w:val="0"/>
              <w:adjustRightInd/>
              <w:snapToGrid/>
              <w:spacing w:line="280" w:lineRule="exact"/>
              <w:jc w:val="left"/>
              <w:textAlignment w:val="auto"/>
              <w:outlineLvl w:val="9"/>
              <w:rPr>
                <w:rFonts w:hint="default" w:ascii="仿宋" w:hAnsi="仿宋" w:eastAsia="仿宋" w:cs="仿宋"/>
                <w:kern w:val="0"/>
                <w:sz w:val="18"/>
                <w:szCs w:val="18"/>
                <w:lang w:val="en-US" w:eastAsia="zh-CN"/>
              </w:rPr>
            </w:pPr>
            <w:r>
              <w:rPr>
                <w:rFonts w:hint="eastAsia" w:ascii="仿宋" w:hAnsi="仿宋" w:eastAsia="仿宋" w:cs="仿宋"/>
                <w:kern w:val="0"/>
                <w:sz w:val="18"/>
                <w:szCs w:val="18"/>
                <w:lang w:val="en-US" w:eastAsia="zh-CN"/>
              </w:rPr>
              <w:t>山西纳兰环保科技有限公司</w:t>
            </w:r>
          </w:p>
        </w:tc>
        <w:tc>
          <w:tcPr>
            <w:tcW w:w="1913" w:type="dxa"/>
            <w:tcMar>
              <w:top w:w="0" w:type="dxa"/>
              <w:left w:w="108" w:type="dxa"/>
              <w:bottom w:w="0" w:type="dxa"/>
              <w:right w:w="108" w:type="dxa"/>
            </w:tcMar>
            <w:vAlign w:val="center"/>
          </w:tcPr>
          <w:p w14:paraId="586954E1">
            <w:pPr>
              <w:keepNext w:val="0"/>
              <w:keepLines w:val="0"/>
              <w:pageBreakBefore w:val="0"/>
              <w:widowControl w:val="0"/>
              <w:kinsoku/>
              <w:wordWrap/>
              <w:overflowPunct/>
              <w:topLinePunct w:val="0"/>
              <w:autoSpaceDE/>
              <w:autoSpaceDN/>
              <w:bidi w:val="0"/>
              <w:adjustRightInd/>
              <w:snapToGrid/>
              <w:spacing w:line="280" w:lineRule="exact"/>
              <w:ind w:firstLine="360" w:firstLineChars="200"/>
              <w:textAlignment w:val="auto"/>
              <w:outlineLvl w:val="9"/>
              <w:rPr>
                <w:rFonts w:hint="eastAsia" w:ascii="仿宋" w:hAnsi="仿宋" w:eastAsia="仿宋" w:cs="仿宋"/>
                <w:sz w:val="18"/>
                <w:szCs w:val="18"/>
              </w:rPr>
            </w:pPr>
          </w:p>
          <w:p w14:paraId="302E6E6B">
            <w:pPr>
              <w:keepNext w:val="0"/>
              <w:keepLines w:val="0"/>
              <w:widowControl/>
              <w:suppressLineNumbers w:val="0"/>
              <w:ind w:firstLine="360" w:firstLineChars="200"/>
              <w:jc w:val="both"/>
              <w:rPr>
                <w:rFonts w:hint="eastAsia" w:ascii="宋体" w:hAnsi="宋体" w:eastAsia="仿宋" w:cs="宋体"/>
                <w:kern w:val="0"/>
                <w:sz w:val="18"/>
                <w:szCs w:val="18"/>
                <w:lang w:val="en-US" w:eastAsia="zh-CN"/>
              </w:rPr>
            </w:pPr>
            <w:r>
              <w:rPr>
                <w:rFonts w:hint="eastAsia" w:ascii="仿宋" w:hAnsi="仿宋" w:eastAsia="仿宋" w:cs="仿宋"/>
                <w:kern w:val="0"/>
                <w:sz w:val="18"/>
                <w:szCs w:val="18"/>
                <w:lang w:val="en-US" w:eastAsia="zh-CN"/>
              </w:rPr>
              <w:t>本项目为农用薄膜生产加工项目，项目建成后年产PO 膜（棚膜）1008t/a,PE膜（棚膜）672t/a,</w:t>
            </w:r>
            <w:r>
              <w:rPr>
                <w:rFonts w:hint="eastAsia" w:ascii="仿宋" w:hAnsi="仿宋" w:eastAsia="仿宋" w:cs="仿宋"/>
                <w:kern w:val="0"/>
                <w:sz w:val="18"/>
                <w:szCs w:val="18"/>
                <w:lang w:val="en-US" w:eastAsia="zh-CN" w:bidi="ar-SA"/>
              </w:rPr>
              <w:t>PE 地膜320t/a,合计2000t/a.</w:t>
            </w:r>
            <w:r>
              <w:rPr>
                <w:rFonts w:hint="eastAsia" w:ascii="仿宋" w:hAnsi="仿宋" w:eastAsia="仿宋" w:cs="仿宋"/>
                <w:kern w:val="0"/>
                <w:sz w:val="18"/>
                <w:szCs w:val="18"/>
                <w:lang w:val="en-US" w:eastAsia="zh-CN"/>
              </w:rPr>
              <w:t>2026年3月17日，天镇县行政审批服务管理局对《马家皂乡安家皂村农用薄膜生产加工项目可行性研究报告》进行了批复（</w:t>
            </w:r>
            <w:r>
              <w:rPr>
                <w:rFonts w:hint="eastAsia" w:ascii="仿宋" w:hAnsi="仿宋" w:eastAsia="仿宋" w:cs="仿宋"/>
                <w:kern w:val="0"/>
                <w:sz w:val="18"/>
                <w:szCs w:val="18"/>
                <w:lang w:val="en-US" w:eastAsia="zh-CN" w:bidi="ar-SA"/>
              </w:rPr>
              <w:t>天行审批字[2026]18 号</w:t>
            </w:r>
            <w:r>
              <w:rPr>
                <w:rFonts w:hint="eastAsia" w:ascii="仿宋" w:hAnsi="仿宋" w:eastAsia="仿宋" w:cs="仿宋"/>
                <w:kern w:val="0"/>
                <w:sz w:val="18"/>
                <w:szCs w:val="18"/>
                <w:lang w:val="en-US" w:eastAsia="zh-CN"/>
              </w:rPr>
              <w:t>）。</w:t>
            </w:r>
          </w:p>
        </w:tc>
        <w:tc>
          <w:tcPr>
            <w:tcW w:w="5649" w:type="dxa"/>
            <w:tcMar>
              <w:top w:w="0" w:type="dxa"/>
              <w:left w:w="108" w:type="dxa"/>
              <w:bottom w:w="0" w:type="dxa"/>
              <w:right w:w="108" w:type="dxa"/>
            </w:tcMar>
            <w:vAlign w:val="center"/>
          </w:tcPr>
          <w:p w14:paraId="0D3720A0">
            <w:pPr>
              <w:keepNext w:val="0"/>
              <w:keepLines w:val="0"/>
              <w:pageBreakBefore w:val="0"/>
              <w:widowControl/>
              <w:kinsoku/>
              <w:wordWrap/>
              <w:overflowPunct/>
              <w:topLinePunct w:val="0"/>
              <w:autoSpaceDE/>
              <w:autoSpaceDN/>
              <w:bidi w:val="0"/>
              <w:adjustRightInd/>
              <w:snapToGrid/>
              <w:spacing w:line="360" w:lineRule="exact"/>
              <w:jc w:val="both"/>
              <w:textAlignment w:val="auto"/>
              <w:outlineLvl w:val="9"/>
              <w:rPr>
                <w:rFonts w:hint="eastAsia" w:ascii="仿宋" w:hAnsi="仿宋" w:eastAsia="仿宋" w:cs="仿宋"/>
                <w:b w:val="0"/>
                <w:bCs w:val="0"/>
                <w:kern w:val="0"/>
                <w:sz w:val="18"/>
                <w:szCs w:val="18"/>
                <w:lang w:val="en-US" w:eastAsia="zh-CN"/>
              </w:rPr>
            </w:pPr>
            <w:r>
              <w:rPr>
                <w:rFonts w:hint="eastAsia" w:ascii="仿宋" w:hAnsi="仿宋" w:eastAsia="仿宋" w:cs="仿宋"/>
                <w:b/>
                <w:bCs/>
                <w:kern w:val="0"/>
                <w:sz w:val="18"/>
                <w:szCs w:val="18"/>
              </w:rPr>
              <w:t>主要环境影响及对策：</w:t>
            </w:r>
            <w:r>
              <w:rPr>
                <w:rFonts w:hint="eastAsia" w:ascii="仿宋" w:hAnsi="仿宋" w:eastAsia="仿宋" w:cs="仿宋"/>
                <w:b w:val="0"/>
                <w:bCs w:val="0"/>
                <w:kern w:val="0"/>
                <w:sz w:val="18"/>
                <w:szCs w:val="18"/>
              </w:rPr>
              <w:t>（1）生态环境</w:t>
            </w:r>
            <w:r>
              <w:rPr>
                <w:rFonts w:hint="eastAsia" w:ascii="仿宋" w:hAnsi="仿宋" w:eastAsia="仿宋" w:cs="仿宋"/>
                <w:b w:val="0"/>
                <w:bCs w:val="0"/>
                <w:kern w:val="0"/>
                <w:sz w:val="18"/>
                <w:szCs w:val="18"/>
                <w:lang w:val="en-US" w:eastAsia="zh-CN"/>
              </w:rPr>
              <w:t>保护措施;加强施工现场环境管理，严格落实《报告表》提出的各项生态环境保护措施，确保施工期对周边生态环境的影响降至最小。</w:t>
            </w:r>
            <w:r>
              <w:rPr>
                <w:rFonts w:hint="eastAsia" w:ascii="仿宋" w:hAnsi="仿宋" w:eastAsia="仿宋" w:cs="仿宋"/>
                <w:b w:val="0"/>
                <w:bCs w:val="0"/>
                <w:kern w:val="0"/>
                <w:sz w:val="18"/>
                <w:szCs w:val="18"/>
              </w:rPr>
              <w:t>（2</w:t>
            </w:r>
            <w:r>
              <w:rPr>
                <w:rFonts w:hint="eastAsia" w:ascii="仿宋" w:hAnsi="仿宋" w:eastAsia="仿宋" w:cs="仿宋"/>
                <w:b w:val="0"/>
                <w:bCs w:val="0"/>
                <w:kern w:val="0"/>
                <w:sz w:val="18"/>
                <w:szCs w:val="18"/>
                <w:lang w:val="en-US" w:eastAsia="zh-CN"/>
              </w:rPr>
              <w:t>)水环境：本项目施工过程中产生的废水主要有施工工地砂石料冲洗废水、施工现场车辆的清洗废水以及施工人员生活污水等，①机械和车辆冲洗废水：为减少施工期废水对周围环境的影响，在厂区设置 1 座 2×2×1m 的沉淀池，施工机械和运输车辆清洗废水经沉淀池处理后，用作降尘、喷洒，不外排。生活污水有效收集处理。项目施工期产生废水随着施工期的结束而消失，施工期废水采取相应的治理措施后，不会形成规模排放，对地表水环境影响较小。</w:t>
            </w:r>
            <w:r>
              <w:rPr>
                <w:rFonts w:hint="eastAsia" w:ascii="仿宋" w:hAnsi="仿宋" w:eastAsia="仿宋" w:cs="仿宋"/>
                <w:b w:val="0"/>
                <w:bCs w:val="0"/>
                <w:kern w:val="0"/>
                <w:sz w:val="18"/>
                <w:szCs w:val="18"/>
              </w:rPr>
              <w:t>（3）</w:t>
            </w:r>
            <w:r>
              <w:rPr>
                <w:rFonts w:hint="eastAsia" w:ascii="仿宋" w:hAnsi="仿宋" w:eastAsia="仿宋" w:cs="仿宋"/>
                <w:b w:val="0"/>
                <w:bCs/>
                <w:sz w:val="18"/>
                <w:szCs w:val="18"/>
                <w:lang w:val="en-US" w:eastAsia="zh-CN"/>
              </w:rPr>
              <w:t>大气污染防治措施:1、施工营地要严格落实工地周边围挡、物料堆放覆盖、土方开挖湿法作业、路面硬化、出入车辆清洗、渣土车辆密闭运输“六个百分之百”；2、运输渣土、土方、砂石、垃圾、灰浆的车辆，应当采取密闭措施，并按照规定的路线、时间行驶。运输车辆冲洗干净后，方可驶出作业场所。在运输过程中不得遗撒、泄漏物料。3、施工过程中施工现场应适当洒水减少扬尘（洒水时间及次数视具体情况操作，大风天气应增加洒水次数）；施工运输车辆驶出工地前，应对车轮、车身、车槽帮等部位进行清理或清洗以保证车辆清洁上路。</w:t>
            </w:r>
            <w:r>
              <w:rPr>
                <w:rFonts w:hint="eastAsia" w:ascii="仿宋" w:hAnsi="仿宋" w:eastAsia="仿宋" w:cs="仿宋"/>
                <w:b w:val="0"/>
                <w:bCs w:val="0"/>
                <w:kern w:val="0"/>
                <w:sz w:val="18"/>
                <w:szCs w:val="18"/>
              </w:rPr>
              <w:t>（</w:t>
            </w:r>
            <w:r>
              <w:rPr>
                <w:rFonts w:hint="eastAsia" w:ascii="仿宋" w:hAnsi="仿宋" w:eastAsia="仿宋" w:cs="仿宋"/>
                <w:b w:val="0"/>
                <w:bCs w:val="0"/>
                <w:kern w:val="0"/>
                <w:sz w:val="18"/>
                <w:szCs w:val="18"/>
                <w:lang w:val="en-US" w:eastAsia="zh-CN"/>
              </w:rPr>
              <w:t>4</w:t>
            </w:r>
            <w:r>
              <w:rPr>
                <w:rFonts w:hint="eastAsia" w:ascii="仿宋" w:hAnsi="仿宋" w:eastAsia="仿宋" w:cs="仿宋"/>
                <w:b w:val="0"/>
                <w:bCs w:val="0"/>
                <w:kern w:val="0"/>
                <w:sz w:val="18"/>
                <w:szCs w:val="18"/>
              </w:rPr>
              <w:t>）</w:t>
            </w:r>
            <w:r>
              <w:rPr>
                <w:rFonts w:hint="eastAsia" w:ascii="仿宋" w:hAnsi="仿宋" w:eastAsia="仿宋" w:cs="仿宋"/>
                <w:b w:val="0"/>
                <w:bCs w:val="0"/>
                <w:kern w:val="0"/>
                <w:sz w:val="18"/>
                <w:szCs w:val="18"/>
                <w:lang w:val="en-US" w:eastAsia="zh-CN"/>
              </w:rPr>
              <w:t>噪声污染防治措施:施工期间通过合理安排施工作业时间，尽量采用低噪声设备，加强运输车辆的管理等措施，可以减轻施工对噪声敏感目标的影响。严格执行《建筑施工噪声排放标准》(GB12523-2025)标准.</w:t>
            </w:r>
            <w:r>
              <w:rPr>
                <w:rFonts w:hint="eastAsia" w:ascii="仿宋" w:hAnsi="仿宋" w:eastAsia="仿宋" w:cs="仿宋"/>
                <w:b w:val="0"/>
                <w:bCs w:val="0"/>
                <w:kern w:val="0"/>
                <w:sz w:val="18"/>
                <w:szCs w:val="18"/>
                <w:lang w:eastAsia="zh-CN"/>
              </w:rPr>
              <w:t>（</w:t>
            </w:r>
            <w:r>
              <w:rPr>
                <w:rFonts w:hint="eastAsia" w:ascii="仿宋" w:hAnsi="仿宋" w:eastAsia="仿宋" w:cs="仿宋"/>
                <w:b w:val="0"/>
                <w:bCs w:val="0"/>
                <w:kern w:val="0"/>
                <w:sz w:val="18"/>
                <w:szCs w:val="18"/>
                <w:lang w:val="en-US" w:eastAsia="zh-CN"/>
              </w:rPr>
              <w:t>5</w:t>
            </w:r>
            <w:r>
              <w:rPr>
                <w:rFonts w:hint="eastAsia" w:ascii="仿宋" w:hAnsi="仿宋" w:eastAsia="仿宋" w:cs="仿宋"/>
                <w:b w:val="0"/>
                <w:bCs w:val="0"/>
                <w:kern w:val="0"/>
                <w:sz w:val="18"/>
                <w:szCs w:val="18"/>
              </w:rPr>
              <w:t>）</w:t>
            </w:r>
            <w:r>
              <w:rPr>
                <w:rFonts w:hint="eastAsia" w:ascii="仿宋" w:hAnsi="仿宋" w:eastAsia="仿宋" w:cs="仿宋"/>
                <w:b w:val="0"/>
                <w:bCs w:val="0"/>
                <w:kern w:val="0"/>
                <w:sz w:val="18"/>
                <w:szCs w:val="18"/>
                <w:lang w:val="en-US" w:eastAsia="zh-CN"/>
              </w:rPr>
              <w:t>固体废物污染防治措施：施工期固体废物主要为建筑垃圾及施工人员产生的生活垃圾。建筑垃圾由施工单位分类收集，可回收利用的建筑垃圾回收利用；不可回收利用的建筑垃圾集中收集及时清运至城建部门指定的建筑垃圾填埋场。施工人员生活垃圾通过定点收集、及时清运与城市生活垃圾一并交由环卫部门处置。</w:t>
            </w:r>
          </w:p>
          <w:p w14:paraId="3F1691B2">
            <w:pPr>
              <w:keepNext w:val="0"/>
              <w:keepLines w:val="0"/>
              <w:pageBreakBefore w:val="0"/>
              <w:widowControl/>
              <w:kinsoku/>
              <w:wordWrap/>
              <w:overflowPunct/>
              <w:topLinePunct w:val="0"/>
              <w:autoSpaceDE/>
              <w:autoSpaceDN/>
              <w:bidi w:val="0"/>
              <w:adjustRightInd/>
              <w:snapToGrid/>
              <w:spacing w:line="360" w:lineRule="exact"/>
              <w:jc w:val="left"/>
              <w:textAlignment w:val="auto"/>
              <w:outlineLvl w:val="9"/>
              <w:rPr>
                <w:rFonts w:ascii="宋体" w:hAnsi="宋体" w:cs="宋体"/>
                <w:kern w:val="0"/>
                <w:sz w:val="18"/>
                <w:szCs w:val="18"/>
              </w:rPr>
            </w:pPr>
          </w:p>
        </w:tc>
        <w:tc>
          <w:tcPr>
            <w:tcW w:w="689" w:type="dxa"/>
            <w:tcMar>
              <w:top w:w="0" w:type="dxa"/>
              <w:left w:w="108" w:type="dxa"/>
              <w:bottom w:w="0" w:type="dxa"/>
              <w:right w:w="108" w:type="dxa"/>
            </w:tcMar>
            <w:vAlign w:val="center"/>
          </w:tcPr>
          <w:p w14:paraId="5031CCF6">
            <w:pPr>
              <w:widowControl/>
              <w:spacing w:line="300" w:lineRule="atLeast"/>
              <w:jc w:val="center"/>
              <w:rPr>
                <w:rFonts w:hint="eastAsia" w:ascii="宋体" w:hAnsi="宋体" w:cs="宋体"/>
                <w:kern w:val="0"/>
                <w:szCs w:val="21"/>
              </w:rPr>
            </w:pPr>
            <w:r>
              <w:rPr>
                <w:rFonts w:hint="eastAsia" w:ascii="宋体" w:hAnsi="宋体" w:cs="宋体"/>
                <w:kern w:val="0"/>
                <w:szCs w:val="21"/>
              </w:rPr>
              <w:t>0352-</w:t>
            </w:r>
          </w:p>
          <w:p w14:paraId="1B453E30">
            <w:pPr>
              <w:widowControl/>
              <w:spacing w:line="300" w:lineRule="atLeast"/>
              <w:jc w:val="center"/>
              <w:rPr>
                <w:rFonts w:hint="eastAsia" w:ascii="微软雅黑" w:hAnsi="微软雅黑" w:eastAsia="宋体" w:cs="宋体"/>
                <w:kern w:val="0"/>
                <w:sz w:val="18"/>
                <w:szCs w:val="18"/>
                <w:lang w:val="en-US" w:eastAsia="zh-CN"/>
              </w:rPr>
            </w:pPr>
            <w:r>
              <w:rPr>
                <w:rFonts w:hint="eastAsia" w:ascii="宋体" w:hAnsi="宋体" w:cs="宋体"/>
                <w:kern w:val="0"/>
                <w:szCs w:val="21"/>
                <w:lang w:val="en-US" w:eastAsia="zh-CN"/>
              </w:rPr>
              <w:t>6822493</w:t>
            </w:r>
          </w:p>
        </w:tc>
      </w:tr>
    </w:tbl>
    <w:p w14:paraId="1D613EAE">
      <w:pPr>
        <w:widowControl/>
        <w:spacing w:line="388" w:lineRule="atLeast"/>
        <w:jc w:val="left"/>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体">
    <w:altName w:val="宋体"/>
    <w:panose1 w:val="00000000000000000000"/>
    <w:charset w:val="86"/>
    <w:family w:val="roma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roman"/>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3NDQ0Y2UyZjhjNzI0MjgzMmQzYWE4MGRmNGQ2ZWQifQ=="/>
  </w:docVars>
  <w:rsids>
    <w:rsidRoot w:val="16F85CB4"/>
    <w:rsid w:val="00166108"/>
    <w:rsid w:val="00377076"/>
    <w:rsid w:val="006444FD"/>
    <w:rsid w:val="012716CB"/>
    <w:rsid w:val="01530572"/>
    <w:rsid w:val="01FE589C"/>
    <w:rsid w:val="03050926"/>
    <w:rsid w:val="03362E89"/>
    <w:rsid w:val="03706D16"/>
    <w:rsid w:val="054413D3"/>
    <w:rsid w:val="05900796"/>
    <w:rsid w:val="05EC4514"/>
    <w:rsid w:val="060E445B"/>
    <w:rsid w:val="074431E8"/>
    <w:rsid w:val="07B43A7D"/>
    <w:rsid w:val="0808700E"/>
    <w:rsid w:val="0AF35451"/>
    <w:rsid w:val="0E941B37"/>
    <w:rsid w:val="0F4D5F82"/>
    <w:rsid w:val="10D848E1"/>
    <w:rsid w:val="11CE4A13"/>
    <w:rsid w:val="12825746"/>
    <w:rsid w:val="12B502CE"/>
    <w:rsid w:val="12D33A04"/>
    <w:rsid w:val="139E7BFB"/>
    <w:rsid w:val="16C21006"/>
    <w:rsid w:val="16F85CB4"/>
    <w:rsid w:val="17A76437"/>
    <w:rsid w:val="17ED6347"/>
    <w:rsid w:val="181D713C"/>
    <w:rsid w:val="1821268E"/>
    <w:rsid w:val="1B9E7C63"/>
    <w:rsid w:val="1C3C7698"/>
    <w:rsid w:val="1CE03A50"/>
    <w:rsid w:val="1DF27E1A"/>
    <w:rsid w:val="1F824F7A"/>
    <w:rsid w:val="22202A96"/>
    <w:rsid w:val="222176A5"/>
    <w:rsid w:val="22273747"/>
    <w:rsid w:val="22DC2FCB"/>
    <w:rsid w:val="22E1261C"/>
    <w:rsid w:val="240E2B70"/>
    <w:rsid w:val="246D4EC9"/>
    <w:rsid w:val="25A83A69"/>
    <w:rsid w:val="26633D8E"/>
    <w:rsid w:val="26F14F7B"/>
    <w:rsid w:val="273A3C97"/>
    <w:rsid w:val="295023E2"/>
    <w:rsid w:val="2AF133C6"/>
    <w:rsid w:val="2B41674B"/>
    <w:rsid w:val="2C674E88"/>
    <w:rsid w:val="2CA86A82"/>
    <w:rsid w:val="2D581215"/>
    <w:rsid w:val="2D7665D1"/>
    <w:rsid w:val="2DCA2A28"/>
    <w:rsid w:val="310B2EFD"/>
    <w:rsid w:val="31702C4D"/>
    <w:rsid w:val="32577762"/>
    <w:rsid w:val="328517BC"/>
    <w:rsid w:val="329F4483"/>
    <w:rsid w:val="32B803B8"/>
    <w:rsid w:val="330B695C"/>
    <w:rsid w:val="33172139"/>
    <w:rsid w:val="33A14246"/>
    <w:rsid w:val="35CA1A83"/>
    <w:rsid w:val="36D578C6"/>
    <w:rsid w:val="37764164"/>
    <w:rsid w:val="379A1B7B"/>
    <w:rsid w:val="37DC183B"/>
    <w:rsid w:val="38D7796D"/>
    <w:rsid w:val="38FD63A7"/>
    <w:rsid w:val="3BFD7A02"/>
    <w:rsid w:val="3CB27B84"/>
    <w:rsid w:val="3CFD06BB"/>
    <w:rsid w:val="3D4F7835"/>
    <w:rsid w:val="3D691F10"/>
    <w:rsid w:val="3EA9679F"/>
    <w:rsid w:val="3FFB5625"/>
    <w:rsid w:val="41431E53"/>
    <w:rsid w:val="42BB07F6"/>
    <w:rsid w:val="44A865C2"/>
    <w:rsid w:val="44BC6148"/>
    <w:rsid w:val="44EE613C"/>
    <w:rsid w:val="45D64DC4"/>
    <w:rsid w:val="493556E9"/>
    <w:rsid w:val="494476DB"/>
    <w:rsid w:val="498C5336"/>
    <w:rsid w:val="4A36506F"/>
    <w:rsid w:val="4B113EA7"/>
    <w:rsid w:val="4B884AB7"/>
    <w:rsid w:val="4C6B4F7E"/>
    <w:rsid w:val="4E1F6478"/>
    <w:rsid w:val="4E8F06FD"/>
    <w:rsid w:val="4F875932"/>
    <w:rsid w:val="50C369F4"/>
    <w:rsid w:val="50D23F71"/>
    <w:rsid w:val="514E157E"/>
    <w:rsid w:val="515F0C85"/>
    <w:rsid w:val="517522F3"/>
    <w:rsid w:val="51855482"/>
    <w:rsid w:val="531E2D4A"/>
    <w:rsid w:val="53ED0709"/>
    <w:rsid w:val="55016BBF"/>
    <w:rsid w:val="55825F3A"/>
    <w:rsid w:val="56172C2F"/>
    <w:rsid w:val="56DF335E"/>
    <w:rsid w:val="587D7413"/>
    <w:rsid w:val="58AA26E4"/>
    <w:rsid w:val="591A06B3"/>
    <w:rsid w:val="5A4B523F"/>
    <w:rsid w:val="5AD370D3"/>
    <w:rsid w:val="5C9576B9"/>
    <w:rsid w:val="5D84389D"/>
    <w:rsid w:val="5E6E3BAB"/>
    <w:rsid w:val="5E9719C7"/>
    <w:rsid w:val="5EF641EF"/>
    <w:rsid w:val="5F8B1E78"/>
    <w:rsid w:val="60F16FE1"/>
    <w:rsid w:val="61041584"/>
    <w:rsid w:val="63606311"/>
    <w:rsid w:val="638D0DC4"/>
    <w:rsid w:val="64632CB3"/>
    <w:rsid w:val="647B624F"/>
    <w:rsid w:val="65035BCF"/>
    <w:rsid w:val="65587E6D"/>
    <w:rsid w:val="664F761C"/>
    <w:rsid w:val="667D65D0"/>
    <w:rsid w:val="674665FE"/>
    <w:rsid w:val="67B703EC"/>
    <w:rsid w:val="68D266CC"/>
    <w:rsid w:val="69D6161B"/>
    <w:rsid w:val="6A603DE3"/>
    <w:rsid w:val="6BA44452"/>
    <w:rsid w:val="6CA517D7"/>
    <w:rsid w:val="6D3E4B73"/>
    <w:rsid w:val="6D4C39E8"/>
    <w:rsid w:val="6D5F1174"/>
    <w:rsid w:val="6DBE71AC"/>
    <w:rsid w:val="6DEC1889"/>
    <w:rsid w:val="6E20090B"/>
    <w:rsid w:val="6F8D334A"/>
    <w:rsid w:val="6FF932E0"/>
    <w:rsid w:val="70E75EF6"/>
    <w:rsid w:val="72855F95"/>
    <w:rsid w:val="736C0586"/>
    <w:rsid w:val="73E2011A"/>
    <w:rsid w:val="74096BFD"/>
    <w:rsid w:val="743F562B"/>
    <w:rsid w:val="757B0E28"/>
    <w:rsid w:val="78BC7476"/>
    <w:rsid w:val="79181EF5"/>
    <w:rsid w:val="791A59CA"/>
    <w:rsid w:val="796D76D2"/>
    <w:rsid w:val="7995007A"/>
    <w:rsid w:val="7A3915B8"/>
    <w:rsid w:val="7AA25AAF"/>
    <w:rsid w:val="7AF75653"/>
    <w:rsid w:val="7C5036C5"/>
    <w:rsid w:val="7D392D0E"/>
    <w:rsid w:val="7EF764F1"/>
    <w:rsid w:val="7F83102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4"/>
    <w:basedOn w:val="1"/>
    <w:next w:val="1"/>
    <w:qFormat/>
    <w:uiPriority w:val="0"/>
    <w:pPr>
      <w:keepNext/>
      <w:keepLines/>
      <w:widowControl/>
      <w:spacing w:before="280" w:after="290" w:line="376" w:lineRule="auto"/>
      <w:ind w:firstLine="0" w:firstLineChars="0"/>
      <w:outlineLvl w:val="3"/>
    </w:pPr>
    <w:rPr>
      <w:rFonts w:ascii="Arial" w:hAnsi="Arial" w:eastAsia="黑体"/>
      <w:b/>
      <w:bCs/>
      <w:color w:val="000000"/>
      <w:sz w:val="28"/>
      <w:szCs w:val="28"/>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0"/>
    <w:pPr>
      <w:ind w:firstLine="420"/>
    </w:pPr>
    <w:rPr>
      <w:sz w:val="28"/>
      <w:szCs w:val="20"/>
    </w:rPr>
  </w:style>
  <w:style w:type="paragraph" w:customStyle="1" w:styleId="5">
    <w:name w:val="Default"/>
    <w:basedOn w:val="6"/>
    <w:next w:val="7"/>
    <w:qFormat/>
    <w:uiPriority w:val="0"/>
    <w:pPr>
      <w:widowControl w:val="0"/>
      <w:autoSpaceDE w:val="0"/>
      <w:autoSpaceDN w:val="0"/>
      <w:adjustRightInd w:val="0"/>
    </w:pPr>
    <w:rPr>
      <w:rFonts w:ascii="宋体" w:hAnsi="Calibri" w:eastAsia="宋体" w:cs="宋体"/>
      <w:color w:val="000000"/>
      <w:kern w:val="2"/>
      <w:sz w:val="24"/>
      <w:szCs w:val="24"/>
      <w:lang w:val="en-US" w:eastAsia="zh-CN" w:bidi="ar-SA"/>
    </w:rPr>
  </w:style>
  <w:style w:type="paragraph" w:customStyle="1" w:styleId="6">
    <w:name w:val="纯文本1"/>
    <w:basedOn w:val="1"/>
    <w:qFormat/>
    <w:uiPriority w:val="0"/>
    <w:pPr>
      <w:topLinePunct w:val="0"/>
      <w:spacing w:line="240" w:lineRule="auto"/>
      <w:jc w:val="both"/>
      <w:textAlignment w:val="baseline"/>
    </w:pPr>
    <w:rPr>
      <w:rFonts w:ascii="宋体" w:hAnsi="Courier New"/>
      <w:sz w:val="21"/>
      <w:szCs w:val="20"/>
    </w:rPr>
  </w:style>
  <w:style w:type="paragraph" w:customStyle="1" w:styleId="7">
    <w:name w:val="表格文字"/>
    <w:basedOn w:val="8"/>
    <w:next w:val="1"/>
    <w:qFormat/>
    <w:uiPriority w:val="0"/>
    <w:pPr>
      <w:adjustRightInd w:val="0"/>
      <w:snapToGrid w:val="0"/>
      <w:spacing w:before="62" w:beforeLines="20" w:line="240" w:lineRule="atLeast"/>
      <w:jc w:val="center"/>
    </w:pPr>
    <w:rPr>
      <w:rFonts w:ascii="仿宋体" w:eastAsia="仿宋体"/>
      <w:kern w:val="0"/>
      <w:szCs w:val="20"/>
    </w:rPr>
  </w:style>
  <w:style w:type="paragraph" w:styleId="8">
    <w:name w:val="Plain Text"/>
    <w:basedOn w:val="1"/>
    <w:next w:val="9"/>
    <w:qFormat/>
    <w:uiPriority w:val="0"/>
    <w:rPr>
      <w:rFonts w:ascii="宋体" w:hAnsi="Courier New" w:cs="Courier New"/>
      <w:szCs w:val="21"/>
    </w:rPr>
  </w:style>
  <w:style w:type="paragraph" w:styleId="9">
    <w:name w:val="Body Text First Indent"/>
    <w:basedOn w:val="10"/>
    <w:next w:val="1"/>
    <w:qFormat/>
    <w:uiPriority w:val="0"/>
    <w:pPr>
      <w:ind w:firstLine="420" w:firstLineChars="100"/>
    </w:pPr>
    <w:rPr>
      <w:sz w:val="21"/>
    </w:rPr>
  </w:style>
  <w:style w:type="paragraph" w:styleId="10">
    <w:name w:val="Body Text"/>
    <w:basedOn w:val="1"/>
    <w:next w:val="1"/>
    <w:link w:val="20"/>
    <w:qFormat/>
    <w:uiPriority w:val="0"/>
    <w:pPr>
      <w:widowControl/>
      <w:snapToGrid w:val="0"/>
      <w:spacing w:before="60" w:after="160" w:line="259" w:lineRule="auto"/>
      <w:ind w:right="113"/>
    </w:pPr>
    <w:rPr>
      <w:kern w:val="0"/>
      <w:sz w:val="18"/>
      <w:szCs w:val="20"/>
    </w:rPr>
  </w:style>
  <w:style w:type="paragraph" w:styleId="11">
    <w:name w:val="Body Text Indent"/>
    <w:basedOn w:val="1"/>
    <w:qFormat/>
    <w:uiPriority w:val="0"/>
    <w:pPr>
      <w:spacing w:after="120"/>
      <w:ind w:left="420" w:leftChars="200"/>
    </w:pPr>
  </w:style>
  <w:style w:type="paragraph" w:styleId="12">
    <w:name w:val="Block Text"/>
    <w:basedOn w:val="1"/>
    <w:qFormat/>
    <w:uiPriority w:val="0"/>
    <w:pPr>
      <w:snapToGrid w:val="0"/>
      <w:ind w:left="101" w:leftChars="48" w:right="149" w:rightChars="71" w:firstLine="426" w:firstLineChars="203"/>
    </w:pPr>
  </w:style>
  <w:style w:type="paragraph" w:styleId="13">
    <w:name w:val="Body Text First Indent 2"/>
    <w:basedOn w:val="1"/>
    <w:next w:val="1"/>
    <w:qFormat/>
    <w:uiPriority w:val="0"/>
    <w:pPr>
      <w:ind w:firstLine="420" w:firstLineChars="200"/>
    </w:pPr>
  </w:style>
  <w:style w:type="table" w:styleId="15">
    <w:name w:val="Table Grid"/>
    <w:basedOn w:val="1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表格标题"/>
    <w:basedOn w:val="8"/>
    <w:next w:val="1"/>
    <w:qFormat/>
    <w:uiPriority w:val="0"/>
    <w:pPr>
      <w:spacing w:before="120" w:after="40" w:line="320" w:lineRule="exact"/>
      <w:jc w:val="center"/>
    </w:pPr>
  </w:style>
  <w:style w:type="paragraph" w:customStyle="1" w:styleId="18">
    <w:name w:val="Char Char Char Char Char Char Char1"/>
    <w:basedOn w:val="1"/>
    <w:qFormat/>
    <w:uiPriority w:val="0"/>
    <w:pPr>
      <w:snapToGrid w:val="0"/>
      <w:spacing w:line="360" w:lineRule="auto"/>
      <w:ind w:firstLine="529" w:firstLineChars="200"/>
    </w:pPr>
    <w:rPr>
      <w:rFonts w:ascii="宋体" w:hAnsi="宋体"/>
      <w:b/>
    </w:rPr>
  </w:style>
  <w:style w:type="paragraph" w:customStyle="1" w:styleId="19">
    <w:name w:val="正文1"/>
    <w:basedOn w:val="1"/>
    <w:qFormat/>
    <w:uiPriority w:val="0"/>
    <w:pPr>
      <w:spacing w:line="560" w:lineRule="exact"/>
      <w:ind w:firstLine="200" w:firstLineChars="200"/>
    </w:pPr>
    <w:rPr>
      <w:rFonts w:ascii="宋体" w:hAnsi="宋体" w:cs="宋体"/>
      <w:sz w:val="28"/>
      <w:szCs w:val="28"/>
    </w:rPr>
  </w:style>
  <w:style w:type="character" w:customStyle="1" w:styleId="20">
    <w:name w:val="正文文本 Char1"/>
    <w:link w:val="10"/>
    <w:qFormat/>
    <w:uiPriority w:val="99"/>
    <w:rPr>
      <w:kern w:val="0"/>
      <w:sz w:val="18"/>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1183</Words>
  <Characters>1270</Characters>
  <Lines>0</Lines>
  <Paragraphs>0</Paragraphs>
  <TotalTime>19</TotalTime>
  <ScaleCrop>false</ScaleCrop>
  <LinksUpToDate>false</LinksUpToDate>
  <CharactersWithSpaces>1279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2018-08-29T00:47:00Z</dcterms:created>
  <dc:creator>Administrator</dc:creator>
  <cp:lastModifiedBy>祝福</cp:lastModifiedBy>
  <dcterms:modified xsi:type="dcterms:W3CDTF">2026-08-05T07:32:51Z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156A2954AD3B46A3A42425A540CD1091</vt:lpwstr>
  </property>
  <property fmtid="{D5CDD505-2E9C-101B-9397-08002B2CF9AE}" pid="4" name="KSOTemplateDocerSaveRecord">
    <vt:lpwstr>eyJoZGlkIjoiNTc1M2QwZDA1YWFhNWEwY2UzMjFkNDBhMTQyODVkOTEiLCJ1c2VySWQiOiIzNzA4NTE3NTEifQ==</vt:lpwstr>
  </property>
</Properties>
</file>