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36514">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大同市对3家从事消耗臭氧层物质销售、使用等经营活动的单位未向生态环境主管部门备案不予处罚典型案例</w:t>
      </w:r>
    </w:p>
    <w:p w14:paraId="667315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14:paraId="6F1D708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黑体" w:hAnsi="黑体" w:eastAsia="黑体" w:cs="黑体"/>
          <w:b/>
          <w:bCs/>
          <w:color w:val="000000" w:themeColor="text1"/>
          <w:kern w:val="0"/>
          <w:sz w:val="28"/>
          <w:szCs w:val="28"/>
          <w:lang w:val="en-US" w:eastAsia="zh-CN" w:bidi="ar-SA"/>
          <w14:textFill>
            <w14:solidFill>
              <w14:schemeClr w14:val="tx1"/>
            </w14:solidFill>
          </w14:textFill>
        </w:rPr>
      </w:pPr>
      <w:r>
        <w:rPr>
          <w:rFonts w:hint="eastAsia" w:ascii="黑体" w:hAnsi="黑体" w:eastAsia="黑体" w:cs="黑体"/>
          <w:sz w:val="28"/>
          <w:szCs w:val="28"/>
        </w:rPr>
        <w:t>【案情简介】</w:t>
      </w:r>
    </w:p>
    <w:p w14:paraId="45B6877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根据《山西省生态环境厅关于移交消耗臭氧层物质未备案问题线索的通知》，大同市生态环境局执法人员3月14日-20日对3家相关企业进行了现场检查。发现上述3家企业销售、使用消耗臭氧层物质（HCFC-22和HFC-134a），均未在消耗臭氧层物质信息管理平台填报备案2025年度销售及使用信息。</w:t>
      </w:r>
    </w:p>
    <w:p w14:paraId="123C682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【查处情况】</w:t>
      </w:r>
    </w:p>
    <w:p w14:paraId="21F5FBA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上述3家单位均违反《消耗臭氧层物质管理条例》第十七条第一款第二项“下列单位应当按照国务院生态环境主管部门的规定办理备案手续：（二）从事含消耗臭氧层物质的制冷设备、制冷系统或者灭火系统的维修、报废处理等经营活动的单位”的规定.</w:t>
      </w:r>
    </w:p>
    <w:p w14:paraId="6D8F70E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大同市生态环境局对3家单位下达责令改正违法行为决定书后，3家单位对违法行为及时进行了整改，在消耗臭氧层物质信息管理平台进行了备案。</w:t>
      </w:r>
    </w:p>
    <w:p w14:paraId="211A09E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依据《中华人民共和国行政处罚法》第三十三条第一款“违法行为轻微并及时改正，没有造成危害后果的，不予行政处罚。初次违法且危害后果轻微并及时改正的，可以不予行政处罚。”的规定，上述3家单位均属于初次违法，危害后果轻微并及时进行了改正，大同市生态环境局对上述3家单位均作出不予行政处罚决定。</w:t>
      </w:r>
    </w:p>
    <w:p w14:paraId="0BB9DAA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【启示意义】</w:t>
      </w:r>
    </w:p>
    <w:p w14:paraId="70105D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60" w:firstLineChars="200"/>
        <w:jc w:val="left"/>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t>当事人虽因疏忽未能备案其</w:t>
      </w: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销售、</w:t>
      </w:r>
      <w:r>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t>使用的消耗臭氧层物质，但在发现问题后，全力配合调查</w:t>
      </w: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t>立即</w:t>
      </w: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整改</w:t>
      </w:r>
      <w:r>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t>迅速补办手续。这种积极的</w:t>
      </w: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改正</w:t>
      </w:r>
      <w:r>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t>行为，使其获得了执法部门的“容错”处理，最终免于处罚。</w:t>
      </w:r>
    </w:p>
    <w:p w14:paraId="362A9B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仿宋_GB2312" w:hAnsi="仿宋_GB2312" w:eastAsia="仿宋_GB2312" w:cs="仿宋_GB2312"/>
          <w:color w:val="000000" w:themeColor="text1"/>
          <w:kern w:val="0"/>
          <w:sz w:val="30"/>
          <w:szCs w:val="30"/>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0"/>
          <w:szCs w:val="30"/>
          <w:lang w:val="en-US" w:eastAsia="zh-CN" w:bidi="ar-SA"/>
          <w14:textFill>
            <w14:solidFill>
              <w14:schemeClr w14:val="tx1"/>
            </w14:solidFill>
          </w14:textFill>
        </w:rPr>
        <w:t>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23B28"/>
    <w:rsid w:val="361B58A9"/>
    <w:rsid w:val="418C624D"/>
    <w:rsid w:val="47402854"/>
    <w:rsid w:val="484920EC"/>
    <w:rsid w:val="549E32A7"/>
    <w:rsid w:val="5F0E45BB"/>
    <w:rsid w:val="76633DA2"/>
    <w:rsid w:val="7B295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595</Words>
  <Characters>614</Characters>
  <Lines>0</Lines>
  <Paragraphs>0</Paragraphs>
  <TotalTime>4</TotalTime>
  <ScaleCrop>false</ScaleCrop>
  <LinksUpToDate>false</LinksUpToDate>
  <CharactersWithSpaces>616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2026-07-15T04:18:00Z</dcterms:created>
  <dc:creator>lenovo</dc:creator>
  <cp:lastModifiedBy>寳</cp:lastModifiedBy>
  <dcterms:modified xsi:type="dcterms:W3CDTF">2026-07-20T07:07:35Z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eyJoZGlkIjoiMjY2NDcyNGE4N2MwOWQ0ZjUyNWIzYTczMTVhNzFmOGMiLCJ1c2VySWQiOiI3MjUwNzY3MDYifQ==</vt:lpwstr>
  </property>
  <property fmtid="{D5CDD505-2E9C-101B-9397-08002B2CF9AE}" pid="4" name="ICV">
    <vt:lpwstr>3381A67D4E524EA6BA5100BE28170C06_12</vt:lpwstr>
  </property>
</Properties>
</file>