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2026〕18</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7D13F372">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0"/>
          <w:w w:val="100"/>
          <w:kern w:val="2"/>
          <w:sz w:val="44"/>
          <w:szCs w:val="44"/>
          <w:lang w:val="en-US" w:eastAsia="zh-CN" w:bidi="ar-SA"/>
        </w:rPr>
      </w:pPr>
      <w:r>
        <w:rPr>
          <w:rStyle w:val="10"/>
          <w:rFonts w:ascii="方正小标宋简体" w:hAnsi="方正小标宋简体" w:eastAsia="方正小标宋简体"/>
          <w:b w:val="0"/>
          <w:i w:val="0"/>
          <w:caps w:val="0"/>
          <w:spacing w:val="0"/>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0"/>
          <w:w w:val="100"/>
          <w:kern w:val="2"/>
          <w:sz w:val="44"/>
          <w:szCs w:val="44"/>
          <w:lang w:val="en-US" w:eastAsia="zh-CN" w:bidi="ar-SA"/>
        </w:rPr>
        <w:t>灵丘县保利混凝土有限责任公司</w:t>
      </w:r>
    </w:p>
    <w:p w14:paraId="24773575">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0"/>
          <w:w w:val="100"/>
          <w:kern w:val="2"/>
          <w:sz w:val="44"/>
          <w:szCs w:val="44"/>
          <w:lang w:val="en-US" w:eastAsia="zh-CN" w:bidi="ar-SA"/>
        </w:rPr>
      </w:pPr>
      <w:r>
        <w:rPr>
          <w:rStyle w:val="10"/>
          <w:rFonts w:hint="eastAsia" w:ascii="方正小标宋简体" w:hAnsi="方正小标宋简体" w:eastAsia="方正小标宋简体"/>
          <w:b w:val="0"/>
          <w:i w:val="0"/>
          <w:caps w:val="0"/>
          <w:spacing w:val="0"/>
          <w:w w:val="100"/>
          <w:kern w:val="2"/>
          <w:sz w:val="44"/>
          <w:szCs w:val="44"/>
          <w:lang w:val="en-US" w:eastAsia="zh-CN" w:bidi="ar-SA"/>
        </w:rPr>
        <w:t>新增年产10万m</w:t>
      </w:r>
      <w:r>
        <w:rPr>
          <w:rStyle w:val="10"/>
          <w:rFonts w:hint="eastAsia" w:ascii="方正小标宋简体" w:hAnsi="方正小标宋简体" w:eastAsia="方正小标宋简体"/>
          <w:b w:val="0"/>
          <w:i w:val="0"/>
          <w:caps w:val="0"/>
          <w:spacing w:val="0"/>
          <w:w w:val="100"/>
          <w:kern w:val="2"/>
          <w:sz w:val="44"/>
          <w:szCs w:val="44"/>
          <w:vertAlign w:val="superscript"/>
          <w:lang w:val="en-US" w:eastAsia="zh-CN" w:bidi="ar-SA"/>
        </w:rPr>
        <w:t>3</w:t>
      </w:r>
      <w:r>
        <w:rPr>
          <w:rStyle w:val="10"/>
          <w:rFonts w:hint="eastAsia" w:ascii="方正小标宋简体" w:hAnsi="方正小标宋简体" w:eastAsia="方正小标宋简体"/>
          <w:b w:val="0"/>
          <w:i w:val="0"/>
          <w:caps w:val="0"/>
          <w:spacing w:val="0"/>
          <w:w w:val="100"/>
          <w:kern w:val="2"/>
          <w:sz w:val="44"/>
          <w:szCs w:val="44"/>
          <w:lang w:val="en-US" w:eastAsia="zh-CN" w:bidi="ar-SA"/>
        </w:rPr>
        <w:t>混凝土搅拌机组项目</w:t>
      </w:r>
    </w:p>
    <w:p w14:paraId="57B408D0">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0"/>
          <w:w w:val="100"/>
          <w:kern w:val="2"/>
          <w:sz w:val="44"/>
          <w:szCs w:val="44"/>
          <w:lang w:val="en-US" w:eastAsia="zh-CN" w:bidi="ar-SA"/>
        </w:rPr>
        <w:t>环境影响报告表的批复</w:t>
      </w:r>
    </w:p>
    <w:p w14:paraId="38B2CDEA">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05514DB2">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灵丘县保利混凝土有限责任公司</w:t>
      </w:r>
      <w:r>
        <w:rPr>
          <w:rStyle w:val="10"/>
          <w:rFonts w:ascii="仿宋_GB2312" w:hAnsi="仿宋_GB2312" w:eastAsia="仿宋_GB2312"/>
          <w:b w:val="0"/>
          <w:i w:val="0"/>
          <w:caps w:val="0"/>
          <w:spacing w:val="0"/>
          <w:w w:val="100"/>
          <w:kern w:val="2"/>
          <w:sz w:val="32"/>
          <w:szCs w:val="32"/>
          <w:lang w:val="en-US" w:eastAsia="zh-CN" w:bidi="ar-SA"/>
        </w:rPr>
        <w:t>：</w:t>
      </w:r>
    </w:p>
    <w:p w14:paraId="4D2FFA3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灵丘县保利混凝土有限责任公司新增年产 10万m</w:t>
      </w:r>
      <w:r>
        <w:rPr>
          <w:rStyle w:val="10"/>
          <w:rFonts w:hint="eastAsia" w:ascii="仿宋_GB2312" w:hAnsi="仿宋" w:eastAsia="仿宋_GB2312"/>
          <w:b w:val="0"/>
          <w:i w:val="0"/>
          <w:caps w:val="0"/>
          <w:spacing w:val="0"/>
          <w:w w:val="100"/>
          <w:kern w:val="2"/>
          <w:sz w:val="32"/>
          <w:szCs w:val="32"/>
          <w:vertAlign w:val="superscript"/>
          <w:lang w:val="en-US" w:eastAsia="zh-CN" w:bidi="ar-SA"/>
        </w:rPr>
        <w:t>3</w:t>
      </w:r>
      <w:r>
        <w:rPr>
          <w:rStyle w:val="10"/>
          <w:rFonts w:hint="eastAsia" w:ascii="仿宋_GB2312" w:hAnsi="仿宋" w:eastAsia="仿宋_GB2312"/>
          <w:b w:val="0"/>
          <w:i w:val="0"/>
          <w:caps w:val="0"/>
          <w:spacing w:val="0"/>
          <w:w w:val="100"/>
          <w:kern w:val="2"/>
          <w:sz w:val="32"/>
          <w:szCs w:val="32"/>
          <w:lang w:val="en-US" w:eastAsia="zh-CN" w:bidi="ar-SA"/>
        </w:rPr>
        <w:t>混凝土搅拌机组项目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灵丘县保利混凝土有限责任公司新增年产10万m</w:t>
      </w:r>
      <w:r>
        <w:rPr>
          <w:rStyle w:val="10"/>
          <w:rFonts w:hint="eastAsia" w:ascii="仿宋_GB2312" w:hAnsi="仿宋" w:eastAsia="仿宋_GB2312"/>
          <w:b w:val="0"/>
          <w:i w:val="0"/>
          <w:caps w:val="0"/>
          <w:spacing w:val="0"/>
          <w:w w:val="100"/>
          <w:kern w:val="2"/>
          <w:sz w:val="32"/>
          <w:szCs w:val="32"/>
          <w:vertAlign w:val="superscript"/>
          <w:lang w:val="en-US" w:eastAsia="zh-CN" w:bidi="ar-SA"/>
        </w:rPr>
        <w:t>3</w:t>
      </w:r>
      <w:r>
        <w:rPr>
          <w:rStyle w:val="10"/>
          <w:rFonts w:hint="eastAsia" w:ascii="仿宋_GB2312" w:hAnsi="仿宋" w:eastAsia="仿宋_GB2312"/>
          <w:b w:val="0"/>
          <w:i w:val="0"/>
          <w:caps w:val="0"/>
          <w:spacing w:val="0"/>
          <w:w w:val="100"/>
          <w:kern w:val="2"/>
          <w:sz w:val="32"/>
          <w:szCs w:val="32"/>
          <w:lang w:val="en-US" w:eastAsia="zh-CN" w:bidi="ar-SA"/>
        </w:rPr>
        <w:t>混凝土搅拌机组项目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79BAAFD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color w:val="000000"/>
          <w:spacing w:val="-6"/>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位于灵丘县落水河乡固城村东北 1.5 公里处。用地面积23333.45m</w:t>
      </w:r>
      <w:r>
        <w:rPr>
          <w:rStyle w:val="10"/>
          <w:rFonts w:hint="eastAsia" w:ascii="仿宋_GB2312" w:hAnsi="仿宋" w:eastAsia="仿宋_GB2312"/>
          <w:b w:val="0"/>
          <w:i w:val="0"/>
          <w:caps w:val="0"/>
          <w:color w:val="000000"/>
          <w:spacing w:val="0"/>
          <w:w w:val="100"/>
          <w:sz w:val="32"/>
          <w:szCs w:val="32"/>
          <w:vertAlign w:val="superscript"/>
          <w:lang w:val="en-US" w:eastAsia="zh-CN" w:bidi="ar-SA"/>
        </w:rPr>
        <w:t>2</w:t>
      </w:r>
      <w:r>
        <w:rPr>
          <w:rStyle w:val="10"/>
          <w:rFonts w:hint="eastAsia" w:ascii="仿宋_GB2312" w:hAnsi="仿宋" w:eastAsia="仿宋_GB2312"/>
          <w:b w:val="0"/>
          <w:i w:val="0"/>
          <w:caps w:val="0"/>
          <w:color w:val="000000"/>
          <w:spacing w:val="0"/>
          <w:w w:val="100"/>
          <w:sz w:val="32"/>
          <w:szCs w:val="32"/>
          <w:lang w:val="en-US" w:eastAsia="zh-CN" w:bidi="ar-SA"/>
        </w:rPr>
        <w:t>（在现有厂区空地扩建，不新增占地），性质为扩建。</w:t>
      </w:r>
      <w:r>
        <w:rPr>
          <w:rStyle w:val="10"/>
          <w:rFonts w:hint="eastAsia" w:ascii="仿宋_GB2312" w:hAnsi="仿宋" w:eastAsia="仿宋_GB2312" w:cs="Times New Roman"/>
          <w:b w:val="0"/>
          <w:i w:val="0"/>
          <w:caps w:val="0"/>
          <w:spacing w:val="-6"/>
          <w:w w:val="100"/>
          <w:kern w:val="2"/>
          <w:sz w:val="32"/>
          <w:szCs w:val="32"/>
          <w:lang w:val="en-US" w:eastAsia="zh-CN" w:bidi="ar-SA"/>
        </w:rPr>
        <w:t>厂区已建设一条180m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/h的混凝土生产线，年产混凝土12万m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。本次建设规模及内容为拟新增120m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cs="Times New Roman"/>
          <w:b w:val="0"/>
          <w:i w:val="0"/>
          <w:caps w:val="0"/>
          <w:spacing w:val="-6"/>
          <w:w w:val="100"/>
          <w:kern w:val="2"/>
          <w:sz w:val="32"/>
          <w:szCs w:val="32"/>
          <w:lang w:val="en-US" w:eastAsia="zh-CN" w:bidi="ar-SA"/>
        </w:rPr>
        <w:t>/h混凝土生产线1条，在厂区内安装一套搅拌机组，新建生产车间300平方米，进行场地硬化100平方米、绿化150平方米。建成后年新增混凝土产能10万m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3</w:t>
      </w:r>
      <w:r>
        <w:rPr>
          <w:rStyle w:val="10"/>
          <w:rFonts w:hint="eastAsia" w:ascii="仿宋_GB2312" w:hAnsi="仿宋" w:eastAsia="仿宋_GB2312"/>
          <w:b w:val="0"/>
          <w:i w:val="0"/>
          <w:caps w:val="0"/>
          <w:color w:val="000000"/>
          <w:spacing w:val="0"/>
          <w:w w:val="100"/>
          <w:sz w:val="32"/>
          <w:szCs w:val="32"/>
          <w:lang w:val="en-US" w:eastAsia="zh-CN" w:bidi="ar-SA"/>
        </w:rPr>
        <w:t>。</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500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85</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17%</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该项目属于《产业结构调整指导目录（2024年本）》中允许类项目，已取得灵</w:t>
      </w:r>
      <w:r>
        <w:rPr>
          <w:rStyle w:val="10"/>
          <w:rFonts w:hint="eastAsia" w:ascii="仿宋_GB2312" w:hAnsi="仿宋" w:eastAsia="仿宋_GB2312"/>
          <w:b w:val="0"/>
          <w:i w:val="0"/>
          <w:caps w:val="0"/>
          <w:color w:val="000000"/>
          <w:spacing w:val="-20"/>
          <w:w w:val="100"/>
          <w:sz w:val="32"/>
          <w:szCs w:val="32"/>
          <w:lang w:val="en-US" w:eastAsia="zh-CN" w:bidi="ar-SA"/>
        </w:rPr>
        <w:t>丘县发展改革和科技局下发的备案证（项目代码：</w:t>
      </w:r>
      <w:r>
        <w:rPr>
          <w:rStyle w:val="10"/>
          <w:rFonts w:hint="eastAsia" w:ascii="仿宋_GB2312" w:hAnsi="仿宋" w:eastAsia="仿宋_GB2312"/>
          <w:b w:val="0"/>
          <w:i w:val="0"/>
          <w:caps w:val="0"/>
          <w:color w:val="000000"/>
          <w:spacing w:val="0"/>
          <w:w w:val="100"/>
          <w:sz w:val="32"/>
          <w:szCs w:val="32"/>
          <w:lang w:val="en-US" w:eastAsia="zh-CN" w:bidi="ar-SA"/>
        </w:rPr>
        <w:t>2605-140224-89-01-231014）。</w:t>
      </w:r>
      <w:r>
        <w:rPr>
          <w:rStyle w:val="10"/>
          <w:rFonts w:ascii="仿宋_GB2312" w:hAnsi="仿宋" w:eastAsia="仿宋_GB2312"/>
          <w:b w:val="0"/>
          <w:i w:val="0"/>
          <w:caps w:val="0"/>
          <w:color w:val="000000"/>
          <w:spacing w:val="0"/>
          <w:w w:val="100"/>
          <w:sz w:val="32"/>
          <w:szCs w:val="32"/>
          <w:lang w:val="en-US" w:eastAsia="zh-CN" w:bidi="ar-SA"/>
        </w:rPr>
        <w:t>在全</w:t>
      </w:r>
      <w:r>
        <w:rPr>
          <w:rStyle w:val="10"/>
          <w:rFonts w:ascii="仿宋_GB2312" w:hAnsi="仿宋" w:eastAsia="仿宋_GB2312"/>
          <w:b w:val="0"/>
          <w:i w:val="0"/>
          <w:caps w:val="0"/>
          <w:color w:val="000000"/>
          <w:spacing w:val="-6"/>
          <w:w w:val="100"/>
          <w:sz w:val="32"/>
          <w:szCs w:val="32"/>
          <w:lang w:val="en-US" w:eastAsia="zh-CN" w:bidi="ar-SA"/>
        </w:rPr>
        <w:t>面落实《报告表》提出的污染防治和生态保护措施的前提下，工程建设对环境的不利影响可得到缓解和控制。我局原则同意《报告表》所列建设项目的性质、规模、地点、采用的生产工艺和采取的环境保护措施。</w:t>
      </w:r>
    </w:p>
    <w:p w14:paraId="1D923989">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16"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auto"/>
          <w:spacing w:val="-6"/>
          <w:w w:val="100"/>
          <w:kern w:val="2"/>
          <w:sz w:val="32"/>
          <w:szCs w:val="32"/>
          <w:lang w:val="en-US" w:eastAsia="zh-CN" w:bidi="ar-SA"/>
        </w:rPr>
        <w:t>二、</w:t>
      </w:r>
      <w:r>
        <w:rPr>
          <w:rStyle w:val="10"/>
          <w:rFonts w:ascii="仿宋_GB2312" w:hAnsi="仿宋_GB2312" w:eastAsia="仿宋_GB2312"/>
          <w:b w:val="0"/>
          <w:i w:val="0"/>
          <w:caps w:val="0"/>
          <w:color w:val="000000"/>
          <w:spacing w:val="-6"/>
          <w:w w:val="100"/>
          <w:kern w:val="2"/>
          <w:sz w:val="32"/>
          <w:szCs w:val="32"/>
          <w:lang w:val="en-US" w:eastAsia="zh-CN" w:bidi="ar-SA"/>
        </w:rPr>
        <w:t>在项目建设和运行管理中，必须对照《报告表》逐一落实各项环保对策措施，重点做好以下工作：</w:t>
      </w:r>
    </w:p>
    <w:p w14:paraId="0A223D99">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16"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6"/>
          <w:w w:val="100"/>
          <w:kern w:val="2"/>
          <w:sz w:val="32"/>
          <w:szCs w:val="32"/>
          <w:lang w:val="en-US" w:eastAsia="zh-CN" w:bidi="ar-SA"/>
        </w:rPr>
        <w:t>施工过程中</w:t>
      </w:r>
      <w:r>
        <w:rPr>
          <w:rStyle w:val="10"/>
          <w:rFonts w:ascii="仿宋_GB2312" w:hAnsi="仿宋_GB2312" w:eastAsia="仿宋_GB2312"/>
          <w:b w:val="0"/>
          <w:i w:val="0"/>
          <w:caps w:val="0"/>
          <w:color w:val="000000"/>
          <w:spacing w:val="-6"/>
          <w:w w:val="100"/>
          <w:kern w:val="2"/>
          <w:sz w:val="32"/>
          <w:szCs w:val="32"/>
          <w:lang w:val="en-US" w:eastAsia="zh-CN" w:bidi="ar-SA"/>
        </w:rPr>
        <w:t>加强</w:t>
      </w:r>
      <w:r>
        <w:rPr>
          <w:rStyle w:val="10"/>
          <w:rFonts w:hint="eastAsia" w:ascii="仿宋_GB2312" w:hAnsi="仿宋_GB2312" w:eastAsia="仿宋_GB2312"/>
          <w:b w:val="0"/>
          <w:i w:val="0"/>
          <w:caps w:val="0"/>
          <w:color w:val="000000"/>
          <w:spacing w:val="-6"/>
          <w:w w:val="100"/>
          <w:kern w:val="2"/>
          <w:sz w:val="32"/>
          <w:szCs w:val="32"/>
          <w:lang w:val="en-US" w:eastAsia="zh-CN" w:bidi="ar-SA"/>
        </w:rPr>
        <w:t>废气、废水、噪声、固体废物</w:t>
      </w:r>
      <w:r>
        <w:rPr>
          <w:rStyle w:val="10"/>
          <w:rFonts w:ascii="仿宋_GB2312" w:hAnsi="仿宋_GB2312" w:eastAsia="仿宋_GB2312"/>
          <w:b w:val="0"/>
          <w:i w:val="0"/>
          <w:caps w:val="0"/>
          <w:color w:val="000000"/>
          <w:spacing w:val="-6"/>
          <w:w w:val="100"/>
          <w:kern w:val="2"/>
          <w:sz w:val="32"/>
          <w:szCs w:val="32"/>
          <w:lang w:val="en-US" w:eastAsia="zh-CN" w:bidi="ar-SA"/>
        </w:rPr>
        <w:t>环境管理，落实《报告表》提出的各项污染防治措施，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严格执行“六个百分之百”，</w:t>
      </w:r>
      <w:r>
        <w:rPr>
          <w:rStyle w:val="10"/>
          <w:rFonts w:ascii="仿宋_GB2312" w:hAnsi="仿宋_GB2312" w:eastAsia="仿宋_GB2312"/>
          <w:b w:val="0"/>
          <w:i w:val="0"/>
          <w:caps w:val="0"/>
          <w:color w:val="000000"/>
          <w:spacing w:val="-6"/>
          <w:w w:val="100"/>
          <w:kern w:val="2"/>
          <w:sz w:val="32"/>
          <w:szCs w:val="32"/>
          <w:lang w:val="en-US" w:eastAsia="zh-CN" w:bidi="ar-SA"/>
        </w:rPr>
        <w:t>降低对周边的影响。</w:t>
      </w:r>
    </w:p>
    <w:p w14:paraId="67A3BFE3">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firstLine="616" w:firstLineChars="200"/>
        <w:jc w:val="both"/>
        <w:textAlignment w:val="baseline"/>
        <w:rPr>
          <w:rStyle w:val="10"/>
          <w:rFonts w:ascii="仿宋_GB2312" w:hAnsi="仿宋_GB2312" w:eastAsia="仿宋_GB2312"/>
          <w:b w:val="0"/>
          <w:i w:val="0"/>
          <w:caps w:val="0"/>
          <w:color w:val="0000FF"/>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6"/>
          <w:w w:val="100"/>
          <w:kern w:val="2"/>
          <w:sz w:val="32"/>
          <w:szCs w:val="32"/>
          <w:lang w:val="en-US" w:eastAsia="zh-CN" w:bidi="ar-SA"/>
        </w:rPr>
        <w:t>，砂子、石子上料过程产生的颗粒物统一收集后送入1套经布袋除尘器除尘后排放；在3#、4#水泥筒仓、2#粉煤灰筒仓、2#矿粉筒仓仓顶安装MC型脉冲式布袋除尘器，打料产生的粉尘经自带布袋除尘器除尘后通过排气筒排放；搅拌废气经布袋除尘器除尘后排放；骨料配料和斜皮带输送机设封闭式皮带走廊；厂区道路硬化，道路采取清扫、洒水等措施，保持清洁。营运期有组织粉尘执行《水泥工业大气污染物排放标准》（DB14/3176-2024）中表1标准限值，厂区内颗粒物无组织排放执行《水泥工业大气污染物排放标准》（DB14/3176-2024）中表2标准限值，厂界无组织粉尘执行《水泥工业大气污染物排放标准》（GB4915-2013）中表3标准限值。</w:t>
      </w:r>
    </w:p>
    <w:p w14:paraId="35B27E2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16" w:firstLineChars="200"/>
        <w:jc w:val="both"/>
        <w:textAlignment w:val="baseline"/>
        <w:rPr>
          <w:rStyle w:val="10"/>
          <w:rFonts w:hint="eastAsia"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运营期，搅拌机清洗废水、罐车清洗废水、搅拌作业区地面清洗废水通过暗沟排入砂石分离机，废水经砂石分离机分离后，通过管道进入沉淀池，沉淀后清水全部回用于生产；车辆冲洗废水，依托厂区现有洗车平台，经沉淀池沉淀后回用于车辆冲洗；初期雨水依托厂区现有206m</w:t>
      </w:r>
      <w:r>
        <w:rPr>
          <w:rStyle w:val="10"/>
          <w:rFonts w:hint="eastAsia" w:ascii="仿宋_GB2312" w:hAnsi="仿宋_GB2312" w:eastAsia="仿宋_GB2312"/>
          <w:b w:val="0"/>
          <w:i w:val="0"/>
          <w:caps w:val="0"/>
          <w:color w:val="000000"/>
          <w:spacing w:val="-6"/>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6"/>
          <w:w w:val="100"/>
          <w:kern w:val="2"/>
          <w:sz w:val="32"/>
          <w:szCs w:val="32"/>
          <w:lang w:val="en-US" w:eastAsia="zh-CN" w:bidi="ar-SA"/>
        </w:rPr>
        <w:t>初期雨水收集池，收集后经沉淀用于洒水抑尘，不外排。</w:t>
      </w:r>
    </w:p>
    <w:p w14:paraId="34CD748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运营期，风机和水泵等设备采取隔声及基础减振等措施。运营期厂界噪声排放执行《工业企业厂界环境噪声排放标准》（GB12348-2008）中的2类标准。</w:t>
      </w:r>
    </w:p>
    <w:p w14:paraId="79F1333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6"/>
          <w:w w:val="100"/>
          <w:kern w:val="2"/>
          <w:sz w:val="32"/>
          <w:szCs w:val="32"/>
          <w:lang w:val="en-US" w:eastAsia="zh-CN" w:bidi="ar-SA"/>
        </w:rPr>
        <w:t>，除尘灰、砂石和沉淀池沉渣收集回用于生产；实验室试块作为建筑材料出售；废矿物油和废油桶依托厂区现有10m</w:t>
      </w:r>
      <w:r>
        <w:rPr>
          <w:rStyle w:val="10"/>
          <w:rFonts w:hint="eastAsia" w:ascii="仿宋_GB2312" w:hAnsi="仿宋_GB2312" w:eastAsia="仿宋_GB2312"/>
          <w:b w:val="0"/>
          <w:i w:val="0"/>
          <w:caps w:val="0"/>
          <w:color w:val="000000"/>
          <w:spacing w:val="-6"/>
          <w:w w:val="100"/>
          <w:kern w:val="2"/>
          <w:sz w:val="32"/>
          <w:szCs w:val="32"/>
          <w:vertAlign w:val="superscript"/>
          <w:lang w:val="en-US" w:eastAsia="zh-CN" w:bidi="ar-SA"/>
        </w:rPr>
        <w:t>2</w:t>
      </w:r>
      <w:r>
        <w:rPr>
          <w:rStyle w:val="10"/>
          <w:rFonts w:hint="eastAsia" w:ascii="仿宋_GB2312" w:hAnsi="仿宋_GB2312" w:eastAsia="仿宋_GB2312"/>
          <w:b w:val="0"/>
          <w:i w:val="0"/>
          <w:caps w:val="0"/>
          <w:color w:val="000000"/>
          <w:spacing w:val="-6"/>
          <w:w w:val="100"/>
          <w:kern w:val="2"/>
          <w:sz w:val="32"/>
          <w:szCs w:val="32"/>
          <w:lang w:val="en-US" w:eastAsia="zh-CN" w:bidi="ar-SA"/>
        </w:rPr>
        <w:t>危废贮存点暂存，定期交由有资单位处理。危险废物贮存程执行《危险废物贮存污染控制标准》（GB18597-2023）的有关规定。</w:t>
      </w:r>
    </w:p>
    <w:p w14:paraId="43EFA22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hint="eastAsia" w:ascii="仿宋_GB2312" w:hAnsi="仿宋_GB2312" w:eastAsia="仿宋_GB2312"/>
          <w:b w:val="0"/>
          <w:i w:val="0"/>
          <w:caps w:val="0"/>
          <w:color w:val="auto"/>
          <w:spacing w:val="-6"/>
          <w:w w:val="100"/>
          <w:kern w:val="2"/>
          <w:sz w:val="32"/>
          <w:szCs w:val="32"/>
          <w:lang w:val="en-US" w:eastAsia="zh-CN" w:bidi="ar-SA"/>
        </w:rPr>
        <w:t>6、加强厂区的绿化美化工作，改善周边生态环境。</w:t>
      </w:r>
    </w:p>
    <w:p w14:paraId="71B9E8E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ascii="仿宋_GB2312" w:hAnsi="仿宋_GB2312" w:eastAsia="仿宋_GB2312"/>
          <w:b w:val="0"/>
          <w:i w:val="0"/>
          <w:caps w:val="0"/>
          <w:color w:val="auto"/>
          <w:spacing w:val="-6"/>
          <w:w w:val="100"/>
          <w:kern w:val="2"/>
          <w:sz w:val="32"/>
          <w:szCs w:val="32"/>
          <w:lang w:val="en-US" w:eastAsia="zh-CN" w:bidi="ar-SA"/>
        </w:rPr>
        <w:t>三、该项</w:t>
      </w:r>
      <w:r>
        <w:rPr>
          <w:rStyle w:val="10"/>
          <w:rFonts w:hint="eastAsia" w:ascii="仿宋_GB2312" w:hAnsi="仿宋_GB2312" w:eastAsia="仿宋_GB2312"/>
          <w:b w:val="0"/>
          <w:i w:val="0"/>
          <w:caps w:val="0"/>
          <w:color w:val="auto"/>
          <w:spacing w:val="-6"/>
          <w:w w:val="100"/>
          <w:kern w:val="2"/>
          <w:sz w:val="32"/>
          <w:szCs w:val="32"/>
          <w:lang w:val="en-US" w:eastAsia="zh-CN" w:bidi="ar-SA"/>
        </w:rPr>
        <w:t>目污染物排放量为颗粒物 1.773t/a。</w:t>
      </w:r>
    </w:p>
    <w:p w14:paraId="70E1654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33B8E90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color w:val="292929"/>
          <w:spacing w:val="-6"/>
          <w:w w:val="100"/>
          <w:kern w:val="0"/>
          <w:sz w:val="32"/>
          <w:szCs w:val="32"/>
          <w:lang w:val="en-US" w:eastAsia="zh-CN" w:bidi="ar-SA"/>
        </w:rPr>
        <w:t>五、</w:t>
      </w:r>
      <w:r>
        <w:rPr>
          <w:rStyle w:val="10"/>
          <w:rFonts w:ascii="仿宋_GB2312" w:hAnsi="仿宋_GB2312" w:eastAsia="仿宋_GB2312"/>
          <w:b w:val="0"/>
          <w:i w:val="0"/>
          <w:caps w:val="0"/>
          <w:spacing w:val="-6"/>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w:t>
      </w:r>
      <w:r>
        <w:rPr>
          <w:rStyle w:val="10"/>
          <w:rFonts w:ascii="仿宋_GB2312" w:hAnsi="仿宋_GB2312" w:eastAsia="仿宋_GB2312"/>
          <w:b w:val="0"/>
          <w:i w:val="0"/>
          <w:caps w:val="0"/>
          <w:spacing w:val="0"/>
          <w:w w:val="100"/>
          <w:kern w:val="2"/>
          <w:sz w:val="32"/>
          <w:szCs w:val="32"/>
          <w:lang w:val="en-US" w:eastAsia="zh-CN" w:bidi="ar-SA"/>
        </w:rPr>
        <w:t>治污染、防止生态破坏措施发生重大变动的，须报经我局重新审批。</w:t>
      </w:r>
    </w:p>
    <w:p w14:paraId="6459EEC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六、大同市灵丘县生态环境保护综合行政执法队负责该项目建设期及运营期日常监督管理工作。</w:t>
      </w:r>
    </w:p>
    <w:p w14:paraId="6CF79A8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6CC3075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07B3B40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26433C1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6CF9060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0" w:firstLine="3696" w:firstLineChars="1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大同市生态环境局灵丘分局</w:t>
      </w:r>
    </w:p>
    <w:p w14:paraId="5619B91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0" w:firstLine="4312" w:firstLineChars="1400"/>
        <w:jc w:val="both"/>
        <w:textAlignment w:val="baseline"/>
        <w:rPr>
          <w:rFonts w:hint="eastAsia" w:ascii="仿宋_GB2312" w:hAnsi="仿宋_GB2312" w:eastAsia="仿宋_GB2312" w:cs="仿宋_GB2312"/>
          <w:spacing w:val="-6"/>
          <w:sz w:val="32"/>
          <w:szCs w:val="32"/>
        </w:rPr>
      </w:pPr>
      <w:r>
        <w:rPr>
          <w:rStyle w:val="10"/>
          <w:rFonts w:ascii="仿宋_GB2312" w:hAnsi="仿宋_GB2312" w:eastAsia="仿宋_GB2312"/>
          <w:b w:val="0"/>
          <w:i w:val="0"/>
          <w:caps w:val="0"/>
          <w:spacing w:val="-6"/>
          <w:w w:val="100"/>
          <w:kern w:val="2"/>
          <w:sz w:val="32"/>
          <w:szCs w:val="32"/>
          <w:lang w:val="en-US" w:eastAsia="zh-CN" w:bidi="ar-SA"/>
        </w:rPr>
        <w:t>202</w:t>
      </w:r>
      <w:r>
        <w:rPr>
          <w:rStyle w:val="10"/>
          <w:rFonts w:hint="eastAsia" w:ascii="仿宋_GB2312" w:hAnsi="仿宋_GB2312" w:eastAsia="仿宋_GB2312"/>
          <w:b w:val="0"/>
          <w:i w:val="0"/>
          <w:caps w:val="0"/>
          <w:spacing w:val="-6"/>
          <w:w w:val="100"/>
          <w:kern w:val="2"/>
          <w:sz w:val="32"/>
          <w:szCs w:val="32"/>
          <w:lang w:val="en-US" w:eastAsia="zh-CN" w:bidi="ar-SA"/>
        </w:rPr>
        <w:t>6</w:t>
      </w:r>
      <w:r>
        <w:rPr>
          <w:rStyle w:val="10"/>
          <w:rFonts w:ascii="仿宋_GB2312" w:hAnsi="仿宋_GB2312" w:eastAsia="仿宋_GB2312"/>
          <w:b w:val="0"/>
          <w:i w:val="0"/>
          <w:caps w:val="0"/>
          <w:spacing w:val="-6"/>
          <w:w w:val="100"/>
          <w:kern w:val="2"/>
          <w:sz w:val="32"/>
          <w:szCs w:val="32"/>
          <w:lang w:val="en-US" w:eastAsia="zh-CN" w:bidi="ar-SA"/>
        </w:rPr>
        <w:t>年</w:t>
      </w:r>
      <w:r>
        <w:rPr>
          <w:rStyle w:val="10"/>
          <w:rFonts w:hint="eastAsia" w:ascii="仿宋_GB2312" w:hAnsi="仿宋_GB2312" w:eastAsia="仿宋_GB2312"/>
          <w:b w:val="0"/>
          <w:i w:val="0"/>
          <w:caps w:val="0"/>
          <w:spacing w:val="-6"/>
          <w:w w:val="100"/>
          <w:kern w:val="2"/>
          <w:sz w:val="32"/>
          <w:szCs w:val="32"/>
          <w:lang w:val="en-US" w:eastAsia="zh-CN" w:bidi="ar-SA"/>
        </w:rPr>
        <w:t>6</w:t>
      </w:r>
      <w:r>
        <w:rPr>
          <w:rStyle w:val="10"/>
          <w:rFonts w:ascii="仿宋_GB2312" w:hAnsi="仿宋_GB2312" w:eastAsia="仿宋_GB2312"/>
          <w:b w:val="0"/>
          <w:i w:val="0"/>
          <w:caps w:val="0"/>
          <w:spacing w:val="-6"/>
          <w:w w:val="100"/>
          <w:kern w:val="2"/>
          <w:sz w:val="32"/>
          <w:szCs w:val="32"/>
          <w:lang w:val="en-US" w:eastAsia="zh-CN" w:bidi="ar-SA"/>
        </w:rPr>
        <w:t>月</w:t>
      </w:r>
      <w:r>
        <w:rPr>
          <w:rStyle w:val="10"/>
          <w:rFonts w:hint="eastAsia" w:ascii="仿宋_GB2312" w:hAnsi="仿宋_GB2312" w:eastAsia="仿宋_GB2312"/>
          <w:b w:val="0"/>
          <w:i w:val="0"/>
          <w:caps w:val="0"/>
          <w:spacing w:val="-6"/>
          <w:w w:val="100"/>
          <w:kern w:val="2"/>
          <w:sz w:val="32"/>
          <w:szCs w:val="32"/>
          <w:lang w:val="en-US" w:eastAsia="zh-CN" w:bidi="ar-SA"/>
        </w:rPr>
        <w:t>15</w:t>
      </w:r>
      <w:r>
        <w:rPr>
          <w:rStyle w:val="10"/>
          <w:rFonts w:ascii="仿宋_GB2312" w:hAnsi="仿宋_GB2312" w:eastAsia="仿宋_GB2312"/>
          <w:b w:val="0"/>
          <w:i w:val="0"/>
          <w:caps w:val="0"/>
          <w:spacing w:val="-6"/>
          <w:w w:val="100"/>
          <w:kern w:val="2"/>
          <w:sz w:val="32"/>
          <w:szCs w:val="32"/>
          <w:lang w:val="en-US" w:eastAsia="zh-CN" w:bidi="ar-SA"/>
        </w:rPr>
        <w:t>日</w:t>
      </w:r>
    </w:p>
    <w:p w14:paraId="76FB585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6384" w:firstLineChars="1400"/>
        <w:jc w:val="both"/>
        <w:textAlignment w:val="baseline"/>
        <w:rPr>
          <w:rFonts w:hint="eastAsia" w:ascii="仿宋" w:hAnsi="仿宋" w:eastAsia="仿宋" w:cs="仿宋"/>
          <w:color w:val="auto"/>
          <w:spacing w:val="68"/>
          <w:sz w:val="32"/>
          <w:szCs w:val="32"/>
          <w:u w:val="single"/>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33C2BF5"/>
    <w:rsid w:val="09D31663"/>
    <w:rsid w:val="0BC63B74"/>
    <w:rsid w:val="0EEC057A"/>
    <w:rsid w:val="0F6A0E1E"/>
    <w:rsid w:val="10892C41"/>
    <w:rsid w:val="12F34CE0"/>
    <w:rsid w:val="13AC7923"/>
    <w:rsid w:val="178A1E07"/>
    <w:rsid w:val="1E8A2A3D"/>
    <w:rsid w:val="1ED24E6B"/>
    <w:rsid w:val="1EDD7021"/>
    <w:rsid w:val="25462E46"/>
    <w:rsid w:val="290F64C9"/>
    <w:rsid w:val="2AB54E7F"/>
    <w:rsid w:val="3B9F3D19"/>
    <w:rsid w:val="3F9B5BB1"/>
    <w:rsid w:val="42074515"/>
    <w:rsid w:val="48D423BE"/>
    <w:rsid w:val="49D10ACC"/>
    <w:rsid w:val="4EC64BEA"/>
    <w:rsid w:val="4F0C50FB"/>
    <w:rsid w:val="55110DB9"/>
    <w:rsid w:val="5AD216C5"/>
    <w:rsid w:val="61DE04AF"/>
    <w:rsid w:val="64BE25DF"/>
    <w:rsid w:val="689E2EA1"/>
    <w:rsid w:val="6A047FFE"/>
    <w:rsid w:val="71D12885"/>
    <w:rsid w:val="75E361C9"/>
    <w:rsid w:val="7B370D47"/>
    <w:rsid w:val="7BCE7C5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1525</Words>
  <Characters>1645</Characters>
  <Lines>0</Lines>
  <Paragraphs>0</Paragraphs>
  <TotalTime>15</TotalTime>
  <ScaleCrop>false</ScaleCrop>
  <LinksUpToDate>false</LinksUpToDate>
  <CharactersWithSpaces>1647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2026-06-15T02:56:58Z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