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2026〕12</w:t>
      </w:r>
      <w:bookmarkStart w:id="0" w:name="_GoBack"/>
      <w:bookmarkEnd w:id="0"/>
      <w:r>
        <w:rPr>
          <w:rFonts w:hint="eastAsia" w:ascii="仿宋" w:hAnsi="仿宋" w:eastAsia="仿宋" w:cs="仿宋"/>
          <w:spacing w:val="-11"/>
          <w:sz w:val="32"/>
          <w:szCs w:val="32"/>
          <w:lang w:val="en-US" w:eastAsia="zh-CN"/>
        </w:rPr>
        <w:t>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6FE3DC22">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11"/>
          <w:w w:val="100"/>
          <w:kern w:val="2"/>
          <w:sz w:val="44"/>
          <w:szCs w:val="44"/>
          <w:lang w:val="en-US" w:eastAsia="zh-CN" w:bidi="ar-SA"/>
        </w:rPr>
        <w:t>灵丘县晋兴珍珠岩有限公司</w:t>
      </w:r>
    </w:p>
    <w:p w14:paraId="34DBAFB0">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hint="eastAsia" w:ascii="方正小标宋简体" w:hAnsi="方正小标宋简体" w:eastAsia="方正小标宋简体"/>
          <w:b w:val="0"/>
          <w:i w:val="0"/>
          <w:caps w:val="0"/>
          <w:spacing w:val="-11"/>
          <w:w w:val="100"/>
          <w:kern w:val="2"/>
          <w:sz w:val="44"/>
          <w:szCs w:val="44"/>
          <w:lang w:val="en-US" w:eastAsia="zh-CN" w:bidi="ar-SA"/>
        </w:rPr>
        <w:t>珍珠岩加工生产线技改项目</w:t>
      </w:r>
    </w:p>
    <w:p w14:paraId="1DE30F63">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环境影响报告表的批复</w:t>
      </w:r>
    </w:p>
    <w:p w14:paraId="2D4D0A6F">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037F3216">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hint="eastAsia" w:ascii="仿宋_GB2312" w:hAnsi="仿宋" w:eastAsia="仿宋_GB2312"/>
          <w:b w:val="0"/>
          <w:i w:val="0"/>
          <w:caps w:val="0"/>
          <w:spacing w:val="0"/>
          <w:w w:val="100"/>
          <w:kern w:val="2"/>
          <w:sz w:val="32"/>
          <w:szCs w:val="32"/>
          <w:lang w:val="en-US" w:eastAsia="zh-CN" w:bidi="ar-SA"/>
        </w:rPr>
        <w:t>灵丘县晋兴珍珠岩有限公司</w:t>
      </w:r>
      <w:r>
        <w:rPr>
          <w:rStyle w:val="10"/>
          <w:rFonts w:ascii="仿宋_GB2312" w:hAnsi="仿宋_GB2312" w:eastAsia="仿宋_GB2312"/>
          <w:b w:val="0"/>
          <w:i w:val="0"/>
          <w:caps w:val="0"/>
          <w:spacing w:val="0"/>
          <w:w w:val="100"/>
          <w:kern w:val="2"/>
          <w:sz w:val="32"/>
          <w:szCs w:val="32"/>
          <w:lang w:val="en-US" w:eastAsia="zh-CN" w:bidi="ar-SA"/>
        </w:rPr>
        <w:t>：</w:t>
      </w:r>
    </w:p>
    <w:p w14:paraId="775564E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 w:eastAsia="仿宋_GB2312"/>
          <w:b w:val="0"/>
          <w:i w:val="0"/>
          <w:caps w:val="0"/>
          <w:spacing w:val="0"/>
          <w:w w:val="100"/>
          <w:kern w:val="2"/>
          <w:sz w:val="32"/>
          <w:szCs w:val="32"/>
          <w:lang w:val="en-US" w:eastAsia="zh-CN" w:bidi="ar-SA"/>
        </w:rPr>
      </w:pPr>
      <w:r>
        <w:rPr>
          <w:rStyle w:val="10"/>
          <w:rFonts w:ascii="仿宋_GB2312" w:hAnsi="仿宋" w:eastAsia="仿宋_GB2312"/>
          <w:b w:val="0"/>
          <w:i w:val="0"/>
          <w:caps w:val="0"/>
          <w:spacing w:val="0"/>
          <w:w w:val="100"/>
          <w:kern w:val="2"/>
          <w:sz w:val="32"/>
          <w:szCs w:val="32"/>
          <w:lang w:val="en-US" w:eastAsia="zh-CN" w:bidi="ar-SA"/>
        </w:rPr>
        <w:t>你公司</w:t>
      </w:r>
      <w:r>
        <w:rPr>
          <w:rStyle w:val="10"/>
          <w:rFonts w:hint="eastAsia" w:ascii="仿宋_GB2312" w:hAnsi="仿宋" w:eastAsia="仿宋_GB2312"/>
          <w:b w:val="0"/>
          <w:i w:val="0"/>
          <w:caps w:val="0"/>
          <w:spacing w:val="0"/>
          <w:w w:val="100"/>
          <w:kern w:val="2"/>
          <w:sz w:val="32"/>
          <w:szCs w:val="32"/>
          <w:lang w:val="en-US" w:eastAsia="zh-CN" w:bidi="ar-SA"/>
        </w:rPr>
        <w:t>关于</w:t>
      </w:r>
      <w:r>
        <w:rPr>
          <w:rStyle w:val="10"/>
          <w:rFonts w:ascii="仿宋_GB2312" w:hAnsi="仿宋" w:eastAsia="仿宋_GB2312"/>
          <w:b w:val="0"/>
          <w:i w:val="0"/>
          <w:caps w:val="0"/>
          <w:spacing w:val="0"/>
          <w:w w:val="100"/>
          <w:kern w:val="2"/>
          <w:sz w:val="32"/>
          <w:szCs w:val="32"/>
          <w:lang w:val="en-US" w:eastAsia="zh-CN" w:bidi="ar-SA"/>
        </w:rPr>
        <w:t>《</w:t>
      </w:r>
      <w:r>
        <w:rPr>
          <w:rStyle w:val="10"/>
          <w:rFonts w:hint="eastAsia" w:ascii="仿宋_GB2312" w:hAnsi="仿宋" w:eastAsia="仿宋_GB2312"/>
          <w:b w:val="0"/>
          <w:i w:val="0"/>
          <w:caps w:val="0"/>
          <w:spacing w:val="0"/>
          <w:w w:val="100"/>
          <w:kern w:val="2"/>
          <w:sz w:val="32"/>
          <w:szCs w:val="32"/>
          <w:lang w:val="en-US" w:eastAsia="zh-CN" w:bidi="ar-SA"/>
        </w:rPr>
        <w:t>灵丘县晋兴珍珠岩有限公司珍珠岩加工生产线技改项目</w:t>
      </w:r>
      <w:r>
        <w:rPr>
          <w:rStyle w:val="10"/>
          <w:rFonts w:ascii="仿宋_GB2312" w:hAnsi="仿宋" w:eastAsia="仿宋_GB2312"/>
          <w:b w:val="0"/>
          <w:i w:val="0"/>
          <w:caps w:val="0"/>
          <w:spacing w:val="0"/>
          <w:w w:val="100"/>
          <w:kern w:val="2"/>
          <w:sz w:val="32"/>
          <w:szCs w:val="32"/>
          <w:lang w:val="en-US" w:eastAsia="zh-CN" w:bidi="ar-SA"/>
        </w:rPr>
        <w:t>环境影响报告表》（以下简称《报</w:t>
      </w:r>
      <w:r>
        <w:rPr>
          <w:rStyle w:val="10"/>
          <w:rFonts w:ascii="仿宋_GB2312" w:hAnsi="仿宋" w:eastAsia="仿宋_GB2312"/>
          <w:b w:val="0"/>
          <w:i w:val="0"/>
          <w:caps w:val="0"/>
          <w:spacing w:val="-6"/>
          <w:w w:val="100"/>
          <w:kern w:val="2"/>
          <w:sz w:val="32"/>
          <w:szCs w:val="32"/>
          <w:lang w:val="en-US" w:eastAsia="zh-CN" w:bidi="ar-SA"/>
        </w:rPr>
        <w:t>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w:t>
      </w:r>
      <w:r>
        <w:rPr>
          <w:rStyle w:val="10"/>
          <w:rFonts w:hint="eastAsia" w:ascii="仿宋_GB2312" w:hAnsi="仿宋" w:eastAsia="仿宋_GB2312"/>
          <w:b w:val="0"/>
          <w:i w:val="0"/>
          <w:caps w:val="0"/>
          <w:spacing w:val="0"/>
          <w:w w:val="100"/>
          <w:kern w:val="2"/>
          <w:sz w:val="32"/>
          <w:szCs w:val="32"/>
          <w:lang w:val="en-US" w:eastAsia="zh-CN" w:bidi="ar-SA"/>
        </w:rPr>
        <w:t>灵丘县晋兴珍珠岩有限公司珍珠岩加工生产线技改项目</w:t>
      </w:r>
      <w:r>
        <w:rPr>
          <w:rStyle w:val="10"/>
          <w:rFonts w:hint="eastAsia" w:ascii="仿宋_GB2312" w:hAnsi="仿宋" w:eastAsia="仿宋_GB2312"/>
          <w:b w:val="0"/>
          <w:i w:val="0"/>
          <w:caps w:val="0"/>
          <w:spacing w:val="-6"/>
          <w:w w:val="100"/>
          <w:kern w:val="2"/>
          <w:sz w:val="32"/>
          <w:szCs w:val="32"/>
          <w:lang w:val="en-US" w:eastAsia="zh-CN" w:bidi="ar-SA"/>
        </w:rPr>
        <w:t>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4C3656B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_GB2312" w:eastAsia="仿宋_GB2312"/>
          <w:b w:val="0"/>
          <w:i w:val="0"/>
          <w:caps w:val="0"/>
          <w:color w:val="000000"/>
          <w:spacing w:val="0"/>
          <w:w w:val="100"/>
          <w:sz w:val="32"/>
          <w:szCs w:val="32"/>
          <w:lang w:val="en-US" w:eastAsia="zh-CN" w:bidi="ar-SA"/>
        </w:rPr>
      </w:pPr>
      <w:r>
        <w:rPr>
          <w:rStyle w:val="10"/>
          <w:rFonts w:ascii="仿宋_GB2312" w:hAnsi="仿宋" w:eastAsia="仿宋_GB2312"/>
          <w:b w:val="0"/>
          <w:i w:val="0"/>
          <w:caps w:val="0"/>
          <w:color w:val="000000"/>
          <w:spacing w:val="0"/>
          <w:w w:val="100"/>
          <w:sz w:val="32"/>
          <w:szCs w:val="32"/>
          <w:lang w:val="en-US" w:eastAsia="zh-CN" w:bidi="ar-SA"/>
        </w:rPr>
        <w:t>一、该项目</w:t>
      </w:r>
      <w:r>
        <w:rPr>
          <w:rStyle w:val="10"/>
          <w:rFonts w:hint="eastAsia" w:ascii="仿宋_GB2312" w:hAnsi="仿宋" w:eastAsia="仿宋_GB2312"/>
          <w:b w:val="0"/>
          <w:i w:val="0"/>
          <w:caps w:val="0"/>
          <w:color w:val="000000"/>
          <w:spacing w:val="0"/>
          <w:w w:val="100"/>
          <w:sz w:val="32"/>
          <w:szCs w:val="32"/>
          <w:lang w:val="en-US" w:eastAsia="zh-CN" w:bidi="ar-SA"/>
        </w:rPr>
        <w:t>位于山西省大同市灵丘县石家田乡牛角坝村北侧约1.3km处。</w:t>
      </w:r>
      <w:r>
        <w:rPr>
          <w:rStyle w:val="10"/>
          <w:rFonts w:hint="eastAsia" w:ascii="仿宋_GB2312" w:hAnsi="仿宋" w:eastAsia="仿宋_GB2312" w:cs="Times New Roman"/>
          <w:b w:val="0"/>
          <w:i w:val="0"/>
          <w:caps w:val="0"/>
          <w:spacing w:val="-6"/>
          <w:w w:val="100"/>
          <w:kern w:val="2"/>
          <w:sz w:val="32"/>
          <w:szCs w:val="32"/>
          <w:lang w:val="en-US" w:eastAsia="zh-CN" w:bidi="ar-SA"/>
        </w:rPr>
        <w:t>建设规模及内容为</w:t>
      </w:r>
      <w:r>
        <w:rPr>
          <w:rStyle w:val="10"/>
          <w:rFonts w:hint="eastAsia" w:ascii="仿宋_GB2312" w:hAnsi="仿宋" w:eastAsia="仿宋_GB2312"/>
          <w:b w:val="0"/>
          <w:i w:val="0"/>
          <w:caps w:val="0"/>
          <w:color w:val="000000"/>
          <w:spacing w:val="0"/>
          <w:w w:val="100"/>
          <w:sz w:val="32"/>
          <w:szCs w:val="32"/>
          <w:lang w:val="en-US" w:eastAsia="zh-CN" w:bidi="ar-SA"/>
        </w:rPr>
        <w:t>购置烘干炉、筛分等生产设备，配备环保除尘等设备。完善配套工程及绿化等设施，完成年产5万吨珍珠岩加工生产线的技术改造。</w:t>
      </w:r>
      <w:r>
        <w:rPr>
          <w:rStyle w:val="10"/>
          <w:rFonts w:ascii="仿宋_GB2312" w:hAnsi="仿宋" w:eastAsia="仿宋_GB2312"/>
          <w:b w:val="0"/>
          <w:i w:val="0"/>
          <w:caps w:val="0"/>
          <w:color w:val="auto"/>
          <w:spacing w:val="0"/>
          <w:w w:val="100"/>
          <w:sz w:val="32"/>
          <w:szCs w:val="32"/>
          <w:lang w:val="en-US" w:eastAsia="zh-CN" w:bidi="ar-SA"/>
        </w:rPr>
        <w:t>项目总投资</w:t>
      </w:r>
      <w:r>
        <w:rPr>
          <w:rStyle w:val="10"/>
          <w:rFonts w:hint="eastAsia" w:ascii="仿宋_GB2312" w:hAnsi="仿宋" w:eastAsia="仿宋_GB2312"/>
          <w:b w:val="0"/>
          <w:i w:val="0"/>
          <w:caps w:val="0"/>
          <w:color w:val="auto"/>
          <w:spacing w:val="0"/>
          <w:w w:val="100"/>
          <w:sz w:val="32"/>
          <w:szCs w:val="32"/>
          <w:lang w:val="en-US" w:eastAsia="zh-CN" w:bidi="ar-SA"/>
        </w:rPr>
        <w:t>100</w:t>
      </w:r>
      <w:r>
        <w:rPr>
          <w:rStyle w:val="10"/>
          <w:rFonts w:ascii="仿宋_GB2312" w:hAnsi="仿宋" w:eastAsia="仿宋_GB2312"/>
          <w:b w:val="0"/>
          <w:i w:val="0"/>
          <w:caps w:val="0"/>
          <w:color w:val="auto"/>
          <w:spacing w:val="0"/>
          <w:w w:val="100"/>
          <w:sz w:val="32"/>
          <w:szCs w:val="32"/>
          <w:lang w:val="en-US" w:eastAsia="zh-CN" w:bidi="ar-SA"/>
        </w:rPr>
        <w:t>万元，环保投资</w:t>
      </w:r>
      <w:r>
        <w:rPr>
          <w:rStyle w:val="10"/>
          <w:rFonts w:hint="eastAsia" w:ascii="仿宋_GB2312" w:hAnsi="仿宋" w:eastAsia="仿宋_GB2312"/>
          <w:b w:val="0"/>
          <w:i w:val="0"/>
          <w:caps w:val="0"/>
          <w:color w:val="auto"/>
          <w:spacing w:val="0"/>
          <w:w w:val="100"/>
          <w:sz w:val="32"/>
          <w:szCs w:val="32"/>
          <w:lang w:val="en-US" w:eastAsia="zh-CN" w:bidi="ar-SA"/>
        </w:rPr>
        <w:t>80</w:t>
      </w:r>
      <w:r>
        <w:rPr>
          <w:rStyle w:val="10"/>
          <w:rFonts w:ascii="仿宋_GB2312" w:hAnsi="仿宋" w:eastAsia="仿宋_GB2312"/>
          <w:b w:val="0"/>
          <w:i w:val="0"/>
          <w:caps w:val="0"/>
          <w:color w:val="auto"/>
          <w:spacing w:val="0"/>
          <w:w w:val="100"/>
          <w:sz w:val="32"/>
          <w:szCs w:val="32"/>
          <w:lang w:val="en-US" w:eastAsia="zh-CN" w:bidi="ar-SA"/>
        </w:rPr>
        <w:t>万元，占总投资比例的</w:t>
      </w:r>
      <w:r>
        <w:rPr>
          <w:rStyle w:val="10"/>
          <w:rFonts w:hint="eastAsia" w:ascii="仿宋_GB2312" w:hAnsi="仿宋" w:eastAsia="仿宋_GB2312"/>
          <w:b w:val="0"/>
          <w:i w:val="0"/>
          <w:caps w:val="0"/>
          <w:color w:val="auto"/>
          <w:spacing w:val="0"/>
          <w:w w:val="100"/>
          <w:sz w:val="32"/>
          <w:szCs w:val="32"/>
          <w:lang w:val="en-US" w:eastAsia="zh-CN" w:bidi="ar-SA"/>
        </w:rPr>
        <w:t>80%</w:t>
      </w:r>
      <w:r>
        <w:rPr>
          <w:rStyle w:val="10"/>
          <w:rFonts w:ascii="仿宋_GB2312" w:hAnsi="仿宋" w:eastAsia="仿宋_GB2312"/>
          <w:b w:val="0"/>
          <w:i w:val="0"/>
          <w:caps w:val="0"/>
          <w:color w:val="auto"/>
          <w:spacing w:val="0"/>
          <w:w w:val="100"/>
          <w:sz w:val="32"/>
          <w:szCs w:val="32"/>
          <w:lang w:val="en-US" w:eastAsia="zh-CN" w:bidi="ar-SA"/>
        </w:rPr>
        <w:t>。</w:t>
      </w:r>
      <w:r>
        <w:rPr>
          <w:rStyle w:val="10"/>
          <w:rFonts w:hint="eastAsia" w:ascii="仿宋_GB2312" w:hAnsi="仿宋" w:eastAsia="仿宋_GB2312"/>
          <w:b w:val="0"/>
          <w:i w:val="0"/>
          <w:caps w:val="0"/>
          <w:color w:val="000000"/>
          <w:spacing w:val="0"/>
          <w:w w:val="100"/>
          <w:sz w:val="32"/>
          <w:szCs w:val="32"/>
          <w:lang w:val="en-US" w:eastAsia="zh-CN" w:bidi="ar-SA"/>
        </w:rPr>
        <w:t>该项目属于《产业结构调整指导目录（2024年本）》中允许类项目，已取得灵</w:t>
      </w:r>
      <w:r>
        <w:rPr>
          <w:rStyle w:val="10"/>
          <w:rFonts w:hint="eastAsia" w:ascii="仿宋_GB2312" w:hAnsi="仿宋" w:eastAsia="仿宋_GB2312"/>
          <w:b w:val="0"/>
          <w:i w:val="0"/>
          <w:caps w:val="0"/>
          <w:color w:val="000000"/>
          <w:spacing w:val="-20"/>
          <w:w w:val="100"/>
          <w:sz w:val="32"/>
          <w:szCs w:val="32"/>
          <w:lang w:val="en-US" w:eastAsia="zh-CN" w:bidi="ar-SA"/>
        </w:rPr>
        <w:t>丘县发展改革和科技局下发的备案证（项目代码：</w:t>
      </w:r>
      <w:r>
        <w:rPr>
          <w:rStyle w:val="10"/>
          <w:rFonts w:hint="eastAsia" w:ascii="仿宋_GB2312" w:hAnsi="仿宋" w:eastAsia="仿宋_GB2312"/>
          <w:b w:val="0"/>
          <w:i w:val="0"/>
          <w:caps w:val="0"/>
          <w:color w:val="000000"/>
          <w:spacing w:val="0"/>
          <w:w w:val="100"/>
          <w:sz w:val="32"/>
          <w:szCs w:val="32"/>
          <w:lang w:val="en-US" w:eastAsia="zh-CN" w:bidi="ar-SA"/>
        </w:rPr>
        <w:t>2507-140224-89-02-460408）。</w:t>
      </w:r>
      <w:r>
        <w:rPr>
          <w:rStyle w:val="10"/>
          <w:rFonts w:ascii="仿宋_GB2312" w:hAnsi="仿宋" w:eastAsia="仿宋_GB2312"/>
          <w:b w:val="0"/>
          <w:i w:val="0"/>
          <w:caps w:val="0"/>
          <w:color w:val="000000"/>
          <w:spacing w:val="0"/>
          <w:w w:val="100"/>
          <w:sz w:val="32"/>
          <w:szCs w:val="32"/>
          <w:lang w:val="en-US" w:eastAsia="zh-CN" w:bidi="ar-SA"/>
        </w:rPr>
        <w:t>在全面落实《报告表》提出的污染防治和生态保护措施的前提下，工程建设对环境的不利影响可得到缓解和控制。我局原则同意《报告表》所列建设项目的性质、规模、地点、采用的生产工艺和采取的环境保护措施。</w:t>
      </w:r>
    </w:p>
    <w:p w14:paraId="7F32EBAB">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二、</w:t>
      </w:r>
      <w:r>
        <w:rPr>
          <w:rStyle w:val="10"/>
          <w:rFonts w:ascii="仿宋_GB2312" w:hAnsi="仿宋_GB2312" w:eastAsia="仿宋_GB2312"/>
          <w:b w:val="0"/>
          <w:i w:val="0"/>
          <w:caps w:val="0"/>
          <w:color w:val="000000"/>
          <w:spacing w:val="0"/>
          <w:w w:val="100"/>
          <w:kern w:val="2"/>
          <w:sz w:val="32"/>
          <w:szCs w:val="32"/>
          <w:lang w:val="en-US" w:eastAsia="zh-CN" w:bidi="ar-SA"/>
        </w:rPr>
        <w:t>在项目建设和运行管理中，必须对照《报告表》逐一落实各项环保对策措施，重点做好以下工作：</w:t>
      </w:r>
    </w:p>
    <w:p w14:paraId="14351C37">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0"/>
          <w:w w:val="100"/>
          <w:kern w:val="2"/>
          <w:sz w:val="32"/>
          <w:szCs w:val="32"/>
          <w:lang w:val="en-US" w:eastAsia="zh-CN" w:bidi="ar-SA"/>
        </w:rPr>
        <w:t>施工过程中</w:t>
      </w:r>
      <w:r>
        <w:rPr>
          <w:rStyle w:val="10"/>
          <w:rFonts w:ascii="仿宋_GB2312" w:hAnsi="仿宋_GB2312" w:eastAsia="仿宋_GB2312"/>
          <w:b w:val="0"/>
          <w:i w:val="0"/>
          <w:caps w:val="0"/>
          <w:color w:val="000000"/>
          <w:spacing w:val="0"/>
          <w:w w:val="100"/>
          <w:kern w:val="2"/>
          <w:sz w:val="32"/>
          <w:szCs w:val="32"/>
          <w:lang w:val="en-US" w:eastAsia="zh-CN" w:bidi="ar-SA"/>
        </w:rPr>
        <w:t>加强</w:t>
      </w:r>
      <w:r>
        <w:rPr>
          <w:rStyle w:val="10"/>
          <w:rFonts w:hint="eastAsia" w:ascii="仿宋_GB2312" w:hAnsi="仿宋_GB2312" w:eastAsia="仿宋_GB2312"/>
          <w:b w:val="0"/>
          <w:i w:val="0"/>
          <w:caps w:val="0"/>
          <w:color w:val="000000"/>
          <w:spacing w:val="0"/>
          <w:w w:val="100"/>
          <w:kern w:val="2"/>
          <w:sz w:val="32"/>
          <w:szCs w:val="32"/>
          <w:lang w:val="en-US" w:eastAsia="zh-CN" w:bidi="ar-SA"/>
        </w:rPr>
        <w:t>废气、废水、噪声、固体废物</w:t>
      </w:r>
      <w:r>
        <w:rPr>
          <w:rStyle w:val="10"/>
          <w:rFonts w:ascii="仿宋_GB2312" w:hAnsi="仿宋_GB2312" w:eastAsia="仿宋_GB2312"/>
          <w:b w:val="0"/>
          <w:i w:val="0"/>
          <w:caps w:val="0"/>
          <w:color w:val="000000"/>
          <w:spacing w:val="0"/>
          <w:w w:val="100"/>
          <w:kern w:val="2"/>
          <w:sz w:val="32"/>
          <w:szCs w:val="32"/>
          <w:lang w:val="en-US" w:eastAsia="zh-CN" w:bidi="ar-SA"/>
        </w:rPr>
        <w:t>环境管理，落实《报告表》提出的各项污染防治措施，降低对周边的影响。</w:t>
      </w:r>
    </w:p>
    <w:p w14:paraId="117256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0"/>
          <w:rFonts w:ascii="仿宋_GB2312" w:hAnsi="仿宋_GB2312" w:eastAsia="仿宋_GB2312"/>
          <w:b w:val="0"/>
          <w:i w:val="0"/>
          <w:caps w:val="0"/>
          <w:color w:val="0000FF"/>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设全封闭原料库、成品库（采用钢结构，全封闭设置，地面防渗硬化），受料坑地埋式设计，车辆出入口采用自动感应密闭门；设洗车平台；输送皮带全封闭；拟在上料斗+颚破机设置2个集尘罩+1台除尘器，粉尘经集尘罩收集后经布袋除尘器处理后通过排气筒排放；3个筛分组共39台筛分机设置39个集尘罩，3台除尘器，粉尘经集尘罩收集后经布袋除尘器处理后通过排气筒排放；拟在1台立式锤破、2台振动筛、6个对辊机设置9个集尘罩+1台除尘器，粉尘经集尘罩收集后经布袋除尘器处理后通过排气筒排放；2台选粉机及输送通道全密闭，粉尘经集尘管道收集后经布袋除尘器处理后通过排气筒排放；烘干炉烟气经布袋除尘器处理后通过排气筒排放。运营期有组织及无组织粉尘执行《大气污染物综合排放标准》（GB16297-1996）中表2排放限值。其中烘干炉烟气满足《山西省工业炉窑大气污染综合治理实施方案》（晋环大气[2019]164号）中暂未制定行业排放标准的工业炉窑排放标准限值要求</w:t>
      </w:r>
      <w:r>
        <w:rPr>
          <w:rStyle w:val="10"/>
          <w:rFonts w:hint="eastAsia" w:ascii="仿宋_GB2312" w:hAnsi="仿宋_GB2312" w:eastAsia="仿宋_GB2312"/>
          <w:b w:val="0"/>
          <w:i w:val="0"/>
          <w:caps w:val="0"/>
          <w:color w:val="000000"/>
          <w:spacing w:val="-6"/>
          <w:w w:val="100"/>
          <w:kern w:val="2"/>
          <w:sz w:val="32"/>
          <w:szCs w:val="32"/>
          <w:lang w:val="en-US" w:eastAsia="zh-CN" w:bidi="ar-SA"/>
        </w:rPr>
        <w:t>。</w:t>
      </w:r>
    </w:p>
    <w:p w14:paraId="0065C4C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运营期，厂区设置旱厕，生活污水排入旱厕，定期清掏；洗车平台废水沉淀后回用，不外排；新建230m³初期雨水收集池，雨水经收集沉淀后，用于厂区抑尘，不外排。</w:t>
      </w:r>
    </w:p>
    <w:p w14:paraId="7D03AAA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运营期，选用低噪声设备、生产设备全部置于室内，设置基础减震、建筑物隔声，运输车辆限速、禁鸣笛；装载机定期维护保持良好工况等措施。运营期厂界噪</w:t>
      </w:r>
      <w:r>
        <w:rPr>
          <w:rStyle w:val="10"/>
          <w:rFonts w:hint="eastAsia" w:ascii="仿宋_GB2312" w:hAnsi="仿宋_GB2312" w:eastAsia="仿宋_GB2312"/>
          <w:b w:val="0"/>
          <w:i w:val="0"/>
          <w:caps w:val="0"/>
          <w:color w:val="000000"/>
          <w:spacing w:val="-6"/>
          <w:w w:val="100"/>
          <w:kern w:val="2"/>
          <w:sz w:val="32"/>
          <w:szCs w:val="32"/>
          <w:lang w:val="en-US" w:eastAsia="zh-CN" w:bidi="ar-SA"/>
        </w:rPr>
        <w:t>声排放执行《工业企业厂界环境噪声排放标准》</w:t>
      </w:r>
      <w:r>
        <w:rPr>
          <w:rStyle w:val="10"/>
          <w:rFonts w:hint="eastAsia" w:ascii="仿宋_GB2312" w:hAnsi="仿宋_GB2312" w:eastAsia="仿宋_GB2312"/>
          <w:b w:val="0"/>
          <w:i w:val="0"/>
          <w:caps w:val="0"/>
          <w:color w:val="000000"/>
          <w:spacing w:val="0"/>
          <w:w w:val="100"/>
          <w:kern w:val="2"/>
          <w:sz w:val="32"/>
          <w:szCs w:val="32"/>
          <w:lang w:val="en-US" w:eastAsia="zh-CN" w:bidi="ar-SA"/>
        </w:rPr>
        <w:t>（GB12348-2008）中的2类标准。</w:t>
      </w:r>
    </w:p>
    <w:p w14:paraId="39EDC5C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，除尘灰收集后作为产品外售。沉淀池沉渣外售于建材厂。废矿物油、废油桶暂存于10m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2</w:t>
      </w:r>
      <w:r>
        <w:rPr>
          <w:rStyle w:val="10"/>
          <w:rFonts w:hint="eastAsia" w:ascii="仿宋_GB2312" w:hAnsi="仿宋_GB2312" w:eastAsia="仿宋_GB2312"/>
          <w:b w:val="0"/>
          <w:i w:val="0"/>
          <w:caps w:val="0"/>
          <w:color w:val="000000"/>
          <w:spacing w:val="0"/>
          <w:w w:val="100"/>
          <w:kern w:val="2"/>
          <w:sz w:val="32"/>
          <w:szCs w:val="32"/>
          <w:lang w:val="en-US" w:eastAsia="zh-CN" w:bidi="ar-SA"/>
        </w:rPr>
        <w:t>危废贮存点，定期交由有资单位处理；生活垃圾统一收集后，由环卫部门统一处置。一般工业固体废物执行《一般工业固体废物贮存和填埋污染控制标准》（GB18599-2020）中的有关规定。危险废物贮存设施执行《危险废物贮存污染控制标准》（GB18597-2023）</w:t>
      </w:r>
      <w:r>
        <w:rPr>
          <w:rStyle w:val="10"/>
          <w:rFonts w:hint="eastAsia" w:ascii="仿宋_GB2312" w:hAnsi="仿宋_GB2312" w:eastAsia="仿宋_GB2312"/>
          <w:b w:val="0"/>
          <w:i w:val="0"/>
          <w:caps w:val="0"/>
          <w:color w:val="auto"/>
          <w:spacing w:val="0"/>
          <w:w w:val="100"/>
          <w:kern w:val="2"/>
          <w:sz w:val="32"/>
          <w:szCs w:val="32"/>
          <w:lang w:val="en-US" w:eastAsia="zh-CN" w:bidi="ar-SA"/>
        </w:rPr>
        <w:t>中的有关规定</w:t>
      </w:r>
      <w:r>
        <w:rPr>
          <w:rStyle w:val="10"/>
          <w:rFonts w:hint="eastAsia" w:ascii="仿宋_GB2312" w:hAnsi="仿宋_GB2312" w:eastAsia="仿宋_GB2312"/>
          <w:b w:val="0"/>
          <w:i w:val="0"/>
          <w:caps w:val="0"/>
          <w:color w:val="000000"/>
          <w:spacing w:val="0"/>
          <w:w w:val="100"/>
          <w:kern w:val="2"/>
          <w:sz w:val="32"/>
          <w:szCs w:val="32"/>
          <w:lang w:val="en-US" w:eastAsia="zh-CN" w:bidi="ar-SA"/>
        </w:rPr>
        <w:t>。</w:t>
      </w:r>
    </w:p>
    <w:p w14:paraId="51FEF5F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hint="eastAsia" w:ascii="仿宋_GB2312" w:hAnsi="仿宋_GB2312" w:eastAsia="仿宋_GB2312"/>
          <w:b w:val="0"/>
          <w:i w:val="0"/>
          <w:caps w:val="0"/>
          <w:color w:val="auto"/>
          <w:spacing w:val="0"/>
          <w:w w:val="100"/>
          <w:kern w:val="2"/>
          <w:sz w:val="32"/>
          <w:szCs w:val="32"/>
          <w:lang w:val="en-US" w:eastAsia="zh-CN" w:bidi="ar-SA"/>
        </w:rPr>
        <w:t>6、加强厂区的绿化美化工作，改善周边生态环境。</w:t>
      </w:r>
    </w:p>
    <w:p w14:paraId="3AD61EC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三、该项</w:t>
      </w:r>
      <w:r>
        <w:rPr>
          <w:rStyle w:val="10"/>
          <w:rFonts w:hint="eastAsia" w:ascii="仿宋_GB2312" w:hAnsi="仿宋_GB2312" w:eastAsia="仿宋_GB2312"/>
          <w:b w:val="0"/>
          <w:i w:val="0"/>
          <w:caps w:val="0"/>
          <w:color w:val="auto"/>
          <w:spacing w:val="0"/>
          <w:w w:val="100"/>
          <w:kern w:val="2"/>
          <w:sz w:val="32"/>
          <w:szCs w:val="32"/>
          <w:lang w:val="en-US" w:eastAsia="zh-CN" w:bidi="ar-SA"/>
        </w:rPr>
        <w:t>目污染物排放量为颗粒物2.895t/a，二氧化硫 0.006t/a、氮氧化物0.366t/a。</w:t>
      </w:r>
    </w:p>
    <w:p w14:paraId="6DB9501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3B8F8CA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color w:val="292929"/>
          <w:spacing w:val="0"/>
          <w:w w:val="100"/>
          <w:kern w:val="0"/>
          <w:sz w:val="32"/>
          <w:szCs w:val="32"/>
          <w:lang w:val="en-US" w:eastAsia="zh-CN" w:bidi="ar-SA"/>
        </w:rPr>
        <w:t>五、</w:t>
      </w:r>
      <w:r>
        <w:rPr>
          <w:rStyle w:val="10"/>
          <w:rFonts w:ascii="仿宋_GB2312" w:hAnsi="仿宋_GB2312" w:eastAsia="仿宋_GB2312"/>
          <w:b w:val="0"/>
          <w:i w:val="0"/>
          <w:caps w:val="0"/>
          <w:spacing w:val="0"/>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治污染、防止生态破坏措施发生重大变动的，须报经我局重新审批。</w:t>
      </w:r>
    </w:p>
    <w:p w14:paraId="77BA850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六、大同市灵丘县生态环境保护综合行政执法队负责该项目建设期及运营期日常监督管理工作。</w:t>
      </w:r>
    </w:p>
    <w:p w14:paraId="1743B8F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55D86A9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31D17B8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1C08969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0AEE849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639E5E9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firstLine="3840" w:firstLineChars="1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大同市生态环境局灵丘分局</w:t>
      </w:r>
    </w:p>
    <w:p w14:paraId="3908D5D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baseline"/>
        <w:rPr>
          <w:rFonts w:hint="eastAsia" w:ascii="仿宋_GB2312" w:hAnsi="仿宋_GB2312" w:eastAsia="仿宋_GB2312" w:cs="仿宋_GB2312"/>
          <w:spacing w:val="0"/>
          <w:sz w:val="32"/>
          <w:szCs w:val="32"/>
        </w:rPr>
      </w:pPr>
      <w:r>
        <w:rPr>
          <w:rStyle w:val="10"/>
          <w:rFonts w:ascii="仿宋_GB2312" w:hAnsi="仿宋_GB2312" w:eastAsia="仿宋_GB2312"/>
          <w:b w:val="0"/>
          <w:i w:val="0"/>
          <w:caps w:val="0"/>
          <w:spacing w:val="0"/>
          <w:w w:val="100"/>
          <w:kern w:val="2"/>
          <w:sz w:val="32"/>
          <w:szCs w:val="32"/>
          <w:lang w:val="en-US" w:eastAsia="zh-CN" w:bidi="ar-SA"/>
        </w:rPr>
        <w:t>202</w:t>
      </w:r>
      <w:r>
        <w:rPr>
          <w:rStyle w:val="10"/>
          <w:rFonts w:hint="eastAsia" w:ascii="仿宋_GB2312" w:hAnsi="仿宋_GB2312" w:eastAsia="仿宋_GB2312"/>
          <w:b w:val="0"/>
          <w:i w:val="0"/>
          <w:caps w:val="0"/>
          <w:spacing w:val="0"/>
          <w:w w:val="100"/>
          <w:kern w:val="2"/>
          <w:sz w:val="32"/>
          <w:szCs w:val="32"/>
          <w:lang w:val="en-US" w:eastAsia="zh-CN" w:bidi="ar-SA"/>
        </w:rPr>
        <w:t>6</w:t>
      </w:r>
      <w:r>
        <w:rPr>
          <w:rStyle w:val="10"/>
          <w:rFonts w:ascii="仿宋_GB2312" w:hAnsi="仿宋_GB2312" w:eastAsia="仿宋_GB2312"/>
          <w:b w:val="0"/>
          <w:i w:val="0"/>
          <w:caps w:val="0"/>
          <w:spacing w:val="0"/>
          <w:w w:val="100"/>
          <w:kern w:val="2"/>
          <w:sz w:val="32"/>
          <w:szCs w:val="32"/>
          <w:lang w:val="en-US" w:eastAsia="zh-CN" w:bidi="ar-SA"/>
        </w:rPr>
        <w:t>年</w:t>
      </w:r>
      <w:r>
        <w:rPr>
          <w:rStyle w:val="10"/>
          <w:rFonts w:hint="eastAsia" w:ascii="仿宋_GB2312" w:hAnsi="仿宋_GB2312" w:eastAsia="仿宋_GB2312"/>
          <w:b w:val="0"/>
          <w:i w:val="0"/>
          <w:caps w:val="0"/>
          <w:spacing w:val="0"/>
          <w:w w:val="100"/>
          <w:kern w:val="2"/>
          <w:sz w:val="32"/>
          <w:szCs w:val="32"/>
          <w:lang w:val="en-US" w:eastAsia="zh-CN" w:bidi="ar-SA"/>
        </w:rPr>
        <w:t>4</w:t>
      </w:r>
      <w:r>
        <w:rPr>
          <w:rStyle w:val="10"/>
          <w:rFonts w:ascii="仿宋_GB2312" w:hAnsi="仿宋_GB2312" w:eastAsia="仿宋_GB2312"/>
          <w:b w:val="0"/>
          <w:i w:val="0"/>
          <w:caps w:val="0"/>
          <w:spacing w:val="0"/>
          <w:w w:val="100"/>
          <w:kern w:val="2"/>
          <w:sz w:val="32"/>
          <w:szCs w:val="32"/>
          <w:lang w:val="en-US" w:eastAsia="zh-CN" w:bidi="ar-SA"/>
        </w:rPr>
        <w:t>月</w:t>
      </w:r>
      <w:r>
        <w:rPr>
          <w:rStyle w:val="10"/>
          <w:rFonts w:hint="eastAsia" w:ascii="仿宋_GB2312" w:hAnsi="仿宋_GB2312" w:eastAsia="仿宋_GB2312"/>
          <w:b w:val="0"/>
          <w:i w:val="0"/>
          <w:caps w:val="0"/>
          <w:spacing w:val="0"/>
          <w:w w:val="100"/>
          <w:kern w:val="2"/>
          <w:sz w:val="32"/>
          <w:szCs w:val="32"/>
          <w:lang w:val="en-US" w:eastAsia="zh-CN" w:bidi="ar-SA"/>
        </w:rPr>
        <w:t>2</w:t>
      </w:r>
      <w:r>
        <w:rPr>
          <w:rStyle w:val="10"/>
          <w:rFonts w:ascii="仿宋_GB2312" w:hAnsi="仿宋_GB2312" w:eastAsia="仿宋_GB2312"/>
          <w:b w:val="0"/>
          <w:i w:val="0"/>
          <w:caps w:val="0"/>
          <w:spacing w:val="0"/>
          <w:w w:val="100"/>
          <w:kern w:val="2"/>
          <w:sz w:val="32"/>
          <w:szCs w:val="32"/>
          <w:lang w:val="en-US" w:eastAsia="zh-CN" w:bidi="ar-SA"/>
        </w:rPr>
        <w:t>日</w:t>
      </w:r>
    </w:p>
    <w:p w14:paraId="689F264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0" w:firstLine="6384" w:firstLineChars="1400"/>
        <w:jc w:val="both"/>
        <w:textAlignment w:val="baseline"/>
        <w:rPr>
          <w:rFonts w:hint="eastAsia" w:ascii="仿宋" w:hAnsi="仿宋" w:eastAsia="仿宋" w:cs="仿宋"/>
          <w:color w:val="auto"/>
          <w:spacing w:val="68"/>
          <w:sz w:val="32"/>
          <w:szCs w:val="32"/>
          <w:u w:val="single"/>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39C5183"/>
    <w:rsid w:val="0BC63B74"/>
    <w:rsid w:val="0EEC057A"/>
    <w:rsid w:val="0F6A0E1E"/>
    <w:rsid w:val="10892C41"/>
    <w:rsid w:val="110D68D9"/>
    <w:rsid w:val="13AC7923"/>
    <w:rsid w:val="178A1E07"/>
    <w:rsid w:val="1E8A2A3D"/>
    <w:rsid w:val="1ED24E6B"/>
    <w:rsid w:val="1EDD7021"/>
    <w:rsid w:val="25462E46"/>
    <w:rsid w:val="290F64C9"/>
    <w:rsid w:val="2AB54E7F"/>
    <w:rsid w:val="3B9F3D19"/>
    <w:rsid w:val="3F9B5BB1"/>
    <w:rsid w:val="42074515"/>
    <w:rsid w:val="48D423BE"/>
    <w:rsid w:val="49D10ACC"/>
    <w:rsid w:val="4EC64BEA"/>
    <w:rsid w:val="4F0C50FB"/>
    <w:rsid w:val="50FD355B"/>
    <w:rsid w:val="5AD216C5"/>
    <w:rsid w:val="61DE04AF"/>
    <w:rsid w:val="689E2EA1"/>
    <w:rsid w:val="6A047FFE"/>
    <w:rsid w:val="71D12885"/>
    <w:rsid w:val="75E361C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1673</Words>
  <Characters>1798</Characters>
  <Lines>0</Lines>
  <Paragraphs>0</Paragraphs>
  <TotalTime>1</TotalTime>
  <ScaleCrop>false</ScaleCrop>
  <LinksUpToDate>false</LinksUpToDate>
  <CharactersWithSpaces>1801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2026-04-03T12:09:02Z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