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04E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FF0000"/>
          <w:spacing w:val="68"/>
          <w:sz w:val="52"/>
          <w:szCs w:val="52"/>
          <w:u w:val="single"/>
          <w:lang w:val="en-US" w:eastAsia="zh-CN"/>
        </w:rPr>
      </w:pPr>
      <w:r>
        <w:rPr>
          <w:rFonts w:hint="eastAsia" w:ascii="方正小标宋简体" w:hAnsi="方正小标宋简体" w:eastAsia="方正小标宋简体" w:cs="方正小标宋简体"/>
          <w:color w:val="FF0000"/>
          <w:spacing w:val="68"/>
          <w:sz w:val="52"/>
          <w:szCs w:val="52"/>
          <w:u w:val="single"/>
          <w:lang w:val="en-US" w:eastAsia="zh-CN"/>
        </w:rPr>
        <w:t xml:space="preserve"> </w:t>
      </w:r>
      <w:r>
        <w:rPr>
          <w:rFonts w:hint="eastAsia" w:ascii="方正小标宋简体" w:hAnsi="方正小标宋简体" w:eastAsia="方正小标宋简体" w:cs="方正小标宋简体"/>
          <w:color w:val="FF0000"/>
          <w:spacing w:val="68"/>
          <w:sz w:val="52"/>
          <w:szCs w:val="52"/>
          <w:u w:val="single"/>
          <w:lang w:eastAsia="zh-CN"/>
        </w:rPr>
        <w:t>大同市生态环境局灵丘分局</w:t>
      </w:r>
      <w:r>
        <w:rPr>
          <w:rFonts w:hint="eastAsia" w:ascii="方正小标宋简体" w:hAnsi="方正小标宋简体" w:eastAsia="方正小标宋简体" w:cs="方正小标宋简体"/>
          <w:color w:val="FF0000"/>
          <w:spacing w:val="68"/>
          <w:sz w:val="52"/>
          <w:szCs w:val="52"/>
          <w:u w:val="single"/>
          <w:lang w:val="en-US" w:eastAsia="zh-CN"/>
        </w:rPr>
        <w:t xml:space="preserve"> </w:t>
      </w:r>
    </w:p>
    <w:p w14:paraId="1D3DB826">
      <w:pPr>
        <w:wordWrap w:val="0"/>
        <w:spacing w:line="600" w:lineRule="exact"/>
        <w:jc w:val="right"/>
        <w:rPr>
          <w:rFonts w:hint="eastAsia" w:ascii="仿宋" w:hAnsi="仿宋" w:eastAsia="仿宋" w:cs="仿宋"/>
          <w:spacing w:val="-11"/>
          <w:sz w:val="32"/>
          <w:szCs w:val="32"/>
          <w:lang w:val="en-US" w:eastAsia="zh-CN"/>
        </w:rPr>
      </w:pPr>
      <w:r>
        <w:rPr>
          <w:rFonts w:hint="eastAsia" w:ascii="仿宋" w:hAnsi="仿宋" w:eastAsia="仿宋" w:cs="仿宋"/>
          <w:spacing w:val="-11"/>
          <w:sz w:val="32"/>
          <w:szCs w:val="32"/>
          <w:lang w:eastAsia="zh-CN"/>
        </w:rPr>
        <w:t>灵环函〔</w:t>
      </w:r>
      <w:r>
        <w:rPr>
          <w:rFonts w:hint="eastAsia" w:ascii="仿宋" w:hAnsi="仿宋" w:eastAsia="仿宋" w:cs="仿宋"/>
          <w:spacing w:val="-11"/>
          <w:sz w:val="32"/>
          <w:szCs w:val="32"/>
          <w:lang w:val="en-US" w:eastAsia="zh-CN"/>
        </w:rPr>
        <w:t>2026〕13</w:t>
      </w:r>
      <w:bookmarkStart w:id="0" w:name="_GoBack"/>
      <w:bookmarkEnd w:id="0"/>
      <w:r>
        <w:rPr>
          <w:rFonts w:hint="eastAsia" w:ascii="仿宋" w:hAnsi="仿宋" w:eastAsia="仿宋" w:cs="仿宋"/>
          <w:spacing w:val="-11"/>
          <w:sz w:val="32"/>
          <w:szCs w:val="32"/>
          <w:lang w:val="en-US" w:eastAsia="zh-CN"/>
        </w:rPr>
        <w:t>号</w:t>
      </w:r>
    </w:p>
    <w:p w14:paraId="279015E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仿宋" w:hAnsi="仿宋" w:eastAsia="仿宋" w:cs="仿宋"/>
          <w:spacing w:val="-11"/>
          <w:sz w:val="21"/>
          <w:szCs w:val="21"/>
          <w:lang w:val="en-US" w:eastAsia="zh-CN"/>
        </w:rPr>
      </w:pPr>
    </w:p>
    <w:p w14:paraId="40DD23CF">
      <w:pPr>
        <w:snapToGrid/>
        <w:spacing w:before="0" w:beforeAutospacing="0" w:after="0" w:afterAutospacing="0" w:line="600" w:lineRule="exact"/>
        <w:jc w:val="center"/>
        <w:textAlignment w:val="baseline"/>
        <w:rPr>
          <w:rStyle w:val="10"/>
          <w:rFonts w:hint="eastAsia" w:ascii="方正小标宋简体" w:hAnsi="方正小标宋简体" w:eastAsia="方正小标宋简体"/>
          <w:b w:val="0"/>
          <w:i w:val="0"/>
          <w:caps w:val="0"/>
          <w:spacing w:val="0"/>
          <w:w w:val="100"/>
          <w:kern w:val="2"/>
          <w:sz w:val="44"/>
          <w:szCs w:val="44"/>
          <w:lang w:val="en-US" w:eastAsia="zh-CN" w:bidi="ar-SA"/>
        </w:rPr>
      </w:pPr>
      <w:r>
        <w:rPr>
          <w:rStyle w:val="10"/>
          <w:rFonts w:ascii="方正小标宋简体" w:hAnsi="方正小标宋简体" w:eastAsia="方正小标宋简体"/>
          <w:b w:val="0"/>
          <w:i w:val="0"/>
          <w:caps w:val="0"/>
          <w:spacing w:val="0"/>
          <w:w w:val="100"/>
          <w:kern w:val="2"/>
          <w:sz w:val="44"/>
          <w:szCs w:val="44"/>
          <w:lang w:val="en-US" w:eastAsia="zh-CN" w:bidi="ar-SA"/>
        </w:rPr>
        <w:t>关于</w:t>
      </w:r>
      <w:r>
        <w:rPr>
          <w:rStyle w:val="10"/>
          <w:rFonts w:hint="eastAsia" w:ascii="方正小标宋简体" w:hAnsi="方正小标宋简体" w:eastAsia="方正小标宋简体"/>
          <w:b w:val="0"/>
          <w:i w:val="0"/>
          <w:caps w:val="0"/>
          <w:spacing w:val="0"/>
          <w:w w:val="100"/>
          <w:kern w:val="2"/>
          <w:sz w:val="44"/>
          <w:szCs w:val="44"/>
          <w:lang w:val="en-US" w:eastAsia="zh-CN" w:bidi="ar-SA"/>
        </w:rPr>
        <w:t>山西祥帜建筑环控工程有限公司</w:t>
      </w:r>
    </w:p>
    <w:p w14:paraId="6CCDE6FC">
      <w:pPr>
        <w:snapToGrid/>
        <w:spacing w:before="0" w:beforeAutospacing="0" w:after="0" w:afterAutospacing="0" w:line="600" w:lineRule="exact"/>
        <w:jc w:val="center"/>
        <w:textAlignment w:val="baseline"/>
        <w:rPr>
          <w:rStyle w:val="10"/>
          <w:rFonts w:ascii="方正小标宋简体" w:hAnsi="方正小标宋简体" w:eastAsia="方正小标宋简体"/>
          <w:b w:val="0"/>
          <w:i w:val="0"/>
          <w:caps w:val="0"/>
          <w:spacing w:val="-11"/>
          <w:w w:val="100"/>
          <w:kern w:val="2"/>
          <w:sz w:val="44"/>
          <w:szCs w:val="44"/>
          <w:lang w:val="en-US" w:eastAsia="zh-CN" w:bidi="ar-SA"/>
        </w:rPr>
      </w:pPr>
      <w:r>
        <w:rPr>
          <w:rStyle w:val="10"/>
          <w:rFonts w:hint="eastAsia" w:ascii="方正小标宋简体" w:hAnsi="方正小标宋简体" w:eastAsia="方正小标宋简体"/>
          <w:b w:val="0"/>
          <w:i w:val="0"/>
          <w:caps w:val="0"/>
          <w:spacing w:val="0"/>
          <w:w w:val="100"/>
          <w:kern w:val="2"/>
          <w:sz w:val="44"/>
          <w:szCs w:val="44"/>
          <w:lang w:val="en-US" w:eastAsia="zh-CN" w:bidi="ar-SA"/>
        </w:rPr>
        <w:t>石料加工项目</w:t>
      </w:r>
      <w:r>
        <w:rPr>
          <w:rStyle w:val="10"/>
          <w:rFonts w:ascii="方正小标宋简体" w:hAnsi="方正小标宋简体" w:eastAsia="方正小标宋简体"/>
          <w:b w:val="0"/>
          <w:i w:val="0"/>
          <w:caps w:val="0"/>
          <w:spacing w:val="0"/>
          <w:w w:val="100"/>
          <w:kern w:val="2"/>
          <w:sz w:val="44"/>
          <w:szCs w:val="44"/>
          <w:lang w:val="en-US" w:eastAsia="zh-CN" w:bidi="ar-SA"/>
        </w:rPr>
        <w:t>环境影响报告表的批复</w:t>
      </w:r>
    </w:p>
    <w:p w14:paraId="6640BB4C">
      <w:pPr>
        <w:snapToGrid/>
        <w:spacing w:before="0" w:beforeAutospacing="0" w:after="0" w:afterAutospacing="0" w:line="240" w:lineRule="auto"/>
        <w:jc w:val="center"/>
        <w:textAlignment w:val="baseline"/>
        <w:rPr>
          <w:rStyle w:val="10"/>
          <w:rFonts w:ascii="仿宋_GB2312" w:hAnsi="仿宋_GB2312" w:eastAsia="仿宋_GB2312"/>
          <w:b w:val="0"/>
          <w:i w:val="0"/>
          <w:caps w:val="0"/>
          <w:spacing w:val="0"/>
          <w:w w:val="100"/>
          <w:kern w:val="2"/>
          <w:sz w:val="21"/>
          <w:szCs w:val="21"/>
          <w:lang w:val="en-US" w:eastAsia="zh-CN" w:bidi="ar-SA"/>
        </w:rPr>
      </w:pPr>
    </w:p>
    <w:p w14:paraId="02EC03F2">
      <w:pPr>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right="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hint="eastAsia" w:ascii="仿宋_GB2312" w:hAnsi="仿宋" w:eastAsia="仿宋_GB2312"/>
          <w:b w:val="0"/>
          <w:i w:val="0"/>
          <w:caps w:val="0"/>
          <w:spacing w:val="0"/>
          <w:w w:val="100"/>
          <w:kern w:val="2"/>
          <w:sz w:val="32"/>
          <w:szCs w:val="32"/>
          <w:lang w:val="en-US" w:eastAsia="zh-CN" w:bidi="ar-SA"/>
        </w:rPr>
        <w:t>山西祥帜建筑环控工程有限公司</w:t>
      </w:r>
      <w:r>
        <w:rPr>
          <w:rStyle w:val="10"/>
          <w:rFonts w:ascii="仿宋_GB2312" w:hAnsi="仿宋_GB2312" w:eastAsia="仿宋_GB2312"/>
          <w:b w:val="0"/>
          <w:i w:val="0"/>
          <w:caps w:val="0"/>
          <w:spacing w:val="0"/>
          <w:w w:val="100"/>
          <w:kern w:val="2"/>
          <w:sz w:val="32"/>
          <w:szCs w:val="32"/>
          <w:lang w:val="en-US" w:eastAsia="zh-CN" w:bidi="ar-SA"/>
        </w:rPr>
        <w:t>：</w:t>
      </w:r>
    </w:p>
    <w:p w14:paraId="34558EFA">
      <w:pPr>
        <w:pStyle w:val="11"/>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Style w:val="10"/>
          <w:rFonts w:ascii="仿宋_GB2312" w:hAnsi="仿宋" w:eastAsia="仿宋_GB2312"/>
          <w:b w:val="0"/>
          <w:i w:val="0"/>
          <w:caps w:val="0"/>
          <w:spacing w:val="0"/>
          <w:w w:val="100"/>
          <w:kern w:val="2"/>
          <w:sz w:val="32"/>
          <w:szCs w:val="32"/>
          <w:lang w:val="en-US" w:eastAsia="zh-CN" w:bidi="ar-SA"/>
        </w:rPr>
      </w:pPr>
      <w:r>
        <w:rPr>
          <w:rStyle w:val="10"/>
          <w:rFonts w:ascii="仿宋_GB2312" w:hAnsi="仿宋" w:eastAsia="仿宋_GB2312"/>
          <w:b w:val="0"/>
          <w:i w:val="0"/>
          <w:caps w:val="0"/>
          <w:spacing w:val="0"/>
          <w:w w:val="100"/>
          <w:kern w:val="2"/>
          <w:sz w:val="32"/>
          <w:szCs w:val="32"/>
          <w:lang w:val="en-US" w:eastAsia="zh-CN" w:bidi="ar-SA"/>
        </w:rPr>
        <w:t>你公司</w:t>
      </w:r>
      <w:r>
        <w:rPr>
          <w:rStyle w:val="10"/>
          <w:rFonts w:hint="eastAsia" w:ascii="仿宋_GB2312" w:hAnsi="仿宋" w:eastAsia="仿宋_GB2312"/>
          <w:b w:val="0"/>
          <w:i w:val="0"/>
          <w:caps w:val="0"/>
          <w:spacing w:val="0"/>
          <w:w w:val="100"/>
          <w:kern w:val="2"/>
          <w:sz w:val="32"/>
          <w:szCs w:val="32"/>
          <w:lang w:val="en-US" w:eastAsia="zh-CN" w:bidi="ar-SA"/>
        </w:rPr>
        <w:t>关于</w:t>
      </w:r>
      <w:r>
        <w:rPr>
          <w:rStyle w:val="10"/>
          <w:rFonts w:ascii="仿宋_GB2312" w:hAnsi="仿宋" w:eastAsia="仿宋_GB2312"/>
          <w:b w:val="0"/>
          <w:i w:val="0"/>
          <w:caps w:val="0"/>
          <w:spacing w:val="0"/>
          <w:w w:val="100"/>
          <w:kern w:val="2"/>
          <w:sz w:val="32"/>
          <w:szCs w:val="32"/>
          <w:lang w:val="en-US" w:eastAsia="zh-CN" w:bidi="ar-SA"/>
        </w:rPr>
        <w:t>《</w:t>
      </w:r>
      <w:r>
        <w:rPr>
          <w:rStyle w:val="10"/>
          <w:rFonts w:hint="eastAsia" w:ascii="仿宋_GB2312" w:hAnsi="仿宋" w:eastAsia="仿宋_GB2312"/>
          <w:b w:val="0"/>
          <w:i w:val="0"/>
          <w:caps w:val="0"/>
          <w:spacing w:val="0"/>
          <w:w w:val="100"/>
          <w:kern w:val="2"/>
          <w:sz w:val="32"/>
          <w:szCs w:val="32"/>
          <w:lang w:val="en-US" w:eastAsia="zh-CN" w:bidi="ar-SA"/>
        </w:rPr>
        <w:t>山西祥帜建筑环控工程有限公司石料加工项目</w:t>
      </w:r>
      <w:r>
        <w:rPr>
          <w:rStyle w:val="10"/>
          <w:rFonts w:ascii="仿宋_GB2312" w:hAnsi="仿宋" w:eastAsia="仿宋_GB2312"/>
          <w:b w:val="0"/>
          <w:i w:val="0"/>
          <w:caps w:val="0"/>
          <w:spacing w:val="0"/>
          <w:w w:val="100"/>
          <w:kern w:val="2"/>
          <w:sz w:val="32"/>
          <w:szCs w:val="32"/>
          <w:lang w:val="en-US" w:eastAsia="zh-CN" w:bidi="ar-SA"/>
        </w:rPr>
        <w:t>环境影响报告表》（以下简称《报</w:t>
      </w:r>
      <w:r>
        <w:rPr>
          <w:rStyle w:val="10"/>
          <w:rFonts w:ascii="仿宋_GB2312" w:hAnsi="仿宋" w:eastAsia="仿宋_GB2312"/>
          <w:b w:val="0"/>
          <w:i w:val="0"/>
          <w:caps w:val="0"/>
          <w:spacing w:val="-6"/>
          <w:w w:val="100"/>
          <w:kern w:val="2"/>
          <w:sz w:val="32"/>
          <w:szCs w:val="32"/>
          <w:lang w:val="en-US" w:eastAsia="zh-CN" w:bidi="ar-SA"/>
        </w:rPr>
        <w:t>告表》）相关材料收悉。</w:t>
      </w:r>
      <w:r>
        <w:rPr>
          <w:rStyle w:val="10"/>
          <w:rFonts w:hint="eastAsia" w:ascii="仿宋_GB2312" w:hAnsi="仿宋" w:eastAsia="仿宋_GB2312"/>
          <w:b w:val="0"/>
          <w:i w:val="0"/>
          <w:caps w:val="0"/>
          <w:spacing w:val="-6"/>
          <w:w w:val="100"/>
          <w:kern w:val="2"/>
          <w:sz w:val="32"/>
          <w:szCs w:val="32"/>
          <w:lang w:val="en-US" w:eastAsia="zh-CN" w:bidi="ar-SA"/>
        </w:rPr>
        <w:t>结合大同市生态环境评估中心出具的《关于&lt;</w:t>
      </w:r>
      <w:r>
        <w:rPr>
          <w:rStyle w:val="10"/>
          <w:rFonts w:hint="eastAsia" w:ascii="仿宋_GB2312" w:hAnsi="仿宋" w:eastAsia="仿宋_GB2312"/>
          <w:b w:val="0"/>
          <w:i w:val="0"/>
          <w:caps w:val="0"/>
          <w:spacing w:val="0"/>
          <w:w w:val="100"/>
          <w:kern w:val="2"/>
          <w:sz w:val="32"/>
          <w:szCs w:val="32"/>
          <w:lang w:val="en-US" w:eastAsia="zh-CN" w:bidi="ar-SA"/>
        </w:rPr>
        <w:t>山西祥帜建筑环控工程有限公司石料加工项目</w:t>
      </w:r>
      <w:r>
        <w:rPr>
          <w:rStyle w:val="10"/>
          <w:rFonts w:hint="eastAsia" w:ascii="仿宋_GB2312" w:hAnsi="仿宋" w:eastAsia="仿宋_GB2312"/>
          <w:b w:val="0"/>
          <w:i w:val="0"/>
          <w:caps w:val="0"/>
          <w:spacing w:val="-6"/>
          <w:w w:val="100"/>
          <w:kern w:val="2"/>
          <w:sz w:val="32"/>
          <w:szCs w:val="32"/>
          <w:lang w:val="en-US" w:eastAsia="zh-CN" w:bidi="ar-SA"/>
        </w:rPr>
        <w:t>环境影响报告表&gt;的技术评估报告》，</w:t>
      </w:r>
      <w:r>
        <w:rPr>
          <w:rStyle w:val="10"/>
          <w:rFonts w:ascii="仿宋_GB2312" w:hAnsi="仿宋_GB2312" w:eastAsia="仿宋_GB2312"/>
          <w:b w:val="0"/>
          <w:i w:val="0"/>
          <w:caps w:val="0"/>
          <w:spacing w:val="-6"/>
          <w:w w:val="100"/>
          <w:kern w:val="2"/>
          <w:sz w:val="32"/>
          <w:szCs w:val="32"/>
          <w:lang w:val="en-US" w:eastAsia="zh-CN" w:bidi="ar-SA"/>
        </w:rPr>
        <w:t>经研究，批复如下：</w:t>
      </w:r>
    </w:p>
    <w:p w14:paraId="7178A647">
      <w:pPr>
        <w:pStyle w:val="11"/>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Style w:val="10"/>
          <w:rFonts w:ascii="仿宋_GB2312" w:hAnsi="仿宋_GB2312" w:eastAsia="仿宋_GB2312"/>
          <w:b w:val="0"/>
          <w:i w:val="0"/>
          <w:caps w:val="0"/>
          <w:color w:val="000000"/>
          <w:spacing w:val="0"/>
          <w:w w:val="100"/>
          <w:sz w:val="32"/>
          <w:szCs w:val="32"/>
          <w:lang w:val="en-US" w:eastAsia="zh-CN" w:bidi="ar-SA"/>
        </w:rPr>
      </w:pPr>
      <w:r>
        <w:rPr>
          <w:rStyle w:val="10"/>
          <w:rFonts w:ascii="仿宋_GB2312" w:hAnsi="仿宋" w:eastAsia="仿宋_GB2312"/>
          <w:b w:val="0"/>
          <w:i w:val="0"/>
          <w:caps w:val="0"/>
          <w:color w:val="000000"/>
          <w:spacing w:val="0"/>
          <w:w w:val="100"/>
          <w:sz w:val="32"/>
          <w:szCs w:val="32"/>
          <w:lang w:val="en-US" w:eastAsia="zh-CN" w:bidi="ar-SA"/>
        </w:rPr>
        <w:t>一、该项目</w:t>
      </w:r>
      <w:r>
        <w:rPr>
          <w:rStyle w:val="10"/>
          <w:rFonts w:hint="eastAsia" w:ascii="仿宋_GB2312" w:hAnsi="仿宋" w:eastAsia="仿宋_GB2312"/>
          <w:b w:val="0"/>
          <w:i w:val="0"/>
          <w:caps w:val="0"/>
          <w:color w:val="000000"/>
          <w:spacing w:val="0"/>
          <w:w w:val="100"/>
          <w:sz w:val="32"/>
          <w:szCs w:val="32"/>
          <w:lang w:val="en-US" w:eastAsia="zh-CN" w:bidi="ar-SA"/>
        </w:rPr>
        <w:t>位于山西省大同市灵丘县落水河乡三山村西北侧约520m处。用地面积5973.33平方米。</w:t>
      </w:r>
      <w:r>
        <w:rPr>
          <w:rStyle w:val="10"/>
          <w:rFonts w:hint="eastAsia" w:ascii="仿宋_GB2312" w:hAnsi="仿宋" w:eastAsia="仿宋_GB2312" w:cs="Times New Roman"/>
          <w:b w:val="0"/>
          <w:i w:val="0"/>
          <w:caps w:val="0"/>
          <w:spacing w:val="-6"/>
          <w:w w:val="100"/>
          <w:kern w:val="2"/>
          <w:sz w:val="32"/>
          <w:szCs w:val="32"/>
          <w:lang w:val="en-US" w:eastAsia="zh-CN" w:bidi="ar-SA"/>
        </w:rPr>
        <w:t>建设规模及内容新建原料仓库，生产车间厂房，成品料仓库和生活用房等3000m</w:t>
      </w:r>
      <w:r>
        <w:rPr>
          <w:rStyle w:val="10"/>
          <w:rFonts w:hint="eastAsia" w:ascii="仿宋_GB2312" w:hAnsi="仿宋" w:eastAsia="仿宋_GB2312" w:cs="Times New Roman"/>
          <w:b w:val="0"/>
          <w:i w:val="0"/>
          <w:caps w:val="0"/>
          <w:spacing w:val="-6"/>
          <w:w w:val="100"/>
          <w:kern w:val="2"/>
          <w:sz w:val="32"/>
          <w:szCs w:val="32"/>
          <w:vertAlign w:val="superscript"/>
          <w:lang w:val="en-US" w:eastAsia="zh-CN" w:bidi="ar-SA"/>
        </w:rPr>
        <w:t>2</w:t>
      </w:r>
      <w:r>
        <w:rPr>
          <w:rStyle w:val="10"/>
          <w:rFonts w:hint="eastAsia" w:ascii="仿宋_GB2312" w:hAnsi="仿宋" w:eastAsia="仿宋_GB2312" w:cs="Times New Roman"/>
          <w:b w:val="0"/>
          <w:i w:val="0"/>
          <w:caps w:val="0"/>
          <w:spacing w:val="-6"/>
          <w:w w:val="100"/>
          <w:kern w:val="2"/>
          <w:sz w:val="32"/>
          <w:szCs w:val="32"/>
          <w:lang w:val="en-US" w:eastAsia="zh-CN" w:bidi="ar-SA"/>
        </w:rPr>
        <w:t>，厂区道路硬化1500m</w:t>
      </w:r>
      <w:r>
        <w:rPr>
          <w:rStyle w:val="10"/>
          <w:rFonts w:hint="eastAsia" w:ascii="仿宋_GB2312" w:hAnsi="仿宋" w:eastAsia="仿宋_GB2312" w:cs="Times New Roman"/>
          <w:b w:val="0"/>
          <w:i w:val="0"/>
          <w:caps w:val="0"/>
          <w:spacing w:val="-6"/>
          <w:w w:val="100"/>
          <w:kern w:val="2"/>
          <w:sz w:val="32"/>
          <w:szCs w:val="32"/>
          <w:vertAlign w:val="superscript"/>
          <w:lang w:val="en-US" w:eastAsia="zh-CN" w:bidi="ar-SA"/>
        </w:rPr>
        <w:t>2</w:t>
      </w:r>
      <w:r>
        <w:rPr>
          <w:rStyle w:val="10"/>
          <w:rFonts w:hint="eastAsia" w:ascii="仿宋_GB2312" w:hAnsi="仿宋" w:eastAsia="仿宋_GB2312" w:cs="Times New Roman"/>
          <w:b w:val="0"/>
          <w:i w:val="0"/>
          <w:caps w:val="0"/>
          <w:spacing w:val="-6"/>
          <w:w w:val="100"/>
          <w:kern w:val="2"/>
          <w:sz w:val="32"/>
          <w:szCs w:val="32"/>
          <w:lang w:val="en-US" w:eastAsia="zh-CN" w:bidi="ar-SA"/>
        </w:rPr>
        <w:t>，厂区砖围墙2000m。新安装颚式破碎机、振动筛、圆锥破碎机、洗砂机、地磅、变压器等生产所需设备</w:t>
      </w:r>
      <w:r>
        <w:rPr>
          <w:rStyle w:val="10"/>
          <w:rFonts w:hint="eastAsia" w:ascii="仿宋_GB2312" w:hAnsi="仿宋" w:eastAsia="仿宋_GB2312"/>
          <w:b w:val="0"/>
          <w:i w:val="0"/>
          <w:caps w:val="0"/>
          <w:color w:val="000000"/>
          <w:spacing w:val="0"/>
          <w:w w:val="100"/>
          <w:sz w:val="32"/>
          <w:szCs w:val="32"/>
          <w:lang w:val="en-US" w:eastAsia="zh-CN" w:bidi="ar-SA"/>
        </w:rPr>
        <w:t>。建成后预计年加工石料50万吨。</w:t>
      </w:r>
      <w:r>
        <w:rPr>
          <w:rStyle w:val="10"/>
          <w:rFonts w:ascii="仿宋_GB2312" w:hAnsi="仿宋" w:eastAsia="仿宋_GB2312"/>
          <w:b w:val="0"/>
          <w:i w:val="0"/>
          <w:caps w:val="0"/>
          <w:color w:val="auto"/>
          <w:spacing w:val="0"/>
          <w:w w:val="100"/>
          <w:sz w:val="32"/>
          <w:szCs w:val="32"/>
          <w:lang w:val="en-US" w:eastAsia="zh-CN" w:bidi="ar-SA"/>
        </w:rPr>
        <w:t>项目总投资</w:t>
      </w:r>
      <w:r>
        <w:rPr>
          <w:rStyle w:val="10"/>
          <w:rFonts w:hint="eastAsia" w:ascii="仿宋_GB2312" w:hAnsi="仿宋" w:eastAsia="仿宋_GB2312"/>
          <w:b w:val="0"/>
          <w:i w:val="0"/>
          <w:caps w:val="0"/>
          <w:color w:val="auto"/>
          <w:spacing w:val="0"/>
          <w:w w:val="100"/>
          <w:sz w:val="32"/>
          <w:szCs w:val="32"/>
          <w:lang w:val="en-US" w:eastAsia="zh-CN" w:bidi="ar-SA"/>
        </w:rPr>
        <w:t>880</w:t>
      </w:r>
      <w:r>
        <w:rPr>
          <w:rStyle w:val="10"/>
          <w:rFonts w:ascii="仿宋_GB2312" w:hAnsi="仿宋" w:eastAsia="仿宋_GB2312"/>
          <w:b w:val="0"/>
          <w:i w:val="0"/>
          <w:caps w:val="0"/>
          <w:color w:val="auto"/>
          <w:spacing w:val="0"/>
          <w:w w:val="100"/>
          <w:sz w:val="32"/>
          <w:szCs w:val="32"/>
          <w:lang w:val="en-US" w:eastAsia="zh-CN" w:bidi="ar-SA"/>
        </w:rPr>
        <w:t>万元，环保投资</w:t>
      </w:r>
      <w:r>
        <w:rPr>
          <w:rStyle w:val="10"/>
          <w:rFonts w:hint="eastAsia" w:ascii="仿宋_GB2312" w:hAnsi="仿宋" w:eastAsia="仿宋_GB2312"/>
          <w:b w:val="0"/>
          <w:i w:val="0"/>
          <w:caps w:val="0"/>
          <w:color w:val="auto"/>
          <w:spacing w:val="0"/>
          <w:w w:val="100"/>
          <w:sz w:val="32"/>
          <w:szCs w:val="32"/>
          <w:lang w:val="en-US" w:eastAsia="zh-CN" w:bidi="ar-SA"/>
        </w:rPr>
        <w:t>90</w:t>
      </w:r>
      <w:r>
        <w:rPr>
          <w:rStyle w:val="10"/>
          <w:rFonts w:ascii="仿宋_GB2312" w:hAnsi="仿宋" w:eastAsia="仿宋_GB2312"/>
          <w:b w:val="0"/>
          <w:i w:val="0"/>
          <w:caps w:val="0"/>
          <w:color w:val="auto"/>
          <w:spacing w:val="0"/>
          <w:w w:val="100"/>
          <w:sz w:val="32"/>
          <w:szCs w:val="32"/>
          <w:lang w:val="en-US" w:eastAsia="zh-CN" w:bidi="ar-SA"/>
        </w:rPr>
        <w:t>万元，占总投资比例的</w:t>
      </w:r>
      <w:r>
        <w:rPr>
          <w:rStyle w:val="10"/>
          <w:rFonts w:hint="eastAsia" w:ascii="仿宋_GB2312" w:hAnsi="仿宋" w:eastAsia="仿宋_GB2312"/>
          <w:b w:val="0"/>
          <w:i w:val="0"/>
          <w:caps w:val="0"/>
          <w:color w:val="auto"/>
          <w:spacing w:val="0"/>
          <w:w w:val="100"/>
          <w:sz w:val="32"/>
          <w:szCs w:val="32"/>
          <w:lang w:val="en-US" w:eastAsia="zh-CN" w:bidi="ar-SA"/>
        </w:rPr>
        <w:t>10.23%</w:t>
      </w:r>
      <w:r>
        <w:rPr>
          <w:rStyle w:val="10"/>
          <w:rFonts w:ascii="仿宋_GB2312" w:hAnsi="仿宋" w:eastAsia="仿宋_GB2312"/>
          <w:b w:val="0"/>
          <w:i w:val="0"/>
          <w:caps w:val="0"/>
          <w:color w:val="auto"/>
          <w:spacing w:val="0"/>
          <w:w w:val="100"/>
          <w:sz w:val="32"/>
          <w:szCs w:val="32"/>
          <w:lang w:val="en-US" w:eastAsia="zh-CN" w:bidi="ar-SA"/>
        </w:rPr>
        <w:t>。</w:t>
      </w:r>
      <w:r>
        <w:rPr>
          <w:rStyle w:val="10"/>
          <w:rFonts w:hint="eastAsia" w:ascii="仿宋_GB2312" w:hAnsi="仿宋" w:eastAsia="仿宋_GB2312"/>
          <w:b w:val="0"/>
          <w:i w:val="0"/>
          <w:caps w:val="0"/>
          <w:color w:val="000000"/>
          <w:spacing w:val="0"/>
          <w:w w:val="100"/>
          <w:sz w:val="32"/>
          <w:szCs w:val="32"/>
          <w:lang w:val="en-US" w:eastAsia="zh-CN" w:bidi="ar-SA"/>
        </w:rPr>
        <w:t>该项目属于《产业结构调整指导目录（2024年本）》中允许类项目，已取得灵</w:t>
      </w:r>
      <w:r>
        <w:rPr>
          <w:rStyle w:val="10"/>
          <w:rFonts w:hint="eastAsia" w:ascii="仿宋_GB2312" w:hAnsi="仿宋" w:eastAsia="仿宋_GB2312"/>
          <w:b w:val="0"/>
          <w:i w:val="0"/>
          <w:caps w:val="0"/>
          <w:color w:val="000000"/>
          <w:spacing w:val="-20"/>
          <w:w w:val="100"/>
          <w:sz w:val="32"/>
          <w:szCs w:val="32"/>
          <w:lang w:val="en-US" w:eastAsia="zh-CN" w:bidi="ar-SA"/>
        </w:rPr>
        <w:t>丘县发展改革和科技局下发的备案证（项目代码：</w:t>
      </w:r>
      <w:r>
        <w:rPr>
          <w:rStyle w:val="10"/>
          <w:rFonts w:hint="eastAsia" w:ascii="仿宋_GB2312" w:hAnsi="仿宋" w:eastAsia="仿宋_GB2312"/>
          <w:b w:val="0"/>
          <w:i w:val="0"/>
          <w:caps w:val="0"/>
          <w:color w:val="000000"/>
          <w:spacing w:val="0"/>
          <w:w w:val="100"/>
          <w:sz w:val="32"/>
          <w:szCs w:val="32"/>
          <w:lang w:val="en-US" w:eastAsia="zh-CN" w:bidi="ar-SA"/>
        </w:rPr>
        <w:t>2501-140224-89-01-553395）。</w:t>
      </w:r>
      <w:r>
        <w:rPr>
          <w:rStyle w:val="10"/>
          <w:rFonts w:ascii="仿宋_GB2312" w:hAnsi="仿宋" w:eastAsia="仿宋_GB2312"/>
          <w:b w:val="0"/>
          <w:i w:val="0"/>
          <w:caps w:val="0"/>
          <w:color w:val="000000"/>
          <w:spacing w:val="0"/>
          <w:w w:val="100"/>
          <w:sz w:val="32"/>
          <w:szCs w:val="32"/>
          <w:lang w:val="en-US" w:eastAsia="zh-CN" w:bidi="ar-SA"/>
        </w:rPr>
        <w:t>在全面落实《报告表》提出的污染防治和生态保护措施的前提下，工程建设对环境的不利影响可得到缓解和控制。我局原则同意《报告表》所列建设项目的性质、规模、地点、采用的生产工艺和采取的环境保护措施。</w:t>
      </w:r>
    </w:p>
    <w:p w14:paraId="6B717528">
      <w:pPr>
        <w:pStyle w:val="11"/>
        <w:keepNext w:val="0"/>
        <w:keepLines w:val="0"/>
        <w:pageBreakBefore w:val="0"/>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auto"/>
          <w:spacing w:val="0"/>
          <w:w w:val="100"/>
          <w:kern w:val="2"/>
          <w:sz w:val="32"/>
          <w:szCs w:val="32"/>
          <w:lang w:val="en-US" w:eastAsia="zh-CN" w:bidi="ar-SA"/>
        </w:rPr>
        <w:t>二、</w:t>
      </w:r>
      <w:r>
        <w:rPr>
          <w:rStyle w:val="10"/>
          <w:rFonts w:ascii="仿宋_GB2312" w:hAnsi="仿宋_GB2312" w:eastAsia="仿宋_GB2312"/>
          <w:b w:val="0"/>
          <w:i w:val="0"/>
          <w:caps w:val="0"/>
          <w:color w:val="000000"/>
          <w:spacing w:val="0"/>
          <w:w w:val="100"/>
          <w:kern w:val="2"/>
          <w:sz w:val="32"/>
          <w:szCs w:val="32"/>
          <w:lang w:val="en-US" w:eastAsia="zh-CN" w:bidi="ar-SA"/>
        </w:rPr>
        <w:t>在项目建设和运行管理中，必须对照《报告表》逐一落实各项环保对策措施，重点做好以下工作：</w:t>
      </w:r>
    </w:p>
    <w:p w14:paraId="02F469CD">
      <w:pPr>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1、认真做好施工期环境保护工作，</w:t>
      </w:r>
      <w:r>
        <w:rPr>
          <w:rStyle w:val="10"/>
          <w:rFonts w:hint="eastAsia" w:ascii="仿宋_GB2312" w:hAnsi="仿宋_GB2312" w:eastAsia="仿宋_GB2312"/>
          <w:b w:val="0"/>
          <w:i w:val="0"/>
          <w:caps w:val="0"/>
          <w:color w:val="000000"/>
          <w:spacing w:val="0"/>
          <w:w w:val="100"/>
          <w:kern w:val="2"/>
          <w:sz w:val="32"/>
          <w:szCs w:val="32"/>
          <w:lang w:val="en-US" w:eastAsia="zh-CN" w:bidi="ar-SA"/>
        </w:rPr>
        <w:t>施工过程中</w:t>
      </w:r>
      <w:r>
        <w:rPr>
          <w:rStyle w:val="10"/>
          <w:rFonts w:ascii="仿宋_GB2312" w:hAnsi="仿宋_GB2312" w:eastAsia="仿宋_GB2312"/>
          <w:b w:val="0"/>
          <w:i w:val="0"/>
          <w:caps w:val="0"/>
          <w:color w:val="000000"/>
          <w:spacing w:val="0"/>
          <w:w w:val="100"/>
          <w:kern w:val="2"/>
          <w:sz w:val="32"/>
          <w:szCs w:val="32"/>
          <w:lang w:val="en-US" w:eastAsia="zh-CN" w:bidi="ar-SA"/>
        </w:rPr>
        <w:t>加强</w:t>
      </w:r>
      <w:r>
        <w:rPr>
          <w:rStyle w:val="10"/>
          <w:rFonts w:hint="eastAsia" w:ascii="仿宋_GB2312" w:hAnsi="仿宋_GB2312" w:eastAsia="仿宋_GB2312"/>
          <w:b w:val="0"/>
          <w:i w:val="0"/>
          <w:caps w:val="0"/>
          <w:color w:val="000000"/>
          <w:spacing w:val="0"/>
          <w:w w:val="100"/>
          <w:kern w:val="2"/>
          <w:sz w:val="32"/>
          <w:szCs w:val="32"/>
          <w:lang w:val="en-US" w:eastAsia="zh-CN" w:bidi="ar-SA"/>
        </w:rPr>
        <w:t>废气、废水、噪声、固体废物</w:t>
      </w:r>
      <w:r>
        <w:rPr>
          <w:rStyle w:val="10"/>
          <w:rFonts w:ascii="仿宋_GB2312" w:hAnsi="仿宋_GB2312" w:eastAsia="仿宋_GB2312"/>
          <w:b w:val="0"/>
          <w:i w:val="0"/>
          <w:caps w:val="0"/>
          <w:color w:val="000000"/>
          <w:spacing w:val="0"/>
          <w:w w:val="100"/>
          <w:kern w:val="2"/>
          <w:sz w:val="32"/>
          <w:szCs w:val="32"/>
          <w:lang w:val="en-US" w:eastAsia="zh-CN" w:bidi="ar-SA"/>
        </w:rPr>
        <w:t>环境管理，落实《报告表》提出的各项</w:t>
      </w:r>
      <w:r>
        <w:rPr>
          <w:rStyle w:val="10"/>
          <w:rFonts w:ascii="仿宋_GB2312" w:hAnsi="仿宋_GB2312" w:eastAsia="仿宋_GB2312"/>
          <w:b w:val="0"/>
          <w:i w:val="0"/>
          <w:caps w:val="0"/>
          <w:color w:val="000000"/>
          <w:spacing w:val="-6"/>
          <w:w w:val="100"/>
          <w:kern w:val="2"/>
          <w:sz w:val="32"/>
          <w:szCs w:val="32"/>
          <w:lang w:val="en-US" w:eastAsia="zh-CN" w:bidi="ar-SA"/>
        </w:rPr>
        <w:t>污染防治措施，</w:t>
      </w:r>
      <w:r>
        <w:rPr>
          <w:rStyle w:val="10"/>
          <w:rFonts w:hint="eastAsia" w:ascii="仿宋_GB2312" w:hAnsi="仿宋_GB2312" w:eastAsia="仿宋_GB2312"/>
          <w:b w:val="0"/>
          <w:i w:val="0"/>
          <w:caps w:val="0"/>
          <w:color w:val="000000"/>
          <w:spacing w:val="-6"/>
          <w:w w:val="100"/>
          <w:kern w:val="2"/>
          <w:sz w:val="32"/>
          <w:szCs w:val="32"/>
          <w:lang w:val="en-US" w:eastAsia="zh-CN" w:bidi="ar-SA"/>
        </w:rPr>
        <w:t>严格执行“六个百分之百”，</w:t>
      </w:r>
      <w:r>
        <w:rPr>
          <w:rStyle w:val="10"/>
          <w:rFonts w:ascii="仿宋_GB2312" w:hAnsi="仿宋_GB2312" w:eastAsia="仿宋_GB2312"/>
          <w:b w:val="0"/>
          <w:i w:val="0"/>
          <w:caps w:val="0"/>
          <w:color w:val="000000"/>
          <w:spacing w:val="-6"/>
          <w:w w:val="100"/>
          <w:kern w:val="2"/>
          <w:sz w:val="32"/>
          <w:szCs w:val="32"/>
          <w:lang w:val="en-US" w:eastAsia="zh-CN" w:bidi="ar-SA"/>
        </w:rPr>
        <w:t>降低对周边的影响。</w:t>
      </w:r>
    </w:p>
    <w:p w14:paraId="74D35EAC">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firstLine="640" w:firstLineChars="200"/>
        <w:jc w:val="both"/>
        <w:textAlignment w:val="baseline"/>
        <w:rPr>
          <w:rStyle w:val="10"/>
          <w:rFonts w:ascii="仿宋_GB2312" w:hAnsi="仿宋_GB2312" w:eastAsia="仿宋_GB2312"/>
          <w:b w:val="0"/>
          <w:i w:val="0"/>
          <w:caps w:val="0"/>
          <w:color w:val="0000FF"/>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2、废气污染防治措施。运营期</w:t>
      </w:r>
      <w:r>
        <w:rPr>
          <w:rStyle w:val="10"/>
          <w:rFonts w:hint="eastAsia" w:ascii="仿宋_GB2312" w:hAnsi="仿宋_GB2312" w:eastAsia="仿宋_GB2312"/>
          <w:b w:val="0"/>
          <w:i w:val="0"/>
          <w:caps w:val="0"/>
          <w:color w:val="000000"/>
          <w:spacing w:val="0"/>
          <w:w w:val="100"/>
          <w:kern w:val="2"/>
          <w:sz w:val="32"/>
          <w:szCs w:val="32"/>
          <w:lang w:val="en-US" w:eastAsia="zh-CN" w:bidi="ar-SA"/>
        </w:rPr>
        <w:t>，设全封闭原料库、成品库（采用钢结构，全封闭设置，地面防渗硬化），受料坑地埋式设计，车辆出入口采用自动感应密闭门；设洗车台，厂区内抑尘洒水且运输车辆减速行驶；输送皮带全封闭；设置2条石料生产线，每条生产线在1台上料机、1台颚破机、1台圆锥破、2台筛分机、各设置1个集尘罩（合计6个），粉尘经集尘罩收集后经2台布袋除尘器处理后通过排气筒排放；在石粉筒仓仓顶配置1台布袋除尘器，经处理后废气由筒仓顶部的排气筒排放。运营期有组织及无组织粉尘执行《大气污染物综合排放标准》（GB16297-1996）中表2排放限值。其中烘干炉烟气满足《山西省工业炉窑大气污染综合治理实施方案》（晋环大气[2019]164号）中暂未制定行业排放标准的工业炉窑排放标准限值要求</w:t>
      </w:r>
      <w:r>
        <w:rPr>
          <w:rStyle w:val="10"/>
          <w:rFonts w:hint="eastAsia" w:ascii="仿宋_GB2312" w:hAnsi="仿宋_GB2312" w:eastAsia="仿宋_GB2312"/>
          <w:b w:val="0"/>
          <w:i w:val="0"/>
          <w:caps w:val="0"/>
          <w:color w:val="000000"/>
          <w:spacing w:val="-6"/>
          <w:w w:val="100"/>
          <w:kern w:val="2"/>
          <w:sz w:val="32"/>
          <w:szCs w:val="32"/>
          <w:lang w:val="en-US" w:eastAsia="zh-CN" w:bidi="ar-SA"/>
        </w:rPr>
        <w:t>。</w:t>
      </w:r>
    </w:p>
    <w:p w14:paraId="1C39FA8D">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Style w:val="10"/>
          <w:rFonts w:hint="eastAsia"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3、废水污染防治措施。</w:t>
      </w:r>
      <w:r>
        <w:rPr>
          <w:rStyle w:val="10"/>
          <w:rFonts w:hint="eastAsia" w:ascii="仿宋_GB2312" w:hAnsi="仿宋_GB2312" w:eastAsia="仿宋_GB2312"/>
          <w:b w:val="0"/>
          <w:i w:val="0"/>
          <w:caps w:val="0"/>
          <w:color w:val="000000"/>
          <w:spacing w:val="0"/>
          <w:w w:val="100"/>
          <w:kern w:val="2"/>
          <w:sz w:val="32"/>
          <w:szCs w:val="32"/>
          <w:lang w:val="en-US" w:eastAsia="zh-CN" w:bidi="ar-SA"/>
        </w:rPr>
        <w:t>运营期，生活污水进入3m</w:t>
      </w:r>
      <w:r>
        <w:rPr>
          <w:rStyle w:val="10"/>
          <w:rFonts w:hint="eastAsia" w:ascii="仿宋_GB2312" w:hAnsi="仿宋_GB2312" w:eastAsia="仿宋_GB2312"/>
          <w:b w:val="0"/>
          <w:i w:val="0"/>
          <w:caps w:val="0"/>
          <w:color w:val="000000"/>
          <w:spacing w:val="0"/>
          <w:w w:val="100"/>
          <w:kern w:val="2"/>
          <w:sz w:val="32"/>
          <w:szCs w:val="32"/>
          <w:vertAlign w:val="superscript"/>
          <w:lang w:val="en-US" w:eastAsia="zh-CN" w:bidi="ar-SA"/>
        </w:rPr>
        <w:t>3</w:t>
      </w:r>
      <w:r>
        <w:rPr>
          <w:rStyle w:val="10"/>
          <w:rFonts w:hint="eastAsia" w:ascii="仿宋_GB2312" w:hAnsi="仿宋_GB2312" w:eastAsia="仿宋_GB2312"/>
          <w:b w:val="0"/>
          <w:i w:val="0"/>
          <w:caps w:val="0"/>
          <w:color w:val="000000"/>
          <w:spacing w:val="0"/>
          <w:w w:val="100"/>
          <w:kern w:val="2"/>
          <w:sz w:val="32"/>
          <w:szCs w:val="32"/>
          <w:lang w:val="en-US" w:eastAsia="zh-CN" w:bidi="ar-SA"/>
        </w:rPr>
        <w:t>/d一体化污水处理设备处理后回用于道路洒水；洗车废水经一座8m</w:t>
      </w:r>
      <w:r>
        <w:rPr>
          <w:rStyle w:val="10"/>
          <w:rFonts w:hint="eastAsia" w:ascii="仿宋_GB2312" w:hAnsi="仿宋_GB2312" w:eastAsia="仿宋_GB2312"/>
          <w:b w:val="0"/>
          <w:i w:val="0"/>
          <w:caps w:val="0"/>
          <w:color w:val="000000"/>
          <w:spacing w:val="0"/>
          <w:w w:val="100"/>
          <w:kern w:val="2"/>
          <w:sz w:val="32"/>
          <w:szCs w:val="32"/>
          <w:vertAlign w:val="superscript"/>
          <w:lang w:val="en-US" w:eastAsia="zh-CN" w:bidi="ar-SA"/>
        </w:rPr>
        <w:t>3</w:t>
      </w:r>
      <w:r>
        <w:rPr>
          <w:rStyle w:val="10"/>
          <w:rFonts w:hint="eastAsia" w:ascii="仿宋_GB2312" w:hAnsi="仿宋_GB2312" w:eastAsia="仿宋_GB2312"/>
          <w:b w:val="0"/>
          <w:i w:val="0"/>
          <w:caps w:val="0"/>
          <w:color w:val="000000"/>
          <w:spacing w:val="0"/>
          <w:w w:val="100"/>
          <w:kern w:val="2"/>
          <w:sz w:val="32"/>
          <w:szCs w:val="32"/>
          <w:lang w:val="en-US" w:eastAsia="zh-CN" w:bidi="ar-SA"/>
        </w:rPr>
        <w:t>沉淀池处理后循环利用不外排；洗砂废水、淋控水经“250m</w:t>
      </w:r>
      <w:r>
        <w:rPr>
          <w:rStyle w:val="10"/>
          <w:rFonts w:hint="eastAsia" w:ascii="仿宋_GB2312" w:hAnsi="仿宋_GB2312" w:eastAsia="仿宋_GB2312"/>
          <w:b w:val="0"/>
          <w:i w:val="0"/>
          <w:caps w:val="0"/>
          <w:color w:val="000000"/>
          <w:spacing w:val="0"/>
          <w:w w:val="100"/>
          <w:kern w:val="2"/>
          <w:sz w:val="32"/>
          <w:szCs w:val="32"/>
          <w:vertAlign w:val="superscript"/>
          <w:lang w:val="en-US" w:eastAsia="zh-CN" w:bidi="ar-SA"/>
        </w:rPr>
        <w:t>3</w:t>
      </w:r>
      <w:r>
        <w:rPr>
          <w:rStyle w:val="10"/>
          <w:rFonts w:hint="eastAsia" w:ascii="仿宋_GB2312" w:hAnsi="仿宋_GB2312" w:eastAsia="仿宋_GB2312"/>
          <w:b w:val="0"/>
          <w:i w:val="0"/>
          <w:caps w:val="0"/>
          <w:color w:val="000000"/>
          <w:spacing w:val="-6"/>
          <w:w w:val="100"/>
          <w:kern w:val="2"/>
          <w:sz w:val="32"/>
          <w:szCs w:val="32"/>
          <w:lang w:val="en-US" w:eastAsia="zh-CN" w:bidi="ar-SA"/>
        </w:rPr>
        <w:t>三级沉淀池+压滤机”处理后循环使用不外排；设置一座100m³初期雨水收集池，雨水经收集沉淀后，用于厂区抑尘，不外排。</w:t>
      </w:r>
    </w:p>
    <w:p w14:paraId="402D48D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4、噪声污染防治措施。</w:t>
      </w:r>
      <w:r>
        <w:rPr>
          <w:rStyle w:val="10"/>
          <w:rFonts w:hint="eastAsia" w:ascii="仿宋_GB2312" w:hAnsi="仿宋_GB2312" w:eastAsia="仿宋_GB2312"/>
          <w:b w:val="0"/>
          <w:i w:val="0"/>
          <w:caps w:val="0"/>
          <w:color w:val="000000"/>
          <w:spacing w:val="0"/>
          <w:w w:val="100"/>
          <w:kern w:val="2"/>
          <w:sz w:val="32"/>
          <w:szCs w:val="32"/>
          <w:lang w:val="en-US" w:eastAsia="zh-CN" w:bidi="ar-SA"/>
        </w:rPr>
        <w:t>运营期，采用低噪设备、生产设备全部置于室内，设置基础减震、建筑物隔声，运输车辆限速、禁鸣笛；装载机定期维护保持良好工况等措施。运营期厂界噪</w:t>
      </w:r>
      <w:r>
        <w:rPr>
          <w:rStyle w:val="10"/>
          <w:rFonts w:hint="eastAsia" w:ascii="仿宋_GB2312" w:hAnsi="仿宋_GB2312" w:eastAsia="仿宋_GB2312"/>
          <w:b w:val="0"/>
          <w:i w:val="0"/>
          <w:caps w:val="0"/>
          <w:color w:val="000000"/>
          <w:spacing w:val="-6"/>
          <w:w w:val="100"/>
          <w:kern w:val="2"/>
          <w:sz w:val="32"/>
          <w:szCs w:val="32"/>
          <w:lang w:val="en-US" w:eastAsia="zh-CN" w:bidi="ar-SA"/>
        </w:rPr>
        <w:t>声排放执行《工业企业厂界环境噪声排放标准》</w:t>
      </w:r>
      <w:r>
        <w:rPr>
          <w:rStyle w:val="10"/>
          <w:rFonts w:hint="eastAsia" w:ascii="仿宋_GB2312" w:hAnsi="仿宋_GB2312" w:eastAsia="仿宋_GB2312"/>
          <w:b w:val="0"/>
          <w:i w:val="0"/>
          <w:caps w:val="0"/>
          <w:color w:val="000000"/>
          <w:spacing w:val="0"/>
          <w:w w:val="100"/>
          <w:kern w:val="2"/>
          <w:sz w:val="32"/>
          <w:szCs w:val="32"/>
          <w:lang w:val="en-US" w:eastAsia="zh-CN" w:bidi="ar-SA"/>
        </w:rPr>
        <w:t>（GB12348-2008）中的2类标准。</w:t>
      </w:r>
    </w:p>
    <w:p w14:paraId="52FD0A0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jc w:val="both"/>
        <w:textAlignment w:val="baseline"/>
        <w:rPr>
          <w:rStyle w:val="10"/>
          <w:rFonts w:hint="eastAsia" w:ascii="仿宋_GB2312" w:hAnsi="仿宋_GB2312" w:eastAsia="仿宋_GB2312"/>
          <w:b w:val="0"/>
          <w:i w:val="0"/>
          <w:caps w:val="0"/>
          <w:color w:val="auto"/>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5、固体废物污染防治措施。运营期</w:t>
      </w:r>
      <w:r>
        <w:rPr>
          <w:rStyle w:val="10"/>
          <w:rFonts w:hint="eastAsia" w:ascii="仿宋_GB2312" w:hAnsi="仿宋_GB2312" w:eastAsia="仿宋_GB2312"/>
          <w:b w:val="0"/>
          <w:i w:val="0"/>
          <w:caps w:val="0"/>
          <w:color w:val="000000"/>
          <w:spacing w:val="0"/>
          <w:w w:val="100"/>
          <w:kern w:val="2"/>
          <w:sz w:val="32"/>
          <w:szCs w:val="32"/>
          <w:lang w:val="en-US" w:eastAsia="zh-CN" w:bidi="ar-SA"/>
        </w:rPr>
        <w:t>，除尘灰收集后作为成品外售。沉淀池沉渣、沉淀池泥饼外售于砖厂可作为制砖辅料使用。废矿物油、废油桶暂存于10m</w:t>
      </w:r>
      <w:r>
        <w:rPr>
          <w:rStyle w:val="10"/>
          <w:rFonts w:hint="eastAsia" w:ascii="仿宋_GB2312" w:hAnsi="仿宋_GB2312" w:eastAsia="仿宋_GB2312"/>
          <w:b w:val="0"/>
          <w:i w:val="0"/>
          <w:caps w:val="0"/>
          <w:color w:val="000000"/>
          <w:spacing w:val="0"/>
          <w:w w:val="100"/>
          <w:kern w:val="2"/>
          <w:sz w:val="32"/>
          <w:szCs w:val="32"/>
          <w:vertAlign w:val="superscript"/>
          <w:lang w:val="en-US" w:eastAsia="zh-CN" w:bidi="ar-SA"/>
        </w:rPr>
        <w:t>2</w:t>
      </w:r>
      <w:r>
        <w:rPr>
          <w:rStyle w:val="10"/>
          <w:rFonts w:hint="eastAsia" w:ascii="仿宋_GB2312" w:hAnsi="仿宋_GB2312" w:eastAsia="仿宋_GB2312"/>
          <w:b w:val="0"/>
          <w:i w:val="0"/>
          <w:caps w:val="0"/>
          <w:color w:val="000000"/>
          <w:spacing w:val="0"/>
          <w:w w:val="100"/>
          <w:kern w:val="2"/>
          <w:sz w:val="32"/>
          <w:szCs w:val="32"/>
          <w:lang w:val="en-US" w:eastAsia="zh-CN" w:bidi="ar-SA"/>
        </w:rPr>
        <w:t>危废贮存点，定期交由有资单位处理；生活垃圾统一收集后，由环卫部门统一处置。一般工业固体废物执行《一般工业固体废物贮存和填埋污染控制标准》（GB18599-2020）中的有关规定。危险废物贮存设施执行《危险废物贮存污染控制标准》（GB18597-2023）</w:t>
      </w:r>
      <w:r>
        <w:rPr>
          <w:rStyle w:val="10"/>
          <w:rFonts w:hint="eastAsia" w:ascii="仿宋_GB2312" w:hAnsi="仿宋_GB2312" w:eastAsia="仿宋_GB2312"/>
          <w:b w:val="0"/>
          <w:i w:val="0"/>
          <w:caps w:val="0"/>
          <w:color w:val="auto"/>
          <w:spacing w:val="0"/>
          <w:w w:val="100"/>
          <w:kern w:val="2"/>
          <w:sz w:val="32"/>
          <w:szCs w:val="32"/>
          <w:lang w:val="en-US" w:eastAsia="zh-CN" w:bidi="ar-SA"/>
        </w:rPr>
        <w:t>中的有关规定</w:t>
      </w:r>
      <w:r>
        <w:rPr>
          <w:rStyle w:val="10"/>
          <w:rFonts w:hint="eastAsia" w:ascii="仿宋_GB2312" w:hAnsi="仿宋_GB2312" w:eastAsia="仿宋_GB2312"/>
          <w:b w:val="0"/>
          <w:i w:val="0"/>
          <w:caps w:val="0"/>
          <w:color w:val="000000"/>
          <w:spacing w:val="0"/>
          <w:w w:val="100"/>
          <w:kern w:val="2"/>
          <w:sz w:val="32"/>
          <w:szCs w:val="32"/>
          <w:lang w:val="en-US" w:eastAsia="zh-CN" w:bidi="ar-SA"/>
        </w:rPr>
        <w:t>。</w:t>
      </w:r>
    </w:p>
    <w:p w14:paraId="0647AF3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jc w:val="both"/>
        <w:textAlignment w:val="baseline"/>
        <w:rPr>
          <w:rStyle w:val="10"/>
          <w:rFonts w:hint="eastAsia" w:ascii="仿宋_GB2312" w:hAnsi="仿宋_GB2312" w:eastAsia="仿宋_GB2312"/>
          <w:b w:val="0"/>
          <w:i w:val="0"/>
          <w:caps w:val="0"/>
          <w:color w:val="auto"/>
          <w:spacing w:val="0"/>
          <w:w w:val="100"/>
          <w:kern w:val="2"/>
          <w:sz w:val="32"/>
          <w:szCs w:val="32"/>
          <w:lang w:val="en-US" w:eastAsia="zh-CN" w:bidi="ar-SA"/>
        </w:rPr>
      </w:pPr>
      <w:r>
        <w:rPr>
          <w:rStyle w:val="10"/>
          <w:rFonts w:hint="eastAsia" w:ascii="仿宋_GB2312" w:hAnsi="仿宋_GB2312" w:eastAsia="仿宋_GB2312"/>
          <w:b w:val="0"/>
          <w:i w:val="0"/>
          <w:caps w:val="0"/>
          <w:color w:val="auto"/>
          <w:spacing w:val="0"/>
          <w:w w:val="100"/>
          <w:kern w:val="2"/>
          <w:sz w:val="32"/>
          <w:szCs w:val="32"/>
          <w:lang w:val="en-US" w:eastAsia="zh-CN" w:bidi="ar-SA"/>
        </w:rPr>
        <w:t>6、加强厂区的绿化美化工作，改善周边生态环境。</w:t>
      </w:r>
    </w:p>
    <w:p w14:paraId="548FF40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baseline"/>
        <w:rPr>
          <w:rStyle w:val="10"/>
          <w:rFonts w:hint="eastAsia" w:ascii="仿宋_GB2312" w:hAnsi="仿宋_GB2312" w:eastAsia="仿宋_GB2312"/>
          <w:b w:val="0"/>
          <w:i w:val="0"/>
          <w:caps w:val="0"/>
          <w:color w:val="auto"/>
          <w:spacing w:val="0"/>
          <w:w w:val="100"/>
          <w:kern w:val="2"/>
          <w:sz w:val="32"/>
          <w:szCs w:val="32"/>
          <w:lang w:val="en-US" w:eastAsia="zh-CN" w:bidi="ar-SA"/>
        </w:rPr>
      </w:pPr>
      <w:r>
        <w:rPr>
          <w:rStyle w:val="10"/>
          <w:rFonts w:ascii="仿宋_GB2312" w:hAnsi="仿宋_GB2312" w:eastAsia="仿宋_GB2312"/>
          <w:b w:val="0"/>
          <w:i w:val="0"/>
          <w:caps w:val="0"/>
          <w:color w:val="auto"/>
          <w:spacing w:val="0"/>
          <w:w w:val="100"/>
          <w:kern w:val="2"/>
          <w:sz w:val="32"/>
          <w:szCs w:val="32"/>
          <w:lang w:val="en-US" w:eastAsia="zh-CN" w:bidi="ar-SA"/>
        </w:rPr>
        <w:t>三、该项</w:t>
      </w:r>
      <w:r>
        <w:rPr>
          <w:rStyle w:val="10"/>
          <w:rFonts w:hint="eastAsia" w:ascii="仿宋_GB2312" w:hAnsi="仿宋_GB2312" w:eastAsia="仿宋_GB2312"/>
          <w:b w:val="0"/>
          <w:i w:val="0"/>
          <w:caps w:val="0"/>
          <w:color w:val="auto"/>
          <w:spacing w:val="0"/>
          <w:w w:val="100"/>
          <w:kern w:val="2"/>
          <w:sz w:val="32"/>
          <w:szCs w:val="32"/>
          <w:lang w:val="en-US" w:eastAsia="zh-CN" w:bidi="ar-SA"/>
        </w:rPr>
        <w:t>目污染物排放量为颗粒物1.82t/a。</w:t>
      </w:r>
    </w:p>
    <w:p w14:paraId="447154CD">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四、加强对工程的环境管理和环境风险预测，制定突发环境事故应急预案及环境保护管理相关制度，采取合理有效措施防范环境风险，预防突发环境事件的发生。</w:t>
      </w:r>
    </w:p>
    <w:p w14:paraId="57E4197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color w:val="292929"/>
          <w:spacing w:val="0"/>
          <w:w w:val="100"/>
          <w:kern w:val="0"/>
          <w:sz w:val="32"/>
          <w:szCs w:val="32"/>
          <w:lang w:val="en-US" w:eastAsia="zh-CN" w:bidi="ar-SA"/>
        </w:rPr>
        <w:t>五、</w:t>
      </w:r>
      <w:r>
        <w:rPr>
          <w:rStyle w:val="10"/>
          <w:rFonts w:ascii="仿宋_GB2312" w:hAnsi="仿宋_GB2312" w:eastAsia="仿宋_GB2312"/>
          <w:b w:val="0"/>
          <w:i w:val="0"/>
          <w:caps w:val="0"/>
          <w:spacing w:val="0"/>
          <w:w w:val="100"/>
          <w:kern w:val="2"/>
          <w:sz w:val="32"/>
          <w:szCs w:val="32"/>
          <w:lang w:val="en-US" w:eastAsia="zh-CN" w:bidi="ar-SA"/>
        </w:rPr>
        <w:t>项目建设要严格执行环保“三同时”制度。并按照《报告表》中提出的各项要求,积极落实各项污染防治措施。项目建成后须按规定进行环境保护竣工验收。环境保护措施未落实到位，不得正式投入运营；如项目的性质、规模、地点、采用的防治污染、防止生态破坏措施发生重大变动的，须报经我局重新审批。</w:t>
      </w:r>
    </w:p>
    <w:p w14:paraId="15AAE3AC">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六、大同市灵丘县生态环境保护综合行政执法队负责该项目建设期及运营期日常监督管理工作。</w:t>
      </w:r>
    </w:p>
    <w:p w14:paraId="666DC0E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2160" w:firstLineChars="1200"/>
        <w:jc w:val="both"/>
        <w:textAlignment w:val="baseline"/>
        <w:rPr>
          <w:rStyle w:val="10"/>
          <w:rFonts w:ascii="仿宋_GB2312" w:hAnsi="仿宋_GB2312" w:eastAsia="仿宋_GB2312"/>
          <w:b w:val="0"/>
          <w:i w:val="0"/>
          <w:caps w:val="0"/>
          <w:spacing w:val="0"/>
          <w:w w:val="100"/>
          <w:kern w:val="2"/>
          <w:sz w:val="18"/>
          <w:szCs w:val="18"/>
          <w:lang w:val="en-US" w:eastAsia="zh-CN" w:bidi="ar-SA"/>
        </w:rPr>
      </w:pPr>
    </w:p>
    <w:p w14:paraId="187F894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right="0" w:firstLine="3840" w:firstLineChars="1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大同市生态环境局灵丘分局</w:t>
      </w:r>
    </w:p>
    <w:p w14:paraId="536E0AE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right="0" w:firstLine="4480" w:firstLineChars="1400"/>
        <w:jc w:val="both"/>
        <w:textAlignment w:val="baseline"/>
        <w:rPr>
          <w:rFonts w:hint="eastAsia" w:ascii="仿宋" w:hAnsi="仿宋" w:eastAsia="仿宋" w:cs="仿宋"/>
          <w:color w:val="auto"/>
          <w:spacing w:val="68"/>
          <w:sz w:val="32"/>
          <w:szCs w:val="32"/>
          <w:u w:val="single"/>
          <w:lang w:val="en-US" w:eastAsia="zh-CN"/>
        </w:rPr>
      </w:pPr>
      <w:r>
        <w:rPr>
          <w:rStyle w:val="10"/>
          <w:rFonts w:ascii="仿宋_GB2312" w:hAnsi="仿宋_GB2312" w:eastAsia="仿宋_GB2312"/>
          <w:b w:val="0"/>
          <w:i w:val="0"/>
          <w:caps w:val="0"/>
          <w:spacing w:val="0"/>
          <w:w w:val="100"/>
          <w:kern w:val="2"/>
          <w:sz w:val="32"/>
          <w:szCs w:val="32"/>
          <w:lang w:val="en-US" w:eastAsia="zh-CN" w:bidi="ar-SA"/>
        </w:rPr>
        <w:t>202</w:t>
      </w:r>
      <w:r>
        <w:rPr>
          <w:rStyle w:val="10"/>
          <w:rFonts w:hint="eastAsia" w:ascii="仿宋_GB2312" w:hAnsi="仿宋_GB2312" w:eastAsia="仿宋_GB2312"/>
          <w:b w:val="0"/>
          <w:i w:val="0"/>
          <w:caps w:val="0"/>
          <w:spacing w:val="0"/>
          <w:w w:val="100"/>
          <w:kern w:val="2"/>
          <w:sz w:val="32"/>
          <w:szCs w:val="32"/>
          <w:lang w:val="en-US" w:eastAsia="zh-CN" w:bidi="ar-SA"/>
        </w:rPr>
        <w:t>6</w:t>
      </w:r>
      <w:r>
        <w:rPr>
          <w:rStyle w:val="10"/>
          <w:rFonts w:ascii="仿宋_GB2312" w:hAnsi="仿宋_GB2312" w:eastAsia="仿宋_GB2312"/>
          <w:b w:val="0"/>
          <w:i w:val="0"/>
          <w:caps w:val="0"/>
          <w:spacing w:val="0"/>
          <w:w w:val="100"/>
          <w:kern w:val="2"/>
          <w:sz w:val="32"/>
          <w:szCs w:val="32"/>
          <w:lang w:val="en-US" w:eastAsia="zh-CN" w:bidi="ar-SA"/>
        </w:rPr>
        <w:t>年</w:t>
      </w:r>
      <w:r>
        <w:rPr>
          <w:rStyle w:val="10"/>
          <w:rFonts w:hint="eastAsia" w:ascii="仿宋_GB2312" w:hAnsi="仿宋_GB2312" w:eastAsia="仿宋_GB2312"/>
          <w:b w:val="0"/>
          <w:i w:val="0"/>
          <w:caps w:val="0"/>
          <w:spacing w:val="0"/>
          <w:w w:val="100"/>
          <w:kern w:val="2"/>
          <w:sz w:val="32"/>
          <w:szCs w:val="32"/>
          <w:lang w:val="en-US" w:eastAsia="zh-CN" w:bidi="ar-SA"/>
        </w:rPr>
        <w:t>4</w:t>
      </w:r>
      <w:r>
        <w:rPr>
          <w:rStyle w:val="10"/>
          <w:rFonts w:ascii="仿宋_GB2312" w:hAnsi="仿宋_GB2312" w:eastAsia="仿宋_GB2312"/>
          <w:b w:val="0"/>
          <w:i w:val="0"/>
          <w:caps w:val="0"/>
          <w:spacing w:val="0"/>
          <w:w w:val="100"/>
          <w:kern w:val="2"/>
          <w:sz w:val="32"/>
          <w:szCs w:val="32"/>
          <w:lang w:val="en-US" w:eastAsia="zh-CN" w:bidi="ar-SA"/>
        </w:rPr>
        <w:t>月</w:t>
      </w:r>
      <w:r>
        <w:rPr>
          <w:rStyle w:val="10"/>
          <w:rFonts w:hint="eastAsia" w:ascii="仿宋_GB2312" w:hAnsi="仿宋_GB2312" w:eastAsia="仿宋_GB2312"/>
          <w:b w:val="0"/>
          <w:i w:val="0"/>
          <w:caps w:val="0"/>
          <w:spacing w:val="0"/>
          <w:w w:val="100"/>
          <w:kern w:val="2"/>
          <w:sz w:val="32"/>
          <w:szCs w:val="32"/>
          <w:lang w:val="en-US" w:eastAsia="zh-CN" w:bidi="ar-SA"/>
        </w:rPr>
        <w:t>2</w:t>
      </w:r>
      <w:r>
        <w:rPr>
          <w:rStyle w:val="10"/>
          <w:rFonts w:ascii="仿宋_GB2312" w:hAnsi="仿宋_GB2312" w:eastAsia="仿宋_GB2312"/>
          <w:b w:val="0"/>
          <w:i w:val="0"/>
          <w:caps w:val="0"/>
          <w:spacing w:val="0"/>
          <w:w w:val="100"/>
          <w:kern w:val="2"/>
          <w:sz w:val="32"/>
          <w:szCs w:val="32"/>
          <w:lang w:val="en-US" w:eastAsia="zh-CN" w:bidi="ar-SA"/>
        </w:rPr>
        <w:t>日</w:t>
      </w:r>
    </w:p>
    <w:sectPr>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jljZTYxNTUzNmM1NDNmMmQ3ZWM5YmI4ODgxMjIifQ=="/>
  </w:docVars>
  <w:rsids>
    <w:rsidRoot w:val="3B9F3D19"/>
    <w:rsid w:val="0BC63B74"/>
    <w:rsid w:val="0EEC057A"/>
    <w:rsid w:val="0F6A0E1E"/>
    <w:rsid w:val="10892C41"/>
    <w:rsid w:val="13AC7923"/>
    <w:rsid w:val="178A1E07"/>
    <w:rsid w:val="19AC3F71"/>
    <w:rsid w:val="1E8A2A3D"/>
    <w:rsid w:val="1ED24E6B"/>
    <w:rsid w:val="1EDD7021"/>
    <w:rsid w:val="25462E46"/>
    <w:rsid w:val="290F64C9"/>
    <w:rsid w:val="2AB54E7F"/>
    <w:rsid w:val="3B9F3D19"/>
    <w:rsid w:val="3F9B5BB1"/>
    <w:rsid w:val="42074515"/>
    <w:rsid w:val="48D423BE"/>
    <w:rsid w:val="49D10ACC"/>
    <w:rsid w:val="4EC64BEA"/>
    <w:rsid w:val="4F0C50FB"/>
    <w:rsid w:val="50FD355B"/>
    <w:rsid w:val="5AD216C5"/>
    <w:rsid w:val="61DE04AF"/>
    <w:rsid w:val="689E2EA1"/>
    <w:rsid w:val="6A047FFE"/>
    <w:rsid w:val="71D12885"/>
    <w:rsid w:val="75E361C9"/>
    <w:rsid w:val="7F336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autoRedefine/>
    <w:qFormat/>
    <w:uiPriority w:val="0"/>
  </w:style>
  <w:style w:type="paragraph" w:customStyle="1" w:styleId="7">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NormalCharacter"/>
    <w:autoRedefine/>
    <w:qFormat/>
    <w:uiPriority w:val="0"/>
    <w:rPr>
      <w:kern w:val="2"/>
      <w:sz w:val="21"/>
      <w:lang w:val="en-US" w:eastAsia="zh-CN" w:bidi="ar-SA"/>
    </w:rPr>
  </w:style>
  <w:style w:type="paragraph" w:customStyle="1" w:styleId="11">
    <w:name w:val="UserStyle_7"/>
    <w:autoRedefine/>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12">
    <w:name w:val="UserStyle_20"/>
    <w:autoRedefine/>
    <w:qFormat/>
    <w:uiPriority w:val="0"/>
    <w:pPr>
      <w:textAlignment w:val="baseline"/>
    </w:pPr>
    <w:rPr>
      <w:rFonts w:ascii="宋体" w:hAnsi="Calibri" w:eastAsia="宋体" w:cs="Times New Roman"/>
      <w:color w:val="000000"/>
      <w:sz w:val="24"/>
      <w:szCs w:val="24"/>
      <w:lang w:val="en-US" w:eastAsia="zh-CN" w:bidi="ar-SA"/>
    </w:rPr>
  </w:style>
  <w:style w:type="paragraph" w:customStyle="1" w:styleId="13">
    <w:name w:val="UserStyle_17"/>
    <w:autoRedefine/>
    <w:qFormat/>
    <w:uiPriority w:val="0"/>
    <w:pPr>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1679</Words>
  <Characters>1818</Characters>
  <Lines>0</Lines>
  <Paragraphs>0</Paragraphs>
  <TotalTime>8</TotalTime>
  <ScaleCrop>false</ScaleCrop>
  <LinksUpToDate>false</LinksUpToDate>
  <CharactersWithSpaces>1820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2020-05-25T09:58:00Z</dcterms:created>
  <dc:creator>丽纱</dc:creator>
  <cp:lastModifiedBy>丽纱</cp:lastModifiedBy>
  <dcterms:modified xsi:type="dcterms:W3CDTF">2026-04-03T11:59:40Z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37A6BBA76E41482195666D465E33CC4F</vt:lpwstr>
  </property>
  <property fmtid="{D5CDD505-2E9C-101B-9397-08002B2CF9AE}" pid="4" name="KSOTemplateDocerSaveRecord">
    <vt:lpwstr>eyJoZGlkIjoiZDlmMjljZTYxNTUzNmM1NDNmMmQ3ZWM5YmI4ODgxMjIiLCJ1c2VySWQiOiIzNTkwNDA3MTgifQ==</vt:lpwstr>
  </property>
</Properties>
</file>