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rPr>
          <w:rFonts w:ascii="Times New Roman" w:cs="Times New Roman"/>
          <w:color w:val="auto"/>
        </w:rPr>
      </w:pPr>
    </w:p>
    <w:p>
      <w:pPr>
        <w:pStyle w:val="4"/>
      </w:pPr>
    </w:p>
    <w:p>
      <w:pPr>
        <w:pStyle w:val="4"/>
      </w:pPr>
      <w:bookmarkStart w:id="0" w:name="_GoBack"/>
      <w:bookmarkEnd w:id="0"/>
    </w:p>
    <w:p>
      <w:pPr>
        <w:pStyle w:val="2"/>
        <w:overflowPunct w:val="0"/>
        <w:rPr>
          <w:rFonts w:ascii="Times New Roman" w:cs="Times New Roman"/>
          <w:color w:val="auto"/>
        </w:rPr>
      </w:pPr>
    </w:p>
    <w:p>
      <w:pPr>
        <w:overflowPunct w:val="0"/>
        <w:snapToGrid w:val="0"/>
        <w:spacing w:line="570" w:lineRule="exact"/>
        <w:ind w:firstLine="640" w:firstLineChars="200"/>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同环函（服务</w:t>
      </w: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号</w:t>
      </w:r>
    </w:p>
    <w:p>
      <w:pPr>
        <w:overflowPunct w:val="0"/>
        <w:rPr>
          <w:color w:val="auto"/>
          <w:sz w:val="30"/>
          <w:szCs w:val="30"/>
        </w:rPr>
      </w:pPr>
    </w:p>
    <w:p>
      <w:pPr>
        <w:overflowPunct w:val="0"/>
        <w:spacing w:line="360" w:lineRule="auto"/>
        <w:jc w:val="center"/>
        <w:outlineLvl w:val="0"/>
        <w:rPr>
          <w:rFonts w:hint="eastAsia" w:eastAsia="方正小标宋简体"/>
          <w:bCs/>
          <w:color w:val="auto"/>
          <w:sz w:val="40"/>
          <w:szCs w:val="40"/>
        </w:rPr>
      </w:pPr>
      <w:r>
        <w:rPr>
          <w:rFonts w:eastAsia="方正小标宋简体"/>
          <w:bCs/>
          <w:color w:val="auto"/>
          <w:sz w:val="40"/>
          <w:szCs w:val="40"/>
        </w:rPr>
        <w:t>关于</w:t>
      </w:r>
      <w:r>
        <w:rPr>
          <w:rFonts w:hint="eastAsia" w:eastAsia="方正小标宋简体"/>
          <w:bCs/>
          <w:color w:val="auto"/>
          <w:sz w:val="40"/>
          <w:szCs w:val="40"/>
        </w:rPr>
        <w:t>大同市云州区恒州养殖中心肉鸡养殖项目</w:t>
      </w:r>
    </w:p>
    <w:p>
      <w:pPr>
        <w:overflowPunct w:val="0"/>
        <w:spacing w:line="360" w:lineRule="auto"/>
        <w:jc w:val="center"/>
        <w:outlineLvl w:val="0"/>
        <w:rPr>
          <w:rFonts w:eastAsia="方正小标宋简体"/>
          <w:bCs/>
          <w:color w:val="auto"/>
          <w:sz w:val="40"/>
          <w:szCs w:val="40"/>
        </w:rPr>
      </w:pPr>
      <w:r>
        <w:rPr>
          <w:rFonts w:hint="eastAsia" w:eastAsia="方正小标宋简体"/>
          <w:bCs/>
          <w:color w:val="auto"/>
          <w:sz w:val="40"/>
          <w:szCs w:val="40"/>
        </w:rPr>
        <w:t>环境影响报告书</w:t>
      </w:r>
      <w:r>
        <w:rPr>
          <w:rFonts w:eastAsia="方正小标宋简体"/>
          <w:bCs/>
          <w:color w:val="auto"/>
          <w:sz w:val="40"/>
          <w:szCs w:val="40"/>
        </w:rPr>
        <w:t>的批复</w:t>
      </w:r>
    </w:p>
    <w:p>
      <w:pPr>
        <w:pStyle w:val="8"/>
        <w:overflowPunct w:val="0"/>
        <w:spacing w:line="640" w:lineRule="exact"/>
        <w:jc w:val="both"/>
        <w:rPr>
          <w:color w:val="auto"/>
          <w:sz w:val="36"/>
          <w:szCs w:val="36"/>
        </w:rPr>
      </w:pPr>
    </w:p>
    <w:p>
      <w:pPr>
        <w:pStyle w:val="8"/>
        <w:keepNext w:val="0"/>
        <w:keepLines w:val="0"/>
        <w:pageBreakBefore w:val="0"/>
        <w:widowControl w:val="0"/>
        <w:kinsoku/>
        <w:wordWrap/>
        <w:overflowPunct w:val="0"/>
        <w:topLinePunct w:val="0"/>
        <w:autoSpaceDE/>
        <w:autoSpaceDN/>
        <w:bidi w:val="0"/>
        <w:adjustRightInd/>
        <w:spacing w:line="570" w:lineRule="exact"/>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大同市云州区恒州养殖中心：</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你公司报送的《关于&lt;大同市云州区恒州养殖中心肉鸡养殖项目环境影响报告书&gt;</w:t>
      </w:r>
      <w:r>
        <w:rPr>
          <w:rFonts w:hint="eastAsia" w:ascii="仿宋_GB2312" w:hAnsi="仿宋_GB2312" w:eastAsia="仿宋_GB2312" w:cs="仿宋_GB2312"/>
          <w:color w:val="auto"/>
          <w:sz w:val="32"/>
          <w:szCs w:val="32"/>
          <w:highlight w:val="none"/>
        </w:rPr>
        <w:t>（以下简称《报告书》）</w:t>
      </w:r>
      <w:r>
        <w:rPr>
          <w:rFonts w:hint="eastAsia" w:ascii="仿宋_GB2312" w:hAnsi="仿宋_GB2312" w:eastAsia="仿宋_GB2312" w:cs="仿宋_GB2312"/>
          <w:bCs/>
          <w:color w:val="auto"/>
          <w:sz w:val="32"/>
          <w:szCs w:val="32"/>
          <w:highlight w:val="none"/>
        </w:rPr>
        <w:t>报批申请》及相关资料收悉。</w:t>
      </w:r>
      <w:r>
        <w:rPr>
          <w:rFonts w:hint="eastAsia" w:ascii="仿宋_GB2312" w:hAnsi="仿宋_GB2312" w:eastAsia="仿宋_GB2312" w:cs="仿宋_GB2312"/>
          <w:color w:val="auto"/>
          <w:sz w:val="32"/>
          <w:szCs w:val="32"/>
          <w:highlight w:val="none"/>
        </w:rPr>
        <w:t>结合大同市生态环境评估中心出具的《关于&lt;大同市云州区恒州养殖中心肉鸡养殖项目</w:t>
      </w:r>
      <w:r>
        <w:rPr>
          <w:rFonts w:hint="eastAsia" w:ascii="仿宋_GB2312" w:hAnsi="仿宋_GB2312" w:eastAsia="仿宋_GB2312" w:cs="仿宋_GB2312"/>
          <w:bCs/>
          <w:color w:val="auto"/>
          <w:sz w:val="32"/>
          <w:szCs w:val="32"/>
          <w:highlight w:val="none"/>
        </w:rPr>
        <w:t>环境影响报告书</w:t>
      </w:r>
      <w:r>
        <w:rPr>
          <w:rFonts w:hint="eastAsia" w:ascii="仿宋_GB2312" w:hAnsi="仿宋_GB2312" w:eastAsia="仿宋_GB2312" w:cs="仿宋_GB2312"/>
          <w:color w:val="auto"/>
          <w:sz w:val="32"/>
          <w:szCs w:val="32"/>
          <w:highlight w:val="none"/>
        </w:rPr>
        <w:t>&gt;的技术评估报告》（同环评估函〔202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号），经研究，批复如下：</w:t>
      </w:r>
    </w:p>
    <w:p>
      <w:pPr>
        <w:keepNext w:val="0"/>
        <w:keepLines w:val="0"/>
        <w:pageBreakBefore w:val="0"/>
        <w:widowControl w:val="0"/>
        <w:numPr>
          <w:ilvl w:val="0"/>
          <w:numId w:val="1"/>
        </w:numPr>
        <w:kinsoku/>
        <w:wordWrap/>
        <w:overflowPunct w:val="0"/>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该项目为新建项目，建设地点位于大同市云州区杜庄乡永胜村南侧560m</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大同市云州区行政审批服务管理局对该项目予以备案（项目代码：</w:t>
      </w:r>
      <w:r>
        <w:rPr>
          <w:rFonts w:hint="eastAsia" w:ascii="仿宋_GB2312" w:hAnsi="仿宋_GB2312" w:eastAsia="仿宋_GB2312" w:cs="仿宋_GB2312"/>
          <w:bCs/>
          <w:color w:val="auto"/>
          <w:sz w:val="32"/>
          <w:szCs w:val="32"/>
          <w:highlight w:val="none"/>
          <w:lang w:val="zh-CN"/>
        </w:rPr>
        <w:t>2508-140215-89-05-492000</w:t>
      </w:r>
      <w:r>
        <w:rPr>
          <w:rFonts w:hint="eastAsia" w:ascii="仿宋_GB2312" w:hAnsi="仿宋_GB2312" w:eastAsia="仿宋_GB2312" w:cs="仿宋_GB2312"/>
          <w:bCs/>
          <w:color w:val="auto"/>
          <w:sz w:val="32"/>
          <w:szCs w:val="32"/>
          <w:highlight w:val="none"/>
        </w:rPr>
        <w:t>），主要建设内容包括：在厂区内建设10栋鸡舍及饲料仓、有机肥车间等辅助设施，形成年养殖50万羽肉鸡，出栏350万羽肉鸡的生产规模。项目总投资</w:t>
      </w:r>
      <w:r>
        <w:rPr>
          <w:rFonts w:hint="eastAsia" w:ascii="仿宋_GB2312" w:hAnsi="仿宋_GB2312" w:eastAsia="仿宋_GB2312" w:cs="仿宋_GB2312"/>
          <w:bCs/>
          <w:color w:val="auto"/>
          <w:sz w:val="32"/>
          <w:szCs w:val="32"/>
          <w:highlight w:val="none"/>
          <w:lang w:val="en-US" w:eastAsia="zh-CN"/>
        </w:rPr>
        <w:t>4000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val="en-US" w:eastAsia="zh-CN"/>
        </w:rPr>
        <w:t>其中</w:t>
      </w:r>
      <w:r>
        <w:rPr>
          <w:rFonts w:hint="eastAsia" w:ascii="仿宋_GB2312" w:hAnsi="仿宋_GB2312" w:eastAsia="仿宋_GB2312" w:cs="仿宋_GB2312"/>
          <w:bCs/>
          <w:color w:val="auto"/>
          <w:sz w:val="32"/>
          <w:szCs w:val="32"/>
          <w:highlight w:val="none"/>
        </w:rPr>
        <w:t>环保投资81万元，占总投资2.03%。依据项目技术评估报告，项目在全面落实《报告书》提出的各项生态保护措施后，项目实施对区域环境影响可接受。我局原则同意《报告书》的环境影响评价总体结论和各项生态环境保护措施。</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二、你公司在项目设计、建设和环境管理中要认真落实《报告书》提出的各项环保要求，并重点做好以下几方面工作：</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color w:val="auto"/>
          <w:sz w:val="32"/>
          <w:szCs w:val="32"/>
          <w:lang w:val="en-US" w:eastAsia="zh-CN"/>
        </w:rPr>
        <w:t>认真做好施工期环境保护。加强环境管理，严格落实《报告书》提出的各项施工期污染防治措施，降低对周边环境的不利影响。</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严格落实大气污染防治措施。肉鸡养殖过程中保持鸡舍封闭，鸡舍粪便采用传送带工艺输送，合理调整鸡粪的滞留时间，增加粪污清理次数，并在鸡舍喷洒除臭剂减少无组织恶臭排放；有机肥车间进行全封闭，负压抽吸将臭气引至1套生物除臭喷淋塔除臭设施，处理后经排气筒排放</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同时定期喷洒生物抑臭剂，</w:t>
      </w:r>
      <w:r>
        <w:rPr>
          <w:rFonts w:hint="eastAsia" w:ascii="仿宋_GB2312" w:hAnsi="仿宋_GB2312" w:eastAsia="仿宋_GB2312" w:cs="仿宋_GB2312"/>
          <w:bCs/>
          <w:color w:val="auto"/>
          <w:sz w:val="32"/>
          <w:szCs w:val="32"/>
          <w:highlight w:val="none"/>
          <w:lang w:val="en-US" w:eastAsia="zh-CN"/>
        </w:rPr>
        <w:t>减少有机肥车间无组织恶臭排放；污水处理设施加盖封闭，对黑膜沼液池定期</w:t>
      </w:r>
      <w:r>
        <w:rPr>
          <w:rFonts w:hint="eastAsia" w:ascii="仿宋_GB2312" w:hAnsi="仿宋_GB2312" w:eastAsia="仿宋_GB2312" w:cs="仿宋_GB2312"/>
          <w:bCs/>
          <w:color w:val="auto"/>
          <w:sz w:val="32"/>
          <w:szCs w:val="32"/>
          <w:highlight w:val="none"/>
        </w:rPr>
        <w:t>喷洒除臭剂</w:t>
      </w:r>
      <w:r>
        <w:rPr>
          <w:rFonts w:hint="eastAsia" w:ascii="仿宋_GB2312" w:hAnsi="仿宋_GB2312" w:eastAsia="仿宋_GB2312" w:cs="仿宋_GB2312"/>
          <w:bCs/>
          <w:color w:val="auto"/>
          <w:sz w:val="32"/>
          <w:szCs w:val="32"/>
          <w:highlight w:val="none"/>
          <w:lang w:eastAsia="zh-CN"/>
        </w:rPr>
        <w:t>，并加强周边</w:t>
      </w:r>
      <w:r>
        <w:rPr>
          <w:rFonts w:hint="eastAsia" w:ascii="仿宋_GB2312" w:hAnsi="仿宋_GB2312" w:eastAsia="仿宋_GB2312" w:cs="仿宋_GB2312"/>
          <w:bCs/>
          <w:color w:val="auto"/>
          <w:sz w:val="32"/>
          <w:szCs w:val="32"/>
          <w:highlight w:val="none"/>
        </w:rPr>
        <w:t>绿化，</w:t>
      </w:r>
      <w:r>
        <w:rPr>
          <w:rFonts w:hint="eastAsia" w:ascii="仿宋_GB2312" w:hAnsi="仿宋_GB2312" w:eastAsia="仿宋_GB2312" w:cs="仿宋_GB2312"/>
          <w:bCs/>
          <w:color w:val="auto"/>
          <w:sz w:val="32"/>
          <w:szCs w:val="32"/>
          <w:highlight w:val="none"/>
          <w:lang w:eastAsia="zh-CN"/>
        </w:rPr>
        <w:t>以</w:t>
      </w:r>
      <w:r>
        <w:rPr>
          <w:rFonts w:hint="eastAsia" w:ascii="仿宋_GB2312" w:hAnsi="仿宋_GB2312" w:eastAsia="仿宋_GB2312" w:cs="仿宋_GB2312"/>
          <w:bCs/>
          <w:color w:val="auto"/>
          <w:sz w:val="32"/>
          <w:szCs w:val="32"/>
          <w:highlight w:val="none"/>
        </w:rPr>
        <w:t>减少臭气对大气环境的影响</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黑膜沼液池产生的沼气脱硫处理后综合利用于职工食堂。项目排放的恶臭气体无组织排放浓度执行《恶臭污染物排放标准》（GB14554-93）表1二级浓度限值，有组织恶臭气体执行《恶臭污染物排放标准》（GB14554-93）表2浓度限值。</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、严格落实水污染防治措施。</w:t>
      </w:r>
      <w:r>
        <w:rPr>
          <w:rFonts w:hint="eastAsia" w:ascii="仿宋_GB2312" w:hAnsi="仿宋_GB2312" w:eastAsia="仿宋_GB2312" w:cs="仿宋_GB2312"/>
          <w:color w:val="auto"/>
          <w:kern w:val="2"/>
          <w:sz w:val="32"/>
          <w:szCs w:val="32"/>
          <w:highlight w:val="none"/>
          <w:lang w:val="en-US" w:eastAsia="zh-CN" w:bidi="ar-SA"/>
        </w:rPr>
        <w:t>运营期进行雨污分流，生活污水、养殖清洗废水收集后进入黑膜沼液池厌氧发酵后做为沼液肥回用于农田施肥，不外排。</w:t>
      </w:r>
      <w:r>
        <w:rPr>
          <w:rFonts w:hint="eastAsia" w:ascii="仿宋_GB2312" w:hAnsi="仿宋_GB2312" w:eastAsia="仿宋_GB2312" w:cs="仿宋_GB2312"/>
          <w:color w:val="auto"/>
          <w:sz w:val="32"/>
          <w:szCs w:val="32"/>
          <w:lang w:val="en-US" w:eastAsia="zh-CN"/>
        </w:rPr>
        <w:t>严格执行废水去向环境管理要求，严禁违法</w:t>
      </w:r>
      <w:r>
        <w:rPr>
          <w:rFonts w:hint="eastAsia" w:ascii="仿宋_GB2312" w:hAnsi="仿宋_GB2312" w:eastAsia="仿宋_GB2312" w:cs="仿宋_GB2312"/>
          <w:color w:val="auto"/>
          <w:sz w:val="32"/>
          <w:szCs w:val="32"/>
          <w:highlight w:val="none"/>
          <w:lang w:val="en-US" w:eastAsia="zh-CN"/>
        </w:rPr>
        <w:t>违规排放，严禁排入地表水体，确保所产生的废水全部得到合理利用。</w:t>
      </w:r>
      <w:r>
        <w:rPr>
          <w:rFonts w:hint="eastAsia" w:ascii="仿宋_GB2312" w:hAnsi="仿宋_GB2312" w:eastAsia="仿宋_GB2312" w:cs="仿宋_GB2312"/>
          <w:color w:val="auto"/>
          <w:sz w:val="32"/>
          <w:szCs w:val="32"/>
          <w:lang w:eastAsia="zh-CN"/>
        </w:rPr>
        <w:t>按要求规范设置</w:t>
      </w:r>
      <w:r>
        <w:rPr>
          <w:rFonts w:hint="eastAsia" w:ascii="仿宋_GB2312" w:hAnsi="仿宋_GB2312" w:eastAsia="仿宋_GB2312" w:cs="仿宋_GB2312"/>
          <w:bCs/>
          <w:color w:val="auto"/>
          <w:sz w:val="32"/>
          <w:szCs w:val="32"/>
          <w:highlight w:val="none"/>
          <w:lang w:val="en-US" w:eastAsia="zh-CN"/>
        </w:rPr>
        <w:t>黑膜沼液池</w:t>
      </w:r>
      <w:r>
        <w:rPr>
          <w:rFonts w:hint="eastAsia" w:ascii="仿宋_GB2312" w:hAnsi="仿宋_GB2312" w:eastAsia="仿宋_GB2312" w:cs="仿宋_GB2312"/>
          <w:color w:val="auto"/>
          <w:sz w:val="32"/>
          <w:szCs w:val="32"/>
          <w:lang w:eastAsia="zh-CN"/>
        </w:rPr>
        <w:t>、初期雨水收集池等设施，严格落实</w:t>
      </w:r>
      <w:r>
        <w:rPr>
          <w:rFonts w:hint="eastAsia" w:ascii="仿宋_GB2312" w:hAnsi="仿宋_GB2312" w:eastAsia="仿宋_GB2312" w:cs="仿宋_GB2312"/>
          <w:color w:val="auto"/>
          <w:sz w:val="32"/>
          <w:szCs w:val="32"/>
        </w:rPr>
        <w:t>分区防渗措施，</w:t>
      </w:r>
      <w:r>
        <w:rPr>
          <w:rFonts w:hint="eastAsia" w:ascii="仿宋_GB2312" w:hAnsi="仿宋_GB2312" w:eastAsia="仿宋_GB2312" w:cs="仿宋_GB2312"/>
          <w:color w:val="auto"/>
          <w:sz w:val="32"/>
          <w:szCs w:val="32"/>
          <w:lang w:val="en-US" w:eastAsia="zh-CN"/>
        </w:rPr>
        <w:t>对各构筑物采取相应防渗措施，重点做好有机肥车间、黑膜沼液池、医废暂存间等区域的防渗，必须满足防渗系数要求，确保区域地下水环境和土壤环境不受影响。</w:t>
      </w:r>
    </w:p>
    <w:p>
      <w:pPr>
        <w:keepNext w:val="0"/>
        <w:keepLines w:val="0"/>
        <w:pageBreakBefore w:val="0"/>
        <w:widowControl w:val="0"/>
        <w:kinsoku/>
        <w:wordWrap/>
        <w:overflowPunct/>
        <w:topLinePunct w:val="0"/>
        <w:autoSpaceDE/>
        <w:autoSpaceDN/>
        <w:bidi w:val="0"/>
        <w:adjustRightInd/>
        <w:snapToGrid w:val="0"/>
        <w:spacing w:line="57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lang w:val="en-US" w:eastAsia="zh-CN"/>
        </w:rPr>
        <w:t>严格落实噪声污染防治措施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优化选型设备，选用低噪声设备，加强设备维修保养，并采取减震、隔声、消声等有效措施，确保厂界噪声达到《工业企业厂界环境噪声排放标准》（GB12348-2008）2类标准</w:t>
      </w:r>
      <w:r>
        <w:rPr>
          <w:rFonts w:hint="eastAsia" w:ascii="仿宋_GB2312" w:hAnsi="仿宋_GB2312" w:eastAsia="仿宋_GB2312" w:cs="仿宋_GB2312"/>
          <w:color w:val="auto"/>
          <w:sz w:val="32"/>
          <w:szCs w:val="32"/>
        </w:rPr>
        <w:t>。</w:t>
      </w:r>
    </w:p>
    <w:p>
      <w:pPr>
        <w:pStyle w:val="8"/>
        <w:keepNext w:val="0"/>
        <w:keepLines w:val="0"/>
        <w:pageBreakBefore w:val="0"/>
        <w:widowControl w:val="0"/>
        <w:kinsoku/>
        <w:wordWrap/>
        <w:overflowPunct w:val="0"/>
        <w:topLinePunct w:val="0"/>
        <w:autoSpaceDE/>
        <w:autoSpaceDN/>
        <w:bidi w:val="0"/>
        <w:adjustRightInd/>
        <w:spacing w:line="57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lang w:val="en-US" w:eastAsia="zh-CN"/>
        </w:rPr>
        <w:t>严格落实固体废物污染防治措施。坚持“减量化、资源化、无害化”原则，依法依规加强固体废物收集、贮存、转移等环节的管控，严防次生环境问题发生。</w:t>
      </w:r>
      <w:r>
        <w:rPr>
          <w:rFonts w:hint="eastAsia" w:ascii="仿宋_GB2312" w:hAnsi="仿宋_GB2312" w:eastAsia="仿宋_GB2312" w:cs="仿宋_GB2312"/>
          <w:color w:val="auto"/>
          <w:sz w:val="32"/>
          <w:szCs w:val="32"/>
          <w:highlight w:val="none"/>
          <w:lang w:val="en-US" w:eastAsia="zh-CN"/>
        </w:rPr>
        <w:t>鸡粪</w:t>
      </w:r>
      <w:r>
        <w:rPr>
          <w:rFonts w:hint="eastAsia" w:ascii="仿宋_GB2312" w:hAnsi="仿宋_GB2312" w:eastAsia="仿宋_GB2312" w:cs="仿宋_GB2312"/>
          <w:color w:val="auto"/>
          <w:sz w:val="32"/>
          <w:szCs w:val="32"/>
          <w:highlight w:val="none"/>
        </w:rPr>
        <w:t>、沼渣、饲料残渣全部用于生产有机肥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养殖过程</w:t>
      </w:r>
      <w:r>
        <w:rPr>
          <w:rFonts w:hint="eastAsia" w:ascii="仿宋_GB2312" w:hAnsi="仿宋_GB2312" w:eastAsia="仿宋_GB2312" w:cs="仿宋_GB2312"/>
          <w:color w:val="auto"/>
          <w:sz w:val="32"/>
          <w:szCs w:val="32"/>
          <w:highlight w:val="none"/>
          <w:lang w:eastAsia="zh-CN"/>
        </w:rPr>
        <w:t>中</w:t>
      </w:r>
      <w:r>
        <w:rPr>
          <w:rFonts w:hint="eastAsia" w:ascii="仿宋_GB2312" w:hAnsi="仿宋_GB2312" w:eastAsia="仿宋_GB2312" w:cs="仿宋_GB2312"/>
          <w:color w:val="auto"/>
          <w:sz w:val="32"/>
          <w:szCs w:val="32"/>
          <w:highlight w:val="none"/>
        </w:rPr>
        <w:t>产生的病死</w:t>
      </w:r>
      <w:r>
        <w:rPr>
          <w:rFonts w:hint="eastAsia" w:ascii="仿宋_GB2312" w:hAnsi="仿宋_GB2312" w:eastAsia="仿宋_GB2312" w:cs="仿宋_GB2312"/>
          <w:color w:val="auto"/>
          <w:sz w:val="32"/>
          <w:szCs w:val="32"/>
          <w:highlight w:val="none"/>
          <w:lang w:val="en-US" w:eastAsia="zh-CN"/>
        </w:rPr>
        <w:t>鸡尸体等暂存于冷库，定期交由</w:t>
      </w:r>
      <w:r>
        <w:rPr>
          <w:rFonts w:hint="eastAsia" w:ascii="仿宋_GB2312" w:hAnsi="仿宋_GB2312" w:eastAsia="仿宋_GB2312" w:cs="仿宋_GB2312"/>
          <w:color w:val="auto"/>
          <w:sz w:val="32"/>
          <w:szCs w:val="32"/>
          <w:highlight w:val="none"/>
        </w:rPr>
        <w:t>无害化处理</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进行处理处置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医疗废物暂存于</w:t>
      </w:r>
      <w:r>
        <w:rPr>
          <w:rFonts w:hint="eastAsia" w:ascii="仿宋_GB2312" w:hAnsi="仿宋_GB2312" w:eastAsia="仿宋_GB2312" w:cs="仿宋_GB2312"/>
          <w:color w:val="auto"/>
          <w:sz w:val="32"/>
          <w:szCs w:val="32"/>
          <w:highlight w:val="none"/>
          <w:lang w:val="en-US" w:eastAsia="zh-CN"/>
        </w:rPr>
        <w:t>医废</w:t>
      </w:r>
      <w:r>
        <w:rPr>
          <w:rFonts w:hint="eastAsia" w:ascii="仿宋_GB2312" w:hAnsi="仿宋_GB2312" w:eastAsia="仿宋_GB2312" w:cs="仿宋_GB2312"/>
          <w:color w:val="auto"/>
          <w:sz w:val="32"/>
          <w:szCs w:val="32"/>
          <w:highlight w:val="none"/>
        </w:rPr>
        <w:t>暂存间，交</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有资质单位进行处置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生活垃圾分类收集后由当地环卫部门统一处理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rPr>
        <w:t>严格落实环境管理制度。你公司要建立健全各项环境管理制度，按要求设置相应的环境管理机构和人员，负责项目实施和运营过程的环境管理工作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加强项目环境风险防范，严格落实《报告书》提出的各项环境风险防范措施，规范编制突发环境事件应急预案，提高环境风险防范意识与应急能力，储备环境应急物资，并定期开展应急演练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严格履行《报告书》制订的环境监测计划，定期对废气、噪声、地下水</w:t>
      </w:r>
      <w:r>
        <w:rPr>
          <w:rFonts w:hint="eastAsia" w:ascii="仿宋_GB2312" w:hAnsi="仿宋_GB2312" w:eastAsia="仿宋_GB2312" w:cs="仿宋_GB2312"/>
          <w:color w:val="auto"/>
          <w:sz w:val="32"/>
          <w:szCs w:val="32"/>
          <w:lang w:eastAsia="zh-CN"/>
        </w:rPr>
        <w:t>、土壤</w:t>
      </w:r>
      <w:r>
        <w:rPr>
          <w:rFonts w:hint="eastAsia" w:ascii="仿宋_GB2312" w:hAnsi="仿宋_GB2312" w:eastAsia="仿宋_GB2312" w:cs="仿宋_GB2312"/>
          <w:color w:val="auto"/>
          <w:sz w:val="32"/>
          <w:szCs w:val="32"/>
        </w:rPr>
        <w:t>环境进行监测，并根据监测结果及时采取补救措施，妥善解决可能出现的环境问题，确保环境安全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、严格落实厂区的硬化、绿化美化及防沙治沙等相关措施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着力提升厂容厂貌，全面提升企业形象。</w:t>
      </w:r>
    </w:p>
    <w:p>
      <w:pPr>
        <w:keepNext w:val="0"/>
        <w:keepLines w:val="0"/>
        <w:pageBreakBefore w:val="0"/>
        <w:widowControl w:val="0"/>
        <w:kinsoku/>
        <w:wordWrap/>
        <w:overflowPunct/>
        <w:topLinePunct w:val="0"/>
        <w:autoSpaceDE/>
        <w:autoSpaceDN/>
        <w:bidi w:val="0"/>
        <w:adjustRightInd/>
        <w:snapToGrid w:val="0"/>
        <w:spacing w:line="57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8、项目实施前依法办理其他相关手续。</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lang w:val="en-US" w:eastAsia="zh-CN"/>
        </w:rPr>
        <w:t>三、项目建设和运营过程中，如有新颁布的生态环境保护政策、规范、标准涉及本项目，应严格执行新的管控要求。</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四</w:t>
      </w:r>
      <w:r>
        <w:rPr>
          <w:rFonts w:hint="eastAsia" w:ascii="仿宋_GB2312" w:hAnsi="仿宋_GB2312" w:eastAsia="仿宋_GB2312" w:cs="仿宋_GB2312"/>
          <w:bCs/>
          <w:color w:val="auto"/>
          <w:sz w:val="32"/>
          <w:szCs w:val="32"/>
          <w:highlight w:val="none"/>
        </w:rPr>
        <w:t>、建立健全项目信息公开机制，按照《建设项目环境影响评价信息公开机制方案》等要求，及时、如实向社会公开项目相关信息，并主动接受社会监督。</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五</w:t>
      </w:r>
      <w:r>
        <w:rPr>
          <w:rFonts w:hint="eastAsia" w:ascii="仿宋_GB2312" w:hAnsi="仿宋_GB2312" w:eastAsia="仿宋_GB2312" w:cs="仿宋_GB2312"/>
          <w:bCs/>
          <w:color w:val="auto"/>
          <w:sz w:val="32"/>
          <w:szCs w:val="32"/>
          <w:highlight w:val="none"/>
        </w:rPr>
        <w:t>、你公司须严格执行环保“三同时”制度，按照国家排污许可有关管理规定，申请排污许可证，按证排污；须按照国家规定的标准和程序实施竣工环境保护验收；如项目的性质、规模、地点、工艺或者防治污染、防止生态破坏的措施发生重大变动的情况，应当重新报批建设项目环境影响评价文件。</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六</w:t>
      </w:r>
      <w:r>
        <w:rPr>
          <w:rFonts w:hint="eastAsia" w:ascii="仿宋_GB2312" w:hAnsi="仿宋_GB2312" w:eastAsia="仿宋_GB2312" w:cs="仿宋_GB2312"/>
          <w:bCs/>
          <w:color w:val="auto"/>
          <w:sz w:val="32"/>
          <w:szCs w:val="32"/>
          <w:highlight w:val="none"/>
        </w:rPr>
        <w:t>、大同市生态环境局</w:t>
      </w:r>
      <w:r>
        <w:rPr>
          <w:rFonts w:hint="eastAsia" w:ascii="仿宋_GB2312" w:hAnsi="仿宋_GB2312" w:eastAsia="仿宋_GB2312" w:cs="仿宋_GB2312"/>
          <w:bCs/>
          <w:color w:val="auto"/>
          <w:sz w:val="32"/>
          <w:szCs w:val="32"/>
          <w:highlight w:val="none"/>
          <w:lang w:val="en-US" w:eastAsia="zh-CN"/>
        </w:rPr>
        <w:t>云州分局</w:t>
      </w:r>
      <w:r>
        <w:rPr>
          <w:rFonts w:hint="eastAsia" w:ascii="仿宋_GB2312" w:hAnsi="仿宋_GB2312" w:eastAsia="仿宋_GB2312" w:cs="仿宋_GB2312"/>
          <w:bCs/>
          <w:color w:val="auto"/>
          <w:sz w:val="32"/>
          <w:szCs w:val="32"/>
          <w:highlight w:val="none"/>
        </w:rPr>
        <w:t>按照职责负责该项目“三同时”监督检查及日常监督管理工作。</w:t>
      </w:r>
    </w:p>
    <w:p>
      <w:pPr>
        <w:keepNext w:val="0"/>
        <w:keepLines w:val="0"/>
        <w:pageBreakBefore w:val="0"/>
        <w:widowControl w:val="0"/>
        <w:kinsoku/>
        <w:wordWrap/>
        <w:overflowPunct w:val="0"/>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七</w:t>
      </w:r>
      <w:r>
        <w:rPr>
          <w:rFonts w:hint="eastAsia" w:ascii="仿宋_GB2312" w:hAnsi="仿宋_GB2312" w:eastAsia="仿宋_GB2312" w:cs="仿宋_GB2312"/>
          <w:bCs/>
          <w:color w:val="auto"/>
          <w:sz w:val="32"/>
          <w:szCs w:val="32"/>
          <w:highlight w:val="none"/>
        </w:rPr>
        <w:t>、你公司收到本批复10个工作日内，要将批准后的《报告书》送大同市生态环境局</w:t>
      </w:r>
      <w:r>
        <w:rPr>
          <w:rFonts w:hint="eastAsia" w:ascii="仿宋_GB2312" w:hAnsi="仿宋_GB2312" w:eastAsia="仿宋_GB2312" w:cs="仿宋_GB2312"/>
          <w:bCs/>
          <w:color w:val="auto"/>
          <w:sz w:val="32"/>
          <w:szCs w:val="32"/>
          <w:highlight w:val="none"/>
          <w:lang w:val="en-US" w:eastAsia="zh-CN"/>
        </w:rPr>
        <w:t>云州</w:t>
      </w:r>
      <w:r>
        <w:rPr>
          <w:rFonts w:hint="eastAsia" w:ascii="仿宋_GB2312" w:hAnsi="仿宋_GB2312" w:eastAsia="仿宋_GB2312" w:cs="仿宋_GB2312"/>
          <w:bCs/>
          <w:color w:val="auto"/>
          <w:sz w:val="32"/>
          <w:szCs w:val="32"/>
          <w:highlight w:val="none"/>
        </w:rPr>
        <w:t>分局，并按规定接受各级生态环境部门的日常监督检查。</w:t>
      </w:r>
    </w:p>
    <w:p>
      <w:pPr>
        <w:pStyle w:val="8"/>
        <w:overflowPunct w:val="0"/>
        <w:spacing w:line="600" w:lineRule="exact"/>
        <w:ind w:firstLine="640" w:firstLineChars="200"/>
        <w:jc w:val="both"/>
        <w:rPr>
          <w:rFonts w:ascii="仿宋_GB2312" w:hAnsi="仿宋_GB2312" w:eastAsia="仿宋_GB2312" w:cs="仿宋_GB2312"/>
          <w:color w:val="auto"/>
          <w:sz w:val="32"/>
          <w:szCs w:val="32"/>
          <w:highlight w:val="none"/>
        </w:rPr>
      </w:pPr>
    </w:p>
    <w:p>
      <w:pPr>
        <w:pStyle w:val="8"/>
        <w:overflowPunct w:val="0"/>
        <w:spacing w:line="660" w:lineRule="exact"/>
        <w:ind w:firstLine="5120" w:firstLineChars="1600"/>
        <w:jc w:val="both"/>
        <w:rPr>
          <w:rFonts w:hint="eastAsia" w:ascii="仿宋_GB2312" w:hAnsi="仿宋_GB2312" w:eastAsia="仿宋_GB2312" w:cs="仿宋_GB2312"/>
          <w:color w:val="auto"/>
          <w:sz w:val="32"/>
          <w:szCs w:val="32"/>
          <w:highlight w:val="none"/>
        </w:rPr>
      </w:pPr>
    </w:p>
    <w:p>
      <w:pPr>
        <w:pStyle w:val="8"/>
        <w:overflowPunct w:val="0"/>
        <w:spacing w:line="660" w:lineRule="exact"/>
        <w:ind w:firstLine="5120" w:firstLineChars="16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大同市生态环境局</w:t>
      </w:r>
    </w:p>
    <w:p>
      <w:pPr>
        <w:overflowPunct w:val="0"/>
        <w:spacing w:line="620" w:lineRule="exact"/>
        <w:ind w:right="640"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日</w:t>
      </w:r>
    </w:p>
    <w:p>
      <w:pPr>
        <w:pStyle w:val="8"/>
        <w:overflowPunct w:val="0"/>
        <w:spacing w:line="600" w:lineRule="exact"/>
        <w:jc w:val="both"/>
        <w:rPr>
          <w:rFonts w:ascii="仿宋_GB2312" w:hAnsi="仿宋_GB2312" w:eastAsia="仿宋_GB2312" w:cs="仿宋_GB2312"/>
          <w:bCs/>
          <w:color w:val="auto"/>
          <w:sz w:val="32"/>
          <w:szCs w:val="32"/>
          <w:highlight w:val="none"/>
        </w:rPr>
      </w:pPr>
    </w:p>
    <w:p>
      <w:pPr>
        <w:pStyle w:val="8"/>
        <w:overflowPunct w:val="0"/>
        <w:spacing w:line="600" w:lineRule="exact"/>
        <w:jc w:val="both"/>
        <w:rPr>
          <w:rFonts w:ascii="仿宋_GB2312" w:hAnsi="仿宋_GB2312" w:eastAsia="仿宋_GB2312" w:cs="仿宋_GB2312"/>
          <w:bCs/>
          <w:color w:val="auto"/>
          <w:sz w:val="32"/>
          <w:szCs w:val="32"/>
          <w:highlight w:val="none"/>
        </w:rPr>
      </w:pPr>
    </w:p>
    <w:p>
      <w:pPr>
        <w:pStyle w:val="8"/>
        <w:overflowPunct w:val="0"/>
        <w:spacing w:line="600" w:lineRule="exact"/>
        <w:ind w:left="960" w:hanging="960" w:hangingChars="300"/>
        <w:jc w:val="both"/>
        <w:rPr>
          <w:rFonts w:hint="eastAsia" w:eastAsia="仿宋_GB2312"/>
          <w:color w:val="auto"/>
          <w:highlight w:val="none"/>
          <w:lang w:eastAsia="zh-CN"/>
        </w:rPr>
      </w:pPr>
      <w:r>
        <w:rPr>
          <w:rFonts w:hint="eastAsia" w:ascii="仿宋_GB2312" w:hAnsi="仿宋_GB2312" w:eastAsia="仿宋_GB2312" w:cs="仿宋_GB2312"/>
          <w:bCs/>
          <w:color w:val="auto"/>
          <w:sz w:val="32"/>
          <w:szCs w:val="32"/>
          <w:highlight w:val="none"/>
        </w:rPr>
        <w:t>抄送：市生态环境局</w:t>
      </w:r>
      <w:r>
        <w:rPr>
          <w:rFonts w:hint="eastAsia" w:ascii="仿宋_GB2312" w:hAnsi="仿宋_GB2312" w:eastAsia="仿宋_GB2312" w:cs="仿宋_GB2312"/>
          <w:bCs/>
          <w:color w:val="auto"/>
          <w:sz w:val="32"/>
          <w:szCs w:val="32"/>
          <w:highlight w:val="none"/>
          <w:lang w:val="en-US" w:eastAsia="zh-CN"/>
        </w:rPr>
        <w:t>云州</w:t>
      </w:r>
      <w:r>
        <w:rPr>
          <w:rFonts w:hint="eastAsia" w:ascii="仿宋_GB2312" w:hAnsi="仿宋_GB2312" w:eastAsia="仿宋_GB2312" w:cs="仿宋_GB2312"/>
          <w:bCs/>
          <w:color w:val="auto"/>
          <w:sz w:val="32"/>
          <w:szCs w:val="32"/>
          <w:highlight w:val="none"/>
        </w:rPr>
        <w:t>分局</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市生态环境评估中心</w:t>
      </w:r>
      <w:r>
        <w:rPr>
          <w:rFonts w:hint="eastAsia" w:ascii="仿宋_GB2312" w:hAnsi="仿宋_GB2312" w:eastAsia="仿宋_GB2312" w:cs="仿宋_GB2312"/>
          <w:bCs/>
          <w:color w:val="auto"/>
          <w:sz w:val="32"/>
          <w:szCs w:val="32"/>
          <w:highlight w:val="none"/>
          <w:lang w:eastAsia="zh-CN"/>
        </w:rPr>
        <w:t>，山西清韵环保科技有限公司。</w:t>
      </w:r>
    </w:p>
    <w:sectPr>
      <w:headerReference r:id="rId3" w:type="default"/>
      <w:footerReference r:id="rId4" w:type="default"/>
      <w:footerReference r:id="rId5" w:type="even"/>
      <w:pgSz w:w="11906" w:h="16838"/>
      <w:pgMar w:top="1588" w:right="1474"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2"/>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- 5 -</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9B20E"/>
    <w:multiLevelType w:val="singleLevel"/>
    <w:tmpl w:val="4289B2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0F33"/>
    <w:rsid w:val="00172A27"/>
    <w:rsid w:val="005A0FE6"/>
    <w:rsid w:val="006201BD"/>
    <w:rsid w:val="00706BF6"/>
    <w:rsid w:val="00833EA5"/>
    <w:rsid w:val="008F5E9B"/>
    <w:rsid w:val="009A7A58"/>
    <w:rsid w:val="00AE5D54"/>
    <w:rsid w:val="00C92760"/>
    <w:rsid w:val="00DC22A2"/>
    <w:rsid w:val="00EC75AC"/>
    <w:rsid w:val="00F06BCC"/>
    <w:rsid w:val="00F318B6"/>
    <w:rsid w:val="00F33811"/>
    <w:rsid w:val="011B7C8E"/>
    <w:rsid w:val="015121DC"/>
    <w:rsid w:val="02197F11"/>
    <w:rsid w:val="04353DA3"/>
    <w:rsid w:val="052150F6"/>
    <w:rsid w:val="0532033D"/>
    <w:rsid w:val="05A62867"/>
    <w:rsid w:val="05D17FFC"/>
    <w:rsid w:val="06695E95"/>
    <w:rsid w:val="06FE4594"/>
    <w:rsid w:val="078F54F8"/>
    <w:rsid w:val="085710FE"/>
    <w:rsid w:val="0ADB20CB"/>
    <w:rsid w:val="0B0F0E9B"/>
    <w:rsid w:val="0B811CD8"/>
    <w:rsid w:val="0B960EA2"/>
    <w:rsid w:val="0CAF7499"/>
    <w:rsid w:val="0E390D15"/>
    <w:rsid w:val="0E683A57"/>
    <w:rsid w:val="0E7D498A"/>
    <w:rsid w:val="115C0464"/>
    <w:rsid w:val="11C460F9"/>
    <w:rsid w:val="14C4469D"/>
    <w:rsid w:val="14C744C7"/>
    <w:rsid w:val="15C27BE2"/>
    <w:rsid w:val="16537176"/>
    <w:rsid w:val="165E0373"/>
    <w:rsid w:val="16BF69E3"/>
    <w:rsid w:val="17A54C68"/>
    <w:rsid w:val="18853991"/>
    <w:rsid w:val="189E13A7"/>
    <w:rsid w:val="191B10F4"/>
    <w:rsid w:val="1A1572FE"/>
    <w:rsid w:val="1B2E2228"/>
    <w:rsid w:val="1BF56D65"/>
    <w:rsid w:val="1C245F44"/>
    <w:rsid w:val="1E885F1F"/>
    <w:rsid w:val="1EB8162E"/>
    <w:rsid w:val="221F7ECE"/>
    <w:rsid w:val="22B46DAD"/>
    <w:rsid w:val="22E713CA"/>
    <w:rsid w:val="278F7853"/>
    <w:rsid w:val="27A717FB"/>
    <w:rsid w:val="27CA4D11"/>
    <w:rsid w:val="29365414"/>
    <w:rsid w:val="294505F5"/>
    <w:rsid w:val="298522FD"/>
    <w:rsid w:val="2B507EA7"/>
    <w:rsid w:val="2C5C7EF0"/>
    <w:rsid w:val="2CB44293"/>
    <w:rsid w:val="2E43024A"/>
    <w:rsid w:val="2E7A35C8"/>
    <w:rsid w:val="2E9379F3"/>
    <w:rsid w:val="2EAA1BC4"/>
    <w:rsid w:val="2FB841CB"/>
    <w:rsid w:val="307815AF"/>
    <w:rsid w:val="309505DF"/>
    <w:rsid w:val="31A542E6"/>
    <w:rsid w:val="32861D8C"/>
    <w:rsid w:val="338A2305"/>
    <w:rsid w:val="34514EFD"/>
    <w:rsid w:val="34842E69"/>
    <w:rsid w:val="359357FC"/>
    <w:rsid w:val="378E37FE"/>
    <w:rsid w:val="37EF2776"/>
    <w:rsid w:val="38114846"/>
    <w:rsid w:val="38886207"/>
    <w:rsid w:val="3B245055"/>
    <w:rsid w:val="3BA129E3"/>
    <w:rsid w:val="3F2B6755"/>
    <w:rsid w:val="40AE45D6"/>
    <w:rsid w:val="40DA07AC"/>
    <w:rsid w:val="4149141D"/>
    <w:rsid w:val="4309027B"/>
    <w:rsid w:val="439968F8"/>
    <w:rsid w:val="45252E0C"/>
    <w:rsid w:val="46352F18"/>
    <w:rsid w:val="46CC64CC"/>
    <w:rsid w:val="47957145"/>
    <w:rsid w:val="47AC6623"/>
    <w:rsid w:val="483005A9"/>
    <w:rsid w:val="487116CC"/>
    <w:rsid w:val="49780EBA"/>
    <w:rsid w:val="499D2133"/>
    <w:rsid w:val="4B562642"/>
    <w:rsid w:val="4E3804CD"/>
    <w:rsid w:val="4FAA3699"/>
    <w:rsid w:val="508F0A78"/>
    <w:rsid w:val="53D70DC0"/>
    <w:rsid w:val="5420397C"/>
    <w:rsid w:val="546171A1"/>
    <w:rsid w:val="549E6497"/>
    <w:rsid w:val="560E167E"/>
    <w:rsid w:val="579842EB"/>
    <w:rsid w:val="585E72A4"/>
    <w:rsid w:val="58C97590"/>
    <w:rsid w:val="58E735E3"/>
    <w:rsid w:val="596C5FD0"/>
    <w:rsid w:val="5A8448AC"/>
    <w:rsid w:val="5C11182A"/>
    <w:rsid w:val="5EC4317F"/>
    <w:rsid w:val="5F3329DC"/>
    <w:rsid w:val="60206123"/>
    <w:rsid w:val="60393BEB"/>
    <w:rsid w:val="627918DF"/>
    <w:rsid w:val="630E22D8"/>
    <w:rsid w:val="633B72C3"/>
    <w:rsid w:val="63FD0EC8"/>
    <w:rsid w:val="63FE4F5A"/>
    <w:rsid w:val="647125A8"/>
    <w:rsid w:val="64D942FA"/>
    <w:rsid w:val="64EC34C1"/>
    <w:rsid w:val="65F11B8E"/>
    <w:rsid w:val="6621159B"/>
    <w:rsid w:val="678D7F4C"/>
    <w:rsid w:val="67C156D0"/>
    <w:rsid w:val="6AB80B6D"/>
    <w:rsid w:val="6ACF0E45"/>
    <w:rsid w:val="6B0C186E"/>
    <w:rsid w:val="6C2524CE"/>
    <w:rsid w:val="6C423C51"/>
    <w:rsid w:val="6CAC3595"/>
    <w:rsid w:val="6E4A68C4"/>
    <w:rsid w:val="6E7A4C79"/>
    <w:rsid w:val="6FE404F2"/>
    <w:rsid w:val="714E7B22"/>
    <w:rsid w:val="72080C51"/>
    <w:rsid w:val="733933AE"/>
    <w:rsid w:val="74054E20"/>
    <w:rsid w:val="7542297A"/>
    <w:rsid w:val="7680581F"/>
    <w:rsid w:val="774E652B"/>
    <w:rsid w:val="7775419D"/>
    <w:rsid w:val="7A6E56C3"/>
    <w:rsid w:val="7B4855E4"/>
    <w:rsid w:val="7C855DB5"/>
    <w:rsid w:val="7DBB77B6"/>
    <w:rsid w:val="7EF3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ascii="宋体" w:cs="宋体"/>
      <w:sz w:val="24"/>
    </w:rPr>
  </w:style>
  <w:style w:type="paragraph" w:customStyle="1" w:styleId="3">
    <w:name w:val="纯文本1"/>
    <w:basedOn w:val="1"/>
    <w:qFormat/>
    <w:uiPriority w:val="0"/>
    <w:pPr>
      <w:adjustRightInd w:val="0"/>
      <w:textAlignment w:val="baseline"/>
    </w:pPr>
    <w:rPr>
      <w:rFonts w:hAnsi="Courier New" w:eastAsia="仿宋_GB2312"/>
      <w:sz w:val="28"/>
      <w:szCs w:val="21"/>
    </w:rPr>
  </w:style>
  <w:style w:type="paragraph" w:customStyle="1" w:styleId="4">
    <w:name w:val="表格文字"/>
    <w:basedOn w:val="5"/>
    <w:next w:val="1"/>
    <w:qFormat/>
    <w:uiPriority w:val="0"/>
    <w:pPr>
      <w:tabs>
        <w:tab w:val="left" w:pos="5880"/>
      </w:tabs>
      <w:snapToGrid w:val="0"/>
      <w:spacing w:line="240" w:lineRule="atLeast"/>
      <w:jc w:val="center"/>
    </w:pPr>
    <w:rPr>
      <w:rFonts w:hAnsi="宋体"/>
      <w:snapToGrid w:val="0"/>
      <w:kern w:val="0"/>
      <w:position w:val="-24"/>
      <w:szCs w:val="20"/>
    </w:rPr>
  </w:style>
  <w:style w:type="paragraph" w:customStyle="1" w:styleId="5">
    <w:name w:val="表格标题"/>
    <w:basedOn w:val="6"/>
    <w:next w:val="1"/>
    <w:qFormat/>
    <w:uiPriority w:val="0"/>
    <w:pPr>
      <w:spacing w:line="420" w:lineRule="atLeast"/>
      <w:ind w:firstLine="0" w:firstLineChars="0"/>
      <w:jc w:val="center"/>
    </w:pPr>
  </w:style>
  <w:style w:type="paragraph" w:styleId="6">
    <w:name w:val="Plain Text"/>
    <w:basedOn w:val="1"/>
    <w:next w:val="7"/>
    <w:qFormat/>
    <w:uiPriority w:val="0"/>
    <w:rPr>
      <w:rFonts w:hAnsi="Courier New" w:cs="Courier New"/>
      <w:szCs w:val="21"/>
    </w:rPr>
  </w:style>
  <w:style w:type="paragraph" w:styleId="7">
    <w:name w:val="Body Text First Indent"/>
    <w:basedOn w:val="8"/>
    <w:next w:val="1"/>
    <w:qFormat/>
    <w:uiPriority w:val="99"/>
    <w:pPr>
      <w:spacing w:before="0" w:after="120"/>
      <w:ind w:left="0" w:firstLine="420" w:firstLineChars="100"/>
      <w:jc w:val="both"/>
    </w:pPr>
    <w:rPr>
      <w:rFonts w:ascii="等线" w:hAnsi="等线" w:cs="Times New Roman"/>
      <w:sz w:val="20"/>
      <w:lang w:val="zh-CN" w:eastAsia="zh-CN"/>
    </w:rPr>
  </w:style>
  <w:style w:type="paragraph" w:styleId="8">
    <w:name w:val="Body Text"/>
    <w:basedOn w:val="1"/>
    <w:next w:val="1"/>
    <w:qFormat/>
    <w:uiPriority w:val="0"/>
    <w:pPr>
      <w:spacing w:line="540" w:lineRule="exact"/>
      <w:jc w:val="center"/>
    </w:pPr>
    <w:rPr>
      <w:rFonts w:eastAsia="华文中宋"/>
      <w:sz w:val="4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paragraph" w:customStyle="1" w:styleId="15">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97c1bead-7299-4613-add8-cc61b8891280</errorID>
      <errorWord>&lt;</errorWord>
      <group>L1_Format</group>
      <groupName>格式问题</groupName>
      <ability>L2_HalfPunc</ability>
      <abilityName>全半角检查</abilityName>
      <candidateList>
        <item>〈</item>
      </candidateList>
      <explain>文本全半角错误。</explain>
      <paraID>3C173260</paraID>
      <start>9</start>
      <end>10</end>
      <status>unmodified</status>
      <modifiedWord/>
      <trackRevisions>false</trackRevisions>
    </reviewItem>
    <reviewItem>
      <errorID>4028804f-eff7-4485-a2a0-bbc113701be6</errorID>
      <errorWord>&gt;</errorWord>
      <group>L1_Format</group>
      <groupName>格式问题</groupName>
      <ability>L2_HalfPunc</ability>
      <abilityName>全半角检查</abilityName>
      <candidateList>
        <item>〉</item>
      </candidateList>
      <explain>文本全半角错误。</explain>
      <paraID>3C173260</paraID>
      <start>46</start>
      <end>47</end>
      <status>unmodified</status>
      <modifiedWord/>
      <trackRevisions>false</trackRevisions>
    </reviewItem>
    <reviewItem>
      <errorID>ecdbbb7d-c5d6-4bf8-b6fa-cbe0880f22ee</errorID>
      <errorWord>《</errorWord>
      <group>L1_Punc</group>
      <groupName>标点问题</groupName>
      <ability>L2_Punc</ability>
      <abilityName>标点符号检查</abilityName>
      <candidateList/>
      <explain>同一形式括号套用。</explain>
      <paraID>3C173260</paraID>
      <start>52</start>
      <end>53</end>
      <status>unmodified</status>
      <modifiedWord/>
      <trackRevisions>false</trackRevisions>
    </reviewItem>
    <reviewItem>
      <errorID>c62dcccc-7b10-431d-9b55-004cba83be62</errorID>
      <errorWord>》</errorWord>
      <group>L1_Punc</group>
      <groupName>标点问题</groupName>
      <ability>L2_Punc</ability>
      <abilityName>标点符号检查</abilityName>
      <candidateList/>
      <explain>同一形式括号套用。</explain>
      <paraID>3C173260</paraID>
      <start>56</start>
      <end>57</end>
      <status>unmodified</status>
      <modifiedWord/>
      <trackRevisions>false</trackRevisions>
    </reviewItem>
    <reviewItem>
      <errorID>debc2c3c-f8bd-4f48-ab22-57780bd28023</errorID>
      <errorWord>&lt;</errorWord>
      <group>L1_Format</group>
      <groupName>格式问题</groupName>
      <ability>L2_HalfPunc</ability>
      <abilityName>全半角检查</abilityName>
      <candidateList>
        <item>〈</item>
      </candidateList>
      <explain>文本全半角错误。</explain>
      <paraID>3C173260</paraID>
      <start>90</start>
      <end>91</end>
      <status>unmodified</status>
      <modifiedWord/>
      <trackRevisions>false</trackRevisions>
    </reviewItem>
    <reviewItem>
      <errorID>c72bbd25-2faf-4a39-a944-57d2e6c19de8</errorID>
      <errorWord>&gt;</errorWord>
      <group>L1_Format</group>
      <groupName>格式问题</groupName>
      <ability>L2_HalfPunc</ability>
      <abilityName>全半角检查</abilityName>
      <candidateList>
        <item>〉</item>
      </candidateList>
      <explain>文本全半角错误。</explain>
      <paraID>3C173260</paraID>
      <start>127</start>
      <end>128</end>
      <status>unmodified</status>
      <modifiedWord/>
      <trackRevisions>false</trackRevisions>
    </reviewItem>
    <reviewItem>
      <errorID>a49e4f59-2474-452c-a986-11ecabc4803c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7C2C981B</paraID>
      <start>0</start>
      <end>2</end>
      <status>unmodified</status>
      <modifiedWord/>
      <trackRevisions>false</trackRevisions>
    </reviewItem>
    <reviewItem>
      <errorID>9145a2b1-e903-458a-abab-a8eac6115852</errorID>
      <errorWord>其</errorWord>
      <group>L1_AI</group>
      <groupName>深度校对</groupName>
      <ability>L2_AI_Word</ability>
      <abilityName>字词纠错</abilityName>
      <candidateList>
        <item>与其</item>
      </candidateList>
      <explain/>
      <paraID>7C2C981B</paraID>
      <start>45</start>
      <end>47</end>
      <status>modified</status>
      <modifiedWord>与其</modifiedWord>
      <trackRevisions>false</trackRevisions>
    </reviewItem>
    <reviewItem>
      <errorID>69be4df6-095c-4e82-83eb-019278f87382</errorID>
      <errorWord>(</errorWord>
      <group>L1_Format</group>
      <groupName>格式问题</groupName>
      <ability>L2_HalfPunc</ability>
      <abilityName>全半角检查</abilityName>
      <candidateList>
        <item>（</item>
      </candidateList>
      <explain>文本全半角错误。</explain>
      <paraID>7C2C981B</paraID>
      <start>106</start>
      <end>107</end>
      <status>modified</status>
      <modifiedWord>（</modifiedWord>
      <trackRevisions>false</trackRevisions>
    </reviewItem>
    <reviewItem>
      <errorID>e65e6207-4eed-46a0-8d35-4db02e9c5482</errorID>
      <errorWord>)</errorWord>
      <group>L1_Format</group>
      <groupName>格式问题</groupName>
      <ability>L2_HalfPunc</ability>
      <abilityName>全半角检查</abilityName>
      <candidateList>
        <item>）</item>
      </candidateList>
      <explain>文本全半角错误。</explain>
      <paraID>7C2C981B</paraID>
      <start>119</start>
      <end>120</end>
      <status>modified</status>
      <modifiedWord>）</modifiedWord>
      <trackRevisions>false</trackRevisions>
    </reviewItem>
    <reviewItem>
      <errorID>a075ec83-dbf5-4ab8-80db-13a05d1d8e75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55D43519</paraID>
      <start>0</start>
      <end>2</end>
      <status>unmodified</status>
      <modifiedWord/>
      <trackRevisions>false</trackRevisions>
    </reviewItem>
    <reviewItem>
      <errorID>29240fe7-e323-4ec2-80cb-fc5ead10fe81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4905F27F</paraID>
      <start>0</start>
      <end>2</end>
      <status>unmodified</status>
      <modifiedWord/>
      <trackRevisions>false</trackRevisions>
    </reviewItem>
    <reviewItem>
      <errorID>a0a6bef5-8b32-40aa-84cf-83a88b0aeafe</errorID>
      <errorWord>程</errorWord>
      <group>L1_Word</group>
      <groupName>字词问题</groupName>
      <ability>L2_Typo</ability>
      <abilityName>字词错误</abilityName>
      <candidateList>
        <item>程中</item>
      </candidateList>
      <explain/>
      <paraID>4905F27F</paraID>
      <start>116</start>
      <end>118</end>
      <status>modified</status>
      <modifiedWord>程中</modifiedWord>
      <trackRevisions>false</trackRevisions>
    </reviewItem>
    <reviewItem>
      <errorID>428e7ab1-9b04-4e60-b801-6a3f645509eb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434D9FE</paraID>
      <start>0</start>
      <end>2</end>
      <status>unmodified</status>
      <modifiedWord/>
      <trackRevisions>false</trackRevisions>
    </reviewItem>
    <reviewItem>
      <errorID>e391d230-5a5b-48cb-bb01-e63add978614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7A9B8F4E</paraID>
      <start>0</start>
      <end>2</end>
      <status>unmodified</status>
      <modifiedWord/>
      <trackRevisions>false</trackRevisions>
    </reviewItem>
    <reviewItem>
      <errorID>80e01823-0341-407a-86e7-96739b0d48e0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3CD59FB8</paraID>
      <start>0</start>
      <end>2</end>
      <status>unmodified</status>
      <modifiedWord/>
      <trackRevisions>false</trackRevisions>
    </reviewItem>
    <reviewItem>
      <errorID>c6f963ea-cfe5-439b-b4df-dd88ea4db018</errorID>
      <errorWord>确保确保</errorWord>
      <group>L1_Word</group>
      <groupName>字词问题</groupName>
      <ability>L2_Typo</ability>
      <abilityName>字词错误</abilityName>
      <candidateList>
        <item>确保</item>
      </candidateList>
      <explain>〈动〉确实地保持或保证：～交通畅通｜加强田间管理，～粮食丰收。</explain>
      <paraID>3CD59FB8</paraID>
      <start>58</start>
      <end>60</end>
      <status>modified</status>
      <modifiedWord>确保</modifiedWord>
      <trackRevisions>false</trackRevisions>
    </reviewItem>
    <reviewItem>
      <errorID>1e70bec6-8cdb-49bb-9af8-50a9701d163d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3CD59FB8</paraID>
      <start>73</start>
      <end>74</end>
      <status>unmodified</status>
      <modifiedWord/>
      <trackRevisions>false</trackRevisions>
    </reviewItem>
    <reviewItem>
      <errorID>0e3c5702-d37b-446c-9d8e-854068fe5346</errorID>
      <errorWord>(</errorWord>
      <group>L1_Format</group>
      <groupName>格式问题</groupName>
      <ability>L2_HalfPunc</ability>
      <abilityName>全半角检查</abilityName>
      <candidateList>
        <item>（</item>
      </candidateList>
      <explain>文本全半角错误。</explain>
      <paraID>3CD59FB8</paraID>
      <start>104</start>
      <end>105</end>
      <status>modified</status>
      <modifiedWord>（</modifiedWord>
      <trackRevisions>false</trackRevisions>
    </reviewItem>
    <reviewItem>
      <errorID>aac12573-3fb3-4bde-8a71-e6bf81db0e82</errorID>
      <errorWord>)</errorWord>
      <group>L1_Format</group>
      <groupName>格式问题</groupName>
      <ability>L2_HalfPunc</ability>
      <abilityName>全半角检查</abilityName>
      <candidateList>
        <item>）</item>
      </candidateList>
      <explain>文本全半角错误。</explain>
      <paraID>3CD59FB8</paraID>
      <start>117</start>
      <end>118</end>
      <status>modified</status>
      <modifiedWord>）</modifiedWord>
      <trackRevisions>false</trackRevisions>
    </reviewItem>
    <reviewItem>
      <errorID>41e717dd-1f0b-410b-a1ee-bb4296840e94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6A5D1D66</paraID>
      <start>0</start>
      <end>2</end>
      <status>unmodified</status>
      <modifiedWord/>
      <trackRevisions>false</trackRevisions>
    </reviewItem>
    <reviewItem>
      <errorID>3d5c5dc4-cdcb-4c96-8bf0-16bc3be2f6ac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113DBDCE</paraID>
      <start>0</start>
      <end>2</end>
      <status>unmodified</status>
      <modifiedWord/>
      <trackRevisions>false</trackRevisions>
    </reviewItem>
    <reviewItem>
      <errorID>802d1e81-88b0-42ff-bdd9-0685e10602f9</errorID>
      <errorWord>提高</errorWord>
      <group>L1_Grammar</group>
      <groupName>语法问题</groupName>
      <ability>L2_Grammar</ability>
      <abilityName>语法错误</abilityName>
      <candidateList>
        <item>增强</item>
      </candidateList>
      <explain>“提高～意识”搭配不当，建议修改为“增强～意识”。</explain>
      <paraID>113DBDCE</paraID>
      <start>116</start>
      <end>118</end>
      <status>modified</status>
      <modifiedWord>增强</modifiedWord>
      <trackRevisions>false</trackRevisions>
    </reviewItem>
    <reviewItem>
      <errorID>93a85008-d426-40f5-821b-e2bafea0fe23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8A742F5</paraID>
      <start>0</start>
      <end>2</end>
      <status>unmodified</status>
      <modifiedWord/>
      <trackRevisions>false</trackRevisions>
    </reviewItem>
    <reviewItem>
      <errorID>defadcdd-9cf6-48d0-af21-b4721c5319fc</errorID>
      <errorWord>填充</errorWord>
      <group>L1_AI</group>
      <groupName>深度校对</groupName>
      <ability>L2_AI_Word</ability>
      <abilityName>字词纠错</abilityName>
      <candidateList>
        <item>填埋</item>
      </candidateList>
      <explain/>
      <paraID>13C0708C</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04b5e-8270-48ee-b682-af5eaea09e53}">
  <ds:schemaRefs/>
</ds:datastoreItem>
</file>

<file path=docProps/app.xml><?xml version="1.0" encoding="utf-8"?>
<Properties xmlns="http://schemas.openxmlformats.org/officeDocument/2006/extended-properties" xmlns:vt="http://schemas.openxmlformats.org/officeDocument/2006/docPropsVTypes">
  <Template>Normal</Template>
  <Pages>4</Pages>
  <Words>2523</Words>
  <Characters>2683</Characters>
  <Lines>18</Lines>
  <Paragraphs>5</Paragraphs>
  <TotalTime>6</TotalTime>
  <ScaleCrop>false</ScaleCrop>
  <LinksUpToDate>false</LinksUpToDate>
  <CharactersWithSpaces>2708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2025-08-29T01:12:00Z</dcterms:created>
  <dc:creator>薄鸿淼</dc:creator>
  <cp:lastModifiedBy>Administrator</cp:lastModifiedBy>
  <cp:lastPrinted>2026-04-28T07:54:28Z</cp:lastPrinted>
  <dcterms:modified xsi:type="dcterms:W3CDTF">2026-04-28T07:54:34Z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AB3D431F356646BBB4351BEFCE1FFF86_11</vt:lpwstr>
  </property>
  <property fmtid="{D5CDD505-2E9C-101B-9397-08002B2CF9AE}" pid="4" name="KSOTemplateDocerSaveRecord">
    <vt:lpwstr>eyJoZGlkIjoiOTM3YTViYTE0ODJlOWJlYjhiY2QzMDFkZTgyMmYyYmIiLCJ1c2VySWQiOiI0NDkxNTAxMTgifQ==</vt:lpwstr>
  </property>
</Properties>
</file>