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04E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FF0000"/>
          <w:spacing w:val="68"/>
          <w:sz w:val="52"/>
          <w:szCs w:val="52"/>
          <w:u w:val="single"/>
          <w:lang w:val="en-US" w:eastAsia="zh-CN"/>
        </w:rPr>
      </w:pPr>
      <w:r>
        <w:rPr>
          <w:rFonts w:hint="eastAsia" w:ascii="方正小标宋简体" w:hAnsi="方正小标宋简体" w:eastAsia="方正小标宋简体" w:cs="方正小标宋简体"/>
          <w:color w:val="FF0000"/>
          <w:spacing w:val="68"/>
          <w:sz w:val="52"/>
          <w:szCs w:val="52"/>
          <w:u w:val="single"/>
          <w:lang w:val="en-US" w:eastAsia="zh-CN"/>
        </w:rPr>
        <w:t xml:space="preserve"> </w:t>
      </w:r>
      <w:r>
        <w:rPr>
          <w:rFonts w:hint="eastAsia" w:ascii="方正小标宋简体" w:hAnsi="方正小标宋简体" w:eastAsia="方正小标宋简体" w:cs="方正小标宋简体"/>
          <w:color w:val="FF0000"/>
          <w:spacing w:val="68"/>
          <w:sz w:val="52"/>
          <w:szCs w:val="52"/>
          <w:u w:val="single"/>
          <w:lang w:eastAsia="zh-CN"/>
        </w:rPr>
        <w:t>大同市生态环境局灵丘分局</w:t>
      </w:r>
      <w:r>
        <w:rPr>
          <w:rFonts w:hint="eastAsia" w:ascii="方正小标宋简体" w:hAnsi="方正小标宋简体" w:eastAsia="方正小标宋简体" w:cs="方正小标宋简体"/>
          <w:color w:val="FF0000"/>
          <w:spacing w:val="68"/>
          <w:sz w:val="52"/>
          <w:szCs w:val="52"/>
          <w:u w:val="single"/>
          <w:lang w:val="en-US" w:eastAsia="zh-CN"/>
        </w:rPr>
        <w:t xml:space="preserve"> </w:t>
      </w:r>
    </w:p>
    <w:p w14:paraId="1D3DB826">
      <w:pPr>
        <w:wordWrap w:val="0"/>
        <w:spacing w:line="600" w:lineRule="exact"/>
        <w:jc w:val="right"/>
        <w:rPr>
          <w:rFonts w:hint="eastAsia" w:ascii="仿宋" w:hAnsi="仿宋" w:eastAsia="仿宋" w:cs="仿宋"/>
          <w:spacing w:val="-11"/>
          <w:sz w:val="32"/>
          <w:szCs w:val="32"/>
          <w:lang w:val="en-US" w:eastAsia="zh-CN"/>
        </w:rPr>
      </w:pPr>
      <w:r>
        <w:rPr>
          <w:rFonts w:hint="eastAsia" w:ascii="仿宋" w:hAnsi="仿宋" w:eastAsia="仿宋" w:cs="仿宋"/>
          <w:spacing w:val="-11"/>
          <w:sz w:val="32"/>
          <w:szCs w:val="32"/>
          <w:lang w:eastAsia="zh-CN"/>
        </w:rPr>
        <w:t>灵环函〔</w:t>
      </w:r>
      <w:r>
        <w:rPr>
          <w:rFonts w:hint="eastAsia" w:ascii="仿宋" w:hAnsi="仿宋" w:eastAsia="仿宋" w:cs="仿宋"/>
          <w:spacing w:val="-11"/>
          <w:sz w:val="32"/>
          <w:szCs w:val="32"/>
          <w:lang w:val="en-US" w:eastAsia="zh-CN"/>
        </w:rPr>
        <w:t>2026〕11</w:t>
      </w:r>
      <w:bookmarkStart w:id="0" w:name="_GoBack"/>
      <w:bookmarkEnd w:id="0"/>
      <w:r>
        <w:rPr>
          <w:rFonts w:hint="eastAsia" w:ascii="仿宋" w:hAnsi="仿宋" w:eastAsia="仿宋" w:cs="仿宋"/>
          <w:spacing w:val="-11"/>
          <w:sz w:val="32"/>
          <w:szCs w:val="32"/>
          <w:lang w:val="en-US" w:eastAsia="zh-CN"/>
        </w:rPr>
        <w:t>号</w:t>
      </w:r>
    </w:p>
    <w:p w14:paraId="279015E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仿宋" w:hAnsi="仿宋" w:eastAsia="仿宋" w:cs="仿宋"/>
          <w:spacing w:val="-11"/>
          <w:sz w:val="21"/>
          <w:szCs w:val="21"/>
          <w:lang w:val="en-US" w:eastAsia="zh-CN"/>
        </w:rPr>
      </w:pPr>
    </w:p>
    <w:p w14:paraId="556FB49C">
      <w:pPr>
        <w:snapToGrid/>
        <w:spacing w:before="0" w:beforeAutospacing="0" w:after="0" w:afterAutospacing="0" w:line="600" w:lineRule="exact"/>
        <w:jc w:val="center"/>
        <w:textAlignment w:val="baseline"/>
        <w:rPr>
          <w:rStyle w:val="10"/>
          <w:rFonts w:hint="eastAsia" w:ascii="方正小标宋简体" w:hAnsi="方正小标宋简体" w:eastAsia="方正小标宋简体"/>
          <w:b w:val="0"/>
          <w:i w:val="0"/>
          <w:caps w:val="0"/>
          <w:spacing w:val="-11"/>
          <w:w w:val="100"/>
          <w:kern w:val="2"/>
          <w:sz w:val="44"/>
          <w:szCs w:val="44"/>
          <w:lang w:val="en-US" w:eastAsia="zh-CN" w:bidi="ar-SA"/>
        </w:rPr>
      </w:pPr>
      <w:r>
        <w:rPr>
          <w:rStyle w:val="10"/>
          <w:rFonts w:ascii="方正小标宋简体" w:hAnsi="方正小标宋简体" w:eastAsia="方正小标宋简体"/>
          <w:b w:val="0"/>
          <w:i w:val="0"/>
          <w:caps w:val="0"/>
          <w:spacing w:val="-11"/>
          <w:w w:val="100"/>
          <w:kern w:val="2"/>
          <w:sz w:val="44"/>
          <w:szCs w:val="44"/>
          <w:lang w:val="en-US" w:eastAsia="zh-CN" w:bidi="ar-SA"/>
        </w:rPr>
        <w:t>关于</w:t>
      </w:r>
      <w:r>
        <w:rPr>
          <w:rStyle w:val="10"/>
          <w:rFonts w:hint="eastAsia" w:ascii="方正小标宋简体" w:hAnsi="方正小标宋简体" w:eastAsia="方正小标宋简体"/>
          <w:b w:val="0"/>
          <w:i w:val="0"/>
          <w:caps w:val="0"/>
          <w:spacing w:val="-11"/>
          <w:w w:val="100"/>
          <w:kern w:val="2"/>
          <w:sz w:val="44"/>
          <w:szCs w:val="44"/>
          <w:lang w:val="en-US" w:eastAsia="zh-CN" w:bidi="ar-SA"/>
        </w:rPr>
        <w:t>灵丘县晶鑫再生资源回收有限公司</w:t>
      </w:r>
    </w:p>
    <w:p w14:paraId="419A4102">
      <w:pPr>
        <w:snapToGrid/>
        <w:spacing w:before="0" w:beforeAutospacing="0" w:after="0" w:afterAutospacing="0" w:line="600" w:lineRule="exact"/>
        <w:jc w:val="center"/>
        <w:textAlignment w:val="baseline"/>
        <w:rPr>
          <w:rStyle w:val="10"/>
          <w:rFonts w:hint="eastAsia" w:ascii="方正小标宋简体" w:hAnsi="方正小标宋简体" w:eastAsia="方正小标宋简体"/>
          <w:b w:val="0"/>
          <w:i w:val="0"/>
          <w:caps w:val="0"/>
          <w:spacing w:val="-11"/>
          <w:w w:val="100"/>
          <w:kern w:val="2"/>
          <w:sz w:val="44"/>
          <w:szCs w:val="44"/>
          <w:lang w:val="en-US" w:eastAsia="zh-CN" w:bidi="ar-SA"/>
        </w:rPr>
      </w:pPr>
      <w:r>
        <w:rPr>
          <w:rStyle w:val="10"/>
          <w:rFonts w:hint="eastAsia" w:ascii="方正小标宋简体" w:hAnsi="方正小标宋简体" w:eastAsia="方正小标宋简体"/>
          <w:b w:val="0"/>
          <w:i w:val="0"/>
          <w:caps w:val="0"/>
          <w:spacing w:val="-11"/>
          <w:w w:val="100"/>
          <w:kern w:val="2"/>
          <w:sz w:val="44"/>
          <w:szCs w:val="44"/>
          <w:lang w:val="en-US" w:eastAsia="zh-CN" w:bidi="ar-SA"/>
        </w:rPr>
        <w:t>年处理5万吨废旧轮胎回收处置项目</w:t>
      </w:r>
    </w:p>
    <w:p w14:paraId="7AF53772">
      <w:pPr>
        <w:snapToGrid/>
        <w:spacing w:before="0" w:beforeAutospacing="0" w:after="0" w:afterAutospacing="0" w:line="600" w:lineRule="exact"/>
        <w:jc w:val="center"/>
        <w:textAlignment w:val="baseline"/>
        <w:rPr>
          <w:rStyle w:val="10"/>
          <w:rFonts w:ascii="方正小标宋简体" w:hAnsi="方正小标宋简体" w:eastAsia="方正小标宋简体"/>
          <w:b w:val="0"/>
          <w:i w:val="0"/>
          <w:caps w:val="0"/>
          <w:spacing w:val="-11"/>
          <w:w w:val="100"/>
          <w:kern w:val="2"/>
          <w:sz w:val="44"/>
          <w:szCs w:val="44"/>
          <w:lang w:val="en-US" w:eastAsia="zh-CN" w:bidi="ar-SA"/>
        </w:rPr>
      </w:pPr>
      <w:r>
        <w:rPr>
          <w:rStyle w:val="10"/>
          <w:rFonts w:ascii="方正小标宋简体" w:hAnsi="方正小标宋简体" w:eastAsia="方正小标宋简体"/>
          <w:b w:val="0"/>
          <w:i w:val="0"/>
          <w:caps w:val="0"/>
          <w:spacing w:val="-11"/>
          <w:w w:val="100"/>
          <w:kern w:val="2"/>
          <w:sz w:val="44"/>
          <w:szCs w:val="44"/>
          <w:lang w:val="en-US" w:eastAsia="zh-CN" w:bidi="ar-SA"/>
        </w:rPr>
        <w:t>环境影响报告表的批复</w:t>
      </w:r>
    </w:p>
    <w:p w14:paraId="76CDBC99">
      <w:pPr>
        <w:snapToGrid/>
        <w:spacing w:before="0" w:beforeAutospacing="0" w:after="0" w:afterAutospacing="0" w:line="240" w:lineRule="auto"/>
        <w:jc w:val="center"/>
        <w:textAlignment w:val="baseline"/>
        <w:rPr>
          <w:rStyle w:val="10"/>
          <w:rFonts w:ascii="仿宋_GB2312" w:hAnsi="仿宋_GB2312" w:eastAsia="仿宋_GB2312"/>
          <w:b w:val="0"/>
          <w:i w:val="0"/>
          <w:caps w:val="0"/>
          <w:spacing w:val="0"/>
          <w:w w:val="100"/>
          <w:kern w:val="2"/>
          <w:sz w:val="21"/>
          <w:szCs w:val="21"/>
          <w:lang w:val="en-US" w:eastAsia="zh-CN" w:bidi="ar-SA"/>
        </w:rPr>
      </w:pPr>
    </w:p>
    <w:p w14:paraId="31DCACF5">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hint="eastAsia" w:ascii="仿宋_GB2312" w:hAnsi="仿宋" w:eastAsia="仿宋_GB2312"/>
          <w:b w:val="0"/>
          <w:i w:val="0"/>
          <w:caps w:val="0"/>
          <w:spacing w:val="0"/>
          <w:w w:val="100"/>
          <w:kern w:val="2"/>
          <w:sz w:val="32"/>
          <w:szCs w:val="32"/>
          <w:lang w:val="en-US" w:eastAsia="zh-CN" w:bidi="ar-SA"/>
        </w:rPr>
        <w:t>灵丘县晶鑫再生资源回收有限公司</w:t>
      </w:r>
      <w:r>
        <w:rPr>
          <w:rStyle w:val="10"/>
          <w:rFonts w:ascii="仿宋_GB2312" w:hAnsi="仿宋_GB2312" w:eastAsia="仿宋_GB2312"/>
          <w:b w:val="0"/>
          <w:i w:val="0"/>
          <w:caps w:val="0"/>
          <w:spacing w:val="0"/>
          <w:w w:val="100"/>
          <w:kern w:val="2"/>
          <w:sz w:val="32"/>
          <w:szCs w:val="32"/>
          <w:lang w:val="en-US" w:eastAsia="zh-CN" w:bidi="ar-SA"/>
        </w:rPr>
        <w:t>：</w:t>
      </w:r>
    </w:p>
    <w:p w14:paraId="10B0ED6F">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10"/>
          <w:rFonts w:ascii="仿宋_GB2312" w:hAnsi="仿宋" w:eastAsia="仿宋_GB2312"/>
          <w:b w:val="0"/>
          <w:i w:val="0"/>
          <w:caps w:val="0"/>
          <w:spacing w:val="0"/>
          <w:w w:val="100"/>
          <w:kern w:val="2"/>
          <w:sz w:val="32"/>
          <w:szCs w:val="32"/>
          <w:lang w:val="en-US" w:eastAsia="zh-CN" w:bidi="ar-SA"/>
        </w:rPr>
      </w:pPr>
      <w:r>
        <w:rPr>
          <w:rStyle w:val="10"/>
          <w:rFonts w:ascii="仿宋_GB2312" w:hAnsi="仿宋" w:eastAsia="仿宋_GB2312"/>
          <w:b w:val="0"/>
          <w:i w:val="0"/>
          <w:caps w:val="0"/>
          <w:spacing w:val="0"/>
          <w:w w:val="100"/>
          <w:kern w:val="2"/>
          <w:sz w:val="32"/>
          <w:szCs w:val="32"/>
          <w:lang w:val="en-US" w:eastAsia="zh-CN" w:bidi="ar-SA"/>
        </w:rPr>
        <w:t>你公司</w:t>
      </w:r>
      <w:r>
        <w:rPr>
          <w:rStyle w:val="10"/>
          <w:rFonts w:hint="eastAsia" w:ascii="仿宋_GB2312" w:hAnsi="仿宋" w:eastAsia="仿宋_GB2312"/>
          <w:b w:val="0"/>
          <w:i w:val="0"/>
          <w:caps w:val="0"/>
          <w:spacing w:val="0"/>
          <w:w w:val="100"/>
          <w:kern w:val="2"/>
          <w:sz w:val="32"/>
          <w:szCs w:val="32"/>
          <w:lang w:val="en-US" w:eastAsia="zh-CN" w:bidi="ar-SA"/>
        </w:rPr>
        <w:t>关于</w:t>
      </w:r>
      <w:r>
        <w:rPr>
          <w:rStyle w:val="10"/>
          <w:rFonts w:ascii="仿宋_GB2312" w:hAnsi="仿宋" w:eastAsia="仿宋_GB2312"/>
          <w:b w:val="0"/>
          <w:i w:val="0"/>
          <w:caps w:val="0"/>
          <w:spacing w:val="0"/>
          <w:w w:val="100"/>
          <w:kern w:val="2"/>
          <w:sz w:val="32"/>
          <w:szCs w:val="32"/>
          <w:lang w:val="en-US" w:eastAsia="zh-CN" w:bidi="ar-SA"/>
        </w:rPr>
        <w:t>《</w:t>
      </w:r>
      <w:r>
        <w:rPr>
          <w:rStyle w:val="10"/>
          <w:rFonts w:hint="eastAsia" w:ascii="仿宋_GB2312" w:hAnsi="仿宋" w:eastAsia="仿宋_GB2312"/>
          <w:b w:val="0"/>
          <w:i w:val="0"/>
          <w:caps w:val="0"/>
          <w:spacing w:val="0"/>
          <w:w w:val="100"/>
          <w:kern w:val="2"/>
          <w:sz w:val="32"/>
          <w:szCs w:val="32"/>
          <w:lang w:val="en-US" w:eastAsia="zh-CN" w:bidi="ar-SA"/>
        </w:rPr>
        <w:t>灵丘县晶鑫再生资源回收有限公司年处理5万吨废旧轮胎回收处置项目</w:t>
      </w:r>
      <w:r>
        <w:rPr>
          <w:rStyle w:val="10"/>
          <w:rFonts w:ascii="仿宋_GB2312" w:hAnsi="仿宋" w:eastAsia="仿宋_GB2312"/>
          <w:b w:val="0"/>
          <w:i w:val="0"/>
          <w:caps w:val="0"/>
          <w:spacing w:val="0"/>
          <w:w w:val="100"/>
          <w:kern w:val="2"/>
          <w:sz w:val="32"/>
          <w:szCs w:val="32"/>
          <w:lang w:val="en-US" w:eastAsia="zh-CN" w:bidi="ar-SA"/>
        </w:rPr>
        <w:t>环境影响报告表》（以下简称《报</w:t>
      </w:r>
      <w:r>
        <w:rPr>
          <w:rStyle w:val="10"/>
          <w:rFonts w:ascii="仿宋_GB2312" w:hAnsi="仿宋" w:eastAsia="仿宋_GB2312"/>
          <w:b w:val="0"/>
          <w:i w:val="0"/>
          <w:caps w:val="0"/>
          <w:spacing w:val="-6"/>
          <w:w w:val="100"/>
          <w:kern w:val="2"/>
          <w:sz w:val="32"/>
          <w:szCs w:val="32"/>
          <w:lang w:val="en-US" w:eastAsia="zh-CN" w:bidi="ar-SA"/>
        </w:rPr>
        <w:t>告表》）相关材料收悉。</w:t>
      </w:r>
      <w:r>
        <w:rPr>
          <w:rStyle w:val="10"/>
          <w:rFonts w:hint="eastAsia" w:ascii="仿宋_GB2312" w:hAnsi="仿宋" w:eastAsia="仿宋_GB2312"/>
          <w:b w:val="0"/>
          <w:i w:val="0"/>
          <w:caps w:val="0"/>
          <w:spacing w:val="-6"/>
          <w:w w:val="100"/>
          <w:kern w:val="2"/>
          <w:sz w:val="32"/>
          <w:szCs w:val="32"/>
          <w:lang w:val="en-US" w:eastAsia="zh-CN" w:bidi="ar-SA"/>
        </w:rPr>
        <w:t>结合大同市生态环境评估中心出具的《关于&lt;</w:t>
      </w:r>
      <w:r>
        <w:rPr>
          <w:rStyle w:val="10"/>
          <w:rFonts w:hint="eastAsia" w:ascii="仿宋_GB2312" w:hAnsi="仿宋" w:eastAsia="仿宋_GB2312"/>
          <w:b w:val="0"/>
          <w:i w:val="0"/>
          <w:caps w:val="0"/>
          <w:spacing w:val="0"/>
          <w:w w:val="100"/>
          <w:kern w:val="2"/>
          <w:sz w:val="32"/>
          <w:szCs w:val="32"/>
          <w:lang w:val="en-US" w:eastAsia="zh-CN" w:bidi="ar-SA"/>
        </w:rPr>
        <w:t>灵丘县晶鑫再生资源回收有限公司年处理5万吨废旧轮胎回收处置项目</w:t>
      </w:r>
      <w:r>
        <w:rPr>
          <w:rStyle w:val="10"/>
          <w:rFonts w:hint="eastAsia" w:ascii="仿宋_GB2312" w:hAnsi="仿宋" w:eastAsia="仿宋_GB2312"/>
          <w:b w:val="0"/>
          <w:i w:val="0"/>
          <w:caps w:val="0"/>
          <w:spacing w:val="-6"/>
          <w:w w:val="100"/>
          <w:kern w:val="2"/>
          <w:sz w:val="32"/>
          <w:szCs w:val="32"/>
          <w:lang w:val="en-US" w:eastAsia="zh-CN" w:bidi="ar-SA"/>
        </w:rPr>
        <w:t>环境影响报告表&gt;的技术评估报告》，</w:t>
      </w:r>
      <w:r>
        <w:rPr>
          <w:rStyle w:val="10"/>
          <w:rFonts w:ascii="仿宋_GB2312" w:hAnsi="仿宋_GB2312" w:eastAsia="仿宋_GB2312"/>
          <w:b w:val="0"/>
          <w:i w:val="0"/>
          <w:caps w:val="0"/>
          <w:spacing w:val="-6"/>
          <w:w w:val="100"/>
          <w:kern w:val="2"/>
          <w:sz w:val="32"/>
          <w:szCs w:val="32"/>
          <w:lang w:val="en-US" w:eastAsia="zh-CN" w:bidi="ar-SA"/>
        </w:rPr>
        <w:t>经研究，批复如下：</w:t>
      </w:r>
    </w:p>
    <w:p w14:paraId="6BCD2D9B">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Style w:val="10"/>
          <w:rFonts w:ascii="仿宋_GB2312" w:hAnsi="仿宋_GB2312" w:eastAsia="仿宋_GB2312"/>
          <w:b w:val="0"/>
          <w:i w:val="0"/>
          <w:caps w:val="0"/>
          <w:color w:val="000000"/>
          <w:spacing w:val="0"/>
          <w:w w:val="100"/>
          <w:sz w:val="32"/>
          <w:szCs w:val="32"/>
          <w:lang w:val="en-US" w:eastAsia="zh-CN" w:bidi="ar-SA"/>
        </w:rPr>
      </w:pPr>
      <w:r>
        <w:rPr>
          <w:rStyle w:val="10"/>
          <w:rFonts w:ascii="仿宋_GB2312" w:hAnsi="仿宋" w:eastAsia="仿宋_GB2312"/>
          <w:b w:val="0"/>
          <w:i w:val="0"/>
          <w:caps w:val="0"/>
          <w:color w:val="000000"/>
          <w:spacing w:val="0"/>
          <w:w w:val="100"/>
          <w:sz w:val="32"/>
          <w:szCs w:val="32"/>
          <w:lang w:val="en-US" w:eastAsia="zh-CN" w:bidi="ar-SA"/>
        </w:rPr>
        <w:t>一、该项目</w:t>
      </w:r>
      <w:r>
        <w:rPr>
          <w:rStyle w:val="10"/>
          <w:rFonts w:hint="eastAsia" w:ascii="仿宋_GB2312" w:hAnsi="仿宋" w:eastAsia="仿宋_GB2312"/>
          <w:b w:val="0"/>
          <w:i w:val="0"/>
          <w:caps w:val="0"/>
          <w:color w:val="000000"/>
          <w:spacing w:val="0"/>
          <w:w w:val="100"/>
          <w:sz w:val="32"/>
          <w:szCs w:val="32"/>
          <w:lang w:val="en-US" w:eastAsia="zh-CN" w:bidi="ar-SA"/>
        </w:rPr>
        <w:t>位于大同市灵丘县赵北乡下红峪村东北326m处，</w:t>
      </w:r>
      <w:r>
        <w:rPr>
          <w:rStyle w:val="10"/>
          <w:rFonts w:hint="eastAsia" w:ascii="仿宋_GB2312" w:hAnsi="仿宋" w:eastAsia="仿宋_GB2312" w:cs="Times New Roman"/>
          <w:b w:val="0"/>
          <w:i w:val="0"/>
          <w:caps w:val="0"/>
          <w:spacing w:val="-6"/>
          <w:w w:val="100"/>
          <w:kern w:val="2"/>
          <w:sz w:val="32"/>
          <w:szCs w:val="32"/>
          <w:lang w:val="en-US" w:eastAsia="zh-CN" w:bidi="ar-SA"/>
        </w:rPr>
        <w:t>项目占地6.49亩，总建筑面积约4327平方米。建设规模及内容为生产车间1间1600平方米、库房1间600平方米，生活用房8间500平方米，购置安装全自动拉丝机、双轴撕碎机、钢丝分离机、磁选机、橡胶颗粒机等核心机械设备。建设两条废轮胎处理线，单条生产线年处理废轮胎2.5万t，年处理废轮胎5万吨。</w:t>
      </w:r>
      <w:r>
        <w:rPr>
          <w:rStyle w:val="10"/>
          <w:rFonts w:ascii="仿宋_GB2312" w:hAnsi="仿宋" w:eastAsia="仿宋_GB2312"/>
          <w:b w:val="0"/>
          <w:i w:val="0"/>
          <w:caps w:val="0"/>
          <w:color w:val="auto"/>
          <w:spacing w:val="0"/>
          <w:w w:val="100"/>
          <w:sz w:val="32"/>
          <w:szCs w:val="32"/>
          <w:lang w:val="en-US" w:eastAsia="zh-CN" w:bidi="ar-SA"/>
        </w:rPr>
        <w:t>项目总投资</w:t>
      </w:r>
      <w:r>
        <w:rPr>
          <w:rStyle w:val="10"/>
          <w:rFonts w:hint="eastAsia" w:ascii="仿宋_GB2312" w:hAnsi="仿宋" w:eastAsia="仿宋_GB2312"/>
          <w:b w:val="0"/>
          <w:i w:val="0"/>
          <w:caps w:val="0"/>
          <w:color w:val="auto"/>
          <w:spacing w:val="0"/>
          <w:w w:val="100"/>
          <w:sz w:val="32"/>
          <w:szCs w:val="32"/>
          <w:lang w:val="en-US" w:eastAsia="zh-CN" w:bidi="ar-SA"/>
        </w:rPr>
        <w:t>500</w:t>
      </w:r>
      <w:r>
        <w:rPr>
          <w:rStyle w:val="10"/>
          <w:rFonts w:ascii="仿宋_GB2312" w:hAnsi="仿宋" w:eastAsia="仿宋_GB2312"/>
          <w:b w:val="0"/>
          <w:i w:val="0"/>
          <w:caps w:val="0"/>
          <w:color w:val="auto"/>
          <w:spacing w:val="0"/>
          <w:w w:val="100"/>
          <w:sz w:val="32"/>
          <w:szCs w:val="32"/>
          <w:lang w:val="en-US" w:eastAsia="zh-CN" w:bidi="ar-SA"/>
        </w:rPr>
        <w:t>万元，环保投资</w:t>
      </w:r>
      <w:r>
        <w:rPr>
          <w:rStyle w:val="10"/>
          <w:rFonts w:hint="eastAsia" w:ascii="仿宋_GB2312" w:hAnsi="仿宋" w:eastAsia="仿宋_GB2312"/>
          <w:b w:val="0"/>
          <w:i w:val="0"/>
          <w:caps w:val="0"/>
          <w:color w:val="auto"/>
          <w:spacing w:val="0"/>
          <w:w w:val="100"/>
          <w:sz w:val="32"/>
          <w:szCs w:val="32"/>
          <w:lang w:val="en-US" w:eastAsia="zh-CN" w:bidi="ar-SA"/>
        </w:rPr>
        <w:t>30</w:t>
      </w:r>
      <w:r>
        <w:rPr>
          <w:rStyle w:val="10"/>
          <w:rFonts w:ascii="仿宋_GB2312" w:hAnsi="仿宋" w:eastAsia="仿宋_GB2312"/>
          <w:b w:val="0"/>
          <w:i w:val="0"/>
          <w:caps w:val="0"/>
          <w:color w:val="auto"/>
          <w:spacing w:val="0"/>
          <w:w w:val="100"/>
          <w:sz w:val="32"/>
          <w:szCs w:val="32"/>
          <w:lang w:val="en-US" w:eastAsia="zh-CN" w:bidi="ar-SA"/>
        </w:rPr>
        <w:t>万元，占总投资比例的</w:t>
      </w:r>
      <w:r>
        <w:rPr>
          <w:rStyle w:val="10"/>
          <w:rFonts w:hint="eastAsia" w:ascii="仿宋_GB2312" w:hAnsi="仿宋" w:eastAsia="仿宋_GB2312"/>
          <w:b w:val="0"/>
          <w:i w:val="0"/>
          <w:caps w:val="0"/>
          <w:color w:val="auto"/>
          <w:spacing w:val="0"/>
          <w:w w:val="100"/>
          <w:sz w:val="32"/>
          <w:szCs w:val="32"/>
          <w:lang w:val="en-US" w:eastAsia="zh-CN" w:bidi="ar-SA"/>
        </w:rPr>
        <w:t>6%</w:t>
      </w:r>
      <w:r>
        <w:rPr>
          <w:rStyle w:val="10"/>
          <w:rFonts w:ascii="仿宋_GB2312" w:hAnsi="仿宋" w:eastAsia="仿宋_GB2312"/>
          <w:b w:val="0"/>
          <w:i w:val="0"/>
          <w:caps w:val="0"/>
          <w:color w:val="auto"/>
          <w:spacing w:val="0"/>
          <w:w w:val="100"/>
          <w:sz w:val="32"/>
          <w:szCs w:val="32"/>
          <w:lang w:val="en-US" w:eastAsia="zh-CN" w:bidi="ar-SA"/>
        </w:rPr>
        <w:t>。</w:t>
      </w:r>
      <w:r>
        <w:rPr>
          <w:rStyle w:val="10"/>
          <w:rFonts w:hint="eastAsia" w:ascii="仿宋_GB2312" w:hAnsi="仿宋" w:eastAsia="仿宋_GB2312"/>
          <w:b w:val="0"/>
          <w:i w:val="0"/>
          <w:caps w:val="0"/>
          <w:color w:val="000000"/>
          <w:spacing w:val="0"/>
          <w:w w:val="100"/>
          <w:sz w:val="32"/>
          <w:szCs w:val="32"/>
          <w:lang w:val="en-US" w:eastAsia="zh-CN" w:bidi="ar-SA"/>
        </w:rPr>
        <w:t>该项目属于《产业结构调整指导目录（2024年本）》，中鼓励类项目，且已取得灵</w:t>
      </w:r>
      <w:r>
        <w:rPr>
          <w:rStyle w:val="10"/>
          <w:rFonts w:hint="eastAsia" w:ascii="仿宋_GB2312" w:hAnsi="仿宋" w:eastAsia="仿宋_GB2312"/>
          <w:b w:val="0"/>
          <w:i w:val="0"/>
          <w:caps w:val="0"/>
          <w:color w:val="000000"/>
          <w:spacing w:val="-20"/>
          <w:w w:val="100"/>
          <w:sz w:val="32"/>
          <w:szCs w:val="32"/>
          <w:lang w:val="en-US" w:eastAsia="zh-CN" w:bidi="ar-SA"/>
        </w:rPr>
        <w:t>丘县发展改革和科技局下发的备案证（项目代码：</w:t>
      </w:r>
      <w:r>
        <w:rPr>
          <w:rStyle w:val="10"/>
          <w:rFonts w:hint="eastAsia" w:ascii="仿宋_GB2312" w:hAnsi="仿宋" w:eastAsia="仿宋_GB2312"/>
          <w:b w:val="0"/>
          <w:i w:val="0"/>
          <w:caps w:val="0"/>
          <w:color w:val="000000"/>
          <w:spacing w:val="0"/>
          <w:w w:val="100"/>
          <w:sz w:val="32"/>
          <w:szCs w:val="32"/>
          <w:lang w:val="en-US" w:eastAsia="zh-CN" w:bidi="ar-SA"/>
        </w:rPr>
        <w:t>2511-140224-89-05-344860）。</w:t>
      </w:r>
      <w:r>
        <w:rPr>
          <w:rStyle w:val="10"/>
          <w:rFonts w:ascii="仿宋_GB2312" w:hAnsi="仿宋" w:eastAsia="仿宋_GB2312"/>
          <w:b w:val="0"/>
          <w:i w:val="0"/>
          <w:caps w:val="0"/>
          <w:color w:val="000000"/>
          <w:spacing w:val="0"/>
          <w:w w:val="100"/>
          <w:sz w:val="32"/>
          <w:szCs w:val="32"/>
          <w:lang w:val="en-US" w:eastAsia="zh-CN" w:bidi="ar-SA"/>
        </w:rPr>
        <w:t>在全面落实《报告表》提出的污染防治和生态保护措施的前提下，工程建设对环境的不利影响可得到缓解和控制。我局原则同意《报告表》所列建设项目的性质、规模、地点、采用的生产工艺和采取的环境保护措施。</w:t>
      </w:r>
    </w:p>
    <w:p w14:paraId="104A900E">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auto"/>
          <w:spacing w:val="0"/>
          <w:w w:val="100"/>
          <w:kern w:val="2"/>
          <w:sz w:val="32"/>
          <w:szCs w:val="32"/>
          <w:lang w:val="en-US" w:eastAsia="zh-CN" w:bidi="ar-SA"/>
        </w:rPr>
        <w:t>二、</w:t>
      </w:r>
      <w:r>
        <w:rPr>
          <w:rStyle w:val="10"/>
          <w:rFonts w:ascii="仿宋_GB2312" w:hAnsi="仿宋_GB2312" w:eastAsia="仿宋_GB2312"/>
          <w:b w:val="0"/>
          <w:i w:val="0"/>
          <w:caps w:val="0"/>
          <w:color w:val="000000"/>
          <w:spacing w:val="0"/>
          <w:w w:val="100"/>
          <w:kern w:val="2"/>
          <w:sz w:val="32"/>
          <w:szCs w:val="32"/>
          <w:lang w:val="en-US" w:eastAsia="zh-CN" w:bidi="ar-SA"/>
        </w:rPr>
        <w:t>在项目建设和运行管理中，必须对照《报告表》逐一落实各项环保对策措施，重点做好以下工作：</w:t>
      </w:r>
    </w:p>
    <w:p w14:paraId="550DF95E">
      <w:pPr>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1、认真做好施工期环境保护工作，</w:t>
      </w:r>
      <w:r>
        <w:rPr>
          <w:rStyle w:val="10"/>
          <w:rFonts w:hint="eastAsia" w:ascii="仿宋_GB2312" w:hAnsi="仿宋_GB2312" w:eastAsia="仿宋_GB2312"/>
          <w:b w:val="0"/>
          <w:i w:val="0"/>
          <w:caps w:val="0"/>
          <w:color w:val="000000"/>
          <w:spacing w:val="0"/>
          <w:w w:val="100"/>
          <w:kern w:val="2"/>
          <w:sz w:val="32"/>
          <w:szCs w:val="32"/>
          <w:lang w:val="en-US" w:eastAsia="zh-CN" w:bidi="ar-SA"/>
        </w:rPr>
        <w:t>施工过程中</w:t>
      </w:r>
      <w:r>
        <w:rPr>
          <w:rStyle w:val="10"/>
          <w:rFonts w:ascii="仿宋_GB2312" w:hAnsi="仿宋_GB2312" w:eastAsia="仿宋_GB2312"/>
          <w:b w:val="0"/>
          <w:i w:val="0"/>
          <w:caps w:val="0"/>
          <w:color w:val="000000"/>
          <w:spacing w:val="0"/>
          <w:w w:val="100"/>
          <w:kern w:val="2"/>
          <w:sz w:val="32"/>
          <w:szCs w:val="32"/>
          <w:lang w:val="en-US" w:eastAsia="zh-CN" w:bidi="ar-SA"/>
        </w:rPr>
        <w:t>加强</w:t>
      </w:r>
      <w:r>
        <w:rPr>
          <w:rStyle w:val="10"/>
          <w:rFonts w:hint="eastAsia" w:ascii="仿宋_GB2312" w:hAnsi="仿宋_GB2312" w:eastAsia="仿宋_GB2312"/>
          <w:b w:val="0"/>
          <w:i w:val="0"/>
          <w:caps w:val="0"/>
          <w:color w:val="000000"/>
          <w:spacing w:val="0"/>
          <w:w w:val="100"/>
          <w:kern w:val="2"/>
          <w:sz w:val="32"/>
          <w:szCs w:val="32"/>
          <w:lang w:val="en-US" w:eastAsia="zh-CN" w:bidi="ar-SA"/>
        </w:rPr>
        <w:t>废气、废水、噪声、固体废物</w:t>
      </w:r>
      <w:r>
        <w:rPr>
          <w:rStyle w:val="10"/>
          <w:rFonts w:ascii="仿宋_GB2312" w:hAnsi="仿宋_GB2312" w:eastAsia="仿宋_GB2312"/>
          <w:b w:val="0"/>
          <w:i w:val="0"/>
          <w:caps w:val="0"/>
          <w:color w:val="000000"/>
          <w:spacing w:val="0"/>
          <w:w w:val="100"/>
          <w:kern w:val="2"/>
          <w:sz w:val="32"/>
          <w:szCs w:val="32"/>
          <w:lang w:val="en-US" w:eastAsia="zh-CN" w:bidi="ar-SA"/>
        </w:rPr>
        <w:t>环境管理，落实《报告表》提出的各项污染防治措施，降低对周边的影响。</w:t>
      </w:r>
    </w:p>
    <w:p w14:paraId="2F4C1A1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Style w:val="10"/>
          <w:rFonts w:ascii="仿宋_GB2312" w:hAnsi="仿宋_GB2312" w:eastAsia="仿宋_GB2312"/>
          <w:b w:val="0"/>
          <w:i w:val="0"/>
          <w:caps w:val="0"/>
          <w:color w:val="0000FF"/>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2、废气污染防治措施。运营期</w:t>
      </w:r>
      <w:r>
        <w:rPr>
          <w:rStyle w:val="10"/>
          <w:rFonts w:hint="eastAsia" w:ascii="仿宋_GB2312" w:hAnsi="仿宋_GB2312" w:eastAsia="仿宋_GB2312"/>
          <w:b w:val="0"/>
          <w:i w:val="0"/>
          <w:caps w:val="0"/>
          <w:color w:val="000000"/>
          <w:spacing w:val="0"/>
          <w:w w:val="100"/>
          <w:kern w:val="2"/>
          <w:sz w:val="32"/>
          <w:szCs w:val="32"/>
          <w:lang w:val="en-US" w:eastAsia="zh-CN" w:bidi="ar-SA"/>
        </w:rPr>
        <w:t>，破碎筛分输送及灌装产生的废气主要污染物为颗粒物，集气罩收集后经布袋除尘器处理，最终经过排气筒排放，车间采用全封闭。运营期有组织颗粒物执行《大气污染物综合排放标准》（GB16297-1996）表2标准要求。厂界颗粒物执行《大气污染物综合排放标准》（GB16297-1996）表2无组织排放监控浓度限值要求</w:t>
      </w:r>
      <w:r>
        <w:rPr>
          <w:rStyle w:val="10"/>
          <w:rFonts w:hint="eastAsia" w:ascii="仿宋_GB2312" w:hAnsi="仿宋_GB2312" w:eastAsia="仿宋_GB2312"/>
          <w:b w:val="0"/>
          <w:i w:val="0"/>
          <w:caps w:val="0"/>
          <w:color w:val="000000"/>
          <w:spacing w:val="-6"/>
          <w:w w:val="100"/>
          <w:kern w:val="2"/>
          <w:sz w:val="32"/>
          <w:szCs w:val="32"/>
          <w:lang w:val="en-US" w:eastAsia="zh-CN" w:bidi="ar-SA"/>
        </w:rPr>
        <w:t>。</w:t>
      </w:r>
    </w:p>
    <w:p w14:paraId="01F4451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0"/>
          <w:rFonts w:hint="eastAsia"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3、废水污染防治措施。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运营期，厂区设置旱厕，生活污水排入旱厕，定期清掏；洗车平台废水沉淀后回用，不外排；冷却水循环使用，定期补加，用于厂区洒水抑尘，不外排；新建60m³初期雨水池，用于初期雨水的收集，经沉淀后，用于厂区抑尘，不外排。</w:t>
      </w:r>
    </w:p>
    <w:p w14:paraId="3B264462">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firstLine="640"/>
        <w:jc w:val="both"/>
        <w:textAlignment w:val="baseline"/>
        <w:rPr>
          <w:rStyle w:val="10"/>
          <w:rFonts w:ascii="仿宋_GB2312" w:hAnsi="仿宋_GB2312" w:eastAsia="仿宋_GB2312"/>
          <w:b w:val="0"/>
          <w:i w:val="0"/>
          <w:caps w:val="0"/>
          <w:color w:val="000000"/>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4、噪声污染防治措施。</w:t>
      </w:r>
      <w:r>
        <w:rPr>
          <w:rStyle w:val="10"/>
          <w:rFonts w:hint="eastAsia" w:ascii="仿宋_GB2312" w:hAnsi="仿宋_GB2312" w:eastAsia="仿宋_GB2312"/>
          <w:b w:val="0"/>
          <w:i w:val="0"/>
          <w:caps w:val="0"/>
          <w:color w:val="000000"/>
          <w:spacing w:val="0"/>
          <w:w w:val="100"/>
          <w:kern w:val="2"/>
          <w:sz w:val="32"/>
          <w:szCs w:val="32"/>
          <w:lang w:val="en-US" w:eastAsia="zh-CN" w:bidi="ar-SA"/>
        </w:rPr>
        <w:t>运营期，选用低噪声设备，采用基础减震、消音、定期维护、厂房隔声等措施。运营期厂界噪</w:t>
      </w:r>
      <w:r>
        <w:rPr>
          <w:rStyle w:val="10"/>
          <w:rFonts w:hint="eastAsia" w:ascii="仿宋_GB2312" w:hAnsi="仿宋_GB2312" w:eastAsia="仿宋_GB2312"/>
          <w:b w:val="0"/>
          <w:i w:val="0"/>
          <w:caps w:val="0"/>
          <w:color w:val="000000"/>
          <w:spacing w:val="-6"/>
          <w:w w:val="100"/>
          <w:kern w:val="2"/>
          <w:sz w:val="32"/>
          <w:szCs w:val="32"/>
          <w:lang w:val="en-US" w:eastAsia="zh-CN" w:bidi="ar-SA"/>
        </w:rPr>
        <w:t>声排放执行《工业企业厂界环境噪声排放标准》</w:t>
      </w:r>
      <w:r>
        <w:rPr>
          <w:rStyle w:val="10"/>
          <w:rFonts w:hint="eastAsia" w:ascii="仿宋_GB2312" w:hAnsi="仿宋_GB2312" w:eastAsia="仿宋_GB2312"/>
          <w:b w:val="0"/>
          <w:i w:val="0"/>
          <w:caps w:val="0"/>
          <w:color w:val="000000"/>
          <w:spacing w:val="0"/>
          <w:w w:val="100"/>
          <w:kern w:val="2"/>
          <w:sz w:val="32"/>
          <w:szCs w:val="32"/>
          <w:lang w:val="en-US" w:eastAsia="zh-CN" w:bidi="ar-SA"/>
        </w:rPr>
        <w:t>（GB12348-2008）表1中的2类标准。</w:t>
      </w:r>
    </w:p>
    <w:p w14:paraId="622F90B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firstLine="64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000000"/>
          <w:spacing w:val="0"/>
          <w:w w:val="100"/>
          <w:kern w:val="2"/>
          <w:sz w:val="32"/>
          <w:szCs w:val="32"/>
          <w:lang w:val="en-US" w:eastAsia="zh-CN" w:bidi="ar-SA"/>
        </w:rPr>
        <w:t>5、固体废物污染防治措施。运营期</w:t>
      </w:r>
      <w:r>
        <w:rPr>
          <w:rStyle w:val="10"/>
          <w:rFonts w:hint="eastAsia" w:ascii="仿宋_GB2312" w:hAnsi="仿宋_GB2312" w:eastAsia="仿宋_GB2312"/>
          <w:b w:val="0"/>
          <w:i w:val="0"/>
          <w:caps w:val="0"/>
          <w:color w:val="000000"/>
          <w:spacing w:val="0"/>
          <w:w w:val="100"/>
          <w:kern w:val="2"/>
          <w:sz w:val="32"/>
          <w:szCs w:val="32"/>
          <w:lang w:val="en-US" w:eastAsia="zh-CN" w:bidi="ar-SA"/>
        </w:rPr>
        <w:t>，除尘灰收集后作为成品外售。废布袋由厂家定期更换，不暂存厂家回收。废钢丝定期外售；废棉纱、废手套、废矿物油、废油桶暂存于危废贮存点，定期交由有资单位处理；生活垃圾统一收集后，由环卫部门统一处置。一般工业固体废物执行《一般工业固体废物贮存和填埋污染控制标准》（GB18599-2020）中的有关规定。危险废物贮存设施执行《危险废物贮存污染控制标准》（GB18597-2023）</w:t>
      </w:r>
      <w:r>
        <w:rPr>
          <w:rStyle w:val="10"/>
          <w:rFonts w:hint="eastAsia" w:ascii="仿宋_GB2312" w:hAnsi="仿宋_GB2312" w:eastAsia="仿宋_GB2312"/>
          <w:b w:val="0"/>
          <w:i w:val="0"/>
          <w:caps w:val="0"/>
          <w:color w:val="auto"/>
          <w:spacing w:val="0"/>
          <w:w w:val="100"/>
          <w:kern w:val="2"/>
          <w:sz w:val="32"/>
          <w:szCs w:val="32"/>
          <w:lang w:val="en-US" w:eastAsia="zh-CN" w:bidi="ar-SA"/>
        </w:rPr>
        <w:t>中的有关规定</w:t>
      </w:r>
      <w:r>
        <w:rPr>
          <w:rStyle w:val="10"/>
          <w:rFonts w:hint="eastAsia" w:ascii="仿宋_GB2312" w:hAnsi="仿宋_GB2312" w:eastAsia="仿宋_GB2312"/>
          <w:b w:val="0"/>
          <w:i w:val="0"/>
          <w:caps w:val="0"/>
          <w:color w:val="000000"/>
          <w:spacing w:val="0"/>
          <w:w w:val="100"/>
          <w:kern w:val="2"/>
          <w:sz w:val="32"/>
          <w:szCs w:val="32"/>
          <w:lang w:val="en-US" w:eastAsia="zh-CN" w:bidi="ar-SA"/>
        </w:rPr>
        <w:t>。</w:t>
      </w:r>
    </w:p>
    <w:p w14:paraId="435D602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firstLine="64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hint="eastAsia" w:ascii="仿宋_GB2312" w:hAnsi="仿宋_GB2312" w:eastAsia="仿宋_GB2312"/>
          <w:b w:val="0"/>
          <w:i w:val="0"/>
          <w:caps w:val="0"/>
          <w:color w:val="auto"/>
          <w:spacing w:val="0"/>
          <w:w w:val="100"/>
          <w:kern w:val="2"/>
          <w:sz w:val="32"/>
          <w:szCs w:val="32"/>
          <w:lang w:val="en-US" w:eastAsia="zh-CN" w:bidi="ar-SA"/>
        </w:rPr>
        <w:t>6、加强厂区的绿化美化工作，改善周边生态环境。</w:t>
      </w:r>
    </w:p>
    <w:p w14:paraId="34C958C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Style w:val="10"/>
          <w:rFonts w:hint="eastAsia" w:ascii="仿宋_GB2312" w:hAnsi="仿宋_GB2312" w:eastAsia="仿宋_GB2312"/>
          <w:b w:val="0"/>
          <w:i w:val="0"/>
          <w:caps w:val="0"/>
          <w:color w:val="auto"/>
          <w:spacing w:val="0"/>
          <w:w w:val="100"/>
          <w:kern w:val="2"/>
          <w:sz w:val="32"/>
          <w:szCs w:val="32"/>
          <w:lang w:val="en-US" w:eastAsia="zh-CN" w:bidi="ar-SA"/>
        </w:rPr>
      </w:pPr>
      <w:r>
        <w:rPr>
          <w:rStyle w:val="10"/>
          <w:rFonts w:ascii="仿宋_GB2312" w:hAnsi="仿宋_GB2312" w:eastAsia="仿宋_GB2312"/>
          <w:b w:val="0"/>
          <w:i w:val="0"/>
          <w:caps w:val="0"/>
          <w:color w:val="auto"/>
          <w:spacing w:val="0"/>
          <w:w w:val="100"/>
          <w:kern w:val="2"/>
          <w:sz w:val="32"/>
          <w:szCs w:val="32"/>
          <w:lang w:val="en-US" w:eastAsia="zh-CN" w:bidi="ar-SA"/>
        </w:rPr>
        <w:t>三、该项</w:t>
      </w:r>
      <w:r>
        <w:rPr>
          <w:rStyle w:val="10"/>
          <w:rFonts w:hint="eastAsia" w:ascii="仿宋_GB2312" w:hAnsi="仿宋_GB2312" w:eastAsia="仿宋_GB2312"/>
          <w:b w:val="0"/>
          <w:i w:val="0"/>
          <w:caps w:val="0"/>
          <w:color w:val="auto"/>
          <w:spacing w:val="0"/>
          <w:w w:val="100"/>
          <w:kern w:val="2"/>
          <w:sz w:val="32"/>
          <w:szCs w:val="32"/>
          <w:lang w:val="en-US" w:eastAsia="zh-CN" w:bidi="ar-SA"/>
        </w:rPr>
        <w:t>目污染物排放量为颗粒物0.48t/a。</w:t>
      </w:r>
    </w:p>
    <w:p w14:paraId="0BD23EC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四、加强对工程的环境管理和环境风险预测，制定突发环境事故应急预案及环境保护管理相关制度，采取合理有效措施防范环境风险，预防突发环境事件的发生。</w:t>
      </w:r>
    </w:p>
    <w:p w14:paraId="224C2DD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color w:val="292929"/>
          <w:spacing w:val="0"/>
          <w:w w:val="100"/>
          <w:kern w:val="0"/>
          <w:sz w:val="32"/>
          <w:szCs w:val="32"/>
          <w:lang w:val="en-US" w:eastAsia="zh-CN" w:bidi="ar-SA"/>
        </w:rPr>
        <w:t>五、</w:t>
      </w:r>
      <w:r>
        <w:rPr>
          <w:rStyle w:val="10"/>
          <w:rFonts w:ascii="仿宋_GB2312" w:hAnsi="仿宋_GB2312" w:eastAsia="仿宋_GB2312"/>
          <w:b w:val="0"/>
          <w:i w:val="0"/>
          <w:caps w:val="0"/>
          <w:spacing w:val="0"/>
          <w:w w:val="100"/>
          <w:kern w:val="2"/>
          <w:sz w:val="32"/>
          <w:szCs w:val="32"/>
          <w:lang w:val="en-US" w:eastAsia="zh-CN" w:bidi="ar-SA"/>
        </w:rPr>
        <w:t>项目建设</w:t>
      </w:r>
      <w:r>
        <w:rPr>
          <w:rStyle w:val="10"/>
          <w:rFonts w:hint="eastAsia" w:ascii="仿宋_GB2312" w:hAnsi="仿宋_GB2312" w:eastAsia="仿宋_GB2312"/>
          <w:b w:val="0"/>
          <w:i w:val="0"/>
          <w:caps w:val="0"/>
          <w:spacing w:val="0"/>
          <w:w w:val="100"/>
          <w:kern w:val="2"/>
          <w:sz w:val="32"/>
          <w:szCs w:val="32"/>
          <w:lang w:val="en-US" w:eastAsia="zh-CN" w:bidi="ar-SA"/>
        </w:rPr>
        <w:t>前，须取得用地手续，建设中</w:t>
      </w:r>
      <w:r>
        <w:rPr>
          <w:rStyle w:val="10"/>
          <w:rFonts w:ascii="仿宋_GB2312" w:hAnsi="仿宋_GB2312" w:eastAsia="仿宋_GB2312"/>
          <w:b w:val="0"/>
          <w:i w:val="0"/>
          <w:caps w:val="0"/>
          <w:spacing w:val="0"/>
          <w:w w:val="100"/>
          <w:kern w:val="2"/>
          <w:sz w:val="32"/>
          <w:szCs w:val="32"/>
          <w:lang w:val="en-US" w:eastAsia="zh-CN" w:bidi="ar-SA"/>
        </w:rPr>
        <w:t>要严格执行环保“三同时”制度。按照《报告表》中提出的各项要求,积极落实各项污染防治措施。项目建成后须按规定进行环境保护竣工验收。环境保护措施未落实到位，不得正式投入运营；如项目的性质、规模、地点、采用的防治污染、防止生态破坏措施发生重大变动的，须报经我局重新审批。</w:t>
      </w:r>
    </w:p>
    <w:p w14:paraId="48587A7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六、大同市灵丘县生态环境保护综合行政执法队负责该项目建设期及运营期日常监督管理工作。</w:t>
      </w:r>
    </w:p>
    <w:p w14:paraId="23AEA5D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50EF569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firstLine="360" w:firstLineChars="200"/>
        <w:jc w:val="both"/>
        <w:textAlignment w:val="baseline"/>
        <w:rPr>
          <w:rStyle w:val="10"/>
          <w:rFonts w:ascii="仿宋_GB2312" w:hAnsi="仿宋_GB2312" w:eastAsia="仿宋_GB2312"/>
          <w:b w:val="0"/>
          <w:i w:val="0"/>
          <w:caps w:val="0"/>
          <w:spacing w:val="0"/>
          <w:w w:val="100"/>
          <w:kern w:val="2"/>
          <w:sz w:val="18"/>
          <w:szCs w:val="18"/>
          <w:lang w:val="en-US" w:eastAsia="zh-CN" w:bidi="ar-SA"/>
        </w:rPr>
      </w:pPr>
    </w:p>
    <w:p w14:paraId="13CDCC2C">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firstLine="3840" w:firstLineChars="1200"/>
        <w:jc w:val="both"/>
        <w:textAlignment w:val="baseline"/>
        <w:rPr>
          <w:rStyle w:val="10"/>
          <w:rFonts w:ascii="仿宋_GB2312" w:hAnsi="仿宋_GB2312" w:eastAsia="仿宋_GB2312"/>
          <w:b w:val="0"/>
          <w:i w:val="0"/>
          <w:caps w:val="0"/>
          <w:spacing w:val="0"/>
          <w:w w:val="100"/>
          <w:kern w:val="2"/>
          <w:sz w:val="32"/>
          <w:szCs w:val="32"/>
          <w:lang w:val="en-US" w:eastAsia="zh-CN" w:bidi="ar-SA"/>
        </w:rPr>
      </w:pPr>
      <w:r>
        <w:rPr>
          <w:rStyle w:val="10"/>
          <w:rFonts w:ascii="仿宋_GB2312" w:hAnsi="仿宋_GB2312" w:eastAsia="仿宋_GB2312"/>
          <w:b w:val="0"/>
          <w:i w:val="0"/>
          <w:caps w:val="0"/>
          <w:spacing w:val="0"/>
          <w:w w:val="100"/>
          <w:kern w:val="2"/>
          <w:sz w:val="32"/>
          <w:szCs w:val="32"/>
          <w:lang w:val="en-US" w:eastAsia="zh-CN" w:bidi="ar-SA"/>
        </w:rPr>
        <w:t>大同市生态环境局灵丘分局</w:t>
      </w:r>
    </w:p>
    <w:p w14:paraId="17965AE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right="0" w:firstLine="4480" w:firstLineChars="1400"/>
        <w:jc w:val="both"/>
        <w:textAlignment w:val="baseline"/>
        <w:rPr>
          <w:rFonts w:hint="eastAsia" w:ascii="仿宋" w:hAnsi="仿宋" w:eastAsia="仿宋" w:cs="仿宋"/>
          <w:color w:val="auto"/>
          <w:spacing w:val="68"/>
          <w:sz w:val="32"/>
          <w:szCs w:val="32"/>
          <w:u w:val="single"/>
          <w:lang w:val="en-US" w:eastAsia="zh-CN"/>
        </w:rPr>
      </w:pPr>
      <w:r>
        <w:rPr>
          <w:rStyle w:val="10"/>
          <w:rFonts w:ascii="仿宋_GB2312" w:hAnsi="仿宋_GB2312" w:eastAsia="仿宋_GB2312"/>
          <w:b w:val="0"/>
          <w:i w:val="0"/>
          <w:caps w:val="0"/>
          <w:spacing w:val="0"/>
          <w:w w:val="100"/>
          <w:kern w:val="2"/>
          <w:sz w:val="32"/>
          <w:szCs w:val="32"/>
          <w:lang w:val="en-US" w:eastAsia="zh-CN" w:bidi="ar-SA"/>
        </w:rPr>
        <w:t>202</w:t>
      </w:r>
      <w:r>
        <w:rPr>
          <w:rStyle w:val="10"/>
          <w:rFonts w:hint="eastAsia" w:ascii="仿宋_GB2312" w:hAnsi="仿宋_GB2312" w:eastAsia="仿宋_GB2312"/>
          <w:b w:val="0"/>
          <w:i w:val="0"/>
          <w:caps w:val="0"/>
          <w:spacing w:val="0"/>
          <w:w w:val="100"/>
          <w:kern w:val="2"/>
          <w:sz w:val="32"/>
          <w:szCs w:val="32"/>
          <w:lang w:val="en-US" w:eastAsia="zh-CN" w:bidi="ar-SA"/>
        </w:rPr>
        <w:t>6</w:t>
      </w:r>
      <w:r>
        <w:rPr>
          <w:rStyle w:val="10"/>
          <w:rFonts w:ascii="仿宋_GB2312" w:hAnsi="仿宋_GB2312" w:eastAsia="仿宋_GB2312"/>
          <w:b w:val="0"/>
          <w:i w:val="0"/>
          <w:caps w:val="0"/>
          <w:spacing w:val="0"/>
          <w:w w:val="100"/>
          <w:kern w:val="2"/>
          <w:sz w:val="32"/>
          <w:szCs w:val="32"/>
          <w:lang w:val="en-US" w:eastAsia="zh-CN" w:bidi="ar-SA"/>
        </w:rPr>
        <w:t>年</w:t>
      </w:r>
      <w:r>
        <w:rPr>
          <w:rStyle w:val="10"/>
          <w:rFonts w:hint="eastAsia" w:ascii="仿宋_GB2312" w:hAnsi="仿宋_GB2312" w:eastAsia="仿宋_GB2312"/>
          <w:b w:val="0"/>
          <w:i w:val="0"/>
          <w:caps w:val="0"/>
          <w:spacing w:val="0"/>
          <w:w w:val="100"/>
          <w:kern w:val="2"/>
          <w:sz w:val="32"/>
          <w:szCs w:val="32"/>
          <w:lang w:val="en-US" w:eastAsia="zh-CN" w:bidi="ar-SA"/>
        </w:rPr>
        <w:t>3</w:t>
      </w:r>
      <w:r>
        <w:rPr>
          <w:rStyle w:val="10"/>
          <w:rFonts w:ascii="仿宋_GB2312" w:hAnsi="仿宋_GB2312" w:eastAsia="仿宋_GB2312"/>
          <w:b w:val="0"/>
          <w:i w:val="0"/>
          <w:caps w:val="0"/>
          <w:spacing w:val="0"/>
          <w:w w:val="100"/>
          <w:kern w:val="2"/>
          <w:sz w:val="32"/>
          <w:szCs w:val="32"/>
          <w:lang w:val="en-US" w:eastAsia="zh-CN" w:bidi="ar-SA"/>
        </w:rPr>
        <w:t>月</w:t>
      </w:r>
      <w:r>
        <w:rPr>
          <w:rStyle w:val="10"/>
          <w:rFonts w:hint="eastAsia" w:ascii="仿宋_GB2312" w:hAnsi="仿宋_GB2312" w:eastAsia="仿宋_GB2312"/>
          <w:b w:val="0"/>
          <w:i w:val="0"/>
          <w:caps w:val="0"/>
          <w:spacing w:val="0"/>
          <w:w w:val="100"/>
          <w:kern w:val="2"/>
          <w:sz w:val="32"/>
          <w:szCs w:val="32"/>
          <w:lang w:val="en-US" w:eastAsia="zh-CN" w:bidi="ar-SA"/>
        </w:rPr>
        <w:t>18</w:t>
      </w:r>
      <w:r>
        <w:rPr>
          <w:rStyle w:val="10"/>
          <w:rFonts w:ascii="仿宋_GB2312" w:hAnsi="仿宋_GB2312" w:eastAsia="仿宋_GB2312"/>
          <w:b w:val="0"/>
          <w:i w:val="0"/>
          <w:caps w:val="0"/>
          <w:spacing w:val="0"/>
          <w:w w:val="100"/>
          <w:kern w:val="2"/>
          <w:sz w:val="32"/>
          <w:szCs w:val="32"/>
          <w:lang w:val="en-US" w:eastAsia="zh-CN" w:bidi="ar-SA"/>
        </w:rPr>
        <w:t>日</w:t>
      </w: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jljZTYxNTUzNmM1NDNmMmQ3ZWM5YmI4ODgxMjIifQ=="/>
  </w:docVars>
  <w:rsids>
    <w:rsidRoot w:val="3B9F3D19"/>
    <w:rsid w:val="0BC63B74"/>
    <w:rsid w:val="0EEC057A"/>
    <w:rsid w:val="0F6A0E1E"/>
    <w:rsid w:val="10892C41"/>
    <w:rsid w:val="12F34CE0"/>
    <w:rsid w:val="13AC7923"/>
    <w:rsid w:val="178A1E07"/>
    <w:rsid w:val="1E8A2A3D"/>
    <w:rsid w:val="1ED24E6B"/>
    <w:rsid w:val="1EDD7021"/>
    <w:rsid w:val="25462E46"/>
    <w:rsid w:val="290F64C9"/>
    <w:rsid w:val="2AB54E7F"/>
    <w:rsid w:val="3B9F3D19"/>
    <w:rsid w:val="3F9B5BB1"/>
    <w:rsid w:val="42074515"/>
    <w:rsid w:val="48D423BE"/>
    <w:rsid w:val="49D10ACC"/>
    <w:rsid w:val="4EC64BEA"/>
    <w:rsid w:val="4F0C50FB"/>
    <w:rsid w:val="5AD216C5"/>
    <w:rsid w:val="61DE04AF"/>
    <w:rsid w:val="689E2EA1"/>
    <w:rsid w:val="6A047FFE"/>
    <w:rsid w:val="71D12885"/>
    <w:rsid w:val="75E361C9"/>
    <w:rsid w:val="7B370D47"/>
    <w:rsid w:val="7BCE7C59"/>
    <w:rsid w:val="7F33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autoRedefine/>
    <w:qFormat/>
    <w:uiPriority w:val="0"/>
  </w:style>
  <w:style w:type="paragraph" w:customStyle="1" w:styleId="7">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
    <w:name w:val="正文 New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NormalCharacter"/>
    <w:autoRedefine/>
    <w:qFormat/>
    <w:uiPriority w:val="0"/>
    <w:rPr>
      <w:kern w:val="2"/>
      <w:sz w:val="21"/>
      <w:lang w:val="en-US" w:eastAsia="zh-CN" w:bidi="ar-SA"/>
    </w:rPr>
  </w:style>
  <w:style w:type="paragraph" w:customStyle="1" w:styleId="11">
    <w:name w:val="UserStyle_7"/>
    <w:autoRedefine/>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12">
    <w:name w:val="UserStyle_20"/>
    <w:autoRedefine/>
    <w:qFormat/>
    <w:uiPriority w:val="0"/>
    <w:pPr>
      <w:textAlignment w:val="baseline"/>
    </w:pPr>
    <w:rPr>
      <w:rFonts w:ascii="宋体" w:hAnsi="Calibri" w:eastAsia="宋体" w:cs="Times New Roman"/>
      <w:color w:val="000000"/>
      <w:sz w:val="24"/>
      <w:szCs w:val="24"/>
      <w:lang w:val="en-US" w:eastAsia="zh-CN" w:bidi="ar-SA"/>
    </w:rPr>
  </w:style>
  <w:style w:type="paragraph" w:customStyle="1" w:styleId="13">
    <w:name w:val="UserStyle_17"/>
    <w:autoRedefine/>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1898</Words>
  <Characters>2052</Characters>
  <Lines>0</Lines>
  <Paragraphs>0</Paragraphs>
  <TotalTime>3</TotalTime>
  <ScaleCrop>false</ScaleCrop>
  <LinksUpToDate>false</LinksUpToDate>
  <CharactersWithSpaces>2054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2020-05-25T09:58:00Z</dcterms:created>
  <dc:creator>丽纱</dc:creator>
  <cp:lastModifiedBy>丽纱</cp:lastModifiedBy>
  <dcterms:modified xsi:type="dcterms:W3CDTF">2026-03-19T10:16:54Z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37A6BBA76E41482195666D465E33CC4F</vt:lpwstr>
  </property>
  <property fmtid="{D5CDD505-2E9C-101B-9397-08002B2CF9AE}" pid="4" name="KSOTemplateDocerSaveRecord">
    <vt:lpwstr>eyJoZGlkIjoiZDlmMjljZTYxNTUzNmM1NDNmMmQ3ZWM5YmI4ODgxMjIiLCJ1c2VySWQiOiIzNTkwNDA3MTgifQ==</vt:lpwstr>
  </property>
</Properties>
</file>