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234F2">
      <w:pPr>
        <w:adjustRightInd w:val="0"/>
        <w:snapToGrid w:val="0"/>
        <w:jc w:val="center"/>
        <w:outlineLvl w:val="0"/>
        <w:rPr>
          <w:rFonts w:hint="eastAsia" w:ascii="Times New Roman" w:hAnsi="Times New Roman" w:eastAsia="方正小标宋_GBK" w:cs="Times New Roman"/>
          <w:bCs/>
          <w:color w:val="auto"/>
          <w:sz w:val="72"/>
          <w:szCs w:val="72"/>
          <w:highlight w:val="none"/>
          <w:lang w:eastAsia="zh-CN"/>
        </w:rPr>
      </w:pPr>
    </w:p>
    <w:p w14:paraId="72FC2A8A">
      <w:pPr>
        <w:adjustRightInd w:val="0"/>
        <w:snapToGrid w:val="0"/>
        <w:jc w:val="center"/>
        <w:outlineLvl w:val="0"/>
        <w:rPr>
          <w:rFonts w:hint="default" w:ascii="Times New Roman" w:hAnsi="Times New Roman" w:eastAsia="方正小标宋_GBK" w:cs="Times New Roman"/>
          <w:bCs/>
          <w:color w:val="auto"/>
          <w:sz w:val="72"/>
          <w:szCs w:val="72"/>
          <w:highlight w:val="none"/>
        </w:rPr>
      </w:pPr>
    </w:p>
    <w:p w14:paraId="4BA11A12">
      <w:pPr>
        <w:adjustRightInd w:val="0"/>
        <w:snapToGrid w:val="0"/>
        <w:jc w:val="both"/>
        <w:outlineLvl w:val="0"/>
        <w:rPr>
          <w:rFonts w:hint="default" w:ascii="Times New Roman" w:hAnsi="Times New Roman" w:eastAsia="宋体" w:cs="Times New Roman"/>
          <w:b/>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4B60B5E4">
      <w:pPr>
        <w:adjustRightInd w:val="0"/>
        <w:snapToGrid w:val="0"/>
        <w:spacing w:before="192" w:beforeLines="80"/>
        <w:jc w:val="center"/>
        <w:rPr>
          <w:rFonts w:hint="default" w:ascii="Times New Roman" w:hAnsi="Times New Roman" w:eastAsia="楷体" w:cs="Times New Roman"/>
          <w:bCs/>
          <w:color w:val="auto"/>
          <w:sz w:val="48"/>
          <w:szCs w:val="48"/>
          <w:highlight w:val="none"/>
        </w:rPr>
      </w:pPr>
      <w:r>
        <w:rPr>
          <w:rFonts w:hint="default" w:ascii="Times New Roman" w:hAnsi="Times New Roman" w:eastAsia="楷体" w:cs="Times New Roman"/>
          <w:bCs/>
          <w:color w:val="auto"/>
          <w:sz w:val="48"/>
          <w:szCs w:val="48"/>
          <w:highlight w:val="none"/>
        </w:rPr>
        <w:t>（生态影响类）</w:t>
      </w:r>
    </w:p>
    <w:p w14:paraId="14912ACA">
      <w:pPr>
        <w:adjustRightInd w:val="0"/>
        <w:snapToGrid w:val="0"/>
        <w:spacing w:line="288" w:lineRule="auto"/>
        <w:jc w:val="center"/>
        <w:rPr>
          <w:rFonts w:hint="default" w:ascii="Times New Roman" w:hAnsi="Times New Roman" w:eastAsia="宋体" w:cs="Times New Roman"/>
          <w:color w:val="auto"/>
          <w:kern w:val="44"/>
          <w:sz w:val="44"/>
          <w:szCs w:val="44"/>
          <w:highlight w:val="none"/>
        </w:rPr>
      </w:pPr>
    </w:p>
    <w:p w14:paraId="42EED4E2">
      <w:pPr>
        <w:pStyle w:val="36"/>
        <w:rPr>
          <w:rFonts w:hint="default" w:ascii="Times New Roman" w:hAnsi="Times New Roman" w:cs="Times New Roman"/>
          <w:color w:val="auto"/>
          <w:highlight w:val="none"/>
        </w:rPr>
      </w:pPr>
    </w:p>
    <w:p w14:paraId="7061E9B8">
      <w:pPr>
        <w:pStyle w:val="13"/>
        <w:rPr>
          <w:rFonts w:hint="default" w:ascii="Times New Roman" w:hAnsi="Times New Roman" w:cs="Times New Roman"/>
          <w:color w:val="auto"/>
          <w:highlight w:val="none"/>
        </w:rPr>
      </w:pPr>
    </w:p>
    <w:p w14:paraId="5E380F7E">
      <w:pPr>
        <w:jc w:val="center"/>
        <w:rPr>
          <w:rFonts w:hint="default" w:ascii="Times New Roman" w:hAnsi="Times New Roman" w:eastAsia="宋体" w:cs="Times New Roman"/>
          <w:color w:val="auto"/>
          <w:sz w:val="52"/>
          <w:szCs w:val="52"/>
          <w:highlight w:val="none"/>
        </w:rPr>
      </w:pPr>
    </w:p>
    <w:p w14:paraId="07058FD4">
      <w:pPr>
        <w:ind w:firstLine="1040"/>
        <w:rPr>
          <w:rFonts w:hint="default" w:ascii="Times New Roman" w:hAnsi="Times New Roman" w:eastAsia="宋体" w:cs="Times New Roman"/>
          <w:color w:val="auto"/>
          <w:sz w:val="44"/>
          <w:szCs w:val="44"/>
          <w:highlight w:val="none"/>
          <w:lang w:eastAsia="zh-CN"/>
        </w:rPr>
      </w:pPr>
    </w:p>
    <w:p w14:paraId="0F1BC374">
      <w:pPr>
        <w:ind w:firstLine="1040"/>
        <w:rPr>
          <w:rFonts w:hint="default" w:ascii="Times New Roman" w:hAnsi="Times New Roman" w:eastAsia="宋体" w:cs="Times New Roman"/>
          <w:color w:val="auto"/>
          <w:sz w:val="44"/>
          <w:szCs w:val="44"/>
          <w:highlight w:val="none"/>
        </w:rPr>
      </w:pPr>
    </w:p>
    <w:p w14:paraId="0E42FB10">
      <w:pPr>
        <w:ind w:firstLine="1040"/>
        <w:rPr>
          <w:rFonts w:hint="default" w:ascii="Times New Roman" w:hAnsi="Times New Roman" w:eastAsia="宋体" w:cs="Times New Roman"/>
          <w:color w:val="auto"/>
          <w:sz w:val="44"/>
          <w:szCs w:val="44"/>
          <w:highlight w:val="none"/>
        </w:rPr>
      </w:pPr>
    </w:p>
    <w:p w14:paraId="2363D6E3">
      <w:pPr>
        <w:adjustRightInd w:val="0"/>
        <w:snapToGrid w:val="0"/>
        <w:spacing w:line="288" w:lineRule="auto"/>
        <w:rPr>
          <w:rFonts w:hint="default" w:ascii="Times New Roman" w:hAnsi="Times New Roman" w:eastAsia="宋体" w:cs="Times New Roman"/>
          <w:b/>
          <w:bCs/>
          <w:color w:val="auto"/>
          <w:sz w:val="32"/>
          <w:szCs w:val="32"/>
          <w:highlight w:val="none"/>
        </w:rPr>
      </w:pPr>
    </w:p>
    <w:p w14:paraId="5B004F3B">
      <w:pPr>
        <w:adjustRightInd w:val="0"/>
        <w:snapToGrid w:val="0"/>
        <w:spacing w:line="288" w:lineRule="auto"/>
        <w:ind w:firstLine="643" w:firstLineChars="200"/>
        <w:rPr>
          <w:rFonts w:hint="default" w:ascii="Times New Roman" w:hAnsi="Times New Roman" w:eastAsia="仿宋" w:cs="Times New Roman"/>
          <w:b/>
          <w:bCs/>
          <w:color w:val="auto"/>
          <w:sz w:val="32"/>
          <w:szCs w:val="32"/>
          <w:highlight w:val="none"/>
          <w:u w:val="single"/>
        </w:rPr>
      </w:pPr>
      <w:r>
        <w:rPr>
          <w:rFonts w:hint="default" w:ascii="Times New Roman" w:hAnsi="Times New Roman" w:eastAsia="仿宋" w:cs="Times New Roman"/>
          <w:b/>
          <w:bCs/>
          <w:color w:val="auto"/>
          <w:sz w:val="32"/>
          <w:szCs w:val="32"/>
          <w:highlight w:val="none"/>
        </w:rPr>
        <w:t>项目名称：</w:t>
      </w:r>
      <w:r>
        <w:rPr>
          <w:rFonts w:hint="default" w:ascii="Times New Roman" w:hAnsi="Times New Roman" w:eastAsia="仿宋" w:cs="Times New Roman"/>
          <w:b/>
          <w:bCs/>
          <w:color w:val="auto"/>
          <w:sz w:val="32"/>
          <w:szCs w:val="32"/>
          <w:highlight w:val="none"/>
          <w:u w:val="single"/>
        </w:rPr>
        <w:t>火山云太行算力中心项目二期</w:t>
      </w:r>
      <w:r>
        <w:rPr>
          <w:rFonts w:hint="eastAsia" w:ascii="Times New Roman" w:hAnsi="Times New Roman" w:eastAsia="仿宋" w:cs="Times New Roman"/>
          <w:b/>
          <w:bCs/>
          <w:color w:val="auto"/>
          <w:sz w:val="32"/>
          <w:szCs w:val="32"/>
          <w:highlight w:val="none"/>
          <w:u w:val="single"/>
          <w:lang w:val="en-US" w:eastAsia="zh-CN"/>
        </w:rPr>
        <w:t>扩容</w:t>
      </w:r>
      <w:r>
        <w:rPr>
          <w:rFonts w:hint="default" w:ascii="Times New Roman" w:hAnsi="Times New Roman" w:eastAsia="仿宋" w:cs="Times New Roman"/>
          <w:b/>
          <w:bCs/>
          <w:color w:val="auto"/>
          <w:sz w:val="32"/>
          <w:szCs w:val="32"/>
          <w:highlight w:val="none"/>
          <w:u w:val="single"/>
        </w:rPr>
        <w:t>220kV</w:t>
      </w:r>
    </w:p>
    <w:p w14:paraId="534A4A25">
      <w:pPr>
        <w:adjustRightInd w:val="0"/>
        <w:snapToGrid w:val="0"/>
        <w:spacing w:line="288" w:lineRule="auto"/>
        <w:ind w:firstLine="2249" w:firstLineChars="700"/>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bCs/>
          <w:color w:val="auto"/>
          <w:sz w:val="32"/>
          <w:szCs w:val="32"/>
          <w:highlight w:val="none"/>
          <w:u w:val="single"/>
        </w:rPr>
        <w:t>输变电工程</w:t>
      </w:r>
      <w:r>
        <w:rPr>
          <w:rFonts w:hint="default" w:ascii="Times New Roman" w:hAnsi="Times New Roman" w:eastAsia="仿宋" w:cs="Times New Roman"/>
          <w:b/>
          <w:bCs/>
          <w:color w:val="auto"/>
          <w:sz w:val="32"/>
          <w:szCs w:val="32"/>
          <w:highlight w:val="none"/>
          <w:u w:val="single"/>
          <w:lang w:val="en-US" w:eastAsia="zh-CN"/>
        </w:rPr>
        <w:t xml:space="preserve">                         </w:t>
      </w:r>
      <w:r>
        <w:rPr>
          <w:rFonts w:hint="default" w:ascii="Times New Roman" w:hAnsi="Times New Roman" w:eastAsia="仿宋" w:cs="Times New Roman"/>
          <w:b/>
          <w:bCs/>
          <w:color w:val="auto"/>
          <w:sz w:val="32"/>
          <w:szCs w:val="32"/>
          <w:highlight w:val="none"/>
          <w:u w:val="single"/>
        </w:rPr>
        <w:t xml:space="preserve"> </w:t>
      </w:r>
    </w:p>
    <w:p w14:paraId="242E568B">
      <w:pPr>
        <w:adjustRightInd w:val="0"/>
        <w:snapToGrid w:val="0"/>
        <w:spacing w:line="288" w:lineRule="auto"/>
        <w:ind w:firstLine="643" w:firstLineChars="200"/>
        <w:rPr>
          <w:rFonts w:hint="default" w:ascii="Times New Roman" w:hAnsi="Times New Roman" w:eastAsia="仿宋" w:cs="Times New Roman"/>
          <w:b/>
          <w:bCs/>
          <w:color w:val="auto"/>
          <w:sz w:val="32"/>
          <w:szCs w:val="32"/>
          <w:highlight w:val="none"/>
          <w:u w:val="single"/>
        </w:rPr>
      </w:pPr>
      <w:r>
        <w:rPr>
          <w:rFonts w:hint="default" w:ascii="Times New Roman" w:hAnsi="Times New Roman" w:eastAsia="仿宋" w:cs="Times New Roman"/>
          <w:b/>
          <w:bCs/>
          <w:color w:val="auto"/>
          <w:sz w:val="32"/>
          <w:szCs w:val="32"/>
          <w:highlight w:val="none"/>
        </w:rPr>
        <w:t>建设单位（盖章）：</w:t>
      </w:r>
      <w:r>
        <w:rPr>
          <w:rFonts w:hint="default" w:ascii="Times New Roman" w:hAnsi="Times New Roman" w:eastAsia="仿宋" w:cs="Times New Roman"/>
          <w:b/>
          <w:bCs/>
          <w:color w:val="auto"/>
          <w:sz w:val="32"/>
          <w:szCs w:val="32"/>
          <w:highlight w:val="none"/>
          <w:u w:val="single"/>
        </w:rPr>
        <w:t xml:space="preserve">火山云（大同）科技有限公司  </w:t>
      </w:r>
    </w:p>
    <w:p w14:paraId="3736C2D4">
      <w:pPr>
        <w:adjustRightInd w:val="0"/>
        <w:snapToGrid w:val="0"/>
        <w:spacing w:line="288" w:lineRule="auto"/>
        <w:ind w:firstLine="643" w:firstLineChars="200"/>
        <w:rPr>
          <w:rFonts w:hint="default" w:ascii="Times New Roman" w:hAnsi="Times New Roman" w:eastAsia="宋体" w:cs="Times New Roman"/>
          <w:b/>
          <w:bCs/>
          <w:color w:val="auto"/>
          <w:sz w:val="36"/>
          <w:szCs w:val="36"/>
          <w:highlight w:val="none"/>
          <w:u w:val="thick"/>
        </w:rPr>
      </w:pPr>
      <w:r>
        <w:rPr>
          <w:rFonts w:hint="default" w:ascii="Times New Roman" w:hAnsi="Times New Roman" w:eastAsia="仿宋" w:cs="Times New Roman"/>
          <w:b/>
          <w:bCs/>
          <w:color w:val="auto"/>
          <w:sz w:val="32"/>
          <w:szCs w:val="32"/>
          <w:highlight w:val="none"/>
        </w:rPr>
        <w:t>编制日期：</w:t>
      </w:r>
      <w:r>
        <w:rPr>
          <w:rFonts w:hint="default" w:ascii="Times New Roman" w:hAnsi="Times New Roman" w:eastAsia="仿宋" w:cs="Times New Roman"/>
          <w:b/>
          <w:bCs/>
          <w:color w:val="auto"/>
          <w:sz w:val="32"/>
          <w:szCs w:val="32"/>
          <w:highlight w:val="none"/>
          <w:u w:val="single"/>
        </w:rPr>
        <w:t xml:space="preserve">             202</w:t>
      </w:r>
      <w:r>
        <w:rPr>
          <w:rFonts w:hint="eastAsia" w:ascii="Times New Roman" w:hAnsi="Times New Roman" w:eastAsia="仿宋" w:cs="Times New Roman"/>
          <w:b/>
          <w:bCs/>
          <w:color w:val="auto"/>
          <w:sz w:val="32"/>
          <w:szCs w:val="32"/>
          <w:highlight w:val="none"/>
          <w:u w:val="single"/>
          <w:lang w:val="en-US" w:eastAsia="zh-CN"/>
        </w:rPr>
        <w:t>6</w:t>
      </w:r>
      <w:r>
        <w:rPr>
          <w:rFonts w:hint="default" w:ascii="Times New Roman" w:hAnsi="Times New Roman" w:eastAsia="仿宋" w:cs="Times New Roman"/>
          <w:b/>
          <w:bCs/>
          <w:color w:val="auto"/>
          <w:sz w:val="32"/>
          <w:szCs w:val="32"/>
          <w:highlight w:val="none"/>
          <w:u w:val="single"/>
        </w:rPr>
        <w:t>年</w:t>
      </w:r>
      <w:r>
        <w:rPr>
          <w:rFonts w:hint="eastAsia" w:ascii="Times New Roman" w:hAnsi="Times New Roman" w:eastAsia="仿宋" w:cs="Times New Roman"/>
          <w:b/>
          <w:bCs/>
          <w:color w:val="auto"/>
          <w:sz w:val="32"/>
          <w:szCs w:val="32"/>
          <w:highlight w:val="none"/>
          <w:u w:val="single"/>
          <w:lang w:val="en-US" w:eastAsia="zh-CN"/>
        </w:rPr>
        <w:t>3</w:t>
      </w:r>
      <w:r>
        <w:rPr>
          <w:rFonts w:hint="default" w:ascii="Times New Roman" w:hAnsi="Times New Roman" w:eastAsia="仿宋" w:cs="Times New Roman"/>
          <w:b/>
          <w:bCs/>
          <w:color w:val="auto"/>
          <w:sz w:val="32"/>
          <w:szCs w:val="32"/>
          <w:highlight w:val="none"/>
          <w:u w:val="single"/>
        </w:rPr>
        <w:t xml:space="preserve">月             </w:t>
      </w:r>
      <w:r>
        <w:rPr>
          <w:rFonts w:hint="default" w:ascii="Times New Roman" w:hAnsi="Times New Roman" w:eastAsia="宋体" w:cs="Times New Roman"/>
          <w:b/>
          <w:bCs/>
          <w:color w:val="auto"/>
          <w:sz w:val="36"/>
          <w:szCs w:val="36"/>
          <w:highlight w:val="none"/>
          <w:u w:val="thick"/>
        </w:rPr>
        <w:cr/>
      </w:r>
      <w:bookmarkStart w:id="0" w:name="_Hlk57884087"/>
    </w:p>
    <w:p w14:paraId="462E022E">
      <w:pPr>
        <w:adjustRightInd w:val="0"/>
        <w:snapToGrid w:val="0"/>
        <w:spacing w:line="288" w:lineRule="auto"/>
        <w:rPr>
          <w:rFonts w:hint="default" w:ascii="Times New Roman" w:hAnsi="Times New Roman" w:eastAsia="宋体" w:cs="Times New Roman"/>
          <w:color w:val="auto"/>
          <w:sz w:val="36"/>
          <w:szCs w:val="36"/>
          <w:highlight w:val="none"/>
        </w:rPr>
      </w:pPr>
    </w:p>
    <w:p w14:paraId="72E0F489">
      <w:pPr>
        <w:rPr>
          <w:rFonts w:hint="default" w:ascii="Times New Roman" w:hAnsi="Times New Roman" w:eastAsia="宋体" w:cs="Times New Roman"/>
          <w:color w:val="auto"/>
          <w:sz w:val="36"/>
          <w:szCs w:val="36"/>
          <w:highlight w:val="none"/>
        </w:rPr>
      </w:pPr>
    </w:p>
    <w:p w14:paraId="60AE7E3C">
      <w:pPr>
        <w:rPr>
          <w:rFonts w:hint="default" w:ascii="Times New Roman" w:hAnsi="Times New Roman" w:eastAsia="宋体" w:cs="Times New Roman"/>
          <w:color w:val="auto"/>
          <w:sz w:val="36"/>
          <w:szCs w:val="36"/>
          <w:highlight w:val="none"/>
        </w:rPr>
      </w:pPr>
    </w:p>
    <w:p w14:paraId="0E801213">
      <w:pPr>
        <w:widowControl/>
        <w:snapToGrid w:val="0"/>
        <w:spacing w:before="60" w:after="160" w:line="259" w:lineRule="auto"/>
        <w:ind w:right="113"/>
        <w:rPr>
          <w:rFonts w:hint="default" w:ascii="Times New Roman" w:hAnsi="Times New Roman" w:eastAsia="宋体" w:cs="Times New Roman"/>
          <w:color w:val="auto"/>
          <w:kern w:val="0"/>
          <w:sz w:val="36"/>
          <w:szCs w:val="36"/>
          <w:highlight w:val="none"/>
        </w:rPr>
      </w:pPr>
    </w:p>
    <w:bookmarkEnd w:id="0"/>
    <w:p w14:paraId="121B8A96">
      <w:pPr>
        <w:wordWrap w:val="0"/>
        <w:jc w:val="center"/>
        <w:rPr>
          <w:rFonts w:hint="default" w:ascii="Times New Roman" w:hAnsi="Times New Roman" w:eastAsia="宋体" w:cs="Times New Roman"/>
          <w:color w:val="auto"/>
          <w:sz w:val="24"/>
          <w:highlight w:val="none"/>
        </w:rPr>
      </w:pPr>
      <w:r>
        <w:rPr>
          <w:rFonts w:hint="default" w:ascii="Times New Roman" w:hAnsi="Times New Roman" w:eastAsia="楷体" w:cs="Times New Roman"/>
          <w:color w:val="auto"/>
          <w:sz w:val="36"/>
          <w:szCs w:val="36"/>
          <w:highlight w:val="none"/>
        </w:rPr>
        <w:t>中华人民共和国生态环境部制</w:t>
      </w:r>
    </w:p>
    <w:p w14:paraId="42890717">
      <w:pPr>
        <w:wordWrap w:val="0"/>
        <w:adjustRightInd w:val="0"/>
        <w:snapToGrid w:val="0"/>
        <w:spacing w:line="288" w:lineRule="auto"/>
        <w:jc w:val="center"/>
        <w:rPr>
          <w:rFonts w:hint="default" w:ascii="Times New Roman" w:hAnsi="Times New Roman" w:eastAsia="宋体" w:cs="Times New Roman"/>
          <w:b/>
          <w:bCs/>
          <w:color w:val="auto"/>
          <w:sz w:val="36"/>
          <w:szCs w:val="36"/>
          <w:highlight w:val="none"/>
        </w:rPr>
      </w:pPr>
    </w:p>
    <w:p w14:paraId="48E52F8C">
      <w:pPr>
        <w:wordWrap w:val="0"/>
        <w:adjustRightInd w:val="0"/>
        <w:snapToGrid w:val="0"/>
        <w:spacing w:line="288" w:lineRule="auto"/>
        <w:jc w:val="center"/>
        <w:rPr>
          <w:rFonts w:hint="default" w:ascii="Times New Roman" w:hAnsi="Times New Roman" w:eastAsia="宋体" w:cs="Times New Roman"/>
          <w:b/>
          <w:bCs/>
          <w:color w:val="auto"/>
          <w:sz w:val="36"/>
          <w:szCs w:val="36"/>
          <w:highlight w:val="none"/>
        </w:rPr>
      </w:pPr>
    </w:p>
    <w:p w14:paraId="58FC6333">
      <w:pPr>
        <w:wordWrap w:val="0"/>
        <w:adjustRightInd w:val="0"/>
        <w:snapToGrid w:val="0"/>
        <w:spacing w:line="288" w:lineRule="auto"/>
        <w:jc w:val="both"/>
        <w:rPr>
          <w:rFonts w:hint="default" w:ascii="Times New Roman" w:hAnsi="Times New Roman" w:eastAsia="宋体" w:cs="Times New Roman"/>
          <w:b/>
          <w:bCs/>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5277F12C">
      <w:pPr>
        <w:wordWrap w:val="0"/>
        <w:adjustRightInd w:val="0"/>
        <w:snapToGrid w:val="0"/>
        <w:spacing w:line="288" w:lineRule="auto"/>
        <w:jc w:val="both"/>
        <w:rPr>
          <w:rFonts w:hint="default" w:ascii="Times New Roman" w:hAnsi="Times New Roman" w:eastAsia="宋体" w:cs="Times New Roman"/>
          <w:b/>
          <w:bCs/>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drawing>
          <wp:anchor distT="0" distB="0" distL="114300" distR="114300" simplePos="0" relativeHeight="251669504" behindDoc="1" locked="0" layoutInCell="1" allowOverlap="1">
            <wp:simplePos x="0" y="0"/>
            <wp:positionH relativeFrom="column">
              <wp:posOffset>-301625</wp:posOffset>
            </wp:positionH>
            <wp:positionV relativeFrom="paragraph">
              <wp:posOffset>-953770</wp:posOffset>
            </wp:positionV>
            <wp:extent cx="6219190" cy="10440035"/>
            <wp:effectExtent l="0" t="0" r="10160" b="18415"/>
            <wp:wrapNone/>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16"/>
                    <a:stretch>
                      <a:fillRect/>
                    </a:stretch>
                  </pic:blipFill>
                  <pic:spPr>
                    <a:xfrm>
                      <a:off x="0" y="0"/>
                      <a:ext cx="6219190" cy="10440035"/>
                    </a:xfrm>
                    <a:prstGeom prst="rect">
                      <a:avLst/>
                    </a:prstGeom>
                    <a:noFill/>
                    <a:ln>
                      <a:noFill/>
                    </a:ln>
                  </pic:spPr>
                </pic:pic>
              </a:graphicData>
            </a:graphic>
          </wp:anchor>
        </w:drawing>
      </w:r>
    </w:p>
    <w:p w14:paraId="06C91AAE">
      <w:pPr>
        <w:wordWrap w:val="0"/>
        <w:adjustRightInd w:val="0"/>
        <w:snapToGrid w:val="0"/>
        <w:spacing w:line="288" w:lineRule="auto"/>
        <w:jc w:val="both"/>
        <w:rPr>
          <w:rFonts w:hint="default" w:ascii="Times New Roman" w:hAnsi="Times New Roman" w:eastAsia="宋体" w:cs="Times New Roman"/>
          <w:b/>
          <w:bCs/>
          <w:color w:val="auto"/>
          <w:sz w:val="36"/>
          <w:szCs w:val="36"/>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default" w:ascii="Times New Roman" w:hAnsi="Times New Roman" w:eastAsia="仿宋_GB2312" w:cs="Times New Roman"/>
          <w:sz w:val="36"/>
          <w:szCs w:val="36"/>
          <w:lang w:eastAsia="zh-CN"/>
        </w:rPr>
        <w:drawing>
          <wp:anchor distT="0" distB="0" distL="114300" distR="114300" simplePos="0" relativeHeight="251672576" behindDoc="1" locked="0" layoutInCell="1" allowOverlap="1">
            <wp:simplePos x="0" y="0"/>
            <wp:positionH relativeFrom="column">
              <wp:posOffset>665480</wp:posOffset>
            </wp:positionH>
            <wp:positionV relativeFrom="paragraph">
              <wp:posOffset>288925</wp:posOffset>
            </wp:positionV>
            <wp:extent cx="7200900" cy="5038725"/>
            <wp:effectExtent l="0" t="0" r="0" b="9525"/>
            <wp:wrapNone/>
            <wp:docPr id="54" name="图片 298" descr="5b1cb655577a8fa879aecfec0e6a1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8" descr="5b1cb655577a8fa879aecfec0e6a133c"/>
                    <pic:cNvPicPr>
                      <a:picLocks noChangeAspect="1"/>
                    </pic:cNvPicPr>
                  </pic:nvPicPr>
                  <pic:blipFill>
                    <a:blip r:embed="rId17"/>
                    <a:stretch>
                      <a:fillRect/>
                    </a:stretch>
                  </pic:blipFill>
                  <pic:spPr>
                    <a:xfrm>
                      <a:off x="0" y="0"/>
                      <a:ext cx="7200900" cy="5038725"/>
                    </a:xfrm>
                    <a:prstGeom prst="rect">
                      <a:avLst/>
                    </a:prstGeom>
                    <a:noFill/>
                    <a:ln>
                      <a:noFill/>
                    </a:ln>
                  </pic:spPr>
                </pic:pic>
              </a:graphicData>
            </a:graphic>
          </wp:anchor>
        </w:drawing>
      </w:r>
      <w:r>
        <w:rPr>
          <w:rFonts w:hint="default" w:ascii="Times New Roman" w:hAnsi="Times New Roman" w:eastAsia="楷体_GB2312" w:cs="Times New Roman"/>
          <w:sz w:val="36"/>
          <w:szCs w:val="36"/>
        </w:rPr>
        <w:pict>
          <v:shape id="_x0000_s1029" o:spid="_x0000_s1029" o:spt="136" type="#_x0000_t136" style="position:absolute;left:0pt;margin-left:114.2pt;margin-top:157.35pt;height:80.4pt;width:430.15pt;rotation:1640695f;z-index:251671552;mso-width-relative:page;mso-height-relative:page;" fillcolor="#336699" filled="t" stroked="f" coordsize="21600,21600" adj="10800">
            <v:path/>
            <v:fill on="t" color2="#FFFFFF" focussize="0,0"/>
            <v:stroke on="f"/>
            <v:imagedata o:title=""/>
            <o:lock v:ext="edit" aspectratio="f"/>
            <v:textpath on="t" fitshape="t" fitpath="t" trim="t" xscale="f" string="仅限火山云太行算力中心项目二期扩容220kV输变电工程使用" style="font-family:宋体;font-size:36pt;v-rotate-letters:f;v-same-letter-heights:f;v-text-align:center;"/>
            <v:shadow on="t" obscured="f" color="#B2B2B2" opacity="52429f" offset="3pt,2pt" offset2="0pt,0pt" origin="0f,0f" matrix="65536f,0f,0f,65536f,0,0"/>
          </v:shape>
        </w:pict>
      </w:r>
    </w:p>
    <w:p w14:paraId="07B7F9DD">
      <w:pPr>
        <w:pStyle w:val="46"/>
        <w:wordWrap w:val="0"/>
        <w:ind w:firstLine="0" w:firstLineChars="0"/>
        <w:jc w:val="center"/>
        <w:outlineLvl w:val="0"/>
        <w:rPr>
          <w:rFonts w:hint="default" w:ascii="Times New Roman" w:hAnsi="Times New Roman" w:eastAsia="宋体" w:cs="Times New Roman"/>
          <w:b w:val="0"/>
          <w:bCs/>
          <w:color w:val="auto"/>
          <w:sz w:val="30"/>
          <w:szCs w:val="28"/>
          <w:highlight w:val="none"/>
        </w:rPr>
      </w:pPr>
      <w:r>
        <w:rPr>
          <w:rFonts w:hint="default" w:ascii="Times New Roman" w:hAnsi="Times New Roman" w:eastAsia="宋体" w:cs="Times New Roman"/>
          <w:b w:val="0"/>
          <w:bCs/>
          <w:color w:val="auto"/>
          <w:sz w:val="30"/>
          <w:szCs w:val="28"/>
          <w:highlight w:val="none"/>
        </w:rPr>
        <w:t>一、建设项目基本情况</w:t>
      </w:r>
    </w:p>
    <w:tbl>
      <w:tblPr>
        <w:tblStyle w:val="28"/>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108" w:type="dxa"/>
          <w:bottom w:w="28" w:type="dxa"/>
          <w:right w:w="108" w:type="dxa"/>
        </w:tblCellMar>
      </w:tblPr>
      <w:tblGrid>
        <w:gridCol w:w="1797"/>
        <w:gridCol w:w="1889"/>
        <w:gridCol w:w="2277"/>
        <w:gridCol w:w="3150"/>
      </w:tblGrid>
      <w:tr w14:paraId="56051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986" w:type="pct"/>
            <w:vAlign w:val="center"/>
          </w:tcPr>
          <w:p w14:paraId="7B84005E">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4013" w:type="pct"/>
            <w:gridSpan w:val="3"/>
            <w:vAlign w:val="center"/>
          </w:tcPr>
          <w:p w14:paraId="1125BAF9">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火山云太行算力中心项目二期扩容220kV输变电工程</w:t>
            </w:r>
          </w:p>
        </w:tc>
      </w:tr>
      <w:tr w14:paraId="6F173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86" w:type="pct"/>
            <w:vAlign w:val="center"/>
          </w:tcPr>
          <w:p w14:paraId="1C822037">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4013" w:type="pct"/>
            <w:gridSpan w:val="3"/>
            <w:vAlign w:val="center"/>
          </w:tcPr>
          <w:p w14:paraId="36EC2D4A">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2509-140200-89-01-462397</w:t>
            </w:r>
          </w:p>
        </w:tc>
      </w:tr>
      <w:tr w14:paraId="3B6EE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986" w:type="pct"/>
            <w:vAlign w:val="center"/>
          </w:tcPr>
          <w:p w14:paraId="4CB4C58F">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036" w:type="pct"/>
            <w:vAlign w:val="center"/>
          </w:tcPr>
          <w:p w14:paraId="627214E7">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昝珏朴</w:t>
            </w:r>
          </w:p>
        </w:tc>
        <w:tc>
          <w:tcPr>
            <w:tcW w:w="1249" w:type="pct"/>
            <w:vAlign w:val="center"/>
          </w:tcPr>
          <w:p w14:paraId="59ACF49E">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1727" w:type="pct"/>
            <w:vAlign w:val="center"/>
          </w:tcPr>
          <w:p w14:paraId="0D191BC5">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18535942599</w:t>
            </w:r>
          </w:p>
        </w:tc>
      </w:tr>
      <w:tr w14:paraId="4CFF2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378" w:hRule="atLeast"/>
          <w:jc w:val="center"/>
        </w:trPr>
        <w:tc>
          <w:tcPr>
            <w:tcW w:w="986" w:type="pct"/>
            <w:vAlign w:val="center"/>
          </w:tcPr>
          <w:p w14:paraId="401D9DC4">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013" w:type="pct"/>
            <w:gridSpan w:val="3"/>
            <w:vAlign w:val="center"/>
          </w:tcPr>
          <w:p w14:paraId="5D70A79E">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single"/>
              </w:rPr>
              <w:t>山西省</w:t>
            </w:r>
            <w:r>
              <w:rPr>
                <w:rFonts w:hint="default" w:ascii="Times New Roman" w:hAnsi="Times New Roman" w:eastAsia="宋体" w:cs="Times New Roman"/>
                <w:color w:val="auto"/>
                <w:sz w:val="24"/>
                <w:szCs w:val="24"/>
                <w:highlight w:val="none"/>
              </w:rPr>
              <w:t>（自治区）</w:t>
            </w:r>
            <w:r>
              <w:rPr>
                <w:rFonts w:hint="default" w:ascii="Times New Roman" w:hAnsi="Times New Roman" w:eastAsia="宋体" w:cs="Times New Roman"/>
                <w:color w:val="auto"/>
                <w:sz w:val="24"/>
                <w:szCs w:val="24"/>
                <w:highlight w:val="none"/>
                <w:u w:val="single"/>
              </w:rPr>
              <w:t>大同</w:t>
            </w:r>
            <w:r>
              <w:rPr>
                <w:rFonts w:hint="default" w:ascii="Times New Roman" w:hAnsi="Times New Roman" w:eastAsia="宋体" w:cs="Times New Roman"/>
                <w:color w:val="auto"/>
                <w:sz w:val="24"/>
                <w:szCs w:val="24"/>
                <w:highlight w:val="none"/>
              </w:rPr>
              <w:t>市</w:t>
            </w:r>
            <w:r>
              <w:rPr>
                <w:rFonts w:hint="default" w:ascii="Times New Roman" w:hAnsi="Times New Roman" w:eastAsia="宋体" w:cs="Times New Roman"/>
                <w:color w:val="auto"/>
                <w:sz w:val="24"/>
                <w:szCs w:val="24"/>
                <w:highlight w:val="none"/>
                <w:u w:val="single"/>
                <w:lang w:val="en-US" w:eastAsia="zh-CN"/>
              </w:rPr>
              <w:t>广灵</w:t>
            </w:r>
            <w:r>
              <w:rPr>
                <w:rFonts w:hint="default" w:ascii="Times New Roman" w:hAnsi="Times New Roman" w:eastAsia="宋体" w:cs="Times New Roman"/>
                <w:color w:val="auto"/>
                <w:sz w:val="24"/>
                <w:szCs w:val="24"/>
                <w:highlight w:val="none"/>
              </w:rPr>
              <w:t>县</w:t>
            </w:r>
          </w:p>
        </w:tc>
      </w:tr>
      <w:tr w14:paraId="55399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986" w:type="pct"/>
            <w:vAlign w:val="center"/>
          </w:tcPr>
          <w:p w14:paraId="38068EFE">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4013" w:type="pct"/>
            <w:gridSpan w:val="3"/>
            <w:vAlign w:val="center"/>
          </w:tcPr>
          <w:p w14:paraId="1FB82C21">
            <w:pPr>
              <w:pStyle w:val="46"/>
              <w:keepNext w:val="0"/>
              <w:keepLines w:val="0"/>
              <w:suppressLineNumbers w:val="0"/>
              <w:wordWrap w:val="0"/>
              <w:spacing w:before="0" w:beforeAutospacing="0" w:after="0" w:afterAutospacing="0"/>
              <w:ind w:left="0" w:leftChars="0" w:right="0" w:firstLine="0" w:firstLineChars="0"/>
              <w:jc w:val="left"/>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①火山云二期扩容220KV变电站：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114°14′19.662″，39°43′0.259″</w:t>
            </w:r>
            <w:r>
              <w:rPr>
                <w:rFonts w:hint="eastAsia" w:ascii="Times New Roman" w:hAnsi="Times New Roman" w:eastAsia="宋体" w:cs="Times New Roman"/>
                <w:color w:val="auto"/>
                <w:sz w:val="24"/>
                <w:szCs w:val="24"/>
                <w:highlight w:val="none"/>
                <w:lang w:val="en-US" w:eastAsia="zh-CN"/>
              </w:rPr>
              <w:t>）</w:t>
            </w:r>
          </w:p>
          <w:p w14:paraId="53E8F3A8">
            <w:pPr>
              <w:pStyle w:val="46"/>
              <w:keepNext w:val="0"/>
              <w:keepLines w:val="0"/>
              <w:suppressLineNumbers w:val="0"/>
              <w:wordWrap w:val="0"/>
              <w:spacing w:before="0" w:beforeAutospacing="0" w:after="0" w:afterAutospacing="0"/>
              <w:ind w:left="0" w:leftChars="0" w:right="0" w:firstLine="0" w:firstLineChar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②过渡方案（“π”入火山云二期至壶泉站的220kV线路）：</w:t>
            </w:r>
          </w:p>
          <w:p w14:paraId="46AF766E">
            <w:pPr>
              <w:pStyle w:val="46"/>
              <w:keepNext w:val="0"/>
              <w:keepLines w:val="0"/>
              <w:suppressLineNumbers w:val="0"/>
              <w:wordWrap w:val="0"/>
              <w:spacing w:before="0" w:beforeAutospacing="0" w:after="0" w:afterAutospacing="0"/>
              <w:ind w:left="0" w:leftChars="0" w:right="0" w:firstLine="0" w:firstLineChars="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起点：（</w:t>
            </w:r>
            <w:r>
              <w:rPr>
                <w:rFonts w:hint="default" w:ascii="Times New Roman" w:hAnsi="Times New Roman" w:eastAsia="宋体" w:cs="Times New Roman"/>
                <w:color w:val="auto"/>
                <w:sz w:val="24"/>
                <w:szCs w:val="24"/>
                <w:highlight w:val="none"/>
                <w:lang w:val="en-US" w:eastAsia="zh-CN"/>
              </w:rPr>
              <w:t>114°14′25.929″，39°43′1.543″</w:t>
            </w:r>
            <w:r>
              <w:rPr>
                <w:rFonts w:hint="eastAsia" w:ascii="Times New Roman" w:hAnsi="Times New Roman" w:eastAsia="宋体" w:cs="Times New Roman"/>
                <w:color w:val="auto"/>
                <w:sz w:val="24"/>
                <w:szCs w:val="24"/>
                <w:highlight w:val="none"/>
                <w:lang w:val="en-US" w:eastAsia="zh-CN"/>
              </w:rPr>
              <w:t>）</w:t>
            </w:r>
          </w:p>
          <w:p w14:paraId="68FBE135">
            <w:pPr>
              <w:pStyle w:val="46"/>
              <w:keepNext w:val="0"/>
              <w:keepLines w:val="0"/>
              <w:suppressLineNumbers w:val="0"/>
              <w:wordWrap w:val="0"/>
              <w:spacing w:before="0" w:beforeAutospacing="0" w:after="0" w:afterAutospacing="0"/>
              <w:ind w:left="0" w:leftChars="0" w:right="0" w:firstLine="0" w:firstLineChars="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终点</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114°14′26.817″</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39°42′55.262″</w:t>
            </w:r>
            <w:r>
              <w:rPr>
                <w:rFonts w:hint="eastAsia" w:ascii="Times New Roman" w:hAnsi="Times New Roman" w:eastAsia="宋体" w:cs="Times New Roman"/>
                <w:color w:val="auto"/>
                <w:sz w:val="24"/>
                <w:szCs w:val="24"/>
                <w:highlight w:val="none"/>
                <w:lang w:val="en-US" w:eastAsia="zh-CN"/>
              </w:rPr>
              <w:t>）</w:t>
            </w:r>
          </w:p>
          <w:p w14:paraId="4B52BCDA">
            <w:pPr>
              <w:pStyle w:val="46"/>
              <w:keepNext w:val="0"/>
              <w:keepLines w:val="0"/>
              <w:suppressLineNumbers w:val="0"/>
              <w:wordWrap w:val="0"/>
              <w:spacing w:before="0" w:beforeAutospacing="0" w:after="0" w:afterAutospacing="0"/>
              <w:ind w:left="0" w:leftChars="0" w:right="0" w:firstLine="0" w:firstLineChar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eastAsia" w:ascii="Times New Roman" w:hAnsi="Times New Roman" w:eastAsia="宋体" w:cs="Times New Roman"/>
                <w:color w:val="auto"/>
                <w:sz w:val="24"/>
                <w:szCs w:val="24"/>
                <w:highlight w:val="none"/>
                <w:lang w:val="en-US" w:eastAsia="zh-CN"/>
              </w:rPr>
              <w:t>终期方案（线路起于拟建大同东500kV汇集站，止于拟建二期扩容220k</w:t>
            </w:r>
            <w:r>
              <w:rPr>
                <w:rFonts w:hint="default" w:ascii="Times New Roman" w:hAnsi="Times New Roman" w:eastAsia="宋体" w:cs="Times New Roman"/>
                <w:color w:val="auto"/>
                <w:sz w:val="24"/>
                <w:szCs w:val="24"/>
                <w:highlight w:val="none"/>
                <w:lang w:val="en-US" w:eastAsia="zh-CN"/>
              </w:rPr>
              <w:t>V变电站与二期220kV变电站）：</w:t>
            </w:r>
          </w:p>
          <w:p w14:paraId="1260C76F">
            <w:pPr>
              <w:pStyle w:val="46"/>
              <w:keepNext w:val="0"/>
              <w:keepLines w:val="0"/>
              <w:suppressLineNumbers w:val="0"/>
              <w:wordWrap w:val="0"/>
              <w:spacing w:before="0" w:beforeAutospacing="0" w:after="0" w:afterAutospacing="0"/>
              <w:ind w:left="0" w:leftChars="0" w:right="0" w:firstLine="0" w:firstLineChar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起点：（114°5′35.957″</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39°49′15.477″）</w:t>
            </w:r>
          </w:p>
          <w:p w14:paraId="58361AE6">
            <w:pPr>
              <w:pStyle w:val="46"/>
              <w:keepNext w:val="0"/>
              <w:keepLines w:val="0"/>
              <w:suppressLineNumbers w:val="0"/>
              <w:wordWrap w:val="0"/>
              <w:spacing w:before="0" w:beforeAutospacing="0" w:after="0" w:afterAutospacing="0"/>
              <w:ind w:left="0" w:leftChars="0" w:right="0" w:firstLine="0" w:firstLineChar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终点：（114°14′21.810″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39°43′0.541″）</w:t>
            </w:r>
          </w:p>
        </w:tc>
      </w:tr>
      <w:tr w14:paraId="1DD2D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1262" w:hRule="atLeast"/>
          <w:jc w:val="center"/>
        </w:trPr>
        <w:tc>
          <w:tcPr>
            <w:tcW w:w="986" w:type="pct"/>
            <w:vAlign w:val="center"/>
          </w:tcPr>
          <w:p w14:paraId="1CD520C4">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7B85A6F">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036" w:type="pct"/>
            <w:vAlign w:val="center"/>
          </w:tcPr>
          <w:p w14:paraId="49751855">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55-161输变电工程</w:t>
            </w:r>
          </w:p>
        </w:tc>
        <w:tc>
          <w:tcPr>
            <w:tcW w:w="1249" w:type="pct"/>
            <w:vAlign w:val="center"/>
          </w:tcPr>
          <w:p w14:paraId="326E2EF2">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用地面积（m</w:t>
            </w:r>
            <w:r>
              <w:rPr>
                <w:rFonts w:hint="default" w:ascii="Times New Roman" w:hAnsi="Times New Roman" w:eastAsia="宋体" w:cs="Times New Roman"/>
                <w:bCs/>
                <w:color w:val="auto"/>
                <w:sz w:val="24"/>
                <w:szCs w:val="24"/>
                <w:highlight w:val="none"/>
                <w:vertAlign w:val="superscript"/>
              </w:rPr>
              <w:t>2</w:t>
            </w:r>
            <w:r>
              <w:rPr>
                <w:rFonts w:hint="default" w:ascii="Times New Roman" w:hAnsi="Times New Roman" w:eastAsia="宋体" w:cs="Times New Roman"/>
                <w:bCs/>
                <w:color w:val="auto"/>
                <w:sz w:val="24"/>
                <w:szCs w:val="24"/>
                <w:highlight w:val="none"/>
              </w:rPr>
              <w:t>）</w:t>
            </w:r>
          </w:p>
          <w:p w14:paraId="763A62ED">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/长度（km）</w:t>
            </w:r>
          </w:p>
        </w:tc>
        <w:tc>
          <w:tcPr>
            <w:tcW w:w="1727" w:type="pct"/>
            <w:vAlign w:val="center"/>
          </w:tcPr>
          <w:p w14:paraId="69821F4C">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rPr>
              <w:t>永久</w:t>
            </w:r>
            <w:r>
              <w:rPr>
                <w:rFonts w:hint="default" w:ascii="Times New Roman" w:hAnsi="Times New Roman" w:eastAsia="宋体" w:cs="Times New Roman"/>
                <w:bCs/>
                <w:color w:val="auto"/>
                <w:sz w:val="24"/>
                <w:szCs w:val="24"/>
                <w:highlight w:val="none"/>
              </w:rPr>
              <w:t>占地：</w:t>
            </w:r>
            <w:r>
              <w:rPr>
                <w:rFonts w:hint="eastAsia" w:ascii="Times New Roman" w:hAnsi="Times New Roman" w:eastAsia="宋体" w:cs="Times New Roman"/>
                <w:bCs/>
                <w:color w:val="auto"/>
                <w:sz w:val="24"/>
                <w:szCs w:val="24"/>
                <w:highlight w:val="none"/>
                <w:lang w:val="en-US" w:eastAsia="zh-CN"/>
              </w:rPr>
              <w:t>1.738694</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bCs/>
                <w:color w:val="auto"/>
                <w:sz w:val="24"/>
                <w:szCs w:val="24"/>
                <w:highlight w:val="none"/>
                <w:lang w:val="en-US" w:eastAsia="zh-CN"/>
              </w:rPr>
              <w:t>（其中变电站占地0.223094hm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，塔基占地1.5156hm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rPr>
              <w:t>临时</w:t>
            </w:r>
            <w:r>
              <w:rPr>
                <w:rFonts w:hint="default" w:ascii="Times New Roman" w:hAnsi="Times New Roman" w:eastAsia="宋体" w:cs="Times New Roman"/>
                <w:bCs/>
                <w:color w:val="auto"/>
                <w:sz w:val="24"/>
                <w:szCs w:val="24"/>
                <w:highlight w:val="none"/>
              </w:rPr>
              <w:t>占地：</w:t>
            </w:r>
            <w:r>
              <w:rPr>
                <w:rFonts w:hint="eastAsia" w:ascii="Times New Roman" w:hAnsi="Times New Roman" w:eastAsia="宋体" w:cs="Times New Roman"/>
                <w:bCs/>
                <w:color w:val="auto"/>
                <w:sz w:val="24"/>
                <w:szCs w:val="24"/>
                <w:highlight w:val="none"/>
                <w:lang w:val="en-US" w:eastAsia="zh-CN"/>
              </w:rPr>
              <w:t>3.6505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bCs/>
                <w:color w:val="auto"/>
                <w:sz w:val="24"/>
                <w:szCs w:val="24"/>
                <w:highlight w:val="none"/>
                <w:lang w:val="en-US" w:eastAsia="zh-CN"/>
              </w:rPr>
              <w:t>。</w:t>
            </w:r>
          </w:p>
          <w:p w14:paraId="42B56BFD">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过渡方案</w:t>
            </w:r>
            <w:r>
              <w:rPr>
                <w:rFonts w:hint="default" w:ascii="Times New Roman" w:hAnsi="Times New Roman" w:eastAsia="宋体" w:cs="Times New Roman"/>
                <w:bCs/>
                <w:color w:val="auto"/>
                <w:sz w:val="24"/>
                <w:szCs w:val="24"/>
                <w:highlight w:val="none"/>
              </w:rPr>
              <w:t>线路长度</w:t>
            </w:r>
            <w:r>
              <w:rPr>
                <w:rFonts w:hint="eastAsia" w:ascii="Times New Roman" w:hAnsi="Times New Roman" w:eastAsia="宋体" w:cs="Times New Roman"/>
                <w:bCs/>
                <w:color w:val="auto"/>
                <w:sz w:val="24"/>
                <w:szCs w:val="24"/>
                <w:highlight w:val="none"/>
                <w:lang w:val="en-US" w:eastAsia="zh-CN"/>
              </w:rPr>
              <w:t>：0.5</w:t>
            </w:r>
            <w:r>
              <w:rPr>
                <w:rFonts w:hint="default" w:ascii="Times New Roman" w:hAnsi="Times New Roman" w:eastAsia="宋体" w:cs="Times New Roman"/>
                <w:bCs/>
                <w:color w:val="auto"/>
                <w:sz w:val="24"/>
                <w:szCs w:val="24"/>
                <w:highlight w:val="none"/>
                <w:lang w:val="en-US" w:eastAsia="zh-CN"/>
              </w:rPr>
              <w:t>km，</w:t>
            </w:r>
            <w:r>
              <w:rPr>
                <w:rFonts w:hint="eastAsia" w:ascii="Times New Roman" w:hAnsi="Times New Roman" w:eastAsia="宋体" w:cs="Times New Roman"/>
                <w:bCs/>
                <w:color w:val="auto"/>
                <w:sz w:val="24"/>
                <w:szCs w:val="24"/>
                <w:highlight w:val="none"/>
                <w:lang w:val="en-US" w:eastAsia="zh-CN"/>
              </w:rPr>
              <w:t>终期方案线路长度21.5</w:t>
            </w:r>
            <w:r>
              <w:rPr>
                <w:rFonts w:hint="default" w:ascii="Times New Roman" w:hAnsi="Times New Roman" w:eastAsia="宋体" w:cs="Times New Roman"/>
                <w:bCs/>
                <w:color w:val="auto"/>
                <w:sz w:val="24"/>
                <w:szCs w:val="24"/>
                <w:highlight w:val="none"/>
                <w:lang w:val="en-US" w:eastAsia="zh-CN"/>
              </w:rPr>
              <w:t>km</w:t>
            </w:r>
          </w:p>
        </w:tc>
      </w:tr>
      <w:tr w14:paraId="7B8FC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1517" w:hRule="atLeast"/>
          <w:jc w:val="center"/>
        </w:trPr>
        <w:tc>
          <w:tcPr>
            <w:tcW w:w="986" w:type="pct"/>
            <w:vAlign w:val="center"/>
          </w:tcPr>
          <w:p w14:paraId="23CF3720">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036" w:type="pct"/>
            <w:vAlign w:val="center"/>
          </w:tcPr>
          <w:p w14:paraId="4497A284">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新建（迁建）</w:t>
            </w:r>
          </w:p>
          <w:p w14:paraId="092B2980">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改建</w:t>
            </w:r>
          </w:p>
          <w:p w14:paraId="4BBE50EF">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扩建</w:t>
            </w:r>
          </w:p>
          <w:p w14:paraId="71C3CCBC">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技术改造</w:t>
            </w:r>
          </w:p>
        </w:tc>
        <w:tc>
          <w:tcPr>
            <w:tcW w:w="1249" w:type="pct"/>
            <w:vAlign w:val="center"/>
          </w:tcPr>
          <w:p w14:paraId="30016CCE">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建设项目</w:t>
            </w:r>
          </w:p>
          <w:p w14:paraId="43E3881C">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申报情形</w:t>
            </w:r>
          </w:p>
        </w:tc>
        <w:tc>
          <w:tcPr>
            <w:tcW w:w="1727" w:type="pct"/>
            <w:vAlign w:val="center"/>
          </w:tcPr>
          <w:p w14:paraId="75F58B7F">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首次申报项目</w:t>
            </w:r>
          </w:p>
          <w:p w14:paraId="2D2140D8">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不予批准后再次申报项目</w:t>
            </w:r>
          </w:p>
          <w:p w14:paraId="680654EC">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超五年重新审核项目</w:t>
            </w:r>
          </w:p>
          <w:p w14:paraId="621E3950">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重大变动重新报批项目</w:t>
            </w:r>
          </w:p>
        </w:tc>
      </w:tr>
      <w:tr w14:paraId="18FD0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1054" w:hRule="atLeast"/>
          <w:jc w:val="center"/>
        </w:trPr>
        <w:tc>
          <w:tcPr>
            <w:tcW w:w="986" w:type="pct"/>
            <w:vAlign w:val="center"/>
          </w:tcPr>
          <w:p w14:paraId="1A959B83">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项目审批（核准/</w:t>
            </w:r>
          </w:p>
          <w:p w14:paraId="2082DC2D">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备案）部门（选填）</w:t>
            </w:r>
          </w:p>
        </w:tc>
        <w:tc>
          <w:tcPr>
            <w:tcW w:w="1036" w:type="pct"/>
            <w:vAlign w:val="center"/>
          </w:tcPr>
          <w:p w14:paraId="16D102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大同市行政审批服务管理局</w:t>
            </w:r>
          </w:p>
        </w:tc>
        <w:tc>
          <w:tcPr>
            <w:tcW w:w="1249" w:type="pct"/>
            <w:vAlign w:val="center"/>
          </w:tcPr>
          <w:p w14:paraId="388BD2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7A1127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1727" w:type="pct"/>
            <w:vAlign w:val="center"/>
          </w:tcPr>
          <w:p w14:paraId="2D5D25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t>
            </w:r>
          </w:p>
        </w:tc>
      </w:tr>
      <w:tr w14:paraId="295D8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615" w:hRule="atLeast"/>
          <w:jc w:val="center"/>
        </w:trPr>
        <w:tc>
          <w:tcPr>
            <w:tcW w:w="986" w:type="pct"/>
            <w:vAlign w:val="center"/>
          </w:tcPr>
          <w:p w14:paraId="69E3C1E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036" w:type="pct"/>
            <w:vAlign w:val="center"/>
          </w:tcPr>
          <w:p w14:paraId="5B2A2592">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22986</w:t>
            </w:r>
          </w:p>
        </w:tc>
        <w:tc>
          <w:tcPr>
            <w:tcW w:w="1249" w:type="pct"/>
            <w:vAlign w:val="center"/>
          </w:tcPr>
          <w:p w14:paraId="2F132EDE">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环保投资（万元）</w:t>
            </w:r>
          </w:p>
        </w:tc>
        <w:tc>
          <w:tcPr>
            <w:tcW w:w="1727" w:type="pct"/>
            <w:vAlign w:val="center"/>
          </w:tcPr>
          <w:p w14:paraId="7463F3A7">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300</w:t>
            </w:r>
          </w:p>
        </w:tc>
      </w:tr>
      <w:tr w14:paraId="70665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532" w:hRule="atLeast"/>
          <w:jc w:val="center"/>
        </w:trPr>
        <w:tc>
          <w:tcPr>
            <w:tcW w:w="986" w:type="pct"/>
            <w:vAlign w:val="center"/>
          </w:tcPr>
          <w:p w14:paraId="1A2F55D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036" w:type="pct"/>
            <w:vAlign w:val="center"/>
          </w:tcPr>
          <w:p w14:paraId="25158A56">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1.31</w:t>
            </w:r>
          </w:p>
        </w:tc>
        <w:tc>
          <w:tcPr>
            <w:tcW w:w="1249" w:type="pct"/>
            <w:vAlign w:val="center"/>
          </w:tcPr>
          <w:p w14:paraId="3E0832D1">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施工工期</w:t>
            </w:r>
          </w:p>
        </w:tc>
        <w:tc>
          <w:tcPr>
            <w:tcW w:w="1727" w:type="pct"/>
            <w:vAlign w:val="center"/>
          </w:tcPr>
          <w:p w14:paraId="0583E7DA">
            <w:pPr>
              <w:pStyle w:val="4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个月</w:t>
            </w:r>
          </w:p>
        </w:tc>
      </w:tr>
      <w:tr w14:paraId="0E507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766" w:hRule="atLeast"/>
          <w:jc w:val="center"/>
        </w:trPr>
        <w:tc>
          <w:tcPr>
            <w:tcW w:w="986" w:type="pct"/>
            <w:vAlign w:val="center"/>
          </w:tcPr>
          <w:p w14:paraId="465AEC4A">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4013" w:type="pct"/>
            <w:gridSpan w:val="3"/>
            <w:vAlign w:val="center"/>
          </w:tcPr>
          <w:p w14:paraId="410CC6C3">
            <w:pPr>
              <w:pStyle w:val="46"/>
              <w:keepNext w:val="0"/>
              <w:keepLines w:val="0"/>
              <w:pageBreakBefore w:val="0"/>
              <w:widowControl w:val="0"/>
              <w:suppressLineNumbers w:val="0"/>
              <w:kinsoku/>
              <w:wordWrap w:val="0"/>
              <w:overflowPunct/>
              <w:topLinePunct w:val="0"/>
              <w:bidi w:val="0"/>
              <w:adjustRightInd/>
              <w:snapToGrid/>
              <w:spacing w:before="0" w:beforeAutospacing="0" w:after="0" w:afterAutospacing="0" w:line="238"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rPr>
              <w:t>否</w:t>
            </w:r>
          </w:p>
          <w:p w14:paraId="5A1CC2BC">
            <w:pPr>
              <w:pStyle w:val="46"/>
              <w:keepNext w:val="0"/>
              <w:keepLines w:val="0"/>
              <w:pageBreakBefore w:val="0"/>
              <w:widowControl w:val="0"/>
              <w:suppressLineNumbers w:val="0"/>
              <w:kinsoku/>
              <w:wordWrap w:val="0"/>
              <w:overflowPunct/>
              <w:topLinePunct w:val="0"/>
              <w:bidi w:val="0"/>
              <w:adjustRightInd/>
              <w:snapToGrid/>
              <w:spacing w:before="0" w:beforeAutospacing="0" w:after="0" w:afterAutospacing="0" w:line="238" w:lineRule="auto"/>
              <w:ind w:left="0" w:right="0" w:firstLine="0" w:firstLineChars="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highlight w:val="none"/>
              </w:rPr>
              <w:t>是：</w:t>
            </w:r>
          </w:p>
        </w:tc>
      </w:tr>
      <w:tr w14:paraId="59EAF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1090" w:hRule="atLeast"/>
          <w:jc w:val="center"/>
        </w:trPr>
        <w:tc>
          <w:tcPr>
            <w:tcW w:w="986" w:type="pct"/>
            <w:vAlign w:val="center"/>
          </w:tcPr>
          <w:p w14:paraId="0609798E">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38"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专项评价设置情况</w:t>
            </w:r>
          </w:p>
        </w:tc>
        <w:tc>
          <w:tcPr>
            <w:tcW w:w="4013" w:type="pct"/>
            <w:gridSpan w:val="3"/>
            <w:vAlign w:val="center"/>
          </w:tcPr>
          <w:p w14:paraId="1895F449">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bCs/>
                <w:color w:val="auto"/>
                <w:szCs w:val="24"/>
                <w:highlight w:val="none"/>
              </w:rPr>
              <w:t>设置原则：根据《环境影响评价技术导则 输变电》（HJ24-2020）附录B 输变电建设项目环境影响报告表的格式和要求B.2.1专题评价，应设电磁环境影响专题评价。</w:t>
            </w:r>
          </w:p>
        </w:tc>
      </w:tr>
      <w:tr w14:paraId="2F3F0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510" w:hRule="atLeast"/>
          <w:jc w:val="center"/>
        </w:trPr>
        <w:tc>
          <w:tcPr>
            <w:tcW w:w="986" w:type="pct"/>
            <w:vAlign w:val="center"/>
          </w:tcPr>
          <w:p w14:paraId="3AD07035">
            <w:pPr>
              <w:pStyle w:val="46"/>
              <w:keepNext w:val="0"/>
              <w:keepLines w:val="0"/>
              <w:pageBreakBefore w:val="0"/>
              <w:widowControl w:val="0"/>
              <w:suppressLineNumbers w:val="0"/>
              <w:kinsoku/>
              <w:wordWrap w:val="0"/>
              <w:overflowPunct/>
              <w:topLinePunct w:val="0"/>
              <w:bidi w:val="0"/>
              <w:adjustRightInd/>
              <w:snapToGrid/>
              <w:spacing w:before="0" w:beforeAutospacing="0" w:after="0" w:afterAutospacing="0" w:line="238"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bookmarkStart w:id="1" w:name="_Hlk68814080"/>
            <w:r>
              <w:rPr>
                <w:rFonts w:hint="default" w:ascii="Times New Roman" w:hAnsi="Times New Roman" w:eastAsia="宋体" w:cs="Times New Roman"/>
                <w:color w:val="auto"/>
                <w:kern w:val="0"/>
                <w:sz w:val="24"/>
                <w:szCs w:val="24"/>
                <w:highlight w:val="none"/>
              </w:rPr>
              <w:t>规划情况</w:t>
            </w:r>
            <w:bookmarkEnd w:id="1"/>
          </w:p>
        </w:tc>
        <w:tc>
          <w:tcPr>
            <w:tcW w:w="4013" w:type="pct"/>
            <w:gridSpan w:val="3"/>
            <w:vAlign w:val="center"/>
          </w:tcPr>
          <w:p w14:paraId="7C0458C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rPr>
                <w:rFonts w:hint="default" w:ascii="Times New Roman" w:hAnsi="Times New Roman" w:eastAsia="宋体" w:cs="Times New Roman"/>
                <w:bCs/>
                <w:color w:val="auto"/>
                <w:szCs w:val="24"/>
                <w:highlight w:val="none"/>
                <w:lang w:val="en-US" w:eastAsia="zh-CN"/>
              </w:rPr>
            </w:pPr>
            <w:r>
              <w:rPr>
                <w:rFonts w:hint="eastAsia" w:ascii="Times New Roman" w:eastAsia="宋体" w:cs="Times New Roman"/>
                <w:bCs/>
                <w:color w:val="auto"/>
                <w:szCs w:val="24"/>
                <w:highlight w:val="none"/>
                <w:lang w:val="en-US" w:eastAsia="zh-CN"/>
              </w:rPr>
              <w:t>无</w:t>
            </w:r>
          </w:p>
        </w:tc>
      </w:tr>
      <w:tr w14:paraId="3944C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741" w:hRule="atLeast"/>
          <w:jc w:val="center"/>
        </w:trPr>
        <w:tc>
          <w:tcPr>
            <w:tcW w:w="986" w:type="pct"/>
            <w:vAlign w:val="center"/>
          </w:tcPr>
          <w:p w14:paraId="78CB8C59">
            <w:pPr>
              <w:keepNext w:val="0"/>
              <w:keepLines w:val="0"/>
              <w:pageBreakBefore w:val="0"/>
              <w:suppressLineNumbers w:val="0"/>
              <w:kinsoku/>
              <w:wordWrap w:val="0"/>
              <w:overflowPunct/>
              <w:topLinePunct w:val="0"/>
              <w:bidi w:val="0"/>
              <w:adjustRightInd/>
              <w:snapToGrid/>
              <w:spacing w:before="0" w:beforeAutospacing="0" w:after="0" w:afterAutospacing="0" w:line="420" w:lineRule="exact"/>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4013" w:type="pct"/>
            <w:gridSpan w:val="3"/>
            <w:vAlign w:val="center"/>
          </w:tcPr>
          <w:p w14:paraId="428F508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0" w:firstLineChars="0"/>
              <w:jc w:val="center"/>
              <w:textAlignment w:val="auto"/>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无</w:t>
            </w:r>
          </w:p>
        </w:tc>
      </w:tr>
      <w:tr w14:paraId="65112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1145" w:hRule="atLeast"/>
          <w:jc w:val="center"/>
        </w:trPr>
        <w:tc>
          <w:tcPr>
            <w:tcW w:w="986" w:type="pct"/>
            <w:vAlign w:val="center"/>
          </w:tcPr>
          <w:p w14:paraId="23D52B85">
            <w:pPr>
              <w:keepNext w:val="0"/>
              <w:keepLines w:val="0"/>
              <w:pageBreakBefore w:val="0"/>
              <w:suppressLineNumbers w:val="0"/>
              <w:kinsoku/>
              <w:wordWrap w:val="0"/>
              <w:overflowPunct/>
              <w:topLinePunct w:val="0"/>
              <w:bidi w:val="0"/>
              <w:adjustRightInd/>
              <w:snapToGrid/>
              <w:spacing w:before="0" w:beforeAutospacing="0" w:after="0" w:afterAutospacing="0" w:line="420" w:lineRule="exact"/>
              <w:ind w:left="0" w:right="0"/>
              <w:jc w:val="center"/>
              <w:textAlignment w:val="auto"/>
              <w:rPr>
                <w:rFonts w:hint="default" w:ascii="Times New Roman" w:hAnsi="Times New Roman" w:eastAsia="宋体" w:cs="Times New Roman"/>
                <w:color w:val="auto"/>
                <w:sz w:val="24"/>
                <w:szCs w:val="24"/>
                <w:highlight w:val="none"/>
              </w:rPr>
            </w:pPr>
            <w:bookmarkStart w:id="2" w:name="_Hlk68814102"/>
            <w:r>
              <w:rPr>
                <w:rFonts w:hint="default" w:ascii="Times New Roman" w:hAnsi="Times New Roman" w:eastAsia="宋体" w:cs="Times New Roman"/>
                <w:color w:val="auto"/>
                <w:sz w:val="24"/>
                <w:szCs w:val="24"/>
                <w:highlight w:val="none"/>
              </w:rPr>
              <w:t>规划及规划环境影响评价符合性分析</w:t>
            </w:r>
            <w:bookmarkEnd w:id="2"/>
          </w:p>
        </w:tc>
        <w:tc>
          <w:tcPr>
            <w:tcW w:w="4013" w:type="pct"/>
            <w:gridSpan w:val="3"/>
            <w:vAlign w:val="center"/>
          </w:tcPr>
          <w:p w14:paraId="629B739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Cs/>
                <w:color w:val="auto"/>
                <w:sz w:val="24"/>
                <w:szCs w:val="24"/>
                <w:highlight w:val="none"/>
                <w:lang w:val="en-US" w:eastAsia="zh-CN"/>
              </w:rPr>
              <w:t>无</w:t>
            </w:r>
          </w:p>
        </w:tc>
      </w:tr>
      <w:tr w14:paraId="03C59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108" w:type="dxa"/>
            <w:bottom w:w="28" w:type="dxa"/>
            <w:right w:w="108" w:type="dxa"/>
          </w:tblCellMar>
        </w:tblPrEx>
        <w:trPr>
          <w:trHeight w:val="2026" w:hRule="atLeast"/>
          <w:jc w:val="center"/>
        </w:trPr>
        <w:tc>
          <w:tcPr>
            <w:tcW w:w="986" w:type="pct"/>
            <w:vAlign w:val="center"/>
          </w:tcPr>
          <w:p w14:paraId="7CB55CB4">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其他符合性分析</w:t>
            </w:r>
          </w:p>
        </w:tc>
        <w:tc>
          <w:tcPr>
            <w:tcW w:w="4013" w:type="pct"/>
            <w:gridSpan w:val="3"/>
          </w:tcPr>
          <w:p w14:paraId="0A8889F3">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1.1</w:t>
            </w:r>
            <w:r>
              <w:rPr>
                <w:rFonts w:hint="default" w:ascii="Times New Roman" w:hAnsi="Times New Roman" w:eastAsia="宋体" w:cs="Times New Roman"/>
                <w:b/>
                <w:color w:val="auto"/>
                <w:kern w:val="0"/>
                <w:sz w:val="24"/>
                <w:szCs w:val="24"/>
                <w:highlight w:val="none"/>
              </w:rPr>
              <w:t>“三线一单”符合性分析</w:t>
            </w:r>
          </w:p>
          <w:p w14:paraId="78574D3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1.1.1</w:t>
            </w:r>
            <w:r>
              <w:rPr>
                <w:rFonts w:hint="default" w:ascii="Times New Roman" w:hAnsi="Times New Roman" w:eastAsia="宋体" w:cs="Times New Roman"/>
                <w:b/>
                <w:bCs/>
                <w:color w:val="auto"/>
                <w:highlight w:val="none"/>
              </w:rPr>
              <w:fldChar w:fldCharType="begin"/>
            </w:r>
            <w:r>
              <w:rPr>
                <w:rFonts w:hint="default" w:ascii="Times New Roman" w:hAnsi="Times New Roman" w:eastAsia="宋体" w:cs="Times New Roman"/>
                <w:b/>
                <w:bCs/>
                <w:color w:val="auto"/>
                <w:highlight w:val="none"/>
              </w:rPr>
              <w:instrText xml:space="preserve"> HYPERLINK "http://baike.sogou.com/lemma/ShowInnerLink.htm?lemmaId=76156793&amp;ss_c=ssc.citiao.link" \t "_blank" </w:instrText>
            </w:r>
            <w:r>
              <w:rPr>
                <w:rFonts w:hint="default" w:ascii="Times New Roman" w:hAnsi="Times New Roman" w:eastAsia="宋体" w:cs="Times New Roman"/>
                <w:b/>
                <w:bCs/>
                <w:color w:val="auto"/>
                <w:highlight w:val="none"/>
              </w:rPr>
              <w:fldChar w:fldCharType="separate"/>
            </w:r>
            <w:r>
              <w:rPr>
                <w:rFonts w:hint="default" w:ascii="Times New Roman" w:hAnsi="Times New Roman" w:eastAsia="宋体" w:cs="Times New Roman"/>
                <w:b/>
                <w:bCs/>
                <w:color w:val="auto"/>
                <w:kern w:val="0"/>
                <w:sz w:val="24"/>
                <w:szCs w:val="24"/>
                <w:highlight w:val="none"/>
              </w:rPr>
              <w:t>生态保护红线</w:t>
            </w:r>
            <w:r>
              <w:rPr>
                <w:rFonts w:hint="default" w:ascii="Times New Roman" w:hAnsi="Times New Roman" w:eastAsia="宋体" w:cs="Times New Roman"/>
                <w:b/>
                <w:bCs/>
                <w:color w:val="auto"/>
                <w:kern w:val="0"/>
                <w:sz w:val="24"/>
                <w:szCs w:val="24"/>
                <w:highlight w:val="none"/>
              </w:rPr>
              <w:fldChar w:fldCharType="end"/>
            </w:r>
          </w:p>
          <w:p w14:paraId="5BA9F2C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根据</w:t>
            </w:r>
            <w:r>
              <w:rPr>
                <w:rFonts w:hint="eastAsia" w:ascii="Times New Roman" w:hAnsi="Times New Roman" w:eastAsia="宋体" w:cs="Times New Roman"/>
                <w:bCs/>
                <w:color w:val="auto"/>
                <w:kern w:val="0"/>
                <w:sz w:val="24"/>
                <w:szCs w:val="24"/>
                <w:highlight w:val="none"/>
                <w:lang w:val="en-US" w:eastAsia="zh-CN" w:bidi="ar-SA"/>
              </w:rPr>
              <w:t>广灵县</w:t>
            </w:r>
            <w:r>
              <w:rPr>
                <w:rFonts w:hint="default" w:ascii="Times New Roman" w:hAnsi="Times New Roman" w:eastAsia="宋体" w:cs="Times New Roman"/>
                <w:bCs/>
                <w:color w:val="auto"/>
                <w:kern w:val="0"/>
                <w:sz w:val="24"/>
                <w:szCs w:val="24"/>
                <w:highlight w:val="none"/>
                <w:lang w:val="en-US" w:eastAsia="zh-CN" w:bidi="ar-SA"/>
              </w:rPr>
              <w:t>自然资源局关于对《关于火山云太行算力中心项目二期扩容220kV输变电工程路径征询意见的回函》</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广自然资函</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2025</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95号）文件，该输变电工程路径经过比对山西省国土空间“一张图”系统，与本生态保护红线不重叠</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变电站</w:t>
            </w:r>
            <w:r>
              <w:rPr>
                <w:rFonts w:hint="eastAsia" w:ascii="Times New Roman" w:hAnsi="Times New Roman" w:eastAsia="宋体" w:cs="Times New Roman"/>
                <w:bCs/>
                <w:color w:val="auto"/>
                <w:kern w:val="0"/>
                <w:sz w:val="24"/>
                <w:szCs w:val="24"/>
                <w:highlight w:val="none"/>
                <w:lang w:val="en-US" w:eastAsia="zh-CN" w:bidi="ar-SA"/>
              </w:rPr>
              <w:t>占地性质为工业用地</w:t>
            </w:r>
            <w:r>
              <w:rPr>
                <w:rFonts w:hint="default" w:ascii="Times New Roman" w:hAnsi="Times New Roman" w:eastAsia="宋体" w:cs="Times New Roman"/>
                <w:bCs/>
                <w:color w:val="auto"/>
                <w:kern w:val="0"/>
                <w:sz w:val="24"/>
                <w:szCs w:val="24"/>
                <w:highlight w:val="none"/>
                <w:lang w:val="en-US" w:eastAsia="zh-CN" w:bidi="ar-SA"/>
              </w:rPr>
              <w:t>，线路不涉及生态红线，因此，本工程变电站和线路均不涉及生态保护红线。</w:t>
            </w:r>
          </w:p>
          <w:p w14:paraId="6512B88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1.1.2环境质量底线</w:t>
            </w:r>
          </w:p>
          <w:p w14:paraId="2A0747D4">
            <w:pPr>
              <w:keepNext w:val="0"/>
              <w:keepLines w:val="0"/>
              <w:pageBreakBefore w:val="0"/>
              <w:widowControl w:val="0"/>
              <w:suppressLineNumbers w:val="0"/>
              <w:kinsoku/>
              <w:overflowPunct/>
              <w:bidi w:val="0"/>
              <w:spacing w:before="0" w:beforeLines="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根据对拟建项目现状监测结果，各监测点位工频电场、工频磁感应强度及噪声均能达到相应标准要求。采取评价提出的各项环保措施后，项目四周工频电场、工频磁感应强度及噪声均能做到达标排放，项目建设对生态影响较小，对当地环境质量影响较小，符合环境质量底线要求。</w:t>
            </w:r>
          </w:p>
          <w:p w14:paraId="0F2884E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1.1.3资源利用上线</w:t>
            </w:r>
          </w:p>
          <w:p w14:paraId="30375A01">
            <w:pPr>
              <w:keepNext w:val="0"/>
              <w:keepLines w:val="0"/>
              <w:pageBreakBefore w:val="0"/>
              <w:widowControl w:val="0"/>
              <w:suppressLineNumbers w:val="0"/>
              <w:kinsoku/>
              <w:overflowPunct/>
              <w:bidi w:val="0"/>
              <w:spacing w:before="0" w:beforeLines="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项目本身为供电项目，无用电能源消耗，项目的建设可以缓解当地供电压力，提高当地供电能力和供电可靠性，符合资源利用上线的要求。</w:t>
            </w:r>
          </w:p>
          <w:p w14:paraId="27C0FC42">
            <w:pPr>
              <w:keepNext w:val="0"/>
              <w:keepLines w:val="0"/>
              <w:pageBreakBefore w:val="0"/>
              <w:widowControl w:val="0"/>
              <w:suppressLineNumbers w:val="0"/>
              <w:kinsoku/>
              <w:overflowPunct/>
              <w:bidi w:val="0"/>
              <w:spacing w:before="0" w:beforeLines="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eastAsia="宋体" w:cs="Times New Roman"/>
                <w:b/>
                <w:bCs w:val="0"/>
                <w:color w:val="auto"/>
                <w:kern w:val="0"/>
                <w:sz w:val="24"/>
                <w:szCs w:val="24"/>
                <w:highlight w:val="none"/>
                <w:lang w:val="en-US" w:eastAsia="zh-CN" w:bidi="ar-SA"/>
              </w:rPr>
              <w:t>1.1.4环境准入负面清单</w:t>
            </w:r>
          </w:p>
          <w:p w14:paraId="1B68B75B">
            <w:pPr>
              <w:pStyle w:val="13"/>
              <w:keepNext w:val="0"/>
              <w:keepLines w:val="0"/>
              <w:suppressLineNumbers w:val="0"/>
              <w:spacing w:before="0" w:beforeLines="0" w:beforeAutospacing="0" w:after="0" w:afterLines="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为输变电工程，根据中华人民共和国国家发展和改革委员会令第7号《产业结构调整指导目录（2024年本）》，本项目属于鼓励类项目：四、电力2．电力基础设施建设中“电网改造与建设，增量配电网建设，边境及国家大电网未覆盖的地区可再生能源局域网建设，输变电、配电节能、降损、环保技术开发与推广应用”。项目的建设符合《产业结构调整指导目录（2024年本）》的要求，符合生态环境准入清单的要求。</w:t>
            </w:r>
          </w:p>
          <w:p w14:paraId="64E54162">
            <w:pPr>
              <w:keepNext w:val="0"/>
              <w:keepLines w:val="0"/>
              <w:pageBreakBefore w:val="0"/>
              <w:widowControl w:val="0"/>
              <w:suppressLineNumbers w:val="0"/>
              <w:kinsoku/>
              <w:overflowPunct/>
              <w:bidi w:val="0"/>
              <w:spacing w:before="0" w:beforeLines="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根据《大同市人民政府关于印发实施“三线一单”生态环境分区管控实施方案的通知》</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同政发【2021】23号</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bCs/>
                <w:color w:val="auto"/>
                <w:kern w:val="0"/>
                <w:sz w:val="24"/>
                <w:szCs w:val="24"/>
                <w:highlight w:val="none"/>
                <w:lang w:val="en-US" w:eastAsia="zh-CN" w:bidi="ar-SA"/>
              </w:rPr>
              <w:t>，将</w:t>
            </w:r>
            <w:r>
              <w:rPr>
                <w:rFonts w:hint="eastAsia" w:ascii="Times New Roman" w:hAnsi="Times New Roman" w:eastAsia="宋体" w:cs="Times New Roman"/>
                <w:bCs/>
                <w:color w:val="auto"/>
                <w:kern w:val="0"/>
                <w:sz w:val="24"/>
                <w:szCs w:val="24"/>
                <w:highlight w:val="none"/>
                <w:lang w:val="en-US" w:eastAsia="zh-CN" w:bidi="ar-SA"/>
              </w:rPr>
              <w:t>大同</w:t>
            </w:r>
            <w:r>
              <w:rPr>
                <w:rFonts w:hint="default" w:ascii="Times New Roman" w:hAnsi="Times New Roman" w:eastAsia="宋体" w:cs="Times New Roman"/>
                <w:bCs/>
                <w:color w:val="auto"/>
                <w:kern w:val="0"/>
                <w:sz w:val="24"/>
                <w:szCs w:val="24"/>
                <w:highlight w:val="none"/>
                <w:lang w:val="en-US" w:eastAsia="zh-CN" w:bidi="ar-SA"/>
              </w:rPr>
              <w:t>市划分为三类生态环境管控单元：优先保护单元、重点管控单元和一般管控单元。</w:t>
            </w:r>
          </w:p>
          <w:p w14:paraId="6B91D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1</w:t>
            </w:r>
            <w:r>
              <w:rPr>
                <w:rFonts w:hint="default" w:ascii="Times New Roman" w:hAnsi="Times New Roman" w:eastAsia="宋体" w:cs="Times New Roman"/>
                <w:b/>
                <w:bCs w:val="0"/>
                <w:color w:val="auto"/>
                <w:kern w:val="0"/>
                <w:sz w:val="21"/>
                <w:szCs w:val="21"/>
                <w:highlight w:val="none"/>
                <w:lang w:val="en-US" w:eastAsia="zh-CN" w:bidi="ar-SA"/>
              </w:rPr>
              <w:t xml:space="preserve">  本项目与《大同市生态环境分区管控总体准入清单》符合性分析</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595"/>
              <w:gridCol w:w="3969"/>
              <w:gridCol w:w="1917"/>
            </w:tblGrid>
            <w:tr w14:paraId="08C1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8075F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属性/区域</w:t>
                  </w:r>
                </w:p>
              </w:tc>
              <w:tc>
                <w:tcPr>
                  <w:tcW w:w="4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15B8F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管控维度</w:t>
                  </w: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1C2A7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管控要求</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DE4968">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本项目情况</w:t>
                  </w:r>
                </w:p>
              </w:tc>
            </w:tr>
            <w:tr w14:paraId="45FC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31E349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通用</w:t>
                  </w:r>
                </w:p>
              </w:tc>
              <w:tc>
                <w:tcPr>
                  <w:tcW w:w="4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2F10D80">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AD58FE">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1.新建、改建、扩建“两高”项目须符合生态环境保护法律法规和相关法定规划，满足重点污染物排放总量控制、碳排放达峰目标、相关规划环评和相应行业建设项目环境准入条件、环评文件审批原则要求。</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B12F7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本项目不属于“两高”项目。</w:t>
                  </w:r>
                </w:p>
              </w:tc>
            </w:tr>
            <w:tr w14:paraId="1B0C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00A9D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300EB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0B4EF1">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2.严格控制高碳、高耗能、高排放项目建设，市城市规划区、县城规划区不再布局包括产能置换项目在内的任何钢铁（不含短流程炼钢）、铸造（不含高端铸件）、水泥、有色项目，区域内现有产能只减不增。</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FADE3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本项目不属于钢铁、铸造、水泥、有色项目。</w:t>
                  </w:r>
                </w:p>
              </w:tc>
            </w:tr>
            <w:tr w14:paraId="1633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468313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BAF2A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BCCA5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3.推进城市建成区及周边重污染企业搬迁退出，加快清理不符合城市功能定位的污染企业。</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BBEEF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本项目不属于重污染企业，项目选址不在城市建成区。</w:t>
                  </w:r>
                </w:p>
              </w:tc>
            </w:tr>
            <w:tr w14:paraId="7641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CD4BD4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CD9E8C0">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CE9941">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4.生态保护红线范围内原则上按照禁止开发区进行管理，严格禁止开发性、生产性建设活动，在符合现行法律法规前提下，除国家重大战略项目外，仅允许对生态功能不造成破坏的有限人为活动。</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C32859">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val="en-US" w:eastAsia="zh-CN"/>
                    </w:rPr>
                    <w:t>不涉及生态红线。</w:t>
                  </w:r>
                </w:p>
              </w:tc>
            </w:tr>
            <w:tr w14:paraId="0940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1EBA4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266639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C1996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5.坚持以水定城、以水定地、以水定人、以水定产，严格限制煤炭开采和加工、化工、纺织、造纸等高耗水和低效用水产业发展。持续推进城市产业布局优化和升级替代，加快推进工业企业“退城入园”。</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06D0B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本项目不属于煤炭开采和加工、化工、纺织、造纸行业。</w:t>
                  </w:r>
                </w:p>
              </w:tc>
            </w:tr>
            <w:tr w14:paraId="3AD0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45DAF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5362CAF">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C89C4E">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6.认真落实畜禽养殖禁养区有关规定，禁养区内严禁审批畜禽养殖建设项目，依法关闭或搬迁禁养区内畜禽养殖场。</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F38A08">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本项目为输电线路项目，不属于养殖类项目。</w:t>
                  </w:r>
                </w:p>
              </w:tc>
            </w:tr>
            <w:tr w14:paraId="703C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645442E">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通用</w:t>
                  </w:r>
                </w:p>
              </w:tc>
              <w:tc>
                <w:tcPr>
                  <w:tcW w:w="4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699D7C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09D75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1.污染物排放总量严格落实“十四五”相关目标指标。</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93F79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根据山西省生态环境厅关于印发《建设项目主要污染物排放总量指标核定办法》的通知（晋环规[2023]1号），不需要核定污染物排放总量。</w:t>
                  </w:r>
                </w:p>
              </w:tc>
            </w:tr>
            <w:tr w14:paraId="614D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70204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91D2FF">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15CD4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2.钢铁企业稳定达到超低排放水平，各生产环节满足《关于推进实施钢铁行业超低排放的意见》（环大气〔2019〕35号）相关要求。</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B99F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本项目不属于钢铁企业。</w:t>
                  </w:r>
                </w:p>
              </w:tc>
            </w:tr>
            <w:tr w14:paraId="09A4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65950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338394">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5AE2FE">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3.水泥企业稳定达到超低排放水平，各生产环节满足《山西省水泥行业超低排放改造实施方案》（晋环发〔2021〕16号）相关要求。</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0F567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本项目不属于水泥行业。</w:t>
                  </w:r>
                </w:p>
              </w:tc>
            </w:tr>
            <w:tr w14:paraId="3490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95CBF4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F663CB7">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3B9DE4">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4.能源、冶金、建材、化工、工业涂装、包装印刷等重点行业逐步实施强制性清洁生产审核。</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779F9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本项目不属于能源、冶金、建材、化工、工业涂装、包装印刷等重点行业。</w:t>
                  </w:r>
                </w:p>
              </w:tc>
            </w:tr>
            <w:tr w14:paraId="6D0E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D0747D7">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E3A39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5BCF0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5新、改、扩建涉及大宗物料年货运量 150 万吨以上的大型工矿企业运输的建设项目，原则上全部修建铁路专用线，大宗货物清洁运输比例达到省级要求。</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E7289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本项目不涉及大宗物料运输。</w:t>
                  </w:r>
                </w:p>
              </w:tc>
            </w:tr>
            <w:tr w14:paraId="1528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551ACC8">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9E09BE9">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F509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6.禁燃区内禁止新建、扩建燃用高污染燃料的项目和设施，已建成的应逐步或依法限期改用天然气、电或者其他清洁能源。</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2727E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本项目不属于高污染燃料的项目。</w:t>
                  </w:r>
                </w:p>
              </w:tc>
            </w:tr>
            <w:tr w14:paraId="2042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F6D8D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ECEA9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08F574">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7.市域范围内基本淘汰每小时35蒸吨以下燃煤锅炉，燃气锅炉完成低氮改造。</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A9D64E">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本项目无需供暖。</w:t>
                  </w:r>
                </w:p>
              </w:tc>
            </w:tr>
            <w:tr w14:paraId="3ECE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4BBE191">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98E1F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25ED1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 按照《大同市关于划定禁止使用高排放非道路移动机械区域的通告》有关要求，禁用区内禁止使用高排放道路移动机械。</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07818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本项目不在高排放道路移动机械区域。</w:t>
                  </w:r>
                </w:p>
              </w:tc>
            </w:tr>
            <w:tr w14:paraId="5A48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19DFE7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A5B76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360D7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9．严格落实污染物排放总量控制制度，把主要污染物排放总量指标作为建设项目环境影响评价审批的前置条件。</w:t>
                  </w:r>
                </w:p>
                <w:p w14:paraId="17F2824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排放主要污染物的建设项目，在环境影响评价文件（以下简称环评文件）审批前，须取得主要污染物排放总量指标</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2ABE10">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根据晋环规[2023]1号文，本项目不需要核定染物排放总量。</w:t>
                  </w:r>
                </w:p>
              </w:tc>
            </w:tr>
            <w:tr w14:paraId="3C32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B2433A0">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2D6DF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1CEE7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用于建设项目的“可替代总量指标”不得低于建设项目所需替代的主要污染物排放总量指标。上一年度环境空气质量年平均浓度不达标的县（区）、水环境质量未达到要求的县（区），相关污染物应按照建设项目所需替代的主要污染物排放总量指标的2倍进行削减替代（燃煤发电机组大气污染物排放浓度基本达到燃气轮机组排放限值的除外）；细颗粒物（PM</w:t>
                  </w:r>
                  <w:r>
                    <w:rPr>
                      <w:rFonts w:hint="default" w:ascii="Times New Roman" w:hAnsi="Times New Roman" w:eastAsia="宋体" w:cs="Times New Roman"/>
                      <w:color w:val="auto"/>
                      <w:kern w:val="0"/>
                      <w:sz w:val="21"/>
                      <w:szCs w:val="21"/>
                      <w:vertAlign w:val="subscript"/>
                    </w:rPr>
                    <w:t>2.5</w:t>
                  </w:r>
                  <w:r>
                    <w:rPr>
                      <w:rFonts w:hint="default" w:ascii="Times New Roman" w:hAnsi="Times New Roman" w:eastAsia="宋体" w:cs="Times New Roman"/>
                      <w:color w:val="auto"/>
                      <w:kern w:val="0"/>
                      <w:sz w:val="21"/>
                      <w:szCs w:val="21"/>
                    </w:rPr>
                    <w:t>）年平均浓度不达标的县（区），二氧化硫、氮氧化物、烟粉尘、挥发性有机物四项污染物均需进行2倍削减替代（燃煤发电机组大气污染物排放浓度基本达到燃气轮机组排放限值的除外）。</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777391">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根据晋环规[2023]1号文，本项目不需要核定污染物排放总量。</w:t>
                  </w:r>
                </w:p>
              </w:tc>
            </w:tr>
            <w:tr w14:paraId="2257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53CA4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94EE52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C27FA8">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11.城镇生活污水处理厂外排废水全面执行山西省《污水综合排放标准》（DB14/1928-2019）。</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E37FB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A91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004794">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FBB279">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69F31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12.工业废水外排主要三项污染物化学需氧量、氨氮、总磷须达到《地表水环境质量标准》（GB3838-2002）Ⅴ类标准要求，其余执行《城镇污水处理厂污染物排放标准》（GB18918-2002）一级A排放标准。</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3CC67">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本项目施工期废水沉淀后回用，不外排，运营期不产生废水。</w:t>
                  </w:r>
                </w:p>
              </w:tc>
            </w:tr>
            <w:tr w14:paraId="2AE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1EE3FB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5E2249">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74091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13.省级及以上工业集聚区应科学合理制定污水处理规划与工艺，按规定建设污水集中处理设施，外排口加装自动监控设施。</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7E7242">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3578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1488A4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4F4121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8A1B9">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14.煤矿矿井水原则上废水全部循环利用，确需排放的煤矿矿井水需达到《地表水环境质量》Ⅲ类水质要求。</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992990">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404E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1B346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通用</w:t>
                  </w:r>
                </w:p>
              </w:tc>
              <w:tc>
                <w:tcPr>
                  <w:tcW w:w="4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2AE1F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EDF7AE">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1．强化重污染天气、饮用水水源地、有毒有害气体等重点领域风险预警，健全环境风险应急预案和应急响应措施，提高突发环境污染事件应急处置能力。</w:t>
                  </w:r>
                </w:p>
                <w:p w14:paraId="0E6D935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2.科学布局危险废物处置设施和场所，危险废物暂存库按《危险废物贮存污染控制标准》（GB18597-2023 ）的相关要求建设。</w:t>
                  </w:r>
                </w:p>
                <w:p w14:paraId="4902C13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3.针对焦化、化工、农药、有色冶炼、造纸、电镀等水环境风险较大行业，全面开展摸底排查，建立水环境风险管控清单，定期评估沿河（湖、库）工业企业、工业集聚区环境风险，落实防控措施。</w:t>
                  </w:r>
                </w:p>
                <w:p w14:paraId="1D6A69B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严格落实“三线一单”生态环境分区管控要求。桑干河干流及主要支流浑河、口泉河、七里河、御河、十里河、坊城河等沿岸范围内的重要湖（库）和饮用水水源地保护区，禁止新建焦化、化工、农药、有色冶炼、造纸、生物制药、电镀等高风险项目和危险化学品仓储设施。</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0172D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对变压器检修废油进行了规范收集、贮存、转运、处置等措施，符合环境风险防控。</w:t>
                  </w:r>
                </w:p>
              </w:tc>
            </w:tr>
            <w:tr w14:paraId="22E8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5E1C5BE">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通用</w:t>
                  </w:r>
                </w:p>
              </w:tc>
              <w:tc>
                <w:tcPr>
                  <w:tcW w:w="4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5ACEA9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资源利用效率</w:t>
                  </w: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E45284">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1.水资源利用上线严格落实“十四五”相关目标指标。</w:t>
                  </w:r>
                </w:p>
                <w:p w14:paraId="53D99CC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2.加快推进城头会泉域和水神堂泉域重点保护区的保护和生态修复。</w:t>
                  </w:r>
                </w:p>
                <w:p w14:paraId="3C57E1F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3.加强水资源开发利用红线管理，严格取用水总量汲取水许可管理，到2030年大同市用水总量控制在7.4亿立方米以内，万元工业增加值用水量控制在40立方米以下。</w:t>
                  </w:r>
                </w:p>
                <w:p w14:paraId="40FBB6BA">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4.大力推进工业节水，推动高耗水行业节水增效，积极推行水循环梯级利用，农田灌溉水有效利用系数提高到0.6以上。</w:t>
                  </w:r>
                </w:p>
                <w:p w14:paraId="3102DAEB">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严格规范地下水取水许可审批管理，实行取水许可区域限批制度和取水许可验收制度。对地下水取水总量已达到或超过控制指标的地区，暂停建设项目新增取水用地下水；对取水地下水总量接近控制指标的地区，限制审批新增取用地下水。</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5666C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项目运营期不产生废水。</w:t>
                  </w:r>
                </w:p>
              </w:tc>
            </w:tr>
            <w:tr w14:paraId="2AED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F9A6C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8B91680">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15BD47">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1.能源利用上线严格落实碳达峰、碳中和相关要求以及“十四五”相关目标指标。</w:t>
                  </w:r>
                </w:p>
                <w:p w14:paraId="0C77ABCF">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2.加强清洁低碳能源体系建设，大力发展非化石能源，严格落实煤炭消费等量减量替代措施。</w:t>
                  </w:r>
                </w:p>
                <w:p w14:paraId="74A8CC74">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3.新建、改建、扩建项目“两高”项目须达到强制性能耗限额标准；现有企业和其他项目通过实施清洁生产改造，2030年能耗水平显著下降。</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609348">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本项目为输变电，不属于“两高”项目。</w:t>
                  </w:r>
                </w:p>
              </w:tc>
            </w:tr>
            <w:tr w14:paraId="5221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6C204C7">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4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5B7D55">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D19A4D">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1.土地资源利用上线严格落实“十四五”相关目标指标。</w:t>
                  </w:r>
                </w:p>
                <w:p w14:paraId="6F6D003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严格控制非农建设占用耕地工业项目，商业旅游、农村宅基地等建设项目在选址时应尽量利用未利用地及闲置土地，尽量不占或少占耕地。确需占用耕地的，必须符合土地利用总体规划和城市总体规划，做到“占一补一”“占优补优”，并依法办理农用地转用审批手续。</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1E92D3">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输电线路</w:t>
                  </w:r>
                  <w:r>
                    <w:rPr>
                      <w:rFonts w:hint="eastAsia" w:ascii="Times New Roman" w:hAnsi="Times New Roman" w:eastAsia="宋体" w:cs="Times New Roman"/>
                      <w:color w:val="auto"/>
                      <w:kern w:val="0"/>
                      <w:sz w:val="21"/>
                      <w:szCs w:val="21"/>
                      <w:lang w:val="en-US" w:eastAsia="zh-CN"/>
                    </w:rPr>
                    <w:t>部分</w:t>
                  </w:r>
                  <w:r>
                    <w:rPr>
                      <w:rFonts w:hint="default" w:ascii="Times New Roman" w:hAnsi="Times New Roman" w:eastAsia="宋体" w:cs="Times New Roman"/>
                      <w:color w:val="auto"/>
                      <w:kern w:val="0"/>
                      <w:sz w:val="21"/>
                      <w:szCs w:val="21"/>
                    </w:rPr>
                    <w:t>占用永久基本农田，本工程属于基础设施建设项目，按照《山西省电力设施保护条例》及《山西省人民政府关于加快电网建设的意见》（晋政发（2007）6号）有关规定：“输电线路走廊（包括杆、塔基础）原则不征地，只作一次性经济补偿”，本工程输电线路不征地，可研对塔基进行了优化，减少了对永久基本农田的占用，无法避让的按规定作一次性经济补偿</w:t>
                  </w:r>
                  <w:r>
                    <w:rPr>
                      <w:rFonts w:hint="eastAsia" w:ascii="Times New Roman" w:hAnsi="Times New Roman" w:eastAsia="宋体" w:cs="Times New Roman"/>
                      <w:color w:val="auto"/>
                      <w:kern w:val="0"/>
                      <w:sz w:val="21"/>
                      <w:szCs w:val="21"/>
                      <w:lang w:eastAsia="zh-CN"/>
                    </w:rPr>
                    <w:t>。</w:t>
                  </w:r>
                </w:p>
              </w:tc>
            </w:tr>
            <w:tr w14:paraId="40E1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0530886">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重点区域</w:t>
                  </w:r>
                </w:p>
              </w:tc>
              <w:tc>
                <w:tcPr>
                  <w:tcW w:w="28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447D4F">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1.已有超低排放限值要求的行业，执行超低排放限值；对于目前没有行业超低污染物排放标准或行业污染物排放标准中未规定超低排放限值的，全面执行大气污染物特别排放限值。</w:t>
                  </w:r>
                </w:p>
                <w:p w14:paraId="5200F078">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2.在保证电力、热力供应前提下，按照国家和省级要求，30万千瓦及以上热电联产机组供热特定半径范围内的燃煤锅炉和落后燃煤小热电关停整合。</w:t>
                  </w:r>
                </w:p>
                <w:p w14:paraId="6722A2D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3.取缔燃煤热风炉，基本淘汰热电联产供热管网覆盖范围内的燃煤加热、烘干炉（窑）。</w:t>
                  </w:r>
                </w:p>
                <w:p w14:paraId="34B5E7CC">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4.钢铁、建材、铸造、化工等高排放行业企业，采暖期实施差别化错峰生产，并与重污染天气应急减排相衔接，确保采暖期重点行业大气污染物排放量明显降低。</w:t>
                  </w:r>
                </w:p>
              </w:tc>
              <w:tc>
                <w:tcPr>
                  <w:tcW w:w="135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EB63A7">
                  <w:pPr>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ind w:left="0" w:right="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本项目不属于钢铁、建材、铸造、化工等高排放行业企业；不使用燃煤锅炉，不使用燃煤加热、烘干炉（窑）。</w:t>
                  </w:r>
                </w:p>
              </w:tc>
            </w:tr>
          </w:tbl>
          <w:p w14:paraId="25D5509D">
            <w:pPr>
              <w:keepNext w:val="0"/>
              <w:keepLines w:val="0"/>
              <w:pageBreakBefore w:val="0"/>
              <w:suppressLineNumbers w:val="0"/>
              <w:kinsoku/>
              <w:wordWrap/>
              <w:overflowPunct/>
              <w:topLinePunct w:val="0"/>
              <w:autoSpaceDN w:val="0"/>
              <w:bidi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yellow"/>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将</w:t>
            </w:r>
            <w:r>
              <w:rPr>
                <w:rFonts w:hint="eastAsia" w:ascii="Times New Roman" w:hAnsi="Times New Roman" w:eastAsia="宋体" w:cs="Times New Roman"/>
                <w:bCs/>
                <w:color w:val="auto"/>
                <w:kern w:val="0"/>
                <w:sz w:val="24"/>
                <w:szCs w:val="24"/>
                <w:highlight w:val="none"/>
                <w:lang w:val="en-US" w:eastAsia="zh-CN" w:bidi="ar-SA"/>
              </w:rPr>
              <w:t>过渡方案</w:t>
            </w:r>
            <w:r>
              <w:rPr>
                <w:rFonts w:hint="default" w:ascii="Times New Roman" w:hAnsi="Times New Roman" w:eastAsia="宋体" w:cs="Times New Roman"/>
                <w:bCs/>
                <w:color w:val="auto"/>
                <w:kern w:val="0"/>
                <w:sz w:val="24"/>
                <w:szCs w:val="24"/>
                <w:highlight w:val="none"/>
                <w:lang w:val="en-US" w:eastAsia="zh-CN" w:bidi="ar-SA"/>
              </w:rPr>
              <w:t>输电线路，与</w:t>
            </w:r>
            <w:r>
              <w:rPr>
                <w:rFonts w:hint="eastAsia" w:ascii="Times New Roman" w:hAnsi="Times New Roman" w:eastAsia="宋体" w:cs="Times New Roman"/>
                <w:bCs/>
                <w:color w:val="auto"/>
                <w:kern w:val="0"/>
                <w:sz w:val="24"/>
                <w:szCs w:val="24"/>
                <w:highlight w:val="none"/>
                <w:lang w:val="en-US" w:eastAsia="zh-CN" w:bidi="ar-SA"/>
              </w:rPr>
              <w:t>终期方案</w:t>
            </w:r>
            <w:r>
              <w:rPr>
                <w:rFonts w:hint="default" w:ascii="Times New Roman" w:hAnsi="Times New Roman" w:eastAsia="宋体" w:cs="Times New Roman"/>
                <w:bCs/>
                <w:color w:val="auto"/>
                <w:kern w:val="0"/>
                <w:sz w:val="24"/>
                <w:szCs w:val="24"/>
                <w:highlight w:val="none"/>
                <w:lang w:val="en-US" w:eastAsia="zh-CN" w:bidi="ar-SA"/>
              </w:rPr>
              <w:t>输电线路分别输入山西省“三线一单”数据管理及应用平台核查可知，</w:t>
            </w:r>
            <w:r>
              <w:rPr>
                <w:rFonts w:hint="eastAsia" w:ascii="Times New Roman" w:hAnsi="Times New Roman" w:eastAsia="宋体" w:cs="Times New Roman"/>
                <w:bCs/>
                <w:color w:val="auto"/>
                <w:kern w:val="0"/>
                <w:sz w:val="24"/>
                <w:szCs w:val="24"/>
                <w:highlight w:val="none"/>
                <w:lang w:val="en-US" w:eastAsia="zh-CN" w:bidi="ar-SA"/>
              </w:rPr>
              <w:t>过渡方案输电</w:t>
            </w:r>
            <w:r>
              <w:rPr>
                <w:rFonts w:hint="default" w:ascii="Times New Roman" w:hAnsi="Times New Roman" w:eastAsia="宋体" w:cs="Times New Roman"/>
                <w:bCs/>
                <w:color w:val="auto"/>
                <w:kern w:val="0"/>
                <w:sz w:val="24"/>
                <w:szCs w:val="24"/>
                <w:highlight w:val="none"/>
                <w:lang w:val="en-US" w:eastAsia="zh-CN" w:bidi="ar-SA"/>
              </w:rPr>
              <w:t>线路共涉及</w:t>
            </w:r>
            <w:r>
              <w:rPr>
                <w:rFonts w:hint="eastAsia" w:ascii="Times New Roman" w:hAnsi="Times New Roman" w:eastAsia="宋体" w:cs="Times New Roman"/>
                <w:bCs/>
                <w:color w:val="auto"/>
                <w:kern w:val="0"/>
                <w:sz w:val="24"/>
                <w:szCs w:val="24"/>
                <w:highlight w:val="none"/>
                <w:lang w:val="en-US" w:eastAsia="zh-CN" w:bidi="ar-SA"/>
              </w:rPr>
              <w:t>1</w:t>
            </w:r>
            <w:r>
              <w:rPr>
                <w:rFonts w:hint="default" w:ascii="Times New Roman" w:hAnsi="Times New Roman" w:eastAsia="宋体" w:cs="Times New Roman"/>
                <w:bCs/>
                <w:color w:val="auto"/>
                <w:kern w:val="0"/>
                <w:sz w:val="24"/>
                <w:szCs w:val="24"/>
                <w:highlight w:val="none"/>
                <w:lang w:val="en-US" w:eastAsia="zh-CN" w:bidi="ar-SA"/>
              </w:rPr>
              <w:t>个管控单元，为重点管控单元；</w:t>
            </w:r>
            <w:r>
              <w:rPr>
                <w:rFonts w:hint="eastAsia" w:ascii="Times New Roman" w:hAnsi="Times New Roman" w:eastAsia="宋体" w:cs="Times New Roman"/>
                <w:bCs/>
                <w:color w:val="auto"/>
                <w:kern w:val="0"/>
                <w:sz w:val="24"/>
                <w:szCs w:val="24"/>
                <w:highlight w:val="none"/>
                <w:lang w:val="en-US" w:eastAsia="zh-CN" w:bidi="ar-SA"/>
              </w:rPr>
              <w:t>终期</w:t>
            </w:r>
            <w:r>
              <w:rPr>
                <w:rFonts w:hint="default" w:ascii="Times New Roman" w:hAnsi="Times New Roman" w:eastAsia="宋体" w:cs="Times New Roman"/>
                <w:bCs/>
                <w:color w:val="auto"/>
                <w:kern w:val="0"/>
                <w:sz w:val="24"/>
                <w:szCs w:val="24"/>
                <w:highlight w:val="none"/>
                <w:lang w:val="en-US" w:eastAsia="zh-CN" w:bidi="ar-SA"/>
              </w:rPr>
              <w:t>方案输电线路共涉及</w:t>
            </w:r>
            <w:r>
              <w:rPr>
                <w:rFonts w:hint="eastAsia" w:ascii="Times New Roman" w:hAnsi="Times New Roman" w:eastAsia="宋体" w:cs="Times New Roman"/>
                <w:bCs/>
                <w:color w:val="auto"/>
                <w:kern w:val="0"/>
                <w:sz w:val="24"/>
                <w:szCs w:val="24"/>
                <w:highlight w:val="none"/>
                <w:lang w:val="en-US" w:eastAsia="zh-CN" w:bidi="ar-SA"/>
              </w:rPr>
              <w:t>3大类管控单元</w:t>
            </w:r>
            <w:r>
              <w:rPr>
                <w:rFonts w:hint="default" w:ascii="Times New Roman" w:hAnsi="Times New Roman" w:eastAsia="宋体" w:cs="Times New Roman"/>
                <w:bCs/>
                <w:color w:val="auto"/>
                <w:kern w:val="0"/>
                <w:sz w:val="24"/>
                <w:szCs w:val="24"/>
                <w:highlight w:val="none"/>
                <w:lang w:val="en-US" w:eastAsia="zh-CN" w:bidi="ar-SA"/>
              </w:rPr>
              <w:t>，分别为优先</w:t>
            </w:r>
            <w:r>
              <w:rPr>
                <w:rFonts w:hint="eastAsia" w:ascii="Times New Roman" w:hAnsi="Times New Roman" w:eastAsia="宋体" w:cs="Times New Roman"/>
                <w:bCs/>
                <w:color w:val="auto"/>
                <w:kern w:val="0"/>
                <w:sz w:val="24"/>
                <w:szCs w:val="24"/>
                <w:highlight w:val="none"/>
                <w:lang w:val="en-US" w:eastAsia="zh-CN" w:bidi="ar-SA"/>
              </w:rPr>
              <w:t>保护</w:t>
            </w:r>
            <w:r>
              <w:rPr>
                <w:rFonts w:hint="default" w:ascii="Times New Roman" w:hAnsi="Times New Roman" w:eastAsia="宋体" w:cs="Times New Roman"/>
                <w:bCs/>
                <w:color w:val="auto"/>
                <w:kern w:val="0"/>
                <w:sz w:val="24"/>
                <w:szCs w:val="24"/>
                <w:highlight w:val="none"/>
                <w:lang w:val="en-US" w:eastAsia="zh-CN" w:bidi="ar-SA"/>
              </w:rPr>
              <w:t>单元、重点管控单元与一般管控单元。具体情况见下表：</w:t>
            </w:r>
          </w:p>
          <w:p w14:paraId="38310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2</w:t>
            </w:r>
            <w:r>
              <w:rPr>
                <w:rFonts w:hint="default" w:ascii="Times New Roman" w:hAnsi="Times New Roman" w:eastAsia="宋体" w:cs="Times New Roman"/>
                <w:b/>
                <w:bCs w:val="0"/>
                <w:color w:val="auto"/>
                <w:kern w:val="0"/>
                <w:sz w:val="21"/>
                <w:szCs w:val="21"/>
                <w:highlight w:val="none"/>
                <w:lang w:val="en-US" w:eastAsia="zh-CN" w:bidi="ar-SA"/>
              </w:rPr>
              <w:t xml:space="preserve"> </w:t>
            </w:r>
            <w:r>
              <w:rPr>
                <w:rFonts w:hint="eastAsia" w:ascii="Times New Roman" w:hAnsi="Times New Roman" w:eastAsia="宋体" w:cs="Times New Roman"/>
                <w:b/>
                <w:bCs w:val="0"/>
                <w:color w:val="auto"/>
                <w:kern w:val="0"/>
                <w:sz w:val="21"/>
                <w:szCs w:val="21"/>
                <w:highlight w:val="none"/>
                <w:lang w:val="en-US" w:eastAsia="zh-CN" w:bidi="ar-SA"/>
              </w:rPr>
              <w:t>过渡方案</w:t>
            </w:r>
            <w:r>
              <w:rPr>
                <w:rFonts w:hint="default" w:ascii="Times New Roman" w:hAnsi="Times New Roman" w:eastAsia="宋体" w:cs="Times New Roman"/>
                <w:b/>
                <w:bCs w:val="0"/>
                <w:color w:val="auto"/>
                <w:kern w:val="0"/>
                <w:sz w:val="21"/>
                <w:szCs w:val="21"/>
                <w:highlight w:val="none"/>
                <w:lang w:val="en-US" w:eastAsia="zh-CN" w:bidi="ar-SA"/>
              </w:rPr>
              <w:t>线路生态环境管控单元表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057"/>
              <w:gridCol w:w="1652"/>
              <w:gridCol w:w="2525"/>
              <w:gridCol w:w="1206"/>
            </w:tblGrid>
            <w:tr w14:paraId="719D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56" w:type="pct"/>
                  <w:noWrap w:val="0"/>
                  <w:vAlign w:val="center"/>
                </w:tcPr>
                <w:p w14:paraId="4465A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序号</w:t>
                  </w:r>
                </w:p>
              </w:tc>
              <w:tc>
                <w:tcPr>
                  <w:tcW w:w="745" w:type="pct"/>
                  <w:noWrap w:val="0"/>
                  <w:vAlign w:val="center"/>
                </w:tcPr>
                <w:p w14:paraId="36E76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行政区划</w:t>
                  </w:r>
                </w:p>
              </w:tc>
              <w:tc>
                <w:tcPr>
                  <w:tcW w:w="1165" w:type="pct"/>
                  <w:noWrap w:val="0"/>
                  <w:vAlign w:val="center"/>
                </w:tcPr>
                <w:p w14:paraId="76086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管控单元编码</w:t>
                  </w:r>
                </w:p>
              </w:tc>
              <w:tc>
                <w:tcPr>
                  <w:tcW w:w="1780" w:type="pct"/>
                  <w:noWrap w:val="0"/>
                  <w:vAlign w:val="center"/>
                </w:tcPr>
                <w:p w14:paraId="64A52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管控单元名称</w:t>
                  </w:r>
                </w:p>
              </w:tc>
              <w:tc>
                <w:tcPr>
                  <w:tcW w:w="850" w:type="pct"/>
                  <w:noWrap w:val="0"/>
                  <w:vAlign w:val="center"/>
                </w:tcPr>
                <w:p w14:paraId="1B1C5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管控区分类</w:t>
                  </w:r>
                </w:p>
              </w:tc>
            </w:tr>
            <w:tr w14:paraId="3E27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noWrap w:val="0"/>
                  <w:vAlign w:val="center"/>
                </w:tcPr>
                <w:p w14:paraId="14EE7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1</w:t>
                  </w:r>
                </w:p>
              </w:tc>
              <w:tc>
                <w:tcPr>
                  <w:tcW w:w="745" w:type="pct"/>
                  <w:noWrap w:val="0"/>
                  <w:vAlign w:val="center"/>
                </w:tcPr>
                <w:p w14:paraId="4BB6F2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w:t>
                  </w:r>
                </w:p>
              </w:tc>
              <w:tc>
                <w:tcPr>
                  <w:tcW w:w="1165" w:type="pct"/>
                  <w:noWrap w:val="0"/>
                  <w:vAlign w:val="center"/>
                </w:tcPr>
                <w:p w14:paraId="48D40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ZH14022320005</w:t>
                  </w:r>
                </w:p>
              </w:tc>
              <w:tc>
                <w:tcPr>
                  <w:tcW w:w="1780" w:type="pct"/>
                  <w:noWrap w:val="0"/>
                  <w:vAlign w:val="center"/>
                </w:tcPr>
                <w:p w14:paraId="102BC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广灵县大气环境布局敏感重点管控单元</w:t>
                  </w:r>
                </w:p>
              </w:tc>
              <w:tc>
                <w:tcPr>
                  <w:tcW w:w="850" w:type="pct"/>
                  <w:noWrap w:val="0"/>
                  <w:vAlign w:val="center"/>
                </w:tcPr>
                <w:p w14:paraId="71E30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重点管控单元</w:t>
                  </w:r>
                </w:p>
              </w:tc>
            </w:tr>
          </w:tbl>
          <w:p w14:paraId="188DC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3</w:t>
            </w:r>
            <w:r>
              <w:rPr>
                <w:rFonts w:hint="default" w:ascii="Times New Roman" w:hAnsi="Times New Roman" w:eastAsia="宋体" w:cs="Times New Roman"/>
                <w:b/>
                <w:bCs w:val="0"/>
                <w:color w:val="auto"/>
                <w:kern w:val="0"/>
                <w:sz w:val="21"/>
                <w:szCs w:val="21"/>
                <w:highlight w:val="none"/>
                <w:lang w:val="en-US" w:eastAsia="zh-CN" w:bidi="ar-SA"/>
              </w:rPr>
              <w:t xml:space="preserve">  </w:t>
            </w:r>
            <w:r>
              <w:rPr>
                <w:rFonts w:hint="eastAsia" w:ascii="Times New Roman" w:hAnsi="Times New Roman" w:eastAsia="宋体" w:cs="Times New Roman"/>
                <w:b/>
                <w:bCs w:val="0"/>
                <w:color w:val="auto"/>
                <w:kern w:val="0"/>
                <w:sz w:val="21"/>
                <w:szCs w:val="21"/>
                <w:highlight w:val="none"/>
                <w:lang w:val="en-US" w:eastAsia="zh-CN" w:bidi="ar-SA"/>
              </w:rPr>
              <w:t>终期方案</w:t>
            </w:r>
            <w:r>
              <w:rPr>
                <w:rFonts w:hint="default" w:ascii="Times New Roman" w:hAnsi="Times New Roman" w:eastAsia="宋体" w:cs="Times New Roman"/>
                <w:b/>
                <w:bCs w:val="0"/>
                <w:color w:val="auto"/>
                <w:kern w:val="0"/>
                <w:sz w:val="21"/>
                <w:szCs w:val="21"/>
                <w:highlight w:val="none"/>
                <w:lang w:val="en-US" w:eastAsia="zh-CN" w:bidi="ar-SA"/>
              </w:rPr>
              <w:t>线路生态环境管控单元表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059"/>
              <w:gridCol w:w="1716"/>
              <w:gridCol w:w="2439"/>
              <w:gridCol w:w="1201"/>
            </w:tblGrid>
            <w:tr w14:paraId="2999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74" w:type="pct"/>
                  <w:noWrap w:val="0"/>
                  <w:vAlign w:val="center"/>
                </w:tcPr>
                <w:p w14:paraId="00E95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序号</w:t>
                  </w:r>
                </w:p>
              </w:tc>
              <w:tc>
                <w:tcPr>
                  <w:tcW w:w="747" w:type="pct"/>
                  <w:noWrap w:val="0"/>
                  <w:vAlign w:val="center"/>
                </w:tcPr>
                <w:p w14:paraId="40039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行政区划</w:t>
                  </w:r>
                </w:p>
              </w:tc>
              <w:tc>
                <w:tcPr>
                  <w:tcW w:w="1210" w:type="pct"/>
                  <w:noWrap w:val="0"/>
                  <w:vAlign w:val="center"/>
                </w:tcPr>
                <w:p w14:paraId="7AF9C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管控单元编码</w:t>
                  </w:r>
                </w:p>
              </w:tc>
              <w:tc>
                <w:tcPr>
                  <w:tcW w:w="1720" w:type="pct"/>
                  <w:noWrap w:val="0"/>
                  <w:vAlign w:val="center"/>
                </w:tcPr>
                <w:p w14:paraId="5852C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管控单元名称</w:t>
                  </w:r>
                </w:p>
              </w:tc>
              <w:tc>
                <w:tcPr>
                  <w:tcW w:w="847" w:type="pct"/>
                  <w:noWrap w:val="0"/>
                  <w:vAlign w:val="center"/>
                </w:tcPr>
                <w:p w14:paraId="4A5B8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管控区分类</w:t>
                  </w:r>
                </w:p>
              </w:tc>
            </w:tr>
            <w:tr w14:paraId="3A89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center"/>
                </w:tcPr>
                <w:p w14:paraId="7E424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1</w:t>
                  </w:r>
                </w:p>
              </w:tc>
              <w:tc>
                <w:tcPr>
                  <w:tcW w:w="747" w:type="pct"/>
                  <w:noWrap w:val="0"/>
                  <w:vAlign w:val="center"/>
                </w:tcPr>
                <w:p w14:paraId="1E9AC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w:t>
                  </w:r>
                </w:p>
              </w:tc>
              <w:tc>
                <w:tcPr>
                  <w:tcW w:w="1210" w:type="pct"/>
                  <w:noWrap w:val="0"/>
                  <w:vAlign w:val="center"/>
                </w:tcPr>
                <w:p w14:paraId="70BA4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ZH14022310009</w:t>
                  </w:r>
                </w:p>
              </w:tc>
              <w:tc>
                <w:tcPr>
                  <w:tcW w:w="1720" w:type="pct"/>
                  <w:noWrap w:val="0"/>
                  <w:vAlign w:val="center"/>
                </w:tcPr>
                <w:p w14:paraId="25886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广灵县防风固沙与土地</w:t>
                  </w:r>
                </w:p>
                <w:p w14:paraId="0B302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沙化防控一般生态空间</w:t>
                  </w:r>
                </w:p>
                <w:p w14:paraId="52AD5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优先保护单元</w:t>
                  </w:r>
                </w:p>
              </w:tc>
              <w:tc>
                <w:tcPr>
                  <w:tcW w:w="847" w:type="pct"/>
                  <w:noWrap w:val="0"/>
                  <w:vAlign w:val="center"/>
                </w:tcPr>
                <w:p w14:paraId="4394A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优先保护单元</w:t>
                  </w:r>
                </w:p>
              </w:tc>
            </w:tr>
            <w:tr w14:paraId="2C64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center"/>
                </w:tcPr>
                <w:p w14:paraId="6C378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2</w:t>
                  </w:r>
                </w:p>
              </w:tc>
              <w:tc>
                <w:tcPr>
                  <w:tcW w:w="747" w:type="pct"/>
                  <w:noWrap w:val="0"/>
                  <w:vAlign w:val="center"/>
                </w:tcPr>
                <w:p w14:paraId="4EF32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w:t>
                  </w:r>
                </w:p>
              </w:tc>
              <w:tc>
                <w:tcPr>
                  <w:tcW w:w="1210" w:type="pct"/>
                  <w:noWrap w:val="0"/>
                  <w:vAlign w:val="center"/>
                </w:tcPr>
                <w:p w14:paraId="60BC2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ZH14022320001</w:t>
                  </w:r>
                </w:p>
              </w:tc>
              <w:tc>
                <w:tcPr>
                  <w:tcW w:w="1720" w:type="pct"/>
                  <w:noWrap w:val="0"/>
                  <w:vAlign w:val="center"/>
                </w:tcPr>
                <w:p w14:paraId="128A3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广灵县壶流河城区段控制单元水环境城镇生活污染重点管控单元</w:t>
                  </w:r>
                </w:p>
              </w:tc>
              <w:tc>
                <w:tcPr>
                  <w:tcW w:w="847" w:type="pct"/>
                  <w:noWrap w:val="0"/>
                  <w:vAlign w:val="center"/>
                </w:tcPr>
                <w:p w14:paraId="0A466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重点管控</w:t>
                  </w:r>
                  <w:r>
                    <w:rPr>
                      <w:rFonts w:hint="default" w:ascii="Times New Roman" w:hAnsi="Times New Roman" w:eastAsia="宋体" w:cs="Times New Roman"/>
                      <w:bCs/>
                      <w:color w:val="auto"/>
                      <w:kern w:val="0"/>
                      <w:sz w:val="21"/>
                      <w:szCs w:val="21"/>
                      <w:highlight w:val="none"/>
                      <w:vertAlign w:val="baseline"/>
                      <w:lang w:val="en-US" w:eastAsia="zh-CN" w:bidi="ar-SA"/>
                    </w:rPr>
                    <w:t>单元</w:t>
                  </w:r>
                </w:p>
              </w:tc>
            </w:tr>
            <w:tr w14:paraId="5759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center"/>
                </w:tcPr>
                <w:p w14:paraId="451F8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3</w:t>
                  </w:r>
                </w:p>
              </w:tc>
              <w:tc>
                <w:tcPr>
                  <w:tcW w:w="747" w:type="pct"/>
                  <w:noWrap w:val="0"/>
                  <w:vAlign w:val="center"/>
                </w:tcPr>
                <w:p w14:paraId="1EB2C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w:t>
                  </w:r>
                </w:p>
              </w:tc>
              <w:tc>
                <w:tcPr>
                  <w:tcW w:w="1210" w:type="pct"/>
                  <w:noWrap w:val="0"/>
                  <w:vAlign w:val="center"/>
                </w:tcPr>
                <w:p w14:paraId="56028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ZH14022320005</w:t>
                  </w:r>
                </w:p>
              </w:tc>
              <w:tc>
                <w:tcPr>
                  <w:tcW w:w="1720" w:type="pct"/>
                  <w:noWrap w:val="0"/>
                  <w:vAlign w:val="center"/>
                </w:tcPr>
                <w:p w14:paraId="6C226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广灵县大气环境布局敏</w:t>
                  </w:r>
                </w:p>
                <w:p w14:paraId="1F4D4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感重点管控单元</w:t>
                  </w:r>
                </w:p>
              </w:tc>
              <w:tc>
                <w:tcPr>
                  <w:tcW w:w="847" w:type="pct"/>
                  <w:noWrap w:val="0"/>
                  <w:vAlign w:val="center"/>
                </w:tcPr>
                <w:p w14:paraId="3C87F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重点管控单元</w:t>
                  </w:r>
                </w:p>
              </w:tc>
            </w:tr>
            <w:tr w14:paraId="2421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center"/>
                </w:tcPr>
                <w:p w14:paraId="5533F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4</w:t>
                  </w:r>
                </w:p>
              </w:tc>
              <w:tc>
                <w:tcPr>
                  <w:tcW w:w="747" w:type="pct"/>
                  <w:noWrap w:val="0"/>
                  <w:vAlign w:val="center"/>
                </w:tcPr>
                <w:p w14:paraId="734F7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广灵县</w:t>
                  </w:r>
                </w:p>
              </w:tc>
              <w:tc>
                <w:tcPr>
                  <w:tcW w:w="1210" w:type="pct"/>
                  <w:noWrap w:val="0"/>
                  <w:vAlign w:val="center"/>
                </w:tcPr>
                <w:p w14:paraId="4FE2E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ZH14022330001</w:t>
                  </w:r>
                </w:p>
              </w:tc>
              <w:tc>
                <w:tcPr>
                  <w:tcW w:w="1720" w:type="pct"/>
                  <w:noWrap w:val="0"/>
                  <w:vAlign w:val="center"/>
                </w:tcPr>
                <w:p w14:paraId="1A13A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大同市广灵县一般管控</w:t>
                  </w:r>
                </w:p>
                <w:p w14:paraId="0283C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单元</w:t>
                  </w:r>
                </w:p>
              </w:tc>
              <w:tc>
                <w:tcPr>
                  <w:tcW w:w="847" w:type="pct"/>
                  <w:noWrap w:val="0"/>
                  <w:vAlign w:val="center"/>
                </w:tcPr>
                <w:p w14:paraId="7A496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一般管控单元</w:t>
                  </w:r>
                </w:p>
              </w:tc>
            </w:tr>
          </w:tbl>
          <w:p w14:paraId="570A1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4</w:t>
            </w:r>
            <w:r>
              <w:rPr>
                <w:rFonts w:hint="default" w:ascii="Times New Roman" w:hAnsi="Times New Roman" w:eastAsia="宋体" w:cs="Times New Roman"/>
                <w:b/>
                <w:bCs w:val="0"/>
                <w:color w:val="auto"/>
                <w:kern w:val="0"/>
                <w:sz w:val="21"/>
                <w:szCs w:val="21"/>
                <w:highlight w:val="none"/>
                <w:lang w:val="en-US" w:eastAsia="zh-CN" w:bidi="ar-SA"/>
              </w:rPr>
              <w:t xml:space="preserve"> 与广灵县防风固沙与土地沙化防控一般生态空间</w:t>
            </w:r>
          </w:p>
          <w:p w14:paraId="545082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优先保护单元的符合性</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977"/>
              <w:gridCol w:w="2563"/>
              <w:gridCol w:w="742"/>
            </w:tblGrid>
            <w:tr w14:paraId="5BE1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2D6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管控</w:t>
                  </w:r>
                </w:p>
                <w:p w14:paraId="65C7C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类别</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883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内容</w:t>
                  </w:r>
                </w:p>
              </w:tc>
              <w:tc>
                <w:tcPr>
                  <w:tcW w:w="18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E76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本项目情况</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C31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符合性</w:t>
                  </w:r>
                </w:p>
              </w:tc>
            </w:tr>
            <w:tr w14:paraId="1732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E35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空间布局约束</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53B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1.实行禁牧、休牧制度。禁止滥樵、滥采、滥牧，禁止开垦草原，禁止一切破坏植被的活动。</w:t>
                  </w:r>
                </w:p>
                <w:p w14:paraId="54B64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2.禁止发展高耗水工业，加强对防风固沙区河流的规划和管理，保护沙区湿地。</w:t>
                  </w:r>
                </w:p>
                <w:p w14:paraId="3D90A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3.加大退耕还林、退牧还草力度，恢复草原植被。</w:t>
                  </w:r>
                </w:p>
                <w:p w14:paraId="09B6A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4.对防风固沙林只能进行抚育和更新性质的采伐，并在采伐后及时更新造林。</w:t>
                  </w:r>
                </w:p>
                <w:p w14:paraId="45D51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5.禁止非法露天采矿开采。加强对矿产资源开发的监管，加大矿山环境整治修复力度。</w:t>
                  </w:r>
                </w:p>
              </w:tc>
              <w:tc>
                <w:tcPr>
                  <w:tcW w:w="18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FEB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本项目为输变电工程项目，不进行滥樵、滥采、滥牧、开垦草原等活动；不属于高耗水工业；不进行采矿，项目施工结束后进行土地复垦，减少对环境的影响。</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E97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符合</w:t>
                  </w:r>
                </w:p>
              </w:tc>
            </w:tr>
            <w:tr w14:paraId="053D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E6D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污染物排放管控</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61E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c>
                <w:tcPr>
                  <w:tcW w:w="18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252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97C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r>
            <w:tr w14:paraId="5182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F4F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环境风险防控</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F75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c>
                <w:tcPr>
                  <w:tcW w:w="18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0A3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C20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r>
            <w:tr w14:paraId="359C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675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资源开发效率要求</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E55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c>
                <w:tcPr>
                  <w:tcW w:w="180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DA4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1D5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w:t>
                  </w:r>
                </w:p>
              </w:tc>
            </w:tr>
          </w:tbl>
          <w:p w14:paraId="5F81F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5</w:t>
            </w:r>
            <w:r>
              <w:rPr>
                <w:rFonts w:hint="default" w:ascii="Times New Roman" w:hAnsi="Times New Roman" w:eastAsia="宋体" w:cs="Times New Roman"/>
                <w:b/>
                <w:bCs w:val="0"/>
                <w:color w:val="auto"/>
                <w:kern w:val="0"/>
                <w:sz w:val="21"/>
                <w:szCs w:val="21"/>
                <w:highlight w:val="none"/>
                <w:lang w:val="en-US" w:eastAsia="zh-CN" w:bidi="ar-SA"/>
              </w:rPr>
              <w:t xml:space="preserve"> 与广灵县壶流河城区段控制单元水环境城镇生活污染</w:t>
            </w:r>
          </w:p>
          <w:p w14:paraId="3302E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重点管控单元的符合性</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994"/>
              <w:gridCol w:w="2558"/>
              <w:gridCol w:w="741"/>
            </w:tblGrid>
            <w:tr w14:paraId="573B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E64F46">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管控</w:t>
                  </w:r>
                </w:p>
                <w:p w14:paraId="33B85918">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类别</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310598">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内容</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B75BD0">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本项目情况</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ABAC9D">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符合性</w:t>
                  </w:r>
                </w:p>
              </w:tc>
            </w:tr>
            <w:tr w14:paraId="32C1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079FDA">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空间布局约束</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451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1.执行山西省、大同市空间布局的准入要求。</w:t>
                  </w:r>
                </w:p>
                <w:p w14:paraId="133E2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 xml:space="preserve">2.科学划定畜禽养殖禁养 </w:t>
                  </w:r>
                </w:p>
                <w:p w14:paraId="4D5A7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bCs/>
                      <w:color w:val="auto"/>
                      <w:kern w:val="0"/>
                      <w:sz w:val="21"/>
                      <w:szCs w:val="21"/>
                      <w:highlight w:val="none"/>
                      <w:vertAlign w:val="baseline"/>
                      <w:lang w:val="en-US" w:eastAsia="zh-CN" w:bidi="ar-SA"/>
                    </w:rPr>
                  </w:pPr>
                  <w:r>
                    <w:rPr>
                      <w:rFonts w:hint="eastAsia" w:ascii="Times New Roman" w:hAnsi="Times New Roman" w:eastAsia="宋体" w:cs="Times New Roman"/>
                      <w:bCs/>
                      <w:color w:val="auto"/>
                      <w:kern w:val="0"/>
                      <w:sz w:val="21"/>
                      <w:szCs w:val="21"/>
                      <w:highlight w:val="none"/>
                      <w:vertAlign w:val="baseline"/>
                      <w:lang w:val="en-US" w:eastAsia="zh-CN" w:bidi="ar-SA"/>
                    </w:rPr>
                    <w:t>区，依法关闭或搬迁禁养区内的畜禽养殖场（小区）和养殖专业户。</w:t>
                  </w:r>
                </w:p>
                <w:p w14:paraId="2C756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olor w:val="auto"/>
                      <w:kern w:val="0"/>
                      <w:sz w:val="21"/>
                      <w:szCs w:val="21"/>
                    </w:rPr>
                  </w:pPr>
                  <w:r>
                    <w:rPr>
                      <w:rFonts w:hint="eastAsia" w:ascii="Times New Roman" w:hAnsi="Times New Roman" w:eastAsia="宋体" w:cs="Times New Roman"/>
                      <w:bCs/>
                      <w:color w:val="auto"/>
                      <w:kern w:val="0"/>
                      <w:sz w:val="21"/>
                      <w:szCs w:val="21"/>
                      <w:highlight w:val="none"/>
                      <w:vertAlign w:val="baseline"/>
                      <w:lang w:val="en-US" w:eastAsia="zh-CN" w:bidi="ar-SA"/>
                    </w:rPr>
                    <w:t>3.地下水易受污染地区要优先种植需肥需药量低、环境效益突出的农作物。</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3AF464">
                  <w:pPr>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1.详见</w:t>
                  </w:r>
                  <w:r>
                    <w:rPr>
                      <w:rFonts w:hint="default" w:ascii="Times New Roman" w:hAnsi="Times New Roman" w:eastAsia="宋体" w:cs="Times New Roman"/>
                      <w:color w:val="auto"/>
                      <w:kern w:val="0"/>
                      <w:sz w:val="21"/>
                      <w:szCs w:val="21"/>
                    </w:rPr>
                    <w:t>表1-</w:t>
                  </w: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w:t>
                  </w:r>
                </w:p>
                <w:p w14:paraId="5F51A574">
                  <w:pPr>
                    <w:keepNext w:val="0"/>
                    <w:keepLines w:val="0"/>
                    <w:suppressLineNumbers w:val="0"/>
                    <w:spacing w:before="0" w:beforeAutospacing="0" w:after="0" w:afterAutospacing="0" w:line="320" w:lineRule="exact"/>
                    <w:ind w:left="0" w:right="0"/>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2.本项目不涉及。</w:t>
                  </w:r>
                </w:p>
                <w:p w14:paraId="2083CBDB">
                  <w:pPr>
                    <w:keepNext w:val="0"/>
                    <w:keepLines w:val="0"/>
                    <w:suppressLineNumbers w:val="0"/>
                    <w:spacing w:before="0" w:beforeAutospacing="0" w:after="0" w:afterAutospacing="0" w:line="320" w:lineRule="exact"/>
                    <w:ind w:left="0" w:right="0"/>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3.本项目不涉及</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07E14F">
                  <w:pPr>
                    <w:keepNext w:val="0"/>
                    <w:keepLines w:val="0"/>
                    <w:suppressLineNumbers w:val="0"/>
                    <w:spacing w:before="0" w:beforeAutospacing="0" w:after="0" w:afterAutospacing="0" w:line="320" w:lineRule="exact"/>
                    <w:ind w:left="0" w:right="0"/>
                    <w:jc w:val="center"/>
                    <w:rPr>
                      <w:rFonts w:hint="default" w:ascii="宋体" w:hAnsi="Times New Roman" w:eastAsia="宋体"/>
                      <w:color w:val="auto"/>
                      <w:kern w:val="0"/>
                      <w:sz w:val="21"/>
                      <w:szCs w:val="21"/>
                    </w:rPr>
                  </w:pPr>
                  <w:r>
                    <w:rPr>
                      <w:rFonts w:hint="default" w:ascii="宋体" w:hAnsi="Times New Roman" w:eastAsia="宋体"/>
                      <w:color w:val="auto"/>
                      <w:kern w:val="0"/>
                      <w:sz w:val="21"/>
                      <w:szCs w:val="21"/>
                    </w:rPr>
                    <w:t>符合</w:t>
                  </w:r>
                </w:p>
              </w:tc>
            </w:tr>
            <w:tr w14:paraId="540D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33EFF6">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污染物排放管控</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730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宋体" w:hAnsi="Times New Roman" w:eastAsia="宋体"/>
                      <w:color w:val="auto"/>
                      <w:kern w:val="0"/>
                      <w:sz w:val="21"/>
                      <w:szCs w:val="21"/>
                      <w:lang w:val="en-US" w:eastAsia="zh-CN"/>
                    </w:rPr>
                    <w:t>1</w:t>
                  </w:r>
                  <w:r>
                    <w:rPr>
                      <w:rFonts w:hint="default" w:ascii="Times New Roman" w:hAnsi="Times New Roman" w:eastAsia="宋体" w:cs="Times New Roman"/>
                      <w:bCs/>
                      <w:color w:val="auto"/>
                      <w:kern w:val="0"/>
                      <w:sz w:val="21"/>
                      <w:szCs w:val="21"/>
                      <w:highlight w:val="none"/>
                      <w:vertAlign w:val="baseline"/>
                      <w:lang w:val="en-US" w:eastAsia="zh-CN" w:bidi="ar-SA"/>
                    </w:rPr>
                    <w:t>.执行山西省、大同市的污染物排放控制要求。</w:t>
                  </w:r>
                </w:p>
                <w:p w14:paraId="0230A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2.禁止农田灌溉退水直接排入水体。</w:t>
                  </w:r>
                </w:p>
                <w:p w14:paraId="11190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3.畜禽养殖场、养殖小区、屠宰场向地表水体排放的废水，应当经污染物处理设施处理，达到水污染物综合排放地方标准，鼓励畜禽粪污处理后还田以及种养结合消纳粪污。</w:t>
                  </w:r>
                </w:p>
                <w:p w14:paraId="698CB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4.合理地使用化肥和农药；发展种养结合的生态农业，减少化肥、农药使用量。</w:t>
                  </w:r>
                </w:p>
                <w:p w14:paraId="0CE7F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5.位于城郊村、重点镇中心村、水源保护地周边村、沿河湖渠库村、主要景区村的生活污水应当经污水处理设施处理，不得直接排放。向地表水体排放的，应当达到农村生活污水处理设施水污染物排放地方标准。</w:t>
                  </w:r>
                </w:p>
                <w:p w14:paraId="375B8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宋体" w:hAnsi="Times New Roman" w:eastAsia="宋体"/>
                      <w:color w:val="auto"/>
                      <w:kern w:val="0"/>
                      <w:sz w:val="21"/>
                      <w:szCs w:val="21"/>
                    </w:rPr>
                  </w:pPr>
                  <w:r>
                    <w:rPr>
                      <w:rFonts w:hint="default" w:ascii="Times New Roman" w:hAnsi="Times New Roman" w:eastAsia="宋体" w:cs="Times New Roman"/>
                      <w:bCs/>
                      <w:color w:val="auto"/>
                      <w:kern w:val="0"/>
                      <w:sz w:val="21"/>
                      <w:szCs w:val="21"/>
                      <w:highlight w:val="none"/>
                      <w:vertAlign w:val="baseline"/>
                      <w:lang w:val="en-US" w:eastAsia="zh-CN" w:bidi="ar-SA"/>
                    </w:rPr>
                    <w:t>6.新建燃煤锅炉、山西省三线一单数据管理及应用平台生物质锅炉达到超低排放标准，燃气锅炉实现低氮燃烧。</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49CC40">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1.见表1-</w:t>
                  </w: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w:t>
                  </w:r>
                </w:p>
                <w:p w14:paraId="44D3ECB4">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rPr>
                    <w:t>不涉及。</w:t>
                  </w:r>
                </w:p>
                <w:p w14:paraId="4DBD2C16">
                  <w:pPr>
                    <w:keepNext w:val="0"/>
                    <w:keepLines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3.本项目不涉及。</w:t>
                  </w:r>
                </w:p>
                <w:p w14:paraId="68B1206D">
                  <w:pPr>
                    <w:keepNext w:val="0"/>
                    <w:keepLines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4.本项目不涉及。</w:t>
                  </w:r>
                </w:p>
                <w:p w14:paraId="7F54E07F">
                  <w:pPr>
                    <w:keepNext w:val="0"/>
                    <w:keepLines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5.本项目不涉及。</w:t>
                  </w:r>
                </w:p>
                <w:p w14:paraId="01084C55">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6.本项目不涉及。</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2D7EC3">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符合</w:t>
                  </w:r>
                </w:p>
              </w:tc>
            </w:tr>
            <w:tr w14:paraId="3E28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922D3B">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环境风险防控</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AB3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1.严格控制农药使用，推广低毒、低残留农药使用，开展农作物病虫害绿色防控和统防统治。</w:t>
                  </w:r>
                </w:p>
                <w:p w14:paraId="6A7CF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宋体" w:hAnsi="Times New Roman" w:eastAsia="宋体"/>
                      <w:color w:val="auto"/>
                      <w:kern w:val="0"/>
                      <w:sz w:val="21"/>
                      <w:szCs w:val="21"/>
                    </w:rPr>
                  </w:pPr>
                  <w:r>
                    <w:rPr>
                      <w:rFonts w:hint="default" w:ascii="Times New Roman" w:hAnsi="Times New Roman" w:eastAsia="宋体" w:cs="Times New Roman"/>
                      <w:bCs/>
                      <w:color w:val="auto"/>
                      <w:kern w:val="0"/>
                      <w:sz w:val="21"/>
                      <w:szCs w:val="21"/>
                      <w:highlight w:val="none"/>
                      <w:vertAlign w:val="baseline"/>
                      <w:lang w:val="en-US" w:eastAsia="zh-CN" w:bidi="ar-SA"/>
                    </w:rPr>
                    <w:t>2.制定环境风险应急预案，成立应急组织机构，定期开展应急风险防范能力。</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BFD139">
                  <w:pPr>
                    <w:keepNext w:val="0"/>
                    <w:keepLines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1.本项目不涉及。</w:t>
                  </w:r>
                </w:p>
                <w:p w14:paraId="12DFA647">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2.环评要求其按要求</w:t>
                  </w:r>
                  <w:r>
                    <w:rPr>
                      <w:rFonts w:hint="default" w:ascii="Times New Roman" w:hAnsi="Times New Roman" w:eastAsia="宋体" w:cs="Times New Roman"/>
                      <w:color w:val="auto"/>
                      <w:kern w:val="0"/>
                      <w:sz w:val="21"/>
                      <w:szCs w:val="21"/>
                      <w:lang w:val="en-US" w:eastAsia="zh-CN"/>
                    </w:rPr>
                    <w:t>制定环境风险应急预案，成立应急组织机构，定期开展应急风险防范能力。</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644A33">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534D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1C29E8">
                  <w:pPr>
                    <w:keepNext w:val="0"/>
                    <w:keepLines w:val="0"/>
                    <w:suppressLineNumbers w:val="0"/>
                    <w:spacing w:before="0" w:beforeAutospacing="0" w:after="0" w:afterAutospacing="0" w:line="320" w:lineRule="exact"/>
                    <w:ind w:left="0" w:right="0"/>
                    <w:jc w:val="center"/>
                    <w:rPr>
                      <w:rFonts w:hint="default" w:ascii="Times New Roman" w:hAnsi="Times New Roman" w:eastAsia="宋体"/>
                      <w:color w:val="auto"/>
                      <w:kern w:val="0"/>
                      <w:sz w:val="21"/>
                      <w:szCs w:val="21"/>
                    </w:rPr>
                  </w:pPr>
                  <w:r>
                    <w:rPr>
                      <w:rFonts w:hint="default" w:ascii="宋体" w:hAnsi="Times New Roman" w:eastAsia="宋体"/>
                      <w:color w:val="auto"/>
                      <w:kern w:val="0"/>
                      <w:sz w:val="21"/>
                      <w:szCs w:val="21"/>
                    </w:rPr>
                    <w:t>资源开发效率要求</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CC0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auto"/>
                      <w:kern w:val="0"/>
                      <w:sz w:val="21"/>
                      <w:szCs w:val="21"/>
                      <w:highlight w:val="none"/>
                      <w:vertAlign w:val="baseline"/>
                      <w:lang w:val="en-US" w:eastAsia="zh-CN" w:bidi="ar-SA"/>
                    </w:rPr>
                  </w:pPr>
                  <w:r>
                    <w:rPr>
                      <w:rFonts w:hint="default" w:ascii="Times New Roman" w:hAnsi="Times New Roman" w:eastAsia="宋体" w:cs="Times New Roman"/>
                      <w:bCs/>
                      <w:color w:val="auto"/>
                      <w:kern w:val="0"/>
                      <w:sz w:val="21"/>
                      <w:szCs w:val="21"/>
                      <w:highlight w:val="none"/>
                      <w:vertAlign w:val="baseline"/>
                      <w:lang w:val="en-US" w:eastAsia="zh-CN" w:bidi="ar-SA"/>
                    </w:rPr>
                    <w:t>1.推广节水灌溉技术。完善灌溉用水计量设施，推广规模化高效节水灌溉，农作物节水抗旱技术。</w:t>
                  </w:r>
                </w:p>
                <w:p w14:paraId="327CF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olor w:val="auto"/>
                      <w:kern w:val="0"/>
                      <w:sz w:val="21"/>
                      <w:szCs w:val="21"/>
                    </w:rPr>
                  </w:pPr>
                  <w:r>
                    <w:rPr>
                      <w:rFonts w:hint="default" w:ascii="Times New Roman" w:hAnsi="Times New Roman" w:eastAsia="宋体" w:cs="Times New Roman"/>
                      <w:bCs/>
                      <w:color w:val="auto"/>
                      <w:kern w:val="0"/>
                      <w:sz w:val="21"/>
                      <w:szCs w:val="21"/>
                      <w:highlight w:val="none"/>
                      <w:vertAlign w:val="baseline"/>
                      <w:lang w:val="en-US" w:eastAsia="zh-CN" w:bidi="ar-SA"/>
                    </w:rPr>
                    <w:t>2.宜电则电、宜气则气、宜煤则煤（超低排放）、宜热则热。</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767175">
                  <w:pPr>
                    <w:keepNext w:val="0"/>
                    <w:keepLines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1.本项目不涉及。</w:t>
                  </w:r>
                </w:p>
                <w:p w14:paraId="0973A718">
                  <w:pPr>
                    <w:keepNext w:val="0"/>
                    <w:keepLines w:val="0"/>
                    <w:suppressLineNumbers w:val="0"/>
                    <w:spacing w:before="0" w:beforeAutospacing="0" w:after="0" w:afterAutospacing="0" w:line="320" w:lineRule="exact"/>
                    <w:ind w:left="0" w:right="0"/>
                    <w:jc w:val="left"/>
                    <w:rPr>
                      <w:rFonts w:hint="default" w:ascii="宋体" w:hAnsi="Times New Roman" w:eastAsia="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2.本项目不涉及。</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12F433">
                  <w:pPr>
                    <w:keepNext w:val="0"/>
                    <w:keepLines w:val="0"/>
                    <w:suppressLineNumbers w:val="0"/>
                    <w:spacing w:before="0" w:beforeAutospacing="0" w:after="0" w:afterAutospacing="0" w:line="320" w:lineRule="exact"/>
                    <w:ind w:left="0" w:right="0"/>
                    <w:jc w:val="center"/>
                    <w:rPr>
                      <w:rFonts w:hint="default" w:ascii="宋体" w:hAnsi="Times New Roman" w:eastAsia="宋体"/>
                      <w:color w:val="auto"/>
                      <w:kern w:val="0"/>
                      <w:sz w:val="21"/>
                      <w:szCs w:val="21"/>
                    </w:rPr>
                  </w:pPr>
                  <w:r>
                    <w:rPr>
                      <w:rFonts w:hint="default" w:ascii="宋体" w:hAnsi="Times New Roman" w:eastAsia="宋体"/>
                      <w:color w:val="auto"/>
                      <w:kern w:val="0"/>
                      <w:sz w:val="21"/>
                      <w:szCs w:val="21"/>
                    </w:rPr>
                    <w:t>符合</w:t>
                  </w:r>
                </w:p>
              </w:tc>
            </w:tr>
          </w:tbl>
          <w:p w14:paraId="4814B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6</w:t>
            </w:r>
            <w:r>
              <w:rPr>
                <w:rFonts w:hint="default" w:ascii="Times New Roman" w:hAnsi="Times New Roman" w:eastAsia="宋体" w:cs="Times New Roman"/>
                <w:b/>
                <w:bCs w:val="0"/>
                <w:color w:val="auto"/>
                <w:kern w:val="0"/>
                <w:sz w:val="21"/>
                <w:szCs w:val="21"/>
                <w:highlight w:val="none"/>
                <w:lang w:val="en-US" w:eastAsia="zh-CN" w:bidi="ar-SA"/>
              </w:rPr>
              <w:t xml:space="preserve"> 与广灵县大气环境布局敏感重点管控单元的符合性</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994"/>
              <w:gridCol w:w="2558"/>
              <w:gridCol w:w="741"/>
            </w:tblGrid>
            <w:tr w14:paraId="5816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4395B7">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管控</w:t>
                  </w:r>
                </w:p>
                <w:p w14:paraId="1CB1609A">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AE8AC6">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内容</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821998">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本项目情况</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4F2771">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符合性</w:t>
                  </w:r>
                </w:p>
              </w:tc>
            </w:tr>
            <w:tr w14:paraId="3DD0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F46905">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EF7940">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1.执行山西省、大同市空间布局的准入要求。</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D4F8B9">
                  <w:pPr>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见表1-</w:t>
                  </w: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C4CC70">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27A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91EC2E">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ADFEA6">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1.执行山西省、大同市的污染物排放控制要求。</w:t>
                  </w:r>
                </w:p>
                <w:p w14:paraId="6B84E9D4">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2.新建燃煤锅炉、生物质锅炉达到超低排放标准，燃气锅炉实现低氮燃烧。</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E06AEF">
                  <w:pPr>
                    <w:keepNext w:val="0"/>
                    <w:keepLines w:val="0"/>
                    <w:suppressLineNumbers w:val="0"/>
                    <w:spacing w:before="0" w:beforeLines="0" w:beforeAutospacing="0" w:after="0" w:afterLines="0" w:afterAutospacing="0" w:line="32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1.见表1-</w:t>
                  </w: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w:t>
                  </w:r>
                </w:p>
                <w:p w14:paraId="650F4C37">
                  <w:pPr>
                    <w:keepNext w:val="0"/>
                    <w:keepLines w:val="0"/>
                    <w:suppressLineNumbers w:val="0"/>
                    <w:spacing w:before="0" w:beforeLines="0" w:beforeAutospacing="0" w:after="0" w:afterLines="0" w:afterAutospacing="0" w:line="32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2.不涉及。</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6047AA">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AF4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393A5F">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C89958">
                  <w:pPr>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1.制定环境风险应急预案，成立应急组织机构，定期开展应急风险防范能力。</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3333AC">
                  <w:pPr>
                    <w:keepNext w:val="0"/>
                    <w:keepLines w:val="0"/>
                    <w:suppressLineNumbers w:val="0"/>
                    <w:spacing w:before="0" w:beforeLines="0" w:beforeAutospacing="0" w:after="0" w:afterLines="0" w:afterAutospacing="0" w:line="32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环评要求其按要求制定环境风险应急预案，成立应急组织机构，定期开展应急风险防范能力。</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2CB948">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04F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56FC6F">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资源开发效率要求</w:t>
                  </w:r>
                </w:p>
              </w:tc>
              <w:tc>
                <w:tcPr>
                  <w:tcW w:w="21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CBADC7">
                  <w:pPr>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1.宜电则电、宜气则气、宜煤则煤（超低排放）、宜热则热。</w:t>
                  </w:r>
                </w:p>
              </w:tc>
              <w:tc>
                <w:tcPr>
                  <w:tcW w:w="1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36A21D">
                  <w:pPr>
                    <w:keepNext w:val="0"/>
                    <w:keepLines w:val="0"/>
                    <w:suppressLineNumbers w:val="0"/>
                    <w:spacing w:before="0" w:beforeLines="0" w:beforeAutospacing="0" w:after="0" w:afterLines="0" w:afterAutospacing="0" w:line="32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1.本项目不涉及。</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B39198">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03D55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表1-</w:t>
            </w:r>
            <w:r>
              <w:rPr>
                <w:rFonts w:hint="eastAsia" w:ascii="Times New Roman" w:hAnsi="Times New Roman" w:eastAsia="宋体" w:cs="Times New Roman"/>
                <w:b/>
                <w:bCs w:val="0"/>
                <w:color w:val="auto"/>
                <w:kern w:val="0"/>
                <w:sz w:val="21"/>
                <w:szCs w:val="21"/>
                <w:highlight w:val="none"/>
                <w:lang w:val="en-US" w:eastAsia="zh-CN" w:bidi="ar-SA"/>
              </w:rPr>
              <w:t>7</w:t>
            </w:r>
            <w:r>
              <w:rPr>
                <w:rFonts w:hint="default" w:ascii="Times New Roman" w:hAnsi="Times New Roman" w:eastAsia="宋体" w:cs="Times New Roman"/>
                <w:b/>
                <w:bCs w:val="0"/>
                <w:color w:val="auto"/>
                <w:kern w:val="0"/>
                <w:sz w:val="21"/>
                <w:szCs w:val="21"/>
                <w:highlight w:val="none"/>
                <w:lang w:val="en-US" w:eastAsia="zh-CN" w:bidi="ar-SA"/>
              </w:rPr>
              <w:t xml:space="preserve">  与大同市广灵县一般管控单元的符合性</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950"/>
              <w:gridCol w:w="2332"/>
              <w:gridCol w:w="741"/>
            </w:tblGrid>
            <w:tr w14:paraId="4D9C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A0063F">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管控</w:t>
                  </w:r>
                </w:p>
                <w:p w14:paraId="6DD1534E">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20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FC7B25">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内容</w:t>
                  </w:r>
                </w:p>
              </w:tc>
              <w:tc>
                <w:tcPr>
                  <w:tcW w:w="16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E9F1EA">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本项目情况</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744DCA">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符合性</w:t>
                  </w:r>
                </w:p>
              </w:tc>
            </w:tr>
            <w:tr w14:paraId="1FD4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A8BD42">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20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450937">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1.执行山西省、大同市空间布局准入的要求。</w:t>
                  </w:r>
                </w:p>
                <w:p w14:paraId="5E7C8103">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2.排放大气污染物的工业项目应当按照规划和相关规定进入工业园区。</w:t>
                  </w:r>
                </w:p>
                <w:p w14:paraId="5DE655AA">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3.禁止在邻近基本农田区域排放重金属和多环芳烃、石油烃等有机污染物的开发建设活动。</w:t>
                  </w:r>
                </w:p>
              </w:tc>
              <w:tc>
                <w:tcPr>
                  <w:tcW w:w="16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DD6835">
                  <w:pPr>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1、见表1-</w:t>
                  </w: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w:t>
                  </w:r>
                </w:p>
                <w:p w14:paraId="2062018B">
                  <w:pPr>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2.不涉及；</w:t>
                  </w:r>
                </w:p>
                <w:p w14:paraId="0C5AFD6F">
                  <w:pPr>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rPr>
                    <w:t>3.本项目不排放有机污染物，废矿物油由有资质单位处理。</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FDB093">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69BD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CFE82">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tc>
              <w:tc>
                <w:tcPr>
                  <w:tcW w:w="20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43DEAA">
                  <w:pPr>
                    <w:keepNext w:val="0"/>
                    <w:keepLines w:val="0"/>
                    <w:numPr>
                      <w:ilvl w:val="0"/>
                      <w:numId w:val="0"/>
                    </w:numPr>
                    <w:suppressLineNumbers w:val="0"/>
                    <w:spacing w:before="0" w:beforeLines="0" w:beforeAutospacing="0" w:after="0" w:afterLines="0" w:afterAutospacing="0" w:line="320" w:lineRule="exact"/>
                    <w:ind w:left="0" w:right="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1.执行山西省、大同市的污染物排放控制要求。</w:t>
                  </w:r>
                </w:p>
              </w:tc>
              <w:tc>
                <w:tcPr>
                  <w:tcW w:w="16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CAAB62">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见表1-</w:t>
                  </w: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A647C0">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880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DEC72D">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tc>
              <w:tc>
                <w:tcPr>
                  <w:tcW w:w="20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2C0F0D">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6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72F2DC">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E36DDD">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BEA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D10B71">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资源开发效率要求</w:t>
                  </w:r>
                </w:p>
              </w:tc>
              <w:tc>
                <w:tcPr>
                  <w:tcW w:w="20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69E386">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6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FEE0B7">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724E84">
                  <w:pPr>
                    <w:keepNext w:val="0"/>
                    <w:keepLines w:val="0"/>
                    <w:suppressLineNumbers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bl>
          <w:p w14:paraId="7E2D65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kern w:val="0"/>
                <w:sz w:val="24"/>
                <w:szCs w:val="24"/>
                <w:highlight w:val="none"/>
              </w:rPr>
              <w:t>输变电工程施工期生态环境影响方式为点状间隔式，并且分散在较大的区域内，不会造成区域生态系统组分显著变化，也不会显著削弱其生态功能的发挥。随着项目的建成，占用的耕地等采取相应的恢复补偿措施、施工临时用地进行有效复耕等植被恢复后，不会加剧评价区范围内的水土流失。</w:t>
            </w:r>
            <w:r>
              <w:rPr>
                <w:rFonts w:hint="default" w:ascii="Times New Roman" w:hAnsi="Times New Roman" w:eastAsia="宋体" w:cs="Times New Roman"/>
                <w:color w:val="auto"/>
                <w:sz w:val="24"/>
                <w:szCs w:val="24"/>
                <w:highlight w:val="none"/>
              </w:rPr>
              <w:t>输电线路及</w:t>
            </w:r>
            <w:r>
              <w:rPr>
                <w:rFonts w:hint="default" w:ascii="Times New Roman" w:hAnsi="Times New Roman" w:eastAsia="宋体" w:cs="Times New Roman"/>
                <w:color w:val="auto"/>
                <w:sz w:val="24"/>
                <w:szCs w:val="24"/>
                <w:highlight w:val="none"/>
                <w:lang w:val="en-US" w:eastAsia="zh-CN"/>
              </w:rPr>
              <w:t>变电站</w:t>
            </w:r>
            <w:r>
              <w:rPr>
                <w:rFonts w:hint="default" w:ascii="Times New Roman" w:hAnsi="Times New Roman" w:eastAsia="宋体" w:cs="Times New Roman"/>
                <w:color w:val="auto"/>
                <w:sz w:val="24"/>
                <w:szCs w:val="24"/>
                <w:highlight w:val="none"/>
              </w:rPr>
              <w:t>运行期不排放废气、废水和固废，对区域生态环境影响很小。工程在施工期规范施工，施工结束合理进行植被恢复后，不会对区域生态环境质量产生明显不利影响，也不会影响原区域生态系统功能的发挥。</w:t>
            </w:r>
            <w:r>
              <w:rPr>
                <w:rFonts w:hint="default" w:ascii="Times New Roman" w:hAnsi="Times New Roman" w:eastAsia="宋体" w:cs="Times New Roman"/>
                <w:color w:val="auto"/>
                <w:kern w:val="0"/>
                <w:sz w:val="24"/>
                <w:szCs w:val="24"/>
                <w:highlight w:val="none"/>
              </w:rPr>
              <w:t>施工期</w:t>
            </w:r>
            <w:r>
              <w:rPr>
                <w:rFonts w:hint="default" w:ascii="Times New Roman" w:hAnsi="Times New Roman" w:eastAsia="宋体" w:cs="Times New Roman"/>
                <w:color w:val="auto"/>
                <w:sz w:val="24"/>
                <w:szCs w:val="24"/>
                <w:highlight w:val="none"/>
              </w:rPr>
              <w:t>通过</w:t>
            </w:r>
            <w:r>
              <w:rPr>
                <w:rFonts w:hint="default" w:ascii="Times New Roman" w:hAnsi="Times New Roman" w:eastAsia="宋体" w:cs="Times New Roman"/>
                <w:color w:val="auto"/>
                <w:kern w:val="0"/>
                <w:sz w:val="24"/>
                <w:szCs w:val="24"/>
                <w:highlight w:val="none"/>
              </w:rPr>
              <w:t>采取有效的工程措施、临时防护措施和植被恢复措施，随着项目的建成，施工临时用地将进行有效植被恢复，不会加剧评价区范围内的水土流失，因此项目运行不会对区域生态环境产生不良影响。</w:t>
            </w:r>
          </w:p>
          <w:p w14:paraId="5D18C4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综上所述，本项目的建设符合大同市“三线一单”生态环境分区管控实施方案的要求。</w:t>
            </w:r>
            <w:r>
              <w:rPr>
                <w:rFonts w:hint="default" w:ascii="Times New Roman" w:hAnsi="Times New Roman" w:eastAsia="宋体" w:cs="Times New Roman"/>
                <w:color w:val="auto"/>
                <w:kern w:val="0"/>
                <w:sz w:val="24"/>
                <w:szCs w:val="24"/>
                <w:highlight w:val="none"/>
              </w:rPr>
              <w:t>项目与大同市“三线一单”生态环境分区管控单元位置关系图详见附图</w:t>
            </w: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p>
          <w:p w14:paraId="5A6512E1">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1.2建设项目各部门征询意见的符合性分析</w:t>
            </w:r>
          </w:p>
          <w:p w14:paraId="747BDA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项目与</w:t>
            </w:r>
            <w:r>
              <w:rPr>
                <w:rFonts w:hint="default" w:ascii="Times New Roman" w:hAnsi="Times New Roman" w:eastAsia="宋体" w:cs="Times New Roman"/>
                <w:color w:val="auto"/>
                <w:kern w:val="0"/>
                <w:sz w:val="24"/>
                <w:szCs w:val="24"/>
                <w:highlight w:val="none"/>
                <w:lang w:val="en-US" w:eastAsia="zh-CN"/>
              </w:rPr>
              <w:t>广灵县</w:t>
            </w:r>
            <w:r>
              <w:rPr>
                <w:rFonts w:hint="default" w:ascii="Times New Roman" w:hAnsi="Times New Roman" w:eastAsia="宋体" w:cs="Times New Roman"/>
                <w:color w:val="auto"/>
                <w:kern w:val="0"/>
                <w:sz w:val="24"/>
                <w:szCs w:val="24"/>
                <w:highlight w:val="none"/>
              </w:rPr>
              <w:t>各部门征询意见的符合性分析</w:t>
            </w:r>
            <w:r>
              <w:rPr>
                <w:rFonts w:hint="default" w:ascii="Times New Roman" w:hAnsi="Times New Roman" w:eastAsia="宋体" w:cs="Times New Roman"/>
                <w:color w:val="auto"/>
                <w:kern w:val="0"/>
                <w:sz w:val="24"/>
                <w:szCs w:val="24"/>
                <w:highlight w:val="none"/>
                <w:lang w:val="en-US" w:eastAsia="zh-CN"/>
              </w:rPr>
              <w:t>见表1-</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w:t>
            </w:r>
          </w:p>
          <w:p w14:paraId="7CA9066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本</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与</w:t>
            </w:r>
            <w:r>
              <w:rPr>
                <w:rFonts w:hint="default" w:ascii="Times New Roman" w:hAnsi="Times New Roman" w:eastAsia="宋体" w:cs="Times New Roman"/>
                <w:b/>
                <w:bCs/>
                <w:color w:val="auto"/>
                <w:sz w:val="21"/>
                <w:szCs w:val="21"/>
                <w:highlight w:val="none"/>
                <w:lang w:val="en-US" w:eastAsia="zh-CN"/>
              </w:rPr>
              <w:t>广灵县</w:t>
            </w:r>
            <w:r>
              <w:rPr>
                <w:rFonts w:hint="default" w:ascii="Times New Roman" w:hAnsi="Times New Roman" w:eastAsia="宋体" w:cs="Times New Roman"/>
                <w:b/>
                <w:bCs/>
                <w:color w:val="auto"/>
                <w:sz w:val="21"/>
                <w:szCs w:val="21"/>
                <w:highlight w:val="none"/>
              </w:rPr>
              <w:t>各部门征询意见的符合性分析</w:t>
            </w:r>
          </w:p>
          <w:tbl>
            <w:tblPr>
              <w:tblStyle w:val="27"/>
              <w:tblW w:w="494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3"/>
              <w:gridCol w:w="787"/>
              <w:gridCol w:w="3272"/>
              <w:gridCol w:w="2438"/>
            </w:tblGrid>
            <w:tr w14:paraId="6C33C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59" w:type="pct"/>
                  <w:tcBorders>
                    <w:tl2br w:val="nil"/>
                    <w:tr2bl w:val="nil"/>
                  </w:tcBorders>
                  <w:vAlign w:val="center"/>
                </w:tcPr>
                <w:p w14:paraId="76AB1438">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562" w:type="pct"/>
                  <w:tcBorders>
                    <w:tl2br w:val="nil"/>
                    <w:tr2bl w:val="nil"/>
                  </w:tcBorders>
                  <w:vAlign w:val="center"/>
                </w:tcPr>
                <w:p w14:paraId="3FF6BFC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复函单位</w:t>
                  </w:r>
                </w:p>
              </w:tc>
              <w:tc>
                <w:tcPr>
                  <w:tcW w:w="2336" w:type="pct"/>
                  <w:tcBorders>
                    <w:tl2br w:val="nil"/>
                    <w:tr2bl w:val="nil"/>
                  </w:tcBorders>
                  <w:vAlign w:val="center"/>
                </w:tcPr>
                <w:p w14:paraId="69A45E8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复函主要内容</w:t>
                  </w:r>
                </w:p>
              </w:tc>
              <w:tc>
                <w:tcPr>
                  <w:tcW w:w="1741" w:type="pct"/>
                  <w:tcBorders>
                    <w:tl2br w:val="nil"/>
                    <w:tr2bl w:val="nil"/>
                  </w:tcBorders>
                  <w:vAlign w:val="center"/>
                </w:tcPr>
                <w:p w14:paraId="139D91E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采取措施</w:t>
                  </w:r>
                </w:p>
              </w:tc>
            </w:tr>
            <w:tr w14:paraId="4751A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359" w:type="pct"/>
                  <w:tcBorders>
                    <w:tl2br w:val="nil"/>
                    <w:tr2bl w:val="nil"/>
                  </w:tcBorders>
                  <w:vAlign w:val="center"/>
                </w:tcPr>
                <w:p w14:paraId="62230BA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562" w:type="pct"/>
                  <w:tcBorders>
                    <w:tl2br w:val="nil"/>
                    <w:tr2bl w:val="nil"/>
                  </w:tcBorders>
                  <w:vAlign w:val="center"/>
                </w:tcPr>
                <w:p w14:paraId="0E03E80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广灵县人民政府</w:t>
                  </w:r>
                </w:p>
              </w:tc>
              <w:tc>
                <w:tcPr>
                  <w:tcW w:w="2336" w:type="pct"/>
                  <w:tcBorders>
                    <w:tl2br w:val="nil"/>
                    <w:tr2bl w:val="nil"/>
                  </w:tcBorders>
                  <w:vAlign w:val="center"/>
                </w:tcPr>
                <w:p w14:paraId="78998441">
                  <w:pPr>
                    <w:keepNext w:val="0"/>
                    <w:keepLines w:val="0"/>
                    <w:pageBreakBefore w:val="0"/>
                    <w:numPr>
                      <w:ilvl w:val="0"/>
                      <w:numId w:val="0"/>
                    </w:numPr>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经县政府研究，在满足相关部门出具意见的基础上，原则同意该输变电工程路径方案。在项目实施前，请贵公司依法依规按程序办理手续，保障项目依法合规实施。</w:t>
                  </w:r>
                </w:p>
              </w:tc>
              <w:tc>
                <w:tcPr>
                  <w:tcW w:w="1741" w:type="pct"/>
                  <w:tcBorders>
                    <w:tl2br w:val="nil"/>
                    <w:tr2bl w:val="nil"/>
                  </w:tcBorders>
                  <w:vAlign w:val="center"/>
                </w:tcPr>
                <w:p w14:paraId="2455D5C0">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本项目实施前依法依规按程序办理手续。</w:t>
                  </w:r>
                </w:p>
              </w:tc>
            </w:tr>
            <w:tr w14:paraId="0317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59" w:type="pct"/>
                  <w:tcBorders>
                    <w:tl2br w:val="nil"/>
                    <w:tr2bl w:val="nil"/>
                  </w:tcBorders>
                  <w:vAlign w:val="center"/>
                </w:tcPr>
                <w:p w14:paraId="075D7F62">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562" w:type="pct"/>
                  <w:tcBorders>
                    <w:tl2br w:val="nil"/>
                    <w:tr2bl w:val="nil"/>
                  </w:tcBorders>
                  <w:vAlign w:val="center"/>
                </w:tcPr>
                <w:p w14:paraId="575A64C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广灵县自然资源局</w:t>
                  </w:r>
                </w:p>
              </w:tc>
              <w:tc>
                <w:tcPr>
                  <w:tcW w:w="2336" w:type="pct"/>
                  <w:tcBorders>
                    <w:tl2br w:val="nil"/>
                    <w:tr2bl w:val="nil"/>
                  </w:tcBorders>
                  <w:vAlign w:val="center"/>
                </w:tcPr>
                <w:p w14:paraId="7E1F9D11">
                  <w:pPr>
                    <w:keepNext w:val="0"/>
                    <w:keepLines w:val="0"/>
                    <w:pageBreakBefore w:val="0"/>
                    <w:numPr>
                      <w:ilvl w:val="0"/>
                      <w:numId w:val="0"/>
                    </w:numPr>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该输变电工程路径经过比对山西省国土空间“一张图”系统，与本生态保护红线不重叠，部分路径穿越我县永久基本农田保护区，建议在线路实施过程中尽量沿道路两侧或利用沟渠和田坎进行布线，尽量占用未利用地、不占或少占耕地、避让永久基本农田。</w:t>
                  </w:r>
                </w:p>
                <w:p w14:paraId="78806D24">
                  <w:pPr>
                    <w:keepNext w:val="0"/>
                    <w:keepLines w:val="0"/>
                    <w:pageBreakBefore w:val="0"/>
                    <w:numPr>
                      <w:ilvl w:val="0"/>
                      <w:numId w:val="0"/>
                    </w:numPr>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该输变电工程路径与已设矿业权不重叠，要避让《大同市矿产资源总体规划（2021-2025年）》上表矿区、勘查区块和集中开采区，不得压覆重要矿产资源。</w:t>
                  </w:r>
                </w:p>
                <w:p w14:paraId="74C13A36">
                  <w:pPr>
                    <w:keepNext w:val="0"/>
                    <w:keepLines w:val="0"/>
                    <w:pageBreakBefore w:val="0"/>
                    <w:numPr>
                      <w:ilvl w:val="0"/>
                      <w:numId w:val="0"/>
                    </w:numPr>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路径线路开工前必须征询沿途乡镇村及相关单位意见。进一步优化线路输出路径，并且依据相关技术标准与城镇、村庄和其他建筑物保持足够的安全距离。不得与广灵绿色智算产业园项目控制线详细规划冲突，线路路径应科学处理与国、省道等基础设施的关系，避开居民点、重大基础设施和其他敏感地带，满足相对安全距离，避免对城乡居民点的发展和生产、生活造成不利影响。</w:t>
                  </w:r>
                </w:p>
              </w:tc>
              <w:tc>
                <w:tcPr>
                  <w:tcW w:w="1741" w:type="pct"/>
                  <w:tcBorders>
                    <w:tl2br w:val="nil"/>
                    <w:tr2bl w:val="nil"/>
                  </w:tcBorders>
                  <w:vAlign w:val="center"/>
                </w:tcPr>
                <w:p w14:paraId="38A31E0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变电站占地性质为工业用地</w:t>
                  </w:r>
                  <w:r>
                    <w:rPr>
                      <w:rFonts w:hint="eastAsia"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由于两处变电站位置已定，变电站之间分布有大面积耕地和永久基本农田，塔基及线路路径确实不可避免地穿越耕地和永久基本农田。将按照晋政发〔2007]6号）文的要求进行经济补偿。</w:t>
                  </w:r>
                </w:p>
              </w:tc>
            </w:tr>
            <w:tr w14:paraId="4D100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359" w:type="pct"/>
                  <w:tcBorders>
                    <w:tl2br w:val="nil"/>
                    <w:tr2bl w:val="nil"/>
                  </w:tcBorders>
                  <w:vAlign w:val="center"/>
                </w:tcPr>
                <w:p w14:paraId="27B207CC">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562" w:type="pct"/>
                  <w:tcBorders>
                    <w:tl2br w:val="nil"/>
                    <w:tr2bl w:val="nil"/>
                  </w:tcBorders>
                  <w:vAlign w:val="center"/>
                </w:tcPr>
                <w:p w14:paraId="2BB5D80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广灵县文化和旅游局</w:t>
                  </w:r>
                </w:p>
              </w:tc>
              <w:tc>
                <w:tcPr>
                  <w:tcW w:w="2336" w:type="pct"/>
                  <w:tcBorders>
                    <w:tl2br w:val="nil"/>
                    <w:tr2bl w:val="nil"/>
                  </w:tcBorders>
                  <w:vAlign w:val="center"/>
                </w:tcPr>
                <w:p w14:paraId="2C66F35F">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你公司递交的《关于征询火山云太行算力中心项目二期扩容220kV输变电工程路径意见的函》（火山云字【2025】025号）已收悉。经我局初步核查，你公司提供的输变电工程路径号）已收悉。经我局初步核查，你公司提供的输变电工程路径坐标范围内无地上不可移动文物，同意该项目开展前期工作。此函不作为开工建设依据，项目实施前需通知我局进行现场核实，严格按照《文物保护法》的规定，按程序办理勘探手续，并进行地下文物勘探、调查。</w:t>
                  </w:r>
                </w:p>
              </w:tc>
              <w:tc>
                <w:tcPr>
                  <w:tcW w:w="1741" w:type="pct"/>
                  <w:tcBorders>
                    <w:tl2br w:val="nil"/>
                    <w:tr2bl w:val="nil"/>
                  </w:tcBorders>
                  <w:vAlign w:val="center"/>
                </w:tcPr>
                <w:p w14:paraId="070B5596">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塔位坐标范围内无地上不可移动文物。</w:t>
                  </w:r>
                </w:p>
              </w:tc>
            </w:tr>
            <w:tr w14:paraId="17ED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359" w:type="pct"/>
                  <w:tcBorders>
                    <w:tl2br w:val="nil"/>
                    <w:tr2bl w:val="nil"/>
                  </w:tcBorders>
                  <w:vAlign w:val="center"/>
                </w:tcPr>
                <w:p w14:paraId="6C5A52B2">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562" w:type="pct"/>
                  <w:tcBorders>
                    <w:tl2br w:val="nil"/>
                    <w:tr2bl w:val="nil"/>
                  </w:tcBorders>
                  <w:vAlign w:val="center"/>
                </w:tcPr>
                <w:p w14:paraId="78318BB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大同市生态环境局广灵分局</w:t>
                  </w:r>
                </w:p>
              </w:tc>
              <w:tc>
                <w:tcPr>
                  <w:tcW w:w="2336" w:type="pct"/>
                  <w:tcBorders>
                    <w:tl2br w:val="nil"/>
                    <w:tr2bl w:val="nil"/>
                  </w:tcBorders>
                  <w:vAlign w:val="center"/>
                </w:tcPr>
                <w:p w14:paraId="0C752A60">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贵公司计划拟建的火云山太行算力中心二期扩容220KV输变电工程项目，提供的区域坐标范围，涉及广灵县防风固沙与土地沙化防控一般生态空间优先保护单元管控单元、涉及广灵县大气环境布局敏感重点管控单元，涉及广灵县壶流河城区段控制单元水环境城镇生活污染重点管控单元，其它重点管控单元不涉及，但是在选址和实施过程中，必须符合生态环境分区管控要求，我分局同意开展前期工作。</w:t>
                  </w:r>
                </w:p>
              </w:tc>
              <w:tc>
                <w:tcPr>
                  <w:tcW w:w="1741" w:type="pct"/>
                  <w:tcBorders>
                    <w:tl2br w:val="nil"/>
                    <w:tr2bl w:val="nil"/>
                  </w:tcBorders>
                  <w:vAlign w:val="center"/>
                </w:tcPr>
                <w:p w14:paraId="492CBAA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项目建设</w:t>
                  </w:r>
                  <w:r>
                    <w:rPr>
                      <w:rFonts w:hint="eastAsia" w:ascii="Times New Roman" w:hAnsi="Times New Roman" w:eastAsia="宋体" w:cs="Times New Roman"/>
                      <w:color w:val="auto"/>
                      <w:kern w:val="2"/>
                      <w:sz w:val="21"/>
                      <w:szCs w:val="21"/>
                      <w:highlight w:val="none"/>
                      <w:lang w:val="en-US" w:eastAsia="zh-CN" w:bidi="ar-SA"/>
                    </w:rPr>
                    <w:t>严格执行</w:t>
                  </w:r>
                  <w:r>
                    <w:rPr>
                      <w:rFonts w:hint="default" w:ascii="Times New Roman" w:hAnsi="Times New Roman" w:eastAsia="宋体" w:cs="Times New Roman"/>
                      <w:color w:val="auto"/>
                      <w:kern w:val="2"/>
                      <w:sz w:val="21"/>
                      <w:szCs w:val="21"/>
                      <w:highlight w:val="none"/>
                      <w:lang w:val="en-US" w:eastAsia="zh-CN" w:bidi="ar-SA"/>
                    </w:rPr>
                    <w:t>山西省人民政府《关于实施“三线一单”生态环境分区管控》晋政发【2020】26号文件的管控要求。</w:t>
                  </w:r>
                </w:p>
              </w:tc>
            </w:tr>
            <w:tr w14:paraId="78963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359" w:type="pct"/>
                  <w:tcBorders>
                    <w:tl2br w:val="nil"/>
                    <w:tr2bl w:val="nil"/>
                  </w:tcBorders>
                  <w:vAlign w:val="center"/>
                </w:tcPr>
                <w:p w14:paraId="5BE016FE">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562" w:type="pct"/>
                  <w:tcBorders>
                    <w:tl2br w:val="nil"/>
                    <w:tr2bl w:val="nil"/>
                  </w:tcBorders>
                  <w:vAlign w:val="center"/>
                </w:tcPr>
                <w:p w14:paraId="0000404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广灵县交通运输局</w:t>
                  </w:r>
                </w:p>
              </w:tc>
              <w:tc>
                <w:tcPr>
                  <w:tcW w:w="2336" w:type="pct"/>
                  <w:tcBorders>
                    <w:tl2br w:val="nil"/>
                    <w:tr2bl w:val="nil"/>
                  </w:tcBorders>
                  <w:vAlign w:val="center"/>
                </w:tcPr>
                <w:p w14:paraId="1561FD8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我单位收到贵公司《火山云太行算力中心项目二期扩容220kV输变电工程路径的函》（火山云字［2025］027号）文件。经我单位研究，表示无意见。</w:t>
                  </w:r>
                </w:p>
              </w:tc>
              <w:tc>
                <w:tcPr>
                  <w:tcW w:w="1741" w:type="pct"/>
                  <w:tcBorders>
                    <w:tl2br w:val="nil"/>
                    <w:tr2bl w:val="nil"/>
                  </w:tcBorders>
                  <w:vAlign w:val="center"/>
                </w:tcPr>
                <w:p w14:paraId="475990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55DAF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359" w:type="pct"/>
                  <w:tcBorders>
                    <w:tl2br w:val="nil"/>
                    <w:tr2bl w:val="nil"/>
                  </w:tcBorders>
                  <w:vAlign w:val="center"/>
                </w:tcPr>
                <w:p w14:paraId="6AF55713">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6</w:t>
                  </w:r>
                </w:p>
              </w:tc>
              <w:tc>
                <w:tcPr>
                  <w:tcW w:w="562" w:type="pct"/>
                  <w:tcBorders>
                    <w:tl2br w:val="nil"/>
                    <w:tr2bl w:val="nil"/>
                  </w:tcBorders>
                  <w:vAlign w:val="center"/>
                </w:tcPr>
                <w:p w14:paraId="085FA40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广灵县水务局</w:t>
                  </w:r>
                </w:p>
              </w:tc>
              <w:tc>
                <w:tcPr>
                  <w:tcW w:w="2336" w:type="pct"/>
                  <w:tcBorders>
                    <w:tl2br w:val="nil"/>
                    <w:tr2bl w:val="nil"/>
                  </w:tcBorders>
                  <w:vAlign w:val="center"/>
                </w:tcPr>
                <w:p w14:paraId="64CB06B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线路路径部分位于水神堂泉域保护范围，不在水神堂泉域重点保护范围内。根据《山西省泉域水资源保护条例》规定，项目开工建设前，需做水资源环境影响评价。项目立项和建设过程中，涉及洪水影响评价、水土保持方案、占用水利设施、对水资源及农村供水安全生产影响等情况，需按照国家相关规定及程序办理相关手续。</w:t>
                  </w:r>
                </w:p>
                <w:p w14:paraId="03FE026F">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本意见不作为开工建设办理及其他手续的依据。</w:t>
                  </w:r>
                </w:p>
              </w:tc>
              <w:tc>
                <w:tcPr>
                  <w:tcW w:w="1741" w:type="pct"/>
                  <w:tcBorders>
                    <w:tl2br w:val="nil"/>
                    <w:tr2bl w:val="nil"/>
                  </w:tcBorders>
                  <w:vAlign w:val="center"/>
                </w:tcPr>
                <w:p w14:paraId="3B16CB9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项目选址在水神堂泉域保护范围内</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但</w:t>
                  </w:r>
                  <w:r>
                    <w:rPr>
                      <w:rFonts w:hint="default" w:ascii="Times New Roman" w:hAnsi="Times New Roman" w:eastAsia="宋体" w:cs="Times New Roman"/>
                      <w:color w:val="auto"/>
                      <w:szCs w:val="21"/>
                      <w:highlight w:val="none"/>
                    </w:rPr>
                    <w:t>不在</w:t>
                  </w:r>
                  <w:r>
                    <w:rPr>
                      <w:rFonts w:hint="default" w:ascii="Times New Roman" w:hAnsi="Times New Roman" w:eastAsia="宋体" w:cs="Times New Roman"/>
                      <w:color w:val="auto"/>
                      <w:szCs w:val="21"/>
                      <w:highlight w:val="none"/>
                      <w:lang w:val="en-US" w:eastAsia="zh-CN"/>
                    </w:rPr>
                    <w:t>其</w:t>
                  </w:r>
                  <w:r>
                    <w:rPr>
                      <w:rFonts w:hint="default" w:ascii="Times New Roman" w:hAnsi="Times New Roman" w:eastAsia="宋体" w:cs="Times New Roman"/>
                      <w:color w:val="auto"/>
                      <w:szCs w:val="21"/>
                      <w:highlight w:val="none"/>
                    </w:rPr>
                    <w:t>重点保护范围内。项目</w:t>
                  </w:r>
                  <w:r>
                    <w:rPr>
                      <w:rFonts w:hint="default" w:ascii="Times New Roman" w:hAnsi="Times New Roman" w:eastAsia="宋体" w:cs="Times New Roman"/>
                      <w:color w:val="auto"/>
                      <w:szCs w:val="21"/>
                      <w:highlight w:val="none"/>
                      <w:lang w:val="en-US" w:eastAsia="zh-CN"/>
                    </w:rPr>
                    <w:t>严格</w:t>
                  </w:r>
                  <w:r>
                    <w:rPr>
                      <w:rFonts w:hint="default" w:ascii="Times New Roman" w:hAnsi="Times New Roman" w:eastAsia="宋体" w:cs="Times New Roman"/>
                      <w:color w:val="auto"/>
                      <w:szCs w:val="21"/>
                      <w:highlight w:val="none"/>
                    </w:rPr>
                    <w:t>按照国家相关规定及程序办理相关手续</w:t>
                  </w:r>
                  <w:r>
                    <w:rPr>
                      <w:rFonts w:hint="default" w:ascii="Times New Roman" w:hAnsi="Times New Roman" w:eastAsia="宋体" w:cs="Times New Roman"/>
                      <w:color w:val="auto"/>
                      <w:szCs w:val="21"/>
                      <w:highlight w:val="none"/>
                      <w:lang w:eastAsia="zh-CN"/>
                    </w:rPr>
                    <w:t>。</w:t>
                  </w:r>
                </w:p>
              </w:tc>
            </w:tr>
            <w:tr w14:paraId="4CFA3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359" w:type="pct"/>
                  <w:tcBorders>
                    <w:tl2br w:val="nil"/>
                    <w:tr2bl w:val="nil"/>
                  </w:tcBorders>
                  <w:vAlign w:val="center"/>
                </w:tcPr>
                <w:p w14:paraId="01FD437F">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7</w:t>
                  </w:r>
                </w:p>
              </w:tc>
              <w:tc>
                <w:tcPr>
                  <w:tcW w:w="562" w:type="pct"/>
                  <w:tcBorders>
                    <w:tl2br w:val="nil"/>
                    <w:tr2bl w:val="nil"/>
                  </w:tcBorders>
                  <w:vAlign w:val="center"/>
                </w:tcPr>
                <w:p w14:paraId="018E17F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广灵县林业局</w:t>
                  </w:r>
                </w:p>
              </w:tc>
              <w:tc>
                <w:tcPr>
                  <w:tcW w:w="2336" w:type="pct"/>
                  <w:tcBorders>
                    <w:tl2br w:val="nil"/>
                    <w:tr2bl w:val="nil"/>
                  </w:tcBorders>
                  <w:vAlign w:val="center"/>
                </w:tcPr>
                <w:p w14:paraId="63D40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你公司拟选的火山云太行算力中心项目二期扩容220kV输变电工程线路路径方案，我局原则上同意该项目开展前期工作，项目用地避开永久性生态公益林、自然保护区、森林公园、湿地公园等各类生态保护红线。本函不作为项目开工建设的依据，涉及使用林（草）地的开工前必须按相关法律法规政策办理使用林(草)地相关手续。</w:t>
                  </w:r>
                </w:p>
              </w:tc>
              <w:tc>
                <w:tcPr>
                  <w:tcW w:w="1741" w:type="pct"/>
                  <w:tcBorders>
                    <w:tl2br w:val="nil"/>
                    <w:tr2bl w:val="nil"/>
                  </w:tcBorders>
                  <w:vAlign w:val="center"/>
                </w:tcPr>
                <w:p w14:paraId="4D37DCA6">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both"/>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项目选址均不涉及永久性生态公益林、自然保护区、森林公园、湿地公园等各类生态保护红线，开工前按相关法律法规政策办理使用林(草)地相关手续</w:t>
                  </w:r>
                  <w:r>
                    <w:rPr>
                      <w:rFonts w:hint="eastAsia" w:ascii="Times New Roman" w:hAnsi="Times New Roman" w:eastAsia="宋体" w:cs="Times New Roman"/>
                      <w:color w:val="auto"/>
                      <w:szCs w:val="21"/>
                      <w:highlight w:val="none"/>
                      <w:lang w:eastAsia="zh-CN"/>
                    </w:rPr>
                    <w:t>。</w:t>
                  </w:r>
                </w:p>
              </w:tc>
            </w:tr>
            <w:tr w14:paraId="5D082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359" w:type="pct"/>
                  <w:tcBorders>
                    <w:tl2br w:val="nil"/>
                    <w:tr2bl w:val="nil"/>
                  </w:tcBorders>
                  <w:vAlign w:val="center"/>
                </w:tcPr>
                <w:p w14:paraId="574E579C">
                  <w:pPr>
                    <w:keepNext w:val="0"/>
                    <w:keepLines w:val="0"/>
                    <w:pageBreakBefore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8</w:t>
                  </w:r>
                </w:p>
              </w:tc>
              <w:tc>
                <w:tcPr>
                  <w:tcW w:w="562" w:type="pct"/>
                  <w:tcBorders>
                    <w:tl2br w:val="nil"/>
                    <w:tr2bl w:val="nil"/>
                  </w:tcBorders>
                  <w:vAlign w:val="center"/>
                </w:tcPr>
                <w:p w14:paraId="3EBAC18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中国人民解放军山西省广灵县人民武装部</w:t>
                  </w:r>
                </w:p>
              </w:tc>
              <w:tc>
                <w:tcPr>
                  <w:tcW w:w="2336" w:type="pct"/>
                  <w:tcBorders>
                    <w:tl2br w:val="nil"/>
                    <w:tr2bl w:val="nil"/>
                  </w:tcBorders>
                  <w:vAlign w:val="center"/>
                </w:tcPr>
                <w:p w14:paraId="27119BB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1.该项目拟选址范围不涉及军用光缆，但在外围和附属生产施工过程中发现军用光缆和国防光缆的标志，要注意避让和保护，严禁擅自违规施工。</w:t>
                  </w:r>
                </w:p>
                <w:p w14:paraId="766BAAB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2.项目拟选址和建设过程中，要严格按照军地有关法律法规和规章制度，积极沟通对接辖区军事机关，依法承担军事设施保护的责任和义务。</w:t>
                  </w:r>
                </w:p>
                <w:p w14:paraId="2FEF3E60">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3.项目后期办理方案设计、征地、建设施工等手续，或拟选址方案、线路路径、具体建设工程项目及相关数据发生改变的，须重新征求军事机关意见。</w:t>
                  </w:r>
                </w:p>
                <w:p w14:paraId="315AB26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项目开工建设过程中，在拟选址范围内改变地形地貌，构筑、搭建、配备可能影响军事设施使用效能的建筑物、各类设施设备，实施其他可能对军事设施造成影响、危害的行为，尤其是建设规划以外的超高构建物、配备可能产生电磁辐射、影响周边电磁环境的设施设备，必须重新征求军事机关意见。如未履行正规程序违规进行施工建设，对军事设施使用效能造成重大影响的，甚至造成重大事故的，除停工停产并予以拆除整改外,还将按《军事设施保护法》《刑法》等有关法律法规依法追究相关单位和个人刑事责任。</w:t>
                  </w:r>
                </w:p>
                <w:p w14:paraId="5B4E157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firstLine="420" w:firstLineChars="20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项目建成投产后，如对军事设施使用效能产生影响，要在规定时间内进行整改，整改结果要通过军地相关部门单位现场勘查、技术分析和评估审核，整改不合格的或拒不配合整改的，必须予以拆除；如后期出现部队装备换装、阵地改建等不可抗力因素，对军队战备工作造成重大影响时，必须予以拆除。</w:t>
                  </w:r>
                </w:p>
              </w:tc>
              <w:tc>
                <w:tcPr>
                  <w:tcW w:w="1741" w:type="pct"/>
                  <w:tcBorders>
                    <w:tl2br w:val="nil"/>
                    <w:tr2bl w:val="nil"/>
                  </w:tcBorders>
                  <w:vAlign w:val="center"/>
                </w:tcPr>
                <w:p w14:paraId="1E529CC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项目塔基坐标均不涉及军事设施。施工时要严格控制施工范围，若发现军用光缆和国防光缆的标志，要注意避让和保护，积极与辖区军事机关沟通对接。</w:t>
                  </w:r>
                </w:p>
              </w:tc>
            </w:tr>
          </w:tbl>
          <w:p w14:paraId="2998FF66">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1.3与《输变电建设项目环境保护技术要求》（HJ 1113-2020）的符合性分析</w:t>
            </w:r>
          </w:p>
          <w:p w14:paraId="5E42DE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本项目与《输变电建设项目环境保护技术要求》（HJ 1113-2020）的符合性分析见表1-</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w:t>
            </w:r>
          </w:p>
          <w:p w14:paraId="341D477A">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与《输变电建设项目环境保护技术要求》（HJ 1113-2020）的符合性分析一览表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205"/>
              <w:gridCol w:w="2810"/>
              <w:gridCol w:w="645"/>
            </w:tblGrid>
            <w:tr w14:paraId="0FB3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14:paraId="6D623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内容</w:t>
                  </w:r>
                </w:p>
              </w:tc>
              <w:tc>
                <w:tcPr>
                  <w:tcW w:w="2277" w:type="pct"/>
                  <w:vAlign w:val="center"/>
                </w:tcPr>
                <w:p w14:paraId="3F7F6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具体要求</w:t>
                  </w:r>
                </w:p>
              </w:tc>
              <w:tc>
                <w:tcPr>
                  <w:tcW w:w="1998" w:type="pct"/>
                  <w:vAlign w:val="center"/>
                </w:tcPr>
                <w:p w14:paraId="11620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本工程</w:t>
                  </w:r>
                </w:p>
              </w:tc>
              <w:tc>
                <w:tcPr>
                  <w:tcW w:w="470" w:type="pct"/>
                  <w:vAlign w:val="center"/>
                </w:tcPr>
                <w:p w14:paraId="79DAB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是否符合</w:t>
                  </w:r>
                </w:p>
              </w:tc>
            </w:tr>
            <w:tr w14:paraId="505A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restart"/>
                  <w:vAlign w:val="center"/>
                </w:tcPr>
                <w:p w14:paraId="7E4EF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5选址选线</w:t>
                  </w:r>
                </w:p>
              </w:tc>
              <w:tc>
                <w:tcPr>
                  <w:tcW w:w="2277" w:type="pct"/>
                  <w:vAlign w:val="center"/>
                </w:tcPr>
                <w:p w14:paraId="38047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5.1工程选址选线应符合规划环境影响评价文件的要求。</w:t>
                  </w:r>
                </w:p>
              </w:tc>
              <w:tc>
                <w:tcPr>
                  <w:tcW w:w="1998" w:type="pct"/>
                  <w:vAlign w:val="center"/>
                </w:tcPr>
                <w:p w14:paraId="4493C4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本输变电工程已取得大同市行政审批服务管理局的核准批复。</w:t>
                  </w:r>
                </w:p>
              </w:tc>
              <w:tc>
                <w:tcPr>
                  <w:tcW w:w="470" w:type="pct"/>
                  <w:vAlign w:val="center"/>
                </w:tcPr>
                <w:p w14:paraId="0CCF4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42D5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04A00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716F2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998" w:type="pct"/>
                  <w:vAlign w:val="center"/>
                </w:tcPr>
                <w:p w14:paraId="78D4B90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本项目不涉及生态保护红线，不涉及自然保护区、饮用水水源保护区等环境敏感区。</w:t>
                  </w:r>
                </w:p>
              </w:tc>
              <w:tc>
                <w:tcPr>
                  <w:tcW w:w="470" w:type="pct"/>
                  <w:vAlign w:val="center"/>
                </w:tcPr>
                <w:p w14:paraId="77CDE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71AE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7431D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2DB9A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5.3变电工程在选址时应按终期规模综合考虑进出线走廊规划，避免进出线进入自然保护区、饮用水水源保护区等环境敏感区。</w:t>
                  </w:r>
                </w:p>
              </w:tc>
              <w:tc>
                <w:tcPr>
                  <w:tcW w:w="1998" w:type="pct"/>
                  <w:vAlign w:val="center"/>
                </w:tcPr>
                <w:p w14:paraId="775BB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过渡方案、终期方案</w:t>
                  </w:r>
                  <w:r>
                    <w:rPr>
                      <w:rFonts w:hint="default" w:ascii="Times New Roman" w:hAnsi="Times New Roman" w:eastAsia="宋体" w:cs="Times New Roman"/>
                      <w:color w:val="auto"/>
                      <w:sz w:val="21"/>
                      <w:szCs w:val="21"/>
                      <w:highlight w:val="none"/>
                      <w:vertAlign w:val="baseline"/>
                      <w:lang w:val="en-US" w:eastAsia="zh-CN"/>
                    </w:rPr>
                    <w:t>塔基及线路选址均不涉及自然保护区、饮用水水源保护区等环境敏感区。</w:t>
                  </w:r>
                </w:p>
              </w:tc>
              <w:tc>
                <w:tcPr>
                  <w:tcW w:w="470" w:type="pct"/>
                  <w:vAlign w:val="center"/>
                </w:tcPr>
                <w:p w14:paraId="541F1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5380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36789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52EBA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5.4户外变电工程及规划架空进出线选址选线时，应关注以居住、医疗卫生、文化教育、科研、行政办公等为主要功能的区域，采取综合措施，减少电磁和声环境影响。</w:t>
                  </w:r>
                </w:p>
              </w:tc>
              <w:tc>
                <w:tcPr>
                  <w:tcW w:w="1998" w:type="pct"/>
                  <w:vAlign w:val="center"/>
                </w:tcPr>
                <w:p w14:paraId="302CD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输电线路塔基建设已尽量避开居民区。距离线路最近的</w:t>
                  </w:r>
                  <w:r>
                    <w:rPr>
                      <w:rFonts w:hint="eastAsia" w:ascii="Times New Roman" w:hAnsi="Times New Roman" w:eastAsia="宋体" w:cs="Times New Roman"/>
                      <w:color w:val="auto"/>
                      <w:sz w:val="21"/>
                      <w:szCs w:val="21"/>
                      <w:highlight w:val="none"/>
                      <w:vertAlign w:val="baseline"/>
                      <w:lang w:val="en-US" w:eastAsia="zh-CN"/>
                    </w:rPr>
                    <w:t>黄龙</w:t>
                  </w:r>
                  <w:r>
                    <w:rPr>
                      <w:rFonts w:hint="default" w:ascii="Times New Roman" w:hAnsi="Times New Roman" w:eastAsia="宋体" w:cs="Times New Roman"/>
                      <w:color w:val="auto"/>
                      <w:sz w:val="21"/>
                      <w:szCs w:val="21"/>
                      <w:highlight w:val="none"/>
                      <w:vertAlign w:val="baseline"/>
                      <w:lang w:val="en-US" w:eastAsia="zh-CN"/>
                    </w:rPr>
                    <w:t>村民房在输电线路东侧</w:t>
                  </w:r>
                  <w:r>
                    <w:rPr>
                      <w:rFonts w:hint="eastAsia" w:ascii="Times New Roman" w:hAnsi="Times New Roman" w:eastAsia="宋体" w:cs="Times New Roman"/>
                      <w:color w:val="auto"/>
                      <w:sz w:val="21"/>
                      <w:szCs w:val="21"/>
                      <w:highlight w:val="none"/>
                      <w:vertAlign w:val="baseline"/>
                      <w:lang w:val="en-US" w:eastAsia="zh-CN"/>
                    </w:rPr>
                    <w:t>39</w:t>
                  </w:r>
                  <w:r>
                    <w:rPr>
                      <w:rFonts w:hint="default" w:ascii="Times New Roman" w:hAnsi="Times New Roman" w:eastAsia="宋体" w:cs="Times New Roman"/>
                      <w:color w:val="auto"/>
                      <w:sz w:val="21"/>
                      <w:szCs w:val="21"/>
                      <w:highlight w:val="none"/>
                      <w:vertAlign w:val="baseline"/>
                      <w:lang w:val="en-US" w:eastAsia="zh-CN"/>
                    </w:rPr>
                    <w:t>m处，根据现状监测及预测结果，电磁和噪声均可达标排放，影响较小。</w:t>
                  </w:r>
                </w:p>
              </w:tc>
              <w:tc>
                <w:tcPr>
                  <w:tcW w:w="470" w:type="pct"/>
                  <w:vAlign w:val="center"/>
                </w:tcPr>
                <w:p w14:paraId="4F1B1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58E0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368A3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5363B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5.5同一走廊内的多回输电线路，宜采取同塔多回架设、并行架设等形式，减少新开辟走廊，优化线路走廊间距，降低环境影响。</w:t>
                  </w:r>
                </w:p>
              </w:tc>
              <w:tc>
                <w:tcPr>
                  <w:tcW w:w="1998" w:type="pct"/>
                  <w:vAlign w:val="center"/>
                </w:tcPr>
                <w:p w14:paraId="47820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w:t>
                  </w:r>
                  <w:r>
                    <w:rPr>
                      <w:rFonts w:hint="default" w:ascii="Times New Roman" w:hAnsi="Times New Roman" w:eastAsia="宋体" w:cs="Times New Roman"/>
                      <w:color w:val="auto"/>
                      <w:sz w:val="21"/>
                      <w:szCs w:val="21"/>
                      <w:highlight w:val="none"/>
                      <w:vertAlign w:val="baseline"/>
                      <w:lang w:val="en-US" w:eastAsia="zh-CN"/>
                    </w:rPr>
                    <w:t>项目</w:t>
                  </w:r>
                  <w:r>
                    <w:rPr>
                      <w:rFonts w:hint="eastAsia" w:ascii="Times New Roman" w:hAnsi="Times New Roman" w:eastAsia="宋体" w:cs="Times New Roman"/>
                      <w:color w:val="auto"/>
                      <w:sz w:val="21"/>
                      <w:szCs w:val="21"/>
                      <w:highlight w:val="none"/>
                      <w:vertAlign w:val="baseline"/>
                      <w:lang w:val="en-US" w:eastAsia="zh-CN"/>
                    </w:rPr>
                    <w:t>过渡方案</w:t>
                  </w:r>
                  <w:r>
                    <w:rPr>
                      <w:rFonts w:hint="default" w:ascii="Times New Roman" w:hAnsi="Times New Roman" w:eastAsia="宋体" w:cs="Times New Roman"/>
                      <w:color w:val="auto"/>
                      <w:sz w:val="21"/>
                      <w:szCs w:val="21"/>
                      <w:highlight w:val="none"/>
                      <w:vertAlign w:val="baseline"/>
                      <w:lang w:val="en-US" w:eastAsia="zh-CN"/>
                    </w:rPr>
                    <w:t>为单回输电线路</w:t>
                  </w:r>
                  <w:r>
                    <w:rPr>
                      <w:rFonts w:hint="eastAsia" w:ascii="Times New Roman" w:hAnsi="Times New Roman" w:eastAsia="宋体" w:cs="Times New Roman"/>
                      <w:color w:val="auto"/>
                      <w:sz w:val="21"/>
                      <w:szCs w:val="21"/>
                      <w:highlight w:val="none"/>
                      <w:vertAlign w:val="baseline"/>
                      <w:lang w:val="en-US" w:eastAsia="zh-CN"/>
                    </w:rPr>
                    <w:t>，终期方案为双回输电线路，减少了新开辟走廊，优化了线路走廊间距，降低了环境影响</w:t>
                  </w:r>
                </w:p>
              </w:tc>
              <w:tc>
                <w:tcPr>
                  <w:tcW w:w="470" w:type="pct"/>
                  <w:vAlign w:val="center"/>
                </w:tcPr>
                <w:p w14:paraId="15957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41A2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13AF4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100A2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5.6原则上避免在0类声环境功能区建设变电工程。</w:t>
                  </w:r>
                </w:p>
              </w:tc>
              <w:tc>
                <w:tcPr>
                  <w:tcW w:w="1998" w:type="pct"/>
                  <w:vAlign w:val="center"/>
                </w:tcPr>
                <w:p w14:paraId="77B0C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本项目不涉及0类声环境功能区。</w:t>
                  </w:r>
                </w:p>
              </w:tc>
              <w:tc>
                <w:tcPr>
                  <w:tcW w:w="470" w:type="pct"/>
                  <w:vAlign w:val="center"/>
                </w:tcPr>
                <w:p w14:paraId="1D935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7030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075B3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4EF78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5.7变电工程选址时，应综合考虑减少土地占用、植被砍伐和弃土弃渣等，以减少对生态环境的不利影响。</w:t>
                  </w:r>
                </w:p>
              </w:tc>
              <w:tc>
                <w:tcPr>
                  <w:tcW w:w="1998" w:type="pct"/>
                  <w:vAlign w:val="center"/>
                </w:tcPr>
                <w:p w14:paraId="593DD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变电站占地面积为</w:t>
                  </w:r>
                  <w:r>
                    <w:rPr>
                      <w:rFonts w:hint="eastAsia" w:ascii="Times New Roman" w:hAnsi="Times New Roman" w:eastAsia="宋体" w:cs="Times New Roman"/>
                      <w:color w:val="auto"/>
                      <w:sz w:val="21"/>
                      <w:szCs w:val="21"/>
                      <w:highlight w:val="none"/>
                      <w:vertAlign w:val="baseline"/>
                      <w:lang w:val="en-US" w:eastAsia="zh-CN"/>
                    </w:rPr>
                    <w:t>2230.94</w:t>
                  </w:r>
                  <w:r>
                    <w:rPr>
                      <w:rFonts w:hint="default"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，为工业用地，塔基永久占地为1.5156hm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工程临时占地在施工结束后全部进行恢复。</w:t>
                  </w:r>
                </w:p>
              </w:tc>
              <w:tc>
                <w:tcPr>
                  <w:tcW w:w="470" w:type="pct"/>
                  <w:vAlign w:val="center"/>
                </w:tcPr>
                <w:p w14:paraId="3ADE4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4A2D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682FE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34AB0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5.8输电线路宜避让集中林区，以减少林木砍伐，保护生态环境。</w:t>
                  </w:r>
                </w:p>
              </w:tc>
              <w:tc>
                <w:tcPr>
                  <w:tcW w:w="1998" w:type="pct"/>
                  <w:vAlign w:val="center"/>
                </w:tcPr>
                <w:p w14:paraId="3ED47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w:t>
                  </w:r>
                  <w:r>
                    <w:rPr>
                      <w:rFonts w:hint="eastAsia" w:ascii="Times New Roman" w:hAnsi="Times New Roman" w:eastAsia="宋体" w:cs="Times New Roman"/>
                      <w:color w:val="auto"/>
                      <w:sz w:val="21"/>
                      <w:szCs w:val="21"/>
                      <w:highlight w:val="none"/>
                      <w:vertAlign w:val="baseline"/>
                      <w:lang w:val="en-US" w:eastAsia="zh-CN"/>
                    </w:rPr>
                    <w:t>输电线路及塔基尽可能的避让了集中林区，以减少林木砍伐，保护生态环境</w:t>
                  </w:r>
                  <w:r>
                    <w:rPr>
                      <w:rFonts w:hint="default" w:ascii="Times New Roman" w:hAnsi="Times New Roman" w:eastAsia="宋体" w:cs="Times New Roman"/>
                      <w:color w:val="auto"/>
                      <w:sz w:val="21"/>
                      <w:szCs w:val="21"/>
                      <w:highlight w:val="none"/>
                      <w:vertAlign w:val="baseline"/>
                      <w:lang w:val="en-US" w:eastAsia="zh-CN"/>
                    </w:rPr>
                    <w:t>。</w:t>
                  </w:r>
                </w:p>
              </w:tc>
              <w:tc>
                <w:tcPr>
                  <w:tcW w:w="470" w:type="pct"/>
                  <w:vAlign w:val="center"/>
                </w:tcPr>
                <w:p w14:paraId="1DC5F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2F85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74C22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4A1D2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5.9进入自然保护区的输电线路，应按照HJ 19的要求开展生态现状调查，避让保护对象的集中分布区。</w:t>
                  </w:r>
                </w:p>
              </w:tc>
              <w:tc>
                <w:tcPr>
                  <w:tcW w:w="1998" w:type="pct"/>
                  <w:vAlign w:val="center"/>
                </w:tcPr>
                <w:p w14:paraId="48DDD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w:t>
                  </w:r>
                  <w:r>
                    <w:rPr>
                      <w:rFonts w:hint="eastAsia" w:ascii="Times New Roman" w:hAnsi="Times New Roman" w:eastAsia="宋体" w:cs="Times New Roman"/>
                      <w:color w:val="auto"/>
                      <w:sz w:val="21"/>
                      <w:szCs w:val="21"/>
                      <w:highlight w:val="none"/>
                      <w:vertAlign w:val="baseline"/>
                      <w:lang w:val="en-US" w:eastAsia="zh-CN"/>
                    </w:rPr>
                    <w:t>变电站、</w:t>
                  </w:r>
                  <w:r>
                    <w:rPr>
                      <w:rFonts w:hint="default" w:ascii="Times New Roman" w:hAnsi="Times New Roman" w:eastAsia="宋体" w:cs="Times New Roman"/>
                      <w:color w:val="auto"/>
                      <w:sz w:val="21"/>
                      <w:szCs w:val="21"/>
                      <w:highlight w:val="none"/>
                      <w:vertAlign w:val="baseline"/>
                      <w:lang w:val="en-US" w:eastAsia="zh-CN"/>
                    </w:rPr>
                    <w:t>塔基及线路均不涉及自然保护区</w:t>
                  </w:r>
                </w:p>
              </w:tc>
              <w:tc>
                <w:tcPr>
                  <w:tcW w:w="470" w:type="pct"/>
                  <w:vAlign w:val="center"/>
                </w:tcPr>
                <w:p w14:paraId="2A0A3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32DE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restart"/>
                  <w:vAlign w:val="center"/>
                </w:tcPr>
                <w:p w14:paraId="1995C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6设计</w:t>
                  </w:r>
                </w:p>
              </w:tc>
              <w:tc>
                <w:tcPr>
                  <w:tcW w:w="2277" w:type="pct"/>
                  <w:vAlign w:val="center"/>
                </w:tcPr>
                <w:p w14:paraId="0E0E2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6.1总体要求</w:t>
                  </w:r>
                </w:p>
                <w:p w14:paraId="14CCE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6.1.2改建、扩建输变电建设项目应采取措施，治理与该项目有关的原有环境污染和生态破坏。</w:t>
                  </w:r>
                </w:p>
                <w:p w14:paraId="70016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6.1.3输电线路进入自然保护区实验区、饮用水水源二级保护区等环境敏感区时，应采取塔基定位避让、减少进入长度、控制导线高度等环境保护措施，减少对环境保护对象的不利影响。</w:t>
                  </w:r>
                </w:p>
                <w:p w14:paraId="54B0B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6.1.4变电工程应设置足够容量的事故油池及其配套的拦截、防雨、防渗等措施和设施。一旦发生泄漏，应能及时进行拦截和处理，确保油及油水混合物全部收集、不外排。</w:t>
                  </w:r>
                </w:p>
              </w:tc>
              <w:tc>
                <w:tcPr>
                  <w:tcW w:w="1998" w:type="pct"/>
                  <w:vAlign w:val="center"/>
                </w:tcPr>
                <w:p w14:paraId="64BBD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6.1.2</w:t>
                  </w:r>
                  <w:r>
                    <w:rPr>
                      <w:rFonts w:hint="default" w:ascii="Times New Roman" w:hAnsi="Times New Roman" w:eastAsia="宋体" w:cs="Times New Roman"/>
                      <w:color w:val="auto"/>
                      <w:sz w:val="21"/>
                      <w:szCs w:val="21"/>
                      <w:highlight w:val="none"/>
                      <w:vertAlign w:val="baseline"/>
                      <w:lang w:val="en-US" w:eastAsia="zh-CN"/>
                    </w:rPr>
                    <w:t>本工程为新建项目，不涉及原有环境污染和生态破坏</w:t>
                  </w:r>
                  <w:r>
                    <w:rPr>
                      <w:rFonts w:hint="eastAsia" w:ascii="Times New Roman" w:hAnsi="Times New Roman" w:eastAsia="宋体" w:cs="Times New Roman"/>
                      <w:color w:val="auto"/>
                      <w:sz w:val="21"/>
                      <w:szCs w:val="21"/>
                      <w:highlight w:val="none"/>
                      <w:vertAlign w:val="baseline"/>
                      <w:lang w:val="en-US" w:eastAsia="zh-CN"/>
                    </w:rPr>
                    <w:t>。</w:t>
                  </w:r>
                </w:p>
                <w:p w14:paraId="375E0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6.1.3本项目不涉及自然保护区、饮用水水源二级保护区等环境敏感区。</w:t>
                  </w:r>
                </w:p>
                <w:p w14:paraId="5D1CF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6.1.4</w:t>
                  </w:r>
                  <w:r>
                    <w:rPr>
                      <w:rFonts w:hint="default" w:ascii="Times New Roman" w:hAnsi="Times New Roman" w:eastAsia="宋体" w:cs="Times New Roman"/>
                      <w:color w:val="auto"/>
                      <w:sz w:val="21"/>
                      <w:szCs w:val="21"/>
                      <w:highlight w:val="none"/>
                      <w:vertAlign w:val="baseline"/>
                      <w:lang w:val="en-US" w:eastAsia="zh-CN"/>
                    </w:rPr>
                    <w:t>本项目</w:t>
                  </w:r>
                  <w:r>
                    <w:rPr>
                      <w:rFonts w:hint="eastAsia" w:ascii="Times New Roman" w:hAnsi="Times New Roman" w:eastAsia="宋体" w:cs="Times New Roman"/>
                      <w:color w:val="auto"/>
                      <w:sz w:val="21"/>
                      <w:szCs w:val="21"/>
                      <w:highlight w:val="none"/>
                      <w:vertAlign w:val="baseline"/>
                      <w:lang w:val="en-US" w:eastAsia="zh-CN"/>
                    </w:rPr>
                    <w:t>变电站</w:t>
                  </w:r>
                  <w:r>
                    <w:rPr>
                      <w:rFonts w:hint="default" w:ascii="Times New Roman" w:hAnsi="Times New Roman" w:eastAsia="宋体" w:cs="Times New Roman"/>
                      <w:color w:val="auto"/>
                      <w:sz w:val="21"/>
                      <w:szCs w:val="21"/>
                      <w:highlight w:val="none"/>
                      <w:vertAlign w:val="baseline"/>
                      <w:lang w:val="en-US" w:eastAsia="zh-CN"/>
                    </w:rPr>
                    <w:t>设一座容积为</w:t>
                  </w:r>
                  <w:r>
                    <w:rPr>
                      <w:rFonts w:hint="eastAsia" w:ascii="Times New Roman" w:hAnsi="Times New Roman" w:eastAsia="宋体" w:cs="Times New Roman"/>
                      <w:color w:val="auto"/>
                      <w:sz w:val="21"/>
                      <w:szCs w:val="21"/>
                      <w:highlight w:val="none"/>
                      <w:vertAlign w:val="baseline"/>
                      <w:lang w:val="en-US" w:eastAsia="zh-CN"/>
                    </w:rPr>
                    <w:t>50</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的事故油池，并配套拦截、防雨、防渗等措施和设施。确保油及油水混合物全部收集、不外排。</w:t>
                  </w:r>
                </w:p>
              </w:tc>
              <w:tc>
                <w:tcPr>
                  <w:tcW w:w="470" w:type="pct"/>
                  <w:vAlign w:val="center"/>
                </w:tcPr>
                <w:p w14:paraId="5FDBF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22B3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33DD6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35D51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6.2电磁环境保护</w:t>
                  </w:r>
                </w:p>
                <w:p w14:paraId="6E930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6.2.1工程设计应对产生的工频电场、工频磁场、直流合成电场等电磁环境影响因子进行验算，采取相应防护措施，确保电磁环境影响满足国家标准要求。</w:t>
                  </w:r>
                </w:p>
                <w:p w14:paraId="1EE8B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6.2.2输电线路设计应因地制宜选择线路型式、架设高度、杆塔塔型、导线参数、相序布置等，减少电磁环境影响。</w:t>
                  </w:r>
                </w:p>
                <w:p w14:paraId="7E43A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6.2.3架空输电线路经过电磁环境敏感目标时，应采取避让或增加导线对地高度等措施，减少电磁环境影响。</w:t>
                  </w:r>
                </w:p>
                <w:p w14:paraId="45BE7E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6.2.4新建城市电力线路在市中心地区、高层建筑群区、市区主干路、人口密集区、繁华街道等区域应采用地下电缆，减少电磁环境影响。</w:t>
                  </w:r>
                </w:p>
                <w:p w14:paraId="58221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6.2.5变电工程的布置设计应考虑进出线对周围电磁环境的影响。</w:t>
                  </w:r>
                </w:p>
                <w:p w14:paraId="039B1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6.2.6 330kV及以上电压等级的输电线路出现交叉跨越或并行时，应考虑其对电磁环境敏感目标的综合影响。</w:t>
                  </w:r>
                </w:p>
              </w:tc>
              <w:tc>
                <w:tcPr>
                  <w:tcW w:w="1998" w:type="pct"/>
                  <w:vAlign w:val="center"/>
                </w:tcPr>
                <w:p w14:paraId="5026650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根据电磁辐射专项评价，项目产生的公频电场强度、工频磁感应强度远低于《电磁环境控制限值》（GB8702-2014）规定的公众暴露控制限制要求。</w:t>
                  </w:r>
                </w:p>
              </w:tc>
              <w:tc>
                <w:tcPr>
                  <w:tcW w:w="470" w:type="pct"/>
                  <w:vAlign w:val="center"/>
                </w:tcPr>
                <w:p w14:paraId="7602D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605E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49A99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1F516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6.3声环境保护</w:t>
                  </w:r>
                </w:p>
                <w:p w14:paraId="3EC70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6.3.1变电工程噪声控制设计应首先从噪声源强上进行控制，选择低噪声设备；对于声源上无法根治的噪声，应采用隔声、吸声、消声、防振、减振等降噪措施，确保厂界排放噪声和周围声环境敏感目标分别满足GB 12348和GB 3096要求。</w:t>
                  </w:r>
                </w:p>
                <w:p w14:paraId="0D3C8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6.3.2户外变电工程总体布置应综合考虑声环境影响因素，合理规划，利用建筑物、地形等阻挡噪声传播，减少对声环境敏感目标的影响。</w:t>
                  </w:r>
                </w:p>
                <w:p w14:paraId="4E7D4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6.3.3户外变电工程在设计过程中应进行平面布置优化，将主变压器、换流变压器、高压电抗器等主要声源设备布置在站址中央区域或远离站外声环境敏感目标侧的区域。</w:t>
                  </w:r>
                </w:p>
                <w:p w14:paraId="7B86F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6.3.4变电工程位于1类或周围噪声敏感建筑物较多的2类声环境功能区时，建设单位应严格控制主变压器、换流变压器、高压电抗器等主要噪声源的噪声水平，并在满足GB12348的基础上保留适当裕度。</w:t>
                  </w:r>
                </w:p>
                <w:p w14:paraId="0AFE9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6.3.5位于城市规划区1类声环境功能区的变电站应采用全户内布置方式。位于城市规划区其他声环境功能区的变电工程，可采取户内、半户内等环境影响较小的布置型式。</w:t>
                  </w:r>
                </w:p>
                <w:p w14:paraId="512CA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6.3.6变电工程应采取降低低频噪声影响的防治措施，以减少噪声扰民。</w:t>
                  </w:r>
                </w:p>
              </w:tc>
              <w:tc>
                <w:tcPr>
                  <w:tcW w:w="1998" w:type="pct"/>
                  <w:vAlign w:val="center"/>
                </w:tcPr>
                <w:p w14:paraId="328EE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本项目变电站为户内设计，采取噪声防治措施后，厂界噪声可满足《工业企业厂界环境噪声排放标准》（GB12348-2008）中2类标准要求。</w:t>
                  </w:r>
                </w:p>
              </w:tc>
              <w:tc>
                <w:tcPr>
                  <w:tcW w:w="470" w:type="pct"/>
                  <w:vAlign w:val="center"/>
                </w:tcPr>
                <w:p w14:paraId="4C71C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2919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0E6DA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011A3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6.4生态环境保护</w:t>
                  </w:r>
                </w:p>
                <w:p w14:paraId="01481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6.4.1输变电建设项目在设计过程中应按照避让、减缓、恢复的次序提出生态影响防护与恢复的措施。</w:t>
                  </w:r>
                </w:p>
                <w:p w14:paraId="5FDBE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6.4.2输电线路应因地制宜合理选择塔基基础，在山丘区应采用全方位长短腿与不等高基础设计，以减少土石方开挖。输电线路无法避让集中林区时，应采取控制导线高度设计，以减少林木砍伐，保护生态环境。</w:t>
                  </w:r>
                </w:p>
                <w:p w14:paraId="205E9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6.4.3输变电建设项目临时占地，应因地制宜进行土地功能恢复设计。</w:t>
                  </w:r>
                </w:p>
                <w:p w14:paraId="540EB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6.4.4进入自然保护区的输电线路，应根据生态现状调查结果，制定相应的保护方案。塔基定位应避让珍稀濒危物种、保护植物和保护动物的栖息地，根据保护对象的特性设计相应的生态环境保护措施、设施等。</w:t>
                  </w:r>
                </w:p>
              </w:tc>
              <w:tc>
                <w:tcPr>
                  <w:tcW w:w="1998" w:type="pct"/>
                  <w:vAlign w:val="center"/>
                </w:tcPr>
                <w:p w14:paraId="358E3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本项目变电站占地为</w:t>
                  </w:r>
                  <w:r>
                    <w:rPr>
                      <w:rFonts w:hint="eastAsia" w:ascii="Times New Roman" w:hAnsi="Times New Roman" w:eastAsia="宋体" w:cs="Times New Roman"/>
                      <w:color w:val="auto"/>
                      <w:sz w:val="21"/>
                      <w:szCs w:val="21"/>
                      <w:highlight w:val="none"/>
                      <w:vertAlign w:val="baseline"/>
                      <w:lang w:val="en-US" w:eastAsia="zh-CN"/>
                    </w:rPr>
                    <w:t>工业用地</w:t>
                  </w:r>
                  <w:r>
                    <w:rPr>
                      <w:rFonts w:hint="default" w:ascii="Times New Roman" w:hAnsi="Times New Roman" w:eastAsia="宋体" w:cs="Times New Roman"/>
                      <w:color w:val="auto"/>
                      <w:sz w:val="21"/>
                      <w:szCs w:val="21"/>
                      <w:highlight w:val="none"/>
                      <w:vertAlign w:val="baseline"/>
                      <w:lang w:val="en-US" w:eastAsia="zh-CN"/>
                    </w:rPr>
                    <w:t>，输电线路临时用地占地类型为旱地、</w:t>
                  </w:r>
                  <w:r>
                    <w:rPr>
                      <w:rFonts w:hint="eastAsia" w:ascii="Times New Roman" w:hAnsi="Times New Roman" w:eastAsia="宋体" w:cs="Times New Roman"/>
                      <w:color w:val="auto"/>
                      <w:sz w:val="21"/>
                      <w:szCs w:val="21"/>
                      <w:highlight w:val="none"/>
                      <w:vertAlign w:val="baseline"/>
                      <w:lang w:val="en-US" w:eastAsia="zh-CN"/>
                    </w:rPr>
                    <w:t>水浇地、乔木</w:t>
                  </w:r>
                  <w:r>
                    <w:rPr>
                      <w:rFonts w:hint="default" w:ascii="Times New Roman" w:hAnsi="Times New Roman" w:eastAsia="宋体" w:cs="Times New Roman"/>
                      <w:color w:val="auto"/>
                      <w:sz w:val="21"/>
                      <w:szCs w:val="21"/>
                      <w:highlight w:val="none"/>
                      <w:vertAlign w:val="baseline"/>
                      <w:lang w:val="en-US" w:eastAsia="zh-CN"/>
                    </w:rPr>
                    <w:t>林地、</w:t>
                  </w:r>
                  <w:r>
                    <w:rPr>
                      <w:rFonts w:hint="eastAsia" w:ascii="Times New Roman" w:hAnsi="Times New Roman" w:eastAsia="宋体" w:cs="Times New Roman"/>
                      <w:color w:val="auto"/>
                      <w:sz w:val="21"/>
                      <w:szCs w:val="21"/>
                      <w:highlight w:val="none"/>
                      <w:vertAlign w:val="baseline"/>
                      <w:lang w:val="en-US" w:eastAsia="zh-CN"/>
                    </w:rPr>
                    <w:t>其他</w:t>
                  </w:r>
                  <w:r>
                    <w:rPr>
                      <w:rFonts w:hint="default" w:ascii="Times New Roman" w:hAnsi="Times New Roman" w:eastAsia="宋体" w:cs="Times New Roman"/>
                      <w:color w:val="auto"/>
                      <w:sz w:val="21"/>
                      <w:szCs w:val="21"/>
                      <w:highlight w:val="none"/>
                      <w:vertAlign w:val="baseline"/>
                      <w:lang w:val="en-US" w:eastAsia="zh-CN"/>
                    </w:rPr>
                    <w:t>草地。本项目施工时需进行表土</w:t>
                  </w:r>
                  <w:r>
                    <w:rPr>
                      <w:rFonts w:hint="eastAsia" w:ascii="Times New Roman" w:hAnsi="Times New Roman" w:eastAsia="宋体" w:cs="Times New Roman"/>
                      <w:color w:val="auto"/>
                      <w:sz w:val="21"/>
                      <w:szCs w:val="21"/>
                      <w:highlight w:val="none"/>
                      <w:vertAlign w:val="baseline"/>
                      <w:lang w:val="en-US" w:eastAsia="zh-CN"/>
                    </w:rPr>
                    <w:t>剥</w:t>
                  </w:r>
                  <w:r>
                    <w:rPr>
                      <w:rFonts w:hint="default" w:ascii="Times New Roman" w:hAnsi="Times New Roman" w:eastAsia="宋体" w:cs="Times New Roman"/>
                      <w:color w:val="auto"/>
                      <w:sz w:val="21"/>
                      <w:szCs w:val="21"/>
                      <w:highlight w:val="none"/>
                      <w:vertAlign w:val="baseline"/>
                      <w:lang w:val="en-US" w:eastAsia="zh-CN"/>
                    </w:rPr>
                    <w:t>离，施工结束后临时占地恢复原有地貌。</w:t>
                  </w:r>
                  <w:r>
                    <w:rPr>
                      <w:rFonts w:hint="eastAsia" w:ascii="Times New Roman" w:hAnsi="Times New Roman" w:eastAsia="宋体" w:cs="Times New Roman"/>
                      <w:color w:val="auto"/>
                      <w:sz w:val="21"/>
                      <w:szCs w:val="21"/>
                      <w:highlight w:val="none"/>
                      <w:vertAlign w:val="baseline"/>
                      <w:lang w:val="en-US" w:eastAsia="zh-CN"/>
                    </w:rPr>
                    <w:t>本项目不涉及自然保护区。</w:t>
                  </w:r>
                </w:p>
              </w:tc>
              <w:tc>
                <w:tcPr>
                  <w:tcW w:w="470" w:type="pct"/>
                  <w:vAlign w:val="center"/>
                </w:tcPr>
                <w:p w14:paraId="4895B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306E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70605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42FCB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6.5水环境保护</w:t>
                  </w:r>
                </w:p>
                <w:p w14:paraId="5C81A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6.5.1变电工程应采取节水措施，加强水的重复利用，减少废（污）水排放。雨水和生活污水应采取分流制。</w:t>
                  </w:r>
                </w:p>
                <w:p w14:paraId="5540B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6.5.2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14:paraId="340E1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6.5.3换流站循环冷却水处理应选择对环境污染小的阻垢剂、缓蚀剂等，循环冷却水外排时应严格执行相应的国家和地方水污染物排放标准相关要求。</w:t>
                  </w:r>
                </w:p>
              </w:tc>
              <w:tc>
                <w:tcPr>
                  <w:tcW w:w="1998" w:type="pct"/>
                  <w:vAlign w:val="center"/>
                </w:tcPr>
                <w:p w14:paraId="10D92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w:t>
                  </w:r>
                  <w:r>
                    <w:rPr>
                      <w:rFonts w:hint="eastAsia" w:ascii="Times New Roman" w:hAnsi="Times New Roman" w:eastAsia="宋体" w:cs="Times New Roman"/>
                      <w:color w:val="auto"/>
                      <w:sz w:val="21"/>
                      <w:szCs w:val="21"/>
                      <w:highlight w:val="none"/>
                      <w:vertAlign w:val="baseline"/>
                      <w:lang w:val="en-US" w:eastAsia="zh-CN"/>
                    </w:rPr>
                    <w:t>为无人值守站，</w:t>
                  </w:r>
                  <w:r>
                    <w:rPr>
                      <w:rFonts w:hint="default" w:ascii="Times New Roman" w:hAnsi="Times New Roman" w:eastAsia="宋体" w:cs="Times New Roman"/>
                      <w:color w:val="auto"/>
                      <w:sz w:val="21"/>
                      <w:szCs w:val="21"/>
                      <w:highlight w:val="none"/>
                      <w:vertAlign w:val="baseline"/>
                      <w:lang w:val="en-US" w:eastAsia="zh-CN"/>
                    </w:rPr>
                    <w:t>运行期间</w:t>
                  </w:r>
                  <w:r>
                    <w:rPr>
                      <w:rFonts w:hint="eastAsia" w:ascii="Times New Roman" w:hAnsi="Times New Roman" w:eastAsia="宋体" w:cs="Times New Roman"/>
                      <w:color w:val="auto"/>
                      <w:sz w:val="21"/>
                      <w:szCs w:val="21"/>
                      <w:highlight w:val="none"/>
                      <w:vertAlign w:val="baseline"/>
                      <w:lang w:val="en-US" w:eastAsia="zh-CN"/>
                    </w:rPr>
                    <w:t>不产生</w:t>
                  </w:r>
                  <w:r>
                    <w:rPr>
                      <w:rFonts w:hint="default" w:ascii="Times New Roman" w:hAnsi="Times New Roman" w:eastAsia="宋体" w:cs="Times New Roman"/>
                      <w:color w:val="auto"/>
                      <w:sz w:val="21"/>
                      <w:szCs w:val="21"/>
                      <w:highlight w:val="none"/>
                      <w:vertAlign w:val="baseline"/>
                      <w:lang w:val="en-US" w:eastAsia="zh-CN"/>
                    </w:rPr>
                    <w:t>生活污水。</w:t>
                  </w:r>
                </w:p>
              </w:tc>
              <w:tc>
                <w:tcPr>
                  <w:tcW w:w="470" w:type="pct"/>
                  <w:vAlign w:val="center"/>
                </w:tcPr>
                <w:p w14:paraId="38251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3DDD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restart"/>
                  <w:vAlign w:val="center"/>
                </w:tcPr>
                <w:p w14:paraId="474E2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highlight w:val="none"/>
                      <w:lang w:val="en-US" w:eastAsia="zh-CN"/>
                    </w:rPr>
                    <w:t>7施工</w:t>
                  </w:r>
                </w:p>
              </w:tc>
              <w:tc>
                <w:tcPr>
                  <w:tcW w:w="2277" w:type="pct"/>
                  <w:vAlign w:val="center"/>
                </w:tcPr>
                <w:p w14:paraId="6B90A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7.1总体要求</w:t>
                  </w:r>
                </w:p>
                <w:p w14:paraId="4B1AB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7.1.1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p w14:paraId="5359C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7.1.2进入自然保护区和饮用水水源保护区等环境敏感区的输电线路，建设单位应加强施工过程的管理，开展环境保护培训，明确保护对象和保护要求，严格控制施工影响范围，确定适宜的施工季节和施工方式，减少对环境保护对象的不利影响。</w:t>
                  </w:r>
                </w:p>
              </w:tc>
              <w:tc>
                <w:tcPr>
                  <w:tcW w:w="1998" w:type="pct"/>
                  <w:vAlign w:val="center"/>
                </w:tcPr>
                <w:p w14:paraId="354E3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项目施工严格按照设计文件、环境影响评价文件及其审批部门审批决定中提出的环境保护要求进行。</w:t>
                  </w:r>
                </w:p>
                <w:p w14:paraId="4BB17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项目不涉及自然保护区和饮用水水源保护区等环境敏感区。</w:t>
                  </w:r>
                </w:p>
              </w:tc>
              <w:tc>
                <w:tcPr>
                  <w:tcW w:w="470" w:type="pct"/>
                  <w:vAlign w:val="center"/>
                </w:tcPr>
                <w:p w14:paraId="4A30D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5C47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trPr>
              <w:tc>
                <w:tcPr>
                  <w:tcW w:w="254" w:type="pct"/>
                  <w:vMerge w:val="continue"/>
                  <w:vAlign w:val="center"/>
                </w:tcPr>
                <w:p w14:paraId="28C5B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4C4BB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7.2声环境保护</w:t>
                  </w:r>
                </w:p>
                <w:p w14:paraId="7D426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7.2.1变电工程施工过程中场界环境噪声排放应满足GB12523中的要求。</w:t>
                  </w:r>
                </w:p>
                <w:p w14:paraId="19CD3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7.2.2在城市市区噪声敏感建筑物集中区域内，禁止夜间进行产生环境噪声污染的建筑施工作业，但抢修、抢险作业和因生产工艺上要求或者特殊需要必须连续作业的除外。夜间作业必须公告附近居民。</w:t>
                  </w:r>
                </w:p>
              </w:tc>
              <w:tc>
                <w:tcPr>
                  <w:tcW w:w="1998" w:type="pct"/>
                  <w:vAlign w:val="center"/>
                </w:tcPr>
                <w:p w14:paraId="36DBA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项目施工时，通过采取各项措施，噪声可达标排放。</w:t>
                  </w:r>
                </w:p>
                <w:p w14:paraId="26378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项目不在城市市区内，夜间不进行施工。</w:t>
                  </w:r>
                </w:p>
              </w:tc>
              <w:tc>
                <w:tcPr>
                  <w:tcW w:w="470" w:type="pct"/>
                  <w:vAlign w:val="center"/>
                </w:tcPr>
                <w:p w14:paraId="4347A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42F8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1FA9A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76A3E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7.3生态环境保护</w:t>
                  </w:r>
                </w:p>
                <w:p w14:paraId="4B73F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7.3.1输变电建设项目施工期临时用地应永临结合，优先利用荒地、劣地。</w:t>
                  </w:r>
                </w:p>
                <w:p w14:paraId="2C1B1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7.3.2输变电建设项目施工占用耕地、园地、林地和草地，应做好表土剥离、分类存放和回填利用。</w:t>
                  </w:r>
                </w:p>
                <w:p w14:paraId="48E04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7.3.3进入自然保护区的输电线路，应落实环境影响评价文件和设计阶段制定的生态环境保护方案。施工时宜采用飞艇、动力伞、无人机等展放线，索道运输、人畜运输材料等对生态环境破坏较小的施工工艺。</w:t>
                  </w:r>
                </w:p>
                <w:p w14:paraId="3E0DB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7.3.4进入自然保护区的输电线路，应对工程影响区域内的保护植物进行就地保护，设置围栏和植物保护警示牌。不能避让需异地保护时，应选择适宜的生境进行植株移栽，并确保移栽成活率。</w:t>
                  </w:r>
                </w:p>
                <w:p w14:paraId="0BC08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7.3.5进入自然保护区的输电线路，应选择合理施工时间，避开保护动物的重要生理活动期。施工区发现有保护动物时应暂停施工，并实施保护方案。</w:t>
                  </w:r>
                </w:p>
                <w:p w14:paraId="43BE1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7.3.6施工临时道路应尽可能利用机耕路、林区小路等现有道路，新建道路应严格控制道路宽度，以减少临时工程对生态环境的影响。</w:t>
                  </w:r>
                </w:p>
                <w:p w14:paraId="2D87C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7.3.7施工现场使用带油料的机械器具，应采取措施防止油料跑、冒、滴、漏，防止对土壤和水体造成污染。</w:t>
                  </w:r>
                </w:p>
                <w:p w14:paraId="0DD87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7.3.8施工结束后，应及时清理施工现场，因地制宜进行土地功能恢复。</w:t>
                  </w:r>
                </w:p>
              </w:tc>
              <w:tc>
                <w:tcPr>
                  <w:tcW w:w="1998" w:type="pct"/>
                  <w:vAlign w:val="center"/>
                </w:tcPr>
                <w:p w14:paraId="71C83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项目施工期进行表土剥离，施工结束后进行回填及土地复垦。</w:t>
                  </w:r>
                </w:p>
                <w:p w14:paraId="64D7A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本项目不涉及自然保护区。</w:t>
                  </w:r>
                </w:p>
                <w:p w14:paraId="2EC59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项目施工期临时道路主要利用原有道路及田间路，</w:t>
                  </w:r>
                  <w:r>
                    <w:rPr>
                      <w:rFonts w:hint="eastAsia" w:ascii="Times New Roman" w:hAnsi="Times New Roman" w:eastAsia="宋体" w:cs="Times New Roman"/>
                      <w:color w:val="auto"/>
                      <w:sz w:val="21"/>
                      <w:szCs w:val="21"/>
                      <w:highlight w:val="none"/>
                      <w:vertAlign w:val="baseline"/>
                      <w:lang w:val="en-US" w:eastAsia="zh-CN"/>
                    </w:rPr>
                    <w:t>为满足本项目要求，需新建临时道路，施工完毕后进行生态恢复</w:t>
                  </w:r>
                  <w:r>
                    <w:rPr>
                      <w:rFonts w:hint="default" w:ascii="Times New Roman" w:hAnsi="Times New Roman" w:eastAsia="宋体" w:cs="Times New Roman"/>
                      <w:color w:val="auto"/>
                      <w:sz w:val="21"/>
                      <w:szCs w:val="21"/>
                      <w:highlight w:val="none"/>
                      <w:vertAlign w:val="baseline"/>
                      <w:lang w:val="en-US" w:eastAsia="zh-CN"/>
                    </w:rPr>
                    <w:t>。</w:t>
                  </w:r>
                </w:p>
                <w:p w14:paraId="78C58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在环保型施工机械，主要使用轻质柴油或电作为能源，不使用劣质燃料。加强对施工现场使用带油的机械器具的检修和维护，防止跑、冒、滴、漏油。</w:t>
                  </w:r>
                </w:p>
                <w:p w14:paraId="5CE7C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施工结束后，按“工完、料尽、场地清”的原则立即进行迹地恢复，并进行土地复垦</w:t>
                  </w:r>
                  <w:r>
                    <w:rPr>
                      <w:rFonts w:hint="eastAsia" w:ascii="Times New Roman" w:hAnsi="Times New Roman" w:eastAsia="宋体" w:cs="Times New Roman"/>
                      <w:color w:val="auto"/>
                      <w:sz w:val="21"/>
                      <w:szCs w:val="21"/>
                      <w:highlight w:val="none"/>
                      <w:vertAlign w:val="baseline"/>
                      <w:lang w:val="en-US" w:eastAsia="zh-CN"/>
                    </w:rPr>
                    <w:t>。</w:t>
                  </w:r>
                </w:p>
              </w:tc>
              <w:tc>
                <w:tcPr>
                  <w:tcW w:w="470" w:type="pct"/>
                  <w:vAlign w:val="center"/>
                </w:tcPr>
                <w:p w14:paraId="004B6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39BE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3F390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4C295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7.4水环境保护 </w:t>
                  </w:r>
                </w:p>
                <w:p w14:paraId="3D6CB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7.4.1在饮用水水源保护区和其他水体保护区内或附近施工时，应加强管理，做好污水防治措施，确保水环境不受影响。</w:t>
                  </w:r>
                </w:p>
                <w:p w14:paraId="33539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7.4.2施工期间禁止向水体排放、倾倒垃圾、弃土、弃渣，禁止排放未经处理的钻浆等废弃物。</w:t>
                  </w:r>
                </w:p>
                <w:p w14:paraId="79605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7.4.3变电工程施工现场临时厕所的化粪池应进行防渗处理。</w:t>
                  </w:r>
                </w:p>
              </w:tc>
              <w:tc>
                <w:tcPr>
                  <w:tcW w:w="1998" w:type="pct"/>
                  <w:vAlign w:val="center"/>
                </w:tcPr>
                <w:p w14:paraId="3F825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本项目不位于饮用水水源保护区。施工期间禁止向水体排放、倾倒垃圾、弃土、弃渣，禁止排放未经处理的废弃物。变电站施工设置一座临时化粪池，化粪池进行防渗处理。</w:t>
                  </w:r>
                </w:p>
              </w:tc>
              <w:tc>
                <w:tcPr>
                  <w:tcW w:w="470" w:type="pct"/>
                  <w:vAlign w:val="center"/>
                </w:tcPr>
                <w:p w14:paraId="19F9F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2FDA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4DC65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3D314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7.5大气环境保护 </w:t>
                  </w:r>
                </w:p>
                <w:p w14:paraId="4D273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7.5.1施工过程中，应当加强对施工现场和物料运输的管理，在施工工地设置硬质围挡，保持道路清洁，管控料堆和渣土堆放，防治扬尘污染。</w:t>
                  </w:r>
                </w:p>
                <w:p w14:paraId="1D152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7.5.2施工过程中，对易起尘的临时堆土、运输过程中的土石方等应采用密闭式防尘布（网）进行苫盖，施工面集中且有条件的地方宜采取洒水降尘等有效措施，减少易造成大气污染的施工作业。</w:t>
                  </w:r>
                </w:p>
                <w:p w14:paraId="754D8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7.5.3施工过程中，建设单位应当对裸露地面进行覆盖；暂时不能开工的建设用地超过三个月的，应当进行绿化、铺装或者遮盖。</w:t>
                  </w:r>
                </w:p>
                <w:p w14:paraId="336E1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7.5.4施工现场禁止将包装物、可燃垃圾等固体废弃物就地焚烧。7.5.5位于城市规划区内的输变电建设项目，施工扬尘污染的防治还应符合HJ/T 393的规定。</w:t>
                  </w:r>
                </w:p>
              </w:tc>
              <w:tc>
                <w:tcPr>
                  <w:tcW w:w="1998" w:type="pct"/>
                  <w:vAlign w:val="center"/>
                </w:tcPr>
                <w:p w14:paraId="22269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本项目变电站施工设置临时围挡，临时堆场进行苦盖。施工现场禁止将包装物、可燃垃圾等固体废弃物就地焚烧。</w:t>
                  </w:r>
                </w:p>
              </w:tc>
              <w:tc>
                <w:tcPr>
                  <w:tcW w:w="470" w:type="pct"/>
                  <w:vAlign w:val="center"/>
                </w:tcPr>
                <w:p w14:paraId="5697B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26A1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591C4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277" w:type="pct"/>
                  <w:vAlign w:val="center"/>
                </w:tcPr>
                <w:p w14:paraId="57575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7.6固体废物处置</w:t>
                  </w:r>
                </w:p>
                <w:p w14:paraId="13E8B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7.6.1施工过程中产生的土石方、建筑垃圾、生活垃圾应分类集中收集，并按国家和地方有关规定定期进行清运处置，施工完成后及时做好迹地清理工作。</w:t>
                  </w:r>
                </w:p>
                <w:p w14:paraId="19DAC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7.6.2在农田和经济作物区施工时，施工临时占地宜采取隔离保护措施，施工结束后应将混凝土余料和残渣及时清除，以免影响后期土地功能的恢复。</w:t>
                  </w:r>
                </w:p>
              </w:tc>
              <w:tc>
                <w:tcPr>
                  <w:tcW w:w="1998" w:type="pct"/>
                  <w:vAlign w:val="center"/>
                </w:tcPr>
                <w:p w14:paraId="50001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由于输电线路建设具有点分散的特点，且单个基础开挖产生的弃土较小，因此，对于可以回填利用的土方临时堆放于塔基</w:t>
                  </w:r>
                  <w:r>
                    <w:rPr>
                      <w:rFonts w:hint="eastAsia" w:ascii="Times New Roman" w:hAnsi="Times New Roman" w:eastAsia="宋体" w:cs="Times New Roman"/>
                      <w:color w:val="auto"/>
                      <w:sz w:val="21"/>
                      <w:szCs w:val="21"/>
                      <w:highlight w:val="none"/>
                      <w:vertAlign w:val="baseline"/>
                      <w:lang w:val="en-US" w:eastAsia="zh-CN"/>
                    </w:rPr>
                    <w:t>施工</w:t>
                  </w:r>
                  <w:r>
                    <w:rPr>
                      <w:rFonts w:hint="default" w:ascii="Times New Roman" w:hAnsi="Times New Roman" w:eastAsia="宋体" w:cs="Times New Roman"/>
                      <w:color w:val="auto"/>
                      <w:sz w:val="21"/>
                      <w:szCs w:val="21"/>
                      <w:highlight w:val="none"/>
                      <w:vertAlign w:val="baseline"/>
                      <w:lang w:val="en-US" w:eastAsia="zh-CN"/>
                    </w:rPr>
                    <w:t>占地区，施工结束后及时回填，余土在塔基下整平，然后覆土恢复原有地貌。本项目无弃土产生。本项目塔基施工临时占地面积较小，较分散，施工时间较短，施工结束后即进行场地平整表土回填。</w:t>
                  </w:r>
                </w:p>
              </w:tc>
              <w:tc>
                <w:tcPr>
                  <w:tcW w:w="470" w:type="pct"/>
                  <w:vAlign w:val="center"/>
                </w:tcPr>
                <w:p w14:paraId="3E9EE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14:paraId="75EF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254" w:type="pct"/>
                  <w:vAlign w:val="center"/>
                </w:tcPr>
                <w:p w14:paraId="4BD9C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8运行</w:t>
                  </w:r>
                </w:p>
              </w:tc>
              <w:tc>
                <w:tcPr>
                  <w:tcW w:w="2277" w:type="pct"/>
                  <w:vAlign w:val="center"/>
                </w:tcPr>
                <w:p w14:paraId="67667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8.1运行期做好环境保护设施的维护和运行管理，加强巡查和检查，保障发挥环境保护作用。定期开展环境监测，确保电磁、噪声、废水排放符合GB 8702、GB 12348、GB 8978等国家标准要求，并及时解决公众合理的环境保护诉求。</w:t>
                  </w:r>
                </w:p>
                <w:p w14:paraId="46043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8.2鼓励位于城市中心区域的变电站开展电磁和声环境在线监测，监测结果以方便公众知晓的方式予以公开。</w:t>
                  </w:r>
                </w:p>
                <w:p w14:paraId="5B91F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8.3主要声源设备大修前后，应对变电工程厂界排放噪声和周围声环境敏感目标环境噪声进行监测，监测结果向社会公开。</w:t>
                  </w:r>
                </w:p>
                <w:p w14:paraId="37288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8.4运行期应对事故油池的完好情况进行检查，确保无渗漏、无溢流。</w:t>
                  </w:r>
                </w:p>
                <w:p w14:paraId="4C0BB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8.5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p w14:paraId="4B32A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8.6针对变电工程站内可能发生的突发环境事件，应按照HJ 169等国家有关规定制定突发环境事件应急预案，并定期演练。</w:t>
                  </w:r>
                </w:p>
              </w:tc>
              <w:tc>
                <w:tcPr>
                  <w:tcW w:w="1998" w:type="pct"/>
                  <w:vAlign w:val="center"/>
                </w:tcPr>
                <w:p w14:paraId="5CF5A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本项目建设地点不在城区内，</w:t>
                  </w:r>
                  <w:r>
                    <w:rPr>
                      <w:rFonts w:hint="eastAsia" w:ascii="Times New Roman" w:hAnsi="Times New Roman" w:eastAsia="宋体" w:cs="Times New Roman"/>
                      <w:color w:val="auto"/>
                      <w:sz w:val="21"/>
                      <w:szCs w:val="21"/>
                      <w:highlight w:val="none"/>
                      <w:vertAlign w:val="baseline"/>
                      <w:lang w:val="en-US" w:eastAsia="zh-CN"/>
                    </w:rPr>
                    <w:t>运营期间不产生生活污水</w:t>
                  </w:r>
                  <w:r>
                    <w:rPr>
                      <w:rFonts w:hint="default" w:ascii="Times New Roman" w:hAnsi="Times New Roman" w:eastAsia="宋体" w:cs="Times New Roman"/>
                      <w:color w:val="auto"/>
                      <w:sz w:val="21"/>
                      <w:szCs w:val="21"/>
                      <w:highlight w:val="none"/>
                      <w:vertAlign w:val="baseline"/>
                      <w:lang w:val="en-US" w:eastAsia="zh-CN"/>
                    </w:rPr>
                    <w:t>；项目建成运行后进行环保验收，开展电磁、噪声的相关监测。本项目变电站设置事故油池，废矿物油</w:t>
                  </w:r>
                  <w:r>
                    <w:rPr>
                      <w:rFonts w:hint="eastAsia" w:ascii="Times New Roman" w:hAnsi="Times New Roman" w:eastAsia="宋体" w:cs="Times New Roman"/>
                      <w:color w:val="auto"/>
                      <w:sz w:val="21"/>
                      <w:szCs w:val="21"/>
                      <w:highlight w:val="none"/>
                      <w:vertAlign w:val="baseline"/>
                      <w:lang w:val="en-US" w:eastAsia="zh-CN"/>
                    </w:rPr>
                    <w:t>、废铅蓄电池</w:t>
                  </w:r>
                  <w:r>
                    <w:rPr>
                      <w:rFonts w:hint="default" w:ascii="Times New Roman" w:hAnsi="Times New Roman" w:eastAsia="宋体" w:cs="Times New Roman"/>
                      <w:color w:val="auto"/>
                      <w:sz w:val="21"/>
                      <w:szCs w:val="21"/>
                      <w:highlight w:val="none"/>
                      <w:vertAlign w:val="baseline"/>
                      <w:lang w:val="en-US" w:eastAsia="zh-CN"/>
                    </w:rPr>
                    <w:t>委托有危废处理资质单位处置。</w:t>
                  </w:r>
                </w:p>
              </w:tc>
              <w:tc>
                <w:tcPr>
                  <w:tcW w:w="470" w:type="pct"/>
                  <w:vAlign w:val="center"/>
                </w:tcPr>
                <w:p w14:paraId="6E566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bl>
          <w:p w14:paraId="0DF51A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因此，项目建设符合《输变电建设项目环境保护技术要求》。</w:t>
            </w:r>
          </w:p>
          <w:p w14:paraId="37AFEBD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lang w:val="en-US" w:eastAsia="zh-CN"/>
              </w:rPr>
              <w:t>1.</w:t>
            </w:r>
            <w:r>
              <w:rPr>
                <w:rFonts w:hint="eastAsia" w:ascii="Times New Roman" w:hAnsi="Times New Roman" w:eastAsia="宋体" w:cs="Times New Roman"/>
                <w:b/>
                <w:color w:val="auto"/>
                <w:kern w:val="0"/>
                <w:sz w:val="24"/>
                <w:szCs w:val="24"/>
                <w:highlight w:val="none"/>
                <w:lang w:val="en-US" w:eastAsia="zh-CN"/>
              </w:rPr>
              <w:t>4</w:t>
            </w:r>
            <w:r>
              <w:rPr>
                <w:rFonts w:hint="default" w:ascii="Times New Roman" w:hAnsi="Times New Roman" w:eastAsia="宋体" w:cs="Times New Roman"/>
                <w:b/>
                <w:color w:val="auto"/>
                <w:kern w:val="0"/>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《广灵县国土空间总体规划（2021-2035年）》符合性</w:t>
            </w:r>
          </w:p>
          <w:p w14:paraId="771629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规划范围</w:t>
            </w:r>
          </w:p>
          <w:p w14:paraId="08C88F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规划范围为广灵县行政辖区内全部陆域国土空间，包括壶泉镇、南村镇、作疃镇、梁庄镇、加斗镇、蕉山乡、宜兴乡、一斗泉乡，共8个乡镇。县域国土总面积1204.0651平方公里。</w:t>
            </w:r>
          </w:p>
          <w:p w14:paraId="5B60BCA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规划期限</w:t>
            </w:r>
          </w:p>
          <w:p w14:paraId="5A5715A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规划期限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2021-2035年。</w:t>
            </w:r>
          </w:p>
          <w:p w14:paraId="06DBF0D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基期年为2020年，近期到2025年，远期2035年，远景展望至2050年。</w:t>
            </w:r>
          </w:p>
          <w:p w14:paraId="75D28B6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发展定位</w:t>
            </w:r>
          </w:p>
          <w:p w14:paraId="56E5257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规划提出广灵县发展定位为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打造“一门户、三基地、两长廊”的发展格局。</w:t>
            </w:r>
          </w:p>
          <w:p w14:paraId="410A5B4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规划将广灵县战略定位为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晋北颐养度假后花园、塞北人文活力城、区域产业转型桥头堡。</w:t>
            </w:r>
          </w:p>
          <w:p w14:paraId="7E4AE35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城市性质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县域政治、经济、文化中心;大同市重要的东门户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以发展绿色农副产品加工业为主的生态休闲和文化旅游新型城市。</w:t>
            </w:r>
          </w:p>
          <w:p w14:paraId="143F059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）国土空间总体格局与结构</w:t>
            </w:r>
          </w:p>
          <w:p w14:paraId="67C8B30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统筹优化国土空间总体格局</w:t>
            </w:r>
          </w:p>
          <w:p w14:paraId="5DDD1AE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以资源环境承载能力和国土空间开发适宜性评价为基础，统筹生态、农业、城镇三大空间，推动形成开发和分类保护相适应的“一核两副两轴两区一廊道”国土空间开发保护格局，支撑全县高质量转型发展。</w:t>
            </w:r>
          </w:p>
          <w:p w14:paraId="589D4C3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维育山清水秀的生态空间</w:t>
            </w:r>
          </w:p>
          <w:p w14:paraId="6374032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结合广灵县域生态环境本底和基本特征，规划县域构建“三山环绕，一水一城多节点”的生态安全格局。</w:t>
            </w:r>
          </w:p>
          <w:p w14:paraId="26BBB4B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保障和谐共生的农业空间</w:t>
            </w:r>
          </w:p>
          <w:p w14:paraId="7682DA6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统筹全域农业生产，形成以畜牧业、小杂粮、林果业、蔬菜和食用菌、中药材五大支柱产业支撑的“一园区三区多基地”农业生产格局。</w:t>
            </w:r>
          </w:p>
          <w:p w14:paraId="0D3B722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建设集约高效的城镇空间</w:t>
            </w:r>
          </w:p>
          <w:p w14:paraId="71B6462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以定位科学、布局合理、协同发展为目标，优化打造“一核两副两带两区多点”的城镇空间发展格局。</w:t>
            </w:r>
          </w:p>
          <w:p w14:paraId="1EC6989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统筹划定“三条”控制线</w:t>
            </w:r>
          </w:p>
          <w:p w14:paraId="6510ED7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优先划定生态保护红线</w:t>
            </w:r>
            <w:r>
              <w:rPr>
                <w:rFonts w:hint="default" w:ascii="Times New Roman" w:hAnsi="Times New Roman" w:eastAsia="宋体" w:cs="Times New Roman"/>
                <w:color w:val="auto"/>
                <w:sz w:val="24"/>
                <w:szCs w:val="24"/>
                <w:highlight w:val="none"/>
                <w:lang w:eastAsia="zh-CN"/>
              </w:rPr>
              <w:t>：</w:t>
            </w:r>
          </w:p>
          <w:p w14:paraId="3569DA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红线内严禁不符合主体功能定位的各类开发活动，确保生态保护红线生态功能不降低、面积不减少、性质不改变。确立生态保护红线优先地位。生态保护红线划定后，相关规划要符合生态保护红线空间管控要求，不符合的要及时进行调整。</w:t>
            </w:r>
          </w:p>
          <w:p w14:paraId="759B436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严格保护永久基本农田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稳定永久基本农田保护数量，开展高标准农田建设提升保护质量，构建全面的永久基本农田保护体系。</w:t>
            </w:r>
          </w:p>
          <w:p w14:paraId="4C69E87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合理划定城镇开发边界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以国土空间适宜性评价为基础、资源承载力为约束，与生态保护线和永久基本农田保护线相协调，划定城市开发边界，防止城镇规模盲目扩张和建设用地无序蔓延，推动城镇由外延扩张向内涵提升转变。</w:t>
            </w:r>
          </w:p>
          <w:p w14:paraId="625456A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val="en-US" w:eastAsia="zh-CN"/>
              </w:rPr>
              <w:t>根据大同市国土空间控制线规划图和广灵县自然资源局出具的《关于火山云太行算力中心项目二期扩容220kV输变电工程路径征询意见的回函</w:t>
            </w:r>
            <w:r>
              <w:rPr>
                <w:rFonts w:hint="eastAsia" w:ascii="Times New Roman" w:hAnsi="Times New Roman" w:eastAsia="宋体" w:cs="Times New Roman"/>
                <w:color w:val="auto"/>
                <w:sz w:val="22"/>
                <w:szCs w:val="22"/>
                <w:highlight w:val="none"/>
                <w:lang w:val="en-US" w:eastAsia="zh-CN"/>
              </w:rPr>
              <w:t>》，项目不再广灵县城镇开发边界内，</w:t>
            </w:r>
            <w:r>
              <w:rPr>
                <w:rFonts w:hint="default" w:ascii="Times New Roman" w:hAnsi="Times New Roman" w:eastAsia="宋体" w:cs="Times New Roman"/>
                <w:color w:val="auto"/>
                <w:sz w:val="24"/>
                <w:szCs w:val="24"/>
                <w:highlight w:val="none"/>
                <w:lang w:val="en-US" w:eastAsia="zh-CN"/>
              </w:rPr>
              <w:t>项目与广灵县生态保护红线</w:t>
            </w:r>
            <w:r>
              <w:rPr>
                <w:rFonts w:hint="eastAsia" w:ascii="Times New Roman" w:hAnsi="Times New Roman" w:eastAsia="宋体" w:cs="Times New Roman"/>
                <w:color w:val="auto"/>
                <w:sz w:val="24"/>
                <w:szCs w:val="24"/>
                <w:highlight w:val="none"/>
                <w:lang w:val="en-US" w:eastAsia="zh-CN"/>
              </w:rPr>
              <w:t>不重叠，部分路径穿越</w:t>
            </w:r>
            <w:r>
              <w:rPr>
                <w:rFonts w:hint="default" w:ascii="Times New Roman" w:hAnsi="Times New Roman" w:eastAsia="宋体" w:cs="Times New Roman"/>
                <w:color w:val="auto"/>
                <w:sz w:val="24"/>
                <w:szCs w:val="24"/>
                <w:highlight w:val="none"/>
                <w:lang w:val="en-US" w:eastAsia="zh-CN"/>
              </w:rPr>
              <w:t>广灵县永久基本农田。</w:t>
            </w:r>
            <w:r>
              <w:rPr>
                <w:rFonts w:hint="eastAsia" w:ascii="Times New Roman" w:hAnsi="Times New Roman" w:eastAsia="宋体" w:cs="Times New Roman"/>
                <w:color w:val="auto"/>
                <w:sz w:val="24"/>
                <w:szCs w:val="24"/>
                <w:highlight w:val="none"/>
                <w:lang w:val="en-US" w:eastAsia="zh-CN"/>
              </w:rPr>
              <w:t>详见附图11。</w:t>
            </w:r>
          </w:p>
          <w:p w14:paraId="14A88B8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根据《山西省人民政府关于加快电网建设的意见》</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晋政发〔2007]6号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文，“输电线路走廊</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包括杆、塔基础</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原则不征地，只作一次性经济补偿”，本项目占用基本农田部分已按要求进行补偿。则本项目的建设符合《广灵县国土空间总体规划（2021-2035年）》</w:t>
            </w:r>
            <w:r>
              <w:rPr>
                <w:rFonts w:hint="eastAsia"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lang w:val="en-US" w:eastAsia="zh-CN"/>
              </w:rPr>
              <w:t>。</w:t>
            </w:r>
          </w:p>
          <w:p w14:paraId="56D81B7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zh-CN"/>
              </w:rPr>
            </w:pPr>
          </w:p>
          <w:p w14:paraId="7D14F69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Pr>
                <w:rFonts w:hint="default" w:ascii="Times New Roman" w:hAnsi="Times New Roman" w:eastAsia="宋体" w:cs="Times New Roman"/>
                <w:bCs/>
                <w:color w:val="auto"/>
                <w:sz w:val="24"/>
                <w:szCs w:val="24"/>
                <w:highlight w:val="none"/>
              </w:rPr>
            </w:pPr>
          </w:p>
        </w:tc>
      </w:tr>
    </w:tbl>
    <w:p w14:paraId="1197E7D4">
      <w:pPr>
        <w:wordWrap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46423356">
      <w:pPr>
        <w:pStyle w:val="46"/>
        <w:wordWrap w:val="0"/>
        <w:ind w:firstLine="0" w:firstLineChars="0"/>
        <w:jc w:val="center"/>
        <w:outlineLvl w:val="0"/>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二、建设内容</w:t>
      </w:r>
    </w:p>
    <w:tbl>
      <w:tblPr>
        <w:tblStyle w:val="28"/>
        <w:tblW w:w="957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28" w:type="dxa"/>
          <w:left w:w="85" w:type="dxa"/>
          <w:bottom w:w="28" w:type="dxa"/>
          <w:right w:w="85" w:type="dxa"/>
        </w:tblCellMar>
      </w:tblPr>
      <w:tblGrid>
        <w:gridCol w:w="987"/>
        <w:gridCol w:w="8592"/>
      </w:tblGrid>
      <w:tr w14:paraId="20D997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608" w:hRule="atLeast"/>
          <w:jc w:val="center"/>
        </w:trPr>
        <w:tc>
          <w:tcPr>
            <w:tcW w:w="987" w:type="dxa"/>
            <w:tcBorders>
              <w:top w:val="single" w:color="auto" w:sz="8" w:space="0"/>
              <w:bottom w:val="single" w:color="auto" w:sz="4" w:space="0"/>
              <w:right w:val="single" w:color="auto" w:sz="4" w:space="0"/>
            </w:tcBorders>
            <w:vAlign w:val="center"/>
          </w:tcPr>
          <w:p w14:paraId="7CE5D13F">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地理位置</w:t>
            </w:r>
          </w:p>
        </w:tc>
        <w:tc>
          <w:tcPr>
            <w:tcW w:w="8592" w:type="dxa"/>
            <w:tcBorders>
              <w:left w:val="single" w:color="auto" w:sz="4" w:space="0"/>
            </w:tcBorders>
            <w:vAlign w:val="center"/>
          </w:tcPr>
          <w:p w14:paraId="60B15B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color w:val="auto"/>
                <w:sz w:val="24"/>
                <w:szCs w:val="24"/>
                <w:highlight w:val="none"/>
                <w:lang w:val="en-US" w:eastAsia="zh-CN"/>
              </w:rPr>
              <w:t>火山云太行算力中心项目二期扩容220kV输变电工程</w:t>
            </w:r>
            <w:r>
              <w:rPr>
                <w:rFonts w:hint="default" w:ascii="Times New Roman" w:hAnsi="Times New Roman" w:eastAsia="宋体" w:cs="Times New Roman"/>
                <w:color w:val="auto"/>
                <w:sz w:val="24"/>
                <w:szCs w:val="24"/>
                <w:highlight w:val="none"/>
                <w:lang w:val="en-US" w:eastAsia="zh-CN"/>
              </w:rPr>
              <w:t>位于大同市广灵县。火山云太行算力中心项目二期扩容220kV</w:t>
            </w:r>
            <w:r>
              <w:rPr>
                <w:rFonts w:hint="eastAsia" w:ascii="Times New Roman" w:hAnsi="Times New Roman" w:eastAsia="宋体" w:cs="Times New Roman"/>
                <w:color w:val="auto"/>
                <w:sz w:val="24"/>
                <w:szCs w:val="24"/>
                <w:highlight w:val="none"/>
                <w:lang w:val="en-US" w:eastAsia="zh-CN"/>
              </w:rPr>
              <w:t>变电站位于大同市广灵县作疃镇将官庄村东南侧770m；过渡方案：“π”入火山云二期至壶泉站的220kV线路；终期方案：线路起于拟建大同东500kV汇集站，止于拟建二期扩容220kV变电站与二期220kV变电站。</w:t>
            </w:r>
            <w:r>
              <w:rPr>
                <w:rFonts w:hint="default" w:ascii="Times New Roman" w:hAnsi="Times New Roman" w:eastAsia="宋体" w:cs="Times New Roman"/>
                <w:color w:val="auto"/>
                <w:sz w:val="24"/>
                <w:szCs w:val="24"/>
                <w:highlight w:val="none"/>
                <w:lang w:val="zh-CN"/>
              </w:rPr>
              <w:t>项目地理位置图见附图1</w:t>
            </w:r>
            <w:r>
              <w:rPr>
                <w:rFonts w:hint="default" w:ascii="Times New Roman" w:hAnsi="Times New Roman" w:eastAsia="宋体" w:cs="Times New Roman"/>
                <w:color w:val="auto"/>
                <w:sz w:val="24"/>
                <w:szCs w:val="24"/>
                <w:highlight w:val="none"/>
              </w:rPr>
              <w:t>。</w:t>
            </w:r>
          </w:p>
        </w:tc>
      </w:tr>
      <w:tr w14:paraId="0045FC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0717" w:hRule="atLeast"/>
          <w:jc w:val="center"/>
        </w:trPr>
        <w:tc>
          <w:tcPr>
            <w:tcW w:w="987" w:type="dxa"/>
            <w:tcBorders>
              <w:top w:val="single" w:color="auto" w:sz="4" w:space="0"/>
              <w:bottom w:val="single" w:color="auto" w:sz="8" w:space="0"/>
              <w:right w:val="single" w:color="auto" w:sz="4" w:space="0"/>
            </w:tcBorders>
            <w:vAlign w:val="center"/>
          </w:tcPr>
          <w:p w14:paraId="53162351">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项目组成及规模</w:t>
            </w:r>
          </w:p>
        </w:tc>
        <w:tc>
          <w:tcPr>
            <w:tcW w:w="8592" w:type="dxa"/>
            <w:tcBorders>
              <w:left w:val="single" w:color="auto" w:sz="4" w:space="0"/>
            </w:tcBorders>
          </w:tcPr>
          <w:p w14:paraId="2E66F6B6">
            <w:pPr>
              <w:pStyle w:val="46"/>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val="en-US" w:eastAsia="zh-CN"/>
              </w:rPr>
              <w:t>.项目背景</w:t>
            </w:r>
          </w:p>
          <w:p w14:paraId="79C325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火山云太行算力中心位于大同市广灵经济技术开发区，主要经营数据处理和信息技术等相关业务。项目分两期建设，一期</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二期</w:t>
            </w:r>
            <w:r>
              <w:rPr>
                <w:rFonts w:hint="default" w:ascii="Times New Roman" w:hAnsi="Times New Roman" w:eastAsia="宋体" w:cs="Times New Roman"/>
                <w:color w:val="auto"/>
                <w:sz w:val="24"/>
                <w:szCs w:val="24"/>
                <w:highlight w:val="none"/>
              </w:rPr>
              <w:t>已</w:t>
            </w:r>
            <w:r>
              <w:rPr>
                <w:rFonts w:hint="eastAsia" w:ascii="Times New Roman" w:hAnsi="Times New Roman" w:eastAsia="宋体" w:cs="Times New Roman"/>
                <w:color w:val="auto"/>
                <w:sz w:val="24"/>
                <w:szCs w:val="24"/>
                <w:highlight w:val="none"/>
                <w:lang w:val="en-US" w:eastAsia="zh-CN"/>
              </w:rPr>
              <w:t>建设完成并投产，本次建设项目为二期扩容项目。</w:t>
            </w:r>
          </w:p>
          <w:p w14:paraId="6DC35C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1）变电站建设规模</w:t>
            </w:r>
          </w:p>
          <w:p w14:paraId="6DF25DD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①主变：建设3×150MVA，电压等级220/10.5/10.5kV：采用三相双分裂三绕组有载调压变压器。</w:t>
            </w:r>
          </w:p>
          <w:p w14:paraId="55BA7B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②出线规模：220kV出线规模3回，本期3回</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其中1回为预留新能源接线间隔)，终期3回。10kV出线规模为72回，本期出线72回。</w:t>
            </w:r>
          </w:p>
          <w:p w14:paraId="11C88FE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③无功补偿：暂定按每台主变压器低压侧装设容量为4×8Mvar的电容器考虑。</w:t>
            </w:r>
          </w:p>
          <w:p w14:paraId="1418A6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（2）线路建设规模：</w:t>
            </w:r>
          </w:p>
          <w:p w14:paraId="01BA8F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本工程为火山云太行算力中心项目二期扩容220kV输变电工程，包含两期220kV线路工程。</w:t>
            </w:r>
          </w:p>
          <w:p w14:paraId="747A835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过渡方案：火山云太行算力中心项目二期扩容220kV输变电工程新建220kV变电站1座，“π”入火山云二期至壶泉站的220kV线路。π接线路长度约2×0.5km，全线单回路架设，曲折系数1.25（航空距离0.4km），线路途径大同市广灵县。新建线路导线：采用2×JL/G1A-400/35钢芯铝绞线；地线：2根均采用48芯0PGW复合光缆。</w:t>
            </w:r>
          </w:p>
          <w:p w14:paraId="613741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终期方案：线路起于拟建大同东500kV汇集站，止于拟建二期扩容220kV变电站与二期220kV变电站，新建线路全长2×21.5km，全线同塔双回路架设，曲折系数1.27（航空距离17km），线路途径大同市广灵县。新建线路导线：采用2×JL/G1A-400/35钢芯铝绞线；地线：2根均采用48芯0PGW复合光缆。</w:t>
            </w:r>
          </w:p>
          <w:p w14:paraId="6124AD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的建设符合《山西省国民经济和社会发展第十四个五年规划和2035年远景目标纲要》和《山西省国民经济和社会发展第十四个五年规划》中的要求，可“加快推动数字产业化，加快推动产业数字化”，推动经济社会数字化转型，加快制造业、农业、服务业数字化、网络化、智能化。项目的建设符合《大同市国民经济和社会发展第十四个五年规划和2035年远景目标纲要》和《大同市国民经济和社会发展第十四个五年规划和2035年远景目标纲要》中的要求，可加快“数字大同”建设，将大数据产业打造成为推动区域转型发展的新引擎。项目建设是推动数据经济行业发展的需要，是助力社会经济高质量发展的需要，是企业信息化建设中的必经阶段，因此建设本项目是十分必要的。</w:t>
            </w:r>
          </w:p>
          <w:p w14:paraId="7B5CA6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日，大同市行政审批服务管理局以</w:t>
            </w:r>
            <w:r>
              <w:rPr>
                <w:rFonts w:hint="default" w:ascii="Times New Roman" w:hAnsi="Times New Roman" w:eastAsia="宋体" w:cs="Times New Roman"/>
                <w:color w:val="auto"/>
                <w:sz w:val="24"/>
                <w:szCs w:val="24"/>
                <w:highlight w:val="none"/>
                <w:lang w:eastAsia="zh-CN"/>
              </w:rPr>
              <w:t>“同审管投资发</w:t>
            </w:r>
            <w:r>
              <w:rPr>
                <w:rFonts w:hint="eastAsia" w:ascii="微软雅黑" w:hAnsi="微软雅黑" w:eastAsia="微软雅黑" w:cs="微软雅黑"/>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2025</w:t>
            </w:r>
            <w:r>
              <w:rPr>
                <w:rFonts w:hint="eastAsia" w:ascii="微软雅黑" w:hAnsi="微软雅黑" w:eastAsia="微软雅黑" w:cs="微软雅黑"/>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160</w:t>
            </w:r>
            <w:r>
              <w:rPr>
                <w:rFonts w:hint="default" w:ascii="Times New Roman" w:hAnsi="Times New Roman" w:eastAsia="宋体" w:cs="Times New Roman"/>
                <w:color w:val="auto"/>
                <w:sz w:val="24"/>
                <w:szCs w:val="24"/>
                <w:highlight w:val="none"/>
                <w:lang w:eastAsia="zh-CN"/>
              </w:rPr>
              <w:t>号”</w:t>
            </w:r>
            <w:r>
              <w:rPr>
                <w:rFonts w:hint="default" w:ascii="Times New Roman" w:hAnsi="Times New Roman" w:eastAsia="宋体" w:cs="Times New Roman"/>
                <w:color w:val="auto"/>
                <w:sz w:val="24"/>
                <w:szCs w:val="24"/>
                <w:highlight w:val="none"/>
                <w:lang w:val="en-US" w:eastAsia="zh-CN"/>
              </w:rPr>
              <w:t>对“</w:t>
            </w:r>
            <w:r>
              <w:rPr>
                <w:rFonts w:hint="eastAsia" w:ascii="Times New Roman" w:hAnsi="Times New Roman" w:eastAsia="宋体" w:cs="Times New Roman"/>
                <w:color w:val="auto"/>
                <w:sz w:val="24"/>
                <w:szCs w:val="24"/>
                <w:highlight w:val="none"/>
                <w:lang w:val="en-US" w:eastAsia="zh-CN"/>
              </w:rPr>
              <w:t>火山云太行算力中心项目二期扩容220kV输变电工程</w:t>
            </w:r>
            <w:r>
              <w:rPr>
                <w:rFonts w:hint="default" w:ascii="Times New Roman" w:hAnsi="Times New Roman" w:eastAsia="宋体" w:cs="Times New Roman"/>
                <w:color w:val="auto"/>
                <w:sz w:val="24"/>
                <w:szCs w:val="24"/>
                <w:highlight w:val="none"/>
                <w:lang w:val="en-US" w:eastAsia="zh-CN"/>
              </w:rPr>
              <w:t>”核准的批复</w:t>
            </w:r>
            <w:r>
              <w:rPr>
                <w:rFonts w:hint="default" w:ascii="Times New Roman" w:hAnsi="Times New Roman" w:eastAsia="宋体" w:cs="Times New Roman"/>
                <w:color w:val="auto"/>
                <w:sz w:val="24"/>
                <w:szCs w:val="24"/>
                <w:highlight w:val="none"/>
              </w:rPr>
              <w:t>进行了核准批复。</w:t>
            </w:r>
          </w:p>
          <w:p w14:paraId="2760753B">
            <w:pPr>
              <w:pStyle w:val="46"/>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2.项目</w:t>
            </w:r>
            <w:r>
              <w:rPr>
                <w:rFonts w:hint="default" w:ascii="Times New Roman" w:hAnsi="Times New Roman" w:eastAsia="宋体" w:cs="Times New Roman"/>
                <w:b/>
                <w:color w:val="auto"/>
                <w:sz w:val="24"/>
                <w:szCs w:val="24"/>
                <w:highlight w:val="none"/>
                <w:lang w:val="en-US" w:eastAsia="zh-CN"/>
              </w:rPr>
              <w:t>组成</w:t>
            </w:r>
          </w:p>
          <w:p w14:paraId="40AAC5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项目组成见下表。</w:t>
            </w:r>
          </w:p>
          <w:p w14:paraId="21A594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 xml:space="preserve">表2-1  </w:t>
            </w:r>
            <w:r>
              <w:rPr>
                <w:rFonts w:hint="default" w:ascii="Times New Roman" w:hAnsi="Times New Roman" w:eastAsia="宋体" w:cs="Times New Roman"/>
                <w:b/>
                <w:color w:val="auto"/>
                <w:kern w:val="0"/>
                <w:sz w:val="21"/>
                <w:szCs w:val="21"/>
                <w:highlight w:val="none"/>
                <w:lang w:val="en-US" w:eastAsia="zh-CN"/>
              </w:rPr>
              <w:t>项目组成</w:t>
            </w:r>
            <w:r>
              <w:rPr>
                <w:rFonts w:hint="default" w:ascii="Times New Roman" w:hAnsi="Times New Roman" w:eastAsia="宋体" w:cs="Times New Roman"/>
                <w:b/>
                <w:color w:val="auto"/>
                <w:kern w:val="0"/>
                <w:sz w:val="21"/>
                <w:szCs w:val="21"/>
                <w:highlight w:val="none"/>
              </w:rPr>
              <w:t>表</w:t>
            </w:r>
          </w:p>
          <w:tbl>
            <w:tblPr>
              <w:tblStyle w:val="27"/>
              <w:tblW w:w="498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8"/>
              <w:gridCol w:w="2142"/>
              <w:gridCol w:w="5811"/>
            </w:tblGrid>
            <w:tr w14:paraId="5C286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2" w:hRule="atLeast"/>
                <w:jc w:val="center"/>
              </w:trPr>
              <w:tc>
                <w:tcPr>
                  <w:tcW w:w="1533" w:type="pct"/>
                  <w:gridSpan w:val="2"/>
                  <w:tcBorders>
                    <w:tl2br w:val="nil"/>
                    <w:tr2bl w:val="nil"/>
                  </w:tcBorders>
                  <w:vAlign w:val="center"/>
                </w:tcPr>
                <w:p w14:paraId="42C98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项目</w:t>
                  </w:r>
                </w:p>
              </w:tc>
              <w:tc>
                <w:tcPr>
                  <w:tcW w:w="3466" w:type="pct"/>
                  <w:tcBorders>
                    <w:tl2br w:val="nil"/>
                    <w:tr2bl w:val="nil"/>
                  </w:tcBorders>
                  <w:vAlign w:val="center"/>
                </w:tcPr>
                <w:p w14:paraId="363AF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工程概况</w:t>
                  </w:r>
                </w:p>
              </w:tc>
            </w:tr>
            <w:tr w14:paraId="3255F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32" w:hRule="atLeast"/>
                <w:jc w:val="center"/>
              </w:trPr>
              <w:tc>
                <w:tcPr>
                  <w:tcW w:w="1533" w:type="pct"/>
                  <w:gridSpan w:val="2"/>
                  <w:tcBorders>
                    <w:tl2br w:val="nil"/>
                    <w:tr2bl w:val="nil"/>
                  </w:tcBorders>
                  <w:vAlign w:val="center"/>
                </w:tcPr>
                <w:p w14:paraId="2A30A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项目名称</w:t>
                  </w:r>
                </w:p>
              </w:tc>
              <w:tc>
                <w:tcPr>
                  <w:tcW w:w="3466" w:type="pct"/>
                  <w:tcBorders>
                    <w:tl2br w:val="nil"/>
                    <w:tr2bl w:val="nil"/>
                  </w:tcBorders>
                  <w:vAlign w:val="center"/>
                </w:tcPr>
                <w:p w14:paraId="0AD05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lang w:val="en-US" w:eastAsia="zh-CN"/>
                    </w:rPr>
                  </w:pPr>
                  <w:r>
                    <w:rPr>
                      <w:rFonts w:hint="eastAsia" w:ascii="Times New Roman" w:hAnsi="Times New Roman" w:eastAsia="宋体" w:cs="Times New Roman"/>
                      <w:color w:val="auto"/>
                      <w:kern w:val="2"/>
                      <w:sz w:val="21"/>
                      <w:szCs w:val="21"/>
                      <w:highlight w:val="none"/>
                      <w:lang w:val="en-US" w:eastAsia="zh-CN" w:bidi="ar-SA"/>
                    </w:rPr>
                    <w:t>火山云太行算力中心项目二期扩容220kV输变电工程</w:t>
                  </w:r>
                </w:p>
              </w:tc>
            </w:tr>
            <w:tr w14:paraId="2018F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533" w:type="pct"/>
                  <w:gridSpan w:val="2"/>
                  <w:tcBorders>
                    <w:tl2br w:val="nil"/>
                    <w:tr2bl w:val="nil"/>
                  </w:tcBorders>
                  <w:vAlign w:val="center"/>
                </w:tcPr>
                <w:p w14:paraId="4C9B6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p>
              </w:tc>
              <w:tc>
                <w:tcPr>
                  <w:tcW w:w="3466" w:type="pct"/>
                  <w:tcBorders>
                    <w:tl2br w:val="nil"/>
                    <w:tr2bl w:val="nil"/>
                  </w:tcBorders>
                  <w:vAlign w:val="center"/>
                </w:tcPr>
                <w:p w14:paraId="300DE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火山云（大同）科技有限公司</w:t>
                  </w:r>
                </w:p>
              </w:tc>
            </w:tr>
            <w:tr w14:paraId="55F1F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533" w:type="pct"/>
                  <w:gridSpan w:val="2"/>
                  <w:tcBorders>
                    <w:tl2br w:val="nil"/>
                    <w:tr2bl w:val="nil"/>
                  </w:tcBorders>
                  <w:vAlign w:val="center"/>
                </w:tcPr>
                <w:p w14:paraId="18CCF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建设性质</w:t>
                  </w:r>
                </w:p>
              </w:tc>
              <w:tc>
                <w:tcPr>
                  <w:tcW w:w="3466" w:type="pct"/>
                  <w:tcBorders>
                    <w:tl2br w:val="nil"/>
                    <w:tr2bl w:val="nil"/>
                  </w:tcBorders>
                  <w:vAlign w:val="center"/>
                </w:tcPr>
                <w:p w14:paraId="0A724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5A2D9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533" w:type="pct"/>
                  <w:gridSpan w:val="2"/>
                  <w:tcBorders>
                    <w:tl2br w:val="nil"/>
                    <w:tr2bl w:val="nil"/>
                  </w:tcBorders>
                  <w:vAlign w:val="center"/>
                </w:tcPr>
                <w:p w14:paraId="2E1BE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工程地理位置</w:t>
                  </w:r>
                </w:p>
              </w:tc>
              <w:tc>
                <w:tcPr>
                  <w:tcW w:w="3466" w:type="pct"/>
                  <w:tcBorders>
                    <w:tl2br w:val="nil"/>
                    <w:tr2bl w:val="nil"/>
                  </w:tcBorders>
                  <w:vAlign w:val="center"/>
                </w:tcPr>
                <w:p w14:paraId="746B5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山西省大同市</w:t>
                  </w:r>
                  <w:r>
                    <w:rPr>
                      <w:rFonts w:hint="default" w:ascii="Times New Roman" w:hAnsi="Times New Roman" w:eastAsia="宋体" w:cs="Times New Roman"/>
                      <w:color w:val="auto"/>
                      <w:szCs w:val="21"/>
                      <w:highlight w:val="none"/>
                      <w:lang w:val="zh-CN" w:eastAsia="zh-CN"/>
                    </w:rPr>
                    <w:t>广灵县</w:t>
                  </w:r>
                </w:p>
              </w:tc>
            </w:tr>
            <w:tr w14:paraId="12B25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533" w:type="pct"/>
                  <w:gridSpan w:val="2"/>
                  <w:tcBorders>
                    <w:tl2br w:val="nil"/>
                    <w:tr2bl w:val="nil"/>
                  </w:tcBorders>
                  <w:vAlign w:val="center"/>
                </w:tcPr>
                <w:p w14:paraId="3D4E2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主要建设内容</w:t>
                  </w:r>
                </w:p>
              </w:tc>
              <w:tc>
                <w:tcPr>
                  <w:tcW w:w="3466" w:type="pct"/>
                  <w:tcBorders>
                    <w:tl2br w:val="nil"/>
                    <w:tr2bl w:val="nil"/>
                  </w:tcBorders>
                  <w:vAlign w:val="center"/>
                </w:tcPr>
                <w:p w14:paraId="4F3A1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新建火山云太行算力中心项目二期扩容220kV变电站1座</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“π”入火山云二期至壶泉站的220kV线路</w:t>
                  </w:r>
                  <w:r>
                    <w:rPr>
                      <w:rFonts w:hint="eastAsia" w:ascii="Times New Roman" w:hAnsi="Times New Roman" w:eastAsia="宋体" w:cs="Times New Roman"/>
                      <w:color w:val="auto"/>
                      <w:szCs w:val="21"/>
                      <w:highlight w:val="none"/>
                      <w:lang w:val="en-US" w:eastAsia="zh-CN"/>
                    </w:rPr>
                    <w:t>工程（3）</w:t>
                  </w:r>
                  <w:r>
                    <w:rPr>
                      <w:rFonts w:hint="default" w:ascii="Times New Roman" w:hAnsi="Times New Roman" w:eastAsia="宋体" w:cs="Times New Roman"/>
                      <w:color w:val="auto"/>
                      <w:szCs w:val="21"/>
                      <w:highlight w:val="none"/>
                      <w:lang w:val="en-US" w:eastAsia="zh-CN"/>
                    </w:rPr>
                    <w:t>线路起于拟建大同东500kV汇集站，止于拟建二期扩容220kV变电站与二期220kV变电站</w:t>
                  </w:r>
                  <w:r>
                    <w:rPr>
                      <w:rFonts w:hint="eastAsia" w:ascii="Times New Roman" w:hAnsi="Times New Roman" w:eastAsia="宋体" w:cs="Times New Roman"/>
                      <w:color w:val="auto"/>
                      <w:szCs w:val="21"/>
                      <w:highlight w:val="none"/>
                      <w:lang w:val="en-US" w:eastAsia="zh-CN"/>
                    </w:rPr>
                    <w:t>。</w:t>
                  </w:r>
                </w:p>
              </w:tc>
            </w:tr>
            <w:tr w14:paraId="046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533" w:type="pct"/>
                  <w:gridSpan w:val="2"/>
                  <w:tcBorders>
                    <w:tl2br w:val="nil"/>
                    <w:tr2bl w:val="nil"/>
                  </w:tcBorders>
                  <w:vAlign w:val="center"/>
                </w:tcPr>
                <w:p w14:paraId="1C7BE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项目总投资</w:t>
                  </w:r>
                </w:p>
              </w:tc>
              <w:tc>
                <w:tcPr>
                  <w:tcW w:w="3466" w:type="pct"/>
                  <w:tcBorders>
                    <w:tl2br w:val="nil"/>
                    <w:tr2bl w:val="nil"/>
                  </w:tcBorders>
                  <w:vAlign w:val="center"/>
                </w:tcPr>
                <w:p w14:paraId="6CE70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22986</w:t>
                  </w:r>
                  <w:r>
                    <w:rPr>
                      <w:rFonts w:hint="default" w:ascii="Times New Roman" w:hAnsi="Times New Roman" w:eastAsia="宋体" w:cs="Times New Roman"/>
                      <w:color w:val="auto"/>
                      <w:szCs w:val="21"/>
                      <w:highlight w:val="none"/>
                    </w:rPr>
                    <w:t>万元</w:t>
                  </w:r>
                </w:p>
              </w:tc>
            </w:tr>
            <w:tr w14:paraId="47131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000" w:type="pct"/>
                  <w:gridSpan w:val="3"/>
                  <w:tcBorders>
                    <w:tl2br w:val="nil"/>
                    <w:tr2bl w:val="nil"/>
                  </w:tcBorders>
                  <w:vAlign w:val="center"/>
                </w:tcPr>
                <w:p w14:paraId="57099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rPr>
                    <w:t>变电站</w:t>
                  </w:r>
                  <w:r>
                    <w:rPr>
                      <w:rFonts w:hint="default" w:ascii="Times New Roman" w:hAnsi="Times New Roman" w:eastAsia="宋体" w:cs="Times New Roman"/>
                      <w:b/>
                      <w:bCs/>
                      <w:color w:val="auto"/>
                      <w:szCs w:val="21"/>
                      <w:highlight w:val="none"/>
                      <w:lang w:val="en-US" w:eastAsia="zh-CN"/>
                    </w:rPr>
                    <w:t>工程</w:t>
                  </w:r>
                  <w:r>
                    <w:rPr>
                      <w:rFonts w:hint="eastAsia" w:ascii="Times New Roman" w:hAnsi="Times New Roman" w:eastAsia="宋体" w:cs="Times New Roman"/>
                      <w:b/>
                      <w:bCs/>
                      <w:color w:val="auto"/>
                      <w:szCs w:val="21"/>
                      <w:highlight w:val="none"/>
                      <w:lang w:val="en-US" w:eastAsia="zh-CN"/>
                    </w:rPr>
                    <w:t>（火山云太行算力中心项目二期扩容220kV变电站）</w:t>
                  </w:r>
                </w:p>
              </w:tc>
            </w:tr>
            <w:tr w14:paraId="11AA6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533" w:type="pct"/>
                  <w:gridSpan w:val="2"/>
                  <w:tcBorders>
                    <w:tl2br w:val="nil"/>
                    <w:tr2bl w:val="nil"/>
                  </w:tcBorders>
                  <w:vAlign w:val="center"/>
                </w:tcPr>
                <w:p w14:paraId="4A5F6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站址位置</w:t>
                  </w:r>
                </w:p>
              </w:tc>
              <w:tc>
                <w:tcPr>
                  <w:tcW w:w="3466" w:type="pct"/>
                  <w:tcBorders>
                    <w:tl2br w:val="nil"/>
                    <w:tr2bl w:val="nil"/>
                  </w:tcBorders>
                  <w:vAlign w:val="center"/>
                </w:tcPr>
                <w:p w14:paraId="3D509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lang w:val="en-US" w:eastAsia="zh-CN"/>
                    </w:rPr>
                    <w:t>山西省大同市</w:t>
                  </w:r>
                  <w:r>
                    <w:rPr>
                      <w:rFonts w:hint="default" w:ascii="Times New Roman" w:hAnsi="Times New Roman" w:eastAsia="宋体" w:cs="Times New Roman"/>
                      <w:color w:val="auto"/>
                      <w:szCs w:val="21"/>
                      <w:highlight w:val="none"/>
                      <w:lang w:val="zh-CN" w:eastAsia="zh-CN"/>
                    </w:rPr>
                    <w:t>广灵县大同市广灵县作疃镇将官庄村东南侧770m</w:t>
                  </w:r>
                </w:p>
              </w:tc>
            </w:tr>
            <w:tr w14:paraId="4C0E2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533" w:type="pct"/>
                  <w:gridSpan w:val="2"/>
                  <w:tcBorders>
                    <w:tl2br w:val="nil"/>
                    <w:tr2bl w:val="nil"/>
                  </w:tcBorders>
                  <w:vAlign w:val="center"/>
                </w:tcPr>
                <w:p w14:paraId="563A5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占地面积</w:t>
                  </w:r>
                </w:p>
              </w:tc>
              <w:tc>
                <w:tcPr>
                  <w:tcW w:w="3466" w:type="pct"/>
                  <w:tcBorders>
                    <w:tl2br w:val="nil"/>
                    <w:tr2bl w:val="nil"/>
                  </w:tcBorders>
                  <w:vAlign w:val="center"/>
                </w:tcPr>
                <w:p w14:paraId="684A4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2230.94m</w:t>
                  </w:r>
                  <w:r>
                    <w:rPr>
                      <w:rFonts w:hint="eastAsia" w:ascii="Times New Roman" w:hAnsi="Times New Roman" w:eastAsia="宋体" w:cs="Times New Roman"/>
                      <w:b w:val="0"/>
                      <w:bCs w:val="0"/>
                      <w:color w:val="auto"/>
                      <w:szCs w:val="21"/>
                      <w:highlight w:val="none"/>
                      <w:vertAlign w:val="superscript"/>
                      <w:lang w:val="en-US" w:eastAsia="zh-CN"/>
                    </w:rPr>
                    <w:t>2</w:t>
                  </w:r>
                </w:p>
              </w:tc>
            </w:tr>
            <w:tr w14:paraId="31A45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533" w:type="pct"/>
                  <w:gridSpan w:val="2"/>
                  <w:tcBorders>
                    <w:tl2br w:val="nil"/>
                    <w:tr2bl w:val="nil"/>
                  </w:tcBorders>
                  <w:vAlign w:val="center"/>
                </w:tcPr>
                <w:p w14:paraId="4AC3C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电压等级</w:t>
                  </w:r>
                </w:p>
              </w:tc>
              <w:tc>
                <w:tcPr>
                  <w:tcW w:w="3466" w:type="pct"/>
                  <w:tcBorders>
                    <w:tl2br w:val="nil"/>
                    <w:tr2bl w:val="nil"/>
                  </w:tcBorders>
                  <w:vAlign w:val="center"/>
                </w:tcPr>
                <w:p w14:paraId="53D1B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220/10.5/10.5kV</w:t>
                  </w:r>
                </w:p>
              </w:tc>
            </w:tr>
            <w:tr w14:paraId="0711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4BE9D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w:t>
                  </w:r>
                </w:p>
                <w:p w14:paraId="6FA8F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color w:val="auto"/>
                      <w:szCs w:val="21"/>
                      <w:highlight w:val="none"/>
                    </w:rPr>
                    <w:t>工程</w:t>
                  </w:r>
                </w:p>
              </w:tc>
              <w:tc>
                <w:tcPr>
                  <w:tcW w:w="1278" w:type="pct"/>
                  <w:tcBorders>
                    <w:tl2br w:val="nil"/>
                    <w:tr2bl w:val="nil"/>
                  </w:tcBorders>
                  <w:shd w:val="clear" w:color="auto" w:fill="auto"/>
                  <w:vAlign w:val="center"/>
                </w:tcPr>
                <w:p w14:paraId="7A7E4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主变压器</w:t>
                  </w:r>
                </w:p>
              </w:tc>
              <w:tc>
                <w:tcPr>
                  <w:tcW w:w="3466" w:type="pct"/>
                  <w:tcBorders>
                    <w:tl2br w:val="nil"/>
                    <w:tr2bl w:val="nil"/>
                  </w:tcBorders>
                  <w:shd w:val="clear" w:color="auto" w:fill="auto"/>
                  <w:vAlign w:val="center"/>
                </w:tcPr>
                <w:p w14:paraId="18DBE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3×150</w:t>
                  </w:r>
                  <w:r>
                    <w:rPr>
                      <w:rFonts w:hint="eastAsia" w:ascii="Times New Roman" w:hAnsi="Times New Roman" w:eastAsia="宋体" w:cs="Times New Roman"/>
                      <w:b w:val="0"/>
                      <w:bCs w:val="0"/>
                      <w:color w:val="auto"/>
                      <w:szCs w:val="21"/>
                      <w:highlight w:val="none"/>
                      <w:lang w:val="en-US" w:eastAsia="zh-CN"/>
                    </w:rPr>
                    <w:t>MVA，全户内设置</w:t>
                  </w:r>
                </w:p>
              </w:tc>
            </w:tr>
            <w:tr w14:paraId="45AC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15" w:hRule="atLeast"/>
                <w:jc w:val="center"/>
              </w:trPr>
              <w:tc>
                <w:tcPr>
                  <w:tcW w:w="255" w:type="pct"/>
                  <w:vMerge w:val="continue"/>
                  <w:tcBorders>
                    <w:tl2br w:val="nil"/>
                    <w:tr2bl w:val="nil"/>
                  </w:tcBorders>
                  <w:vAlign w:val="center"/>
                </w:tcPr>
                <w:p w14:paraId="0ED22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p>
              </w:tc>
              <w:tc>
                <w:tcPr>
                  <w:tcW w:w="1278" w:type="pct"/>
                  <w:tcBorders>
                    <w:tl2br w:val="nil"/>
                    <w:tr2bl w:val="nil"/>
                  </w:tcBorders>
                  <w:vAlign w:val="center"/>
                </w:tcPr>
                <w:p w14:paraId="01885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出线回数</w:t>
                  </w:r>
                </w:p>
              </w:tc>
              <w:tc>
                <w:tcPr>
                  <w:tcW w:w="3466" w:type="pct"/>
                  <w:tcBorders>
                    <w:tl2br w:val="nil"/>
                    <w:tr2bl w:val="nil"/>
                  </w:tcBorders>
                  <w:vAlign w:val="center"/>
                </w:tcPr>
                <w:p w14:paraId="0C5F8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220kV出线远期3回，本期建设</w:t>
                  </w:r>
                  <w:r>
                    <w:rPr>
                      <w:rFonts w:hint="eastAsia" w:ascii="Times New Roman" w:hAnsi="Times New Roman" w:eastAsia="宋体" w:cs="Times New Roman"/>
                      <w:b w:val="0"/>
                      <w:bCs w:val="0"/>
                      <w:color w:val="auto"/>
                      <w:szCs w:val="21"/>
                      <w:highlight w:val="none"/>
                      <w:lang w:val="en-US" w:eastAsia="zh-CN"/>
                    </w:rPr>
                    <w:t>3</w:t>
                  </w:r>
                  <w:r>
                    <w:rPr>
                      <w:rFonts w:hint="default" w:ascii="Times New Roman" w:hAnsi="Times New Roman" w:eastAsia="宋体" w:cs="Times New Roman"/>
                      <w:b w:val="0"/>
                      <w:bCs w:val="0"/>
                      <w:color w:val="auto"/>
                      <w:szCs w:val="21"/>
                      <w:highlight w:val="none"/>
                      <w:lang w:val="en-US" w:eastAsia="zh-CN"/>
                    </w:rPr>
                    <w:t>回</w:t>
                  </w:r>
                  <w:r>
                    <w:rPr>
                      <w:rFonts w:hint="eastAsia" w:ascii="Times New Roman" w:hAnsi="Times New Roman" w:eastAsia="宋体" w:cs="Times New Roman"/>
                      <w:b w:val="0"/>
                      <w:bCs w:val="0"/>
                      <w:color w:val="auto"/>
                      <w:szCs w:val="21"/>
                      <w:highlight w:val="none"/>
                      <w:lang w:val="en-US" w:eastAsia="zh-CN"/>
                    </w:rPr>
                    <w:t>（其中1回为预留新能源接线间隔），终期3回。10kV 出线规模为72 回，</w:t>
                  </w:r>
                  <w:r>
                    <w:rPr>
                      <w:rFonts w:hint="default" w:ascii="Times New Roman" w:hAnsi="Times New Roman" w:eastAsia="宋体" w:cs="Times New Roman"/>
                      <w:b w:val="0"/>
                      <w:bCs w:val="0"/>
                      <w:color w:val="auto"/>
                      <w:szCs w:val="21"/>
                      <w:highlight w:val="none"/>
                      <w:lang w:val="en-US" w:eastAsia="zh-CN"/>
                    </w:rPr>
                    <w:t>本期</w:t>
                  </w:r>
                  <w:r>
                    <w:rPr>
                      <w:rFonts w:hint="eastAsia" w:ascii="Times New Roman" w:hAnsi="Times New Roman" w:eastAsia="宋体" w:cs="Times New Roman"/>
                      <w:b w:val="0"/>
                      <w:bCs w:val="0"/>
                      <w:color w:val="auto"/>
                      <w:szCs w:val="21"/>
                      <w:highlight w:val="none"/>
                      <w:lang w:val="en-US" w:eastAsia="zh-CN"/>
                    </w:rPr>
                    <w:t>出线72</w:t>
                  </w:r>
                  <w:r>
                    <w:rPr>
                      <w:rFonts w:hint="default" w:ascii="Times New Roman" w:hAnsi="Times New Roman" w:eastAsia="宋体" w:cs="Times New Roman"/>
                      <w:b w:val="0"/>
                      <w:bCs w:val="0"/>
                      <w:color w:val="auto"/>
                      <w:szCs w:val="21"/>
                      <w:highlight w:val="none"/>
                      <w:lang w:val="en-US" w:eastAsia="zh-CN"/>
                    </w:rPr>
                    <w:t>回</w:t>
                  </w:r>
                </w:p>
              </w:tc>
            </w:tr>
            <w:tr w14:paraId="53BA7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7F334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p>
              </w:tc>
              <w:tc>
                <w:tcPr>
                  <w:tcW w:w="1278" w:type="pct"/>
                  <w:tcBorders>
                    <w:tl2br w:val="nil"/>
                    <w:tr2bl w:val="nil"/>
                  </w:tcBorders>
                  <w:vAlign w:val="center"/>
                </w:tcPr>
                <w:p w14:paraId="31383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出线型式</w:t>
                  </w:r>
                </w:p>
              </w:tc>
              <w:tc>
                <w:tcPr>
                  <w:tcW w:w="3466" w:type="pct"/>
                  <w:tcBorders>
                    <w:tl2br w:val="nil"/>
                    <w:tr2bl w:val="nil"/>
                  </w:tcBorders>
                  <w:vAlign w:val="center"/>
                </w:tcPr>
                <w:p w14:paraId="78944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架空</w:t>
                  </w:r>
                </w:p>
              </w:tc>
            </w:tr>
            <w:tr w14:paraId="4A823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76408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p>
              </w:tc>
              <w:tc>
                <w:tcPr>
                  <w:tcW w:w="1278" w:type="pct"/>
                  <w:tcBorders>
                    <w:tl2br w:val="nil"/>
                    <w:tr2bl w:val="nil"/>
                  </w:tcBorders>
                  <w:vAlign w:val="center"/>
                </w:tcPr>
                <w:p w14:paraId="3B700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低压电容器</w:t>
                  </w:r>
                </w:p>
              </w:tc>
              <w:tc>
                <w:tcPr>
                  <w:tcW w:w="3466" w:type="pct"/>
                  <w:tcBorders>
                    <w:tl2br w:val="nil"/>
                    <w:tr2bl w:val="nil"/>
                  </w:tcBorders>
                  <w:vAlign w:val="center"/>
                </w:tcPr>
                <w:p w14:paraId="1E5AE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w:t>
                  </w:r>
                  <w:r>
                    <w:rPr>
                      <w:rFonts w:hint="default" w:ascii="Times New Roman" w:hAnsi="Times New Roman" w:eastAsia="宋体" w:cs="Times New Roman"/>
                      <w:b w:val="0"/>
                      <w:bCs w:val="0"/>
                      <w:color w:val="auto"/>
                      <w:szCs w:val="21"/>
                      <w:highlight w:val="none"/>
                      <w:lang w:val="en-US" w:eastAsia="zh-CN"/>
                    </w:rPr>
                    <w:t>×</w:t>
                  </w:r>
                  <w:r>
                    <w:rPr>
                      <w:rFonts w:hint="eastAsia" w:ascii="Times New Roman" w:hAnsi="Times New Roman" w:eastAsia="宋体" w:cs="Times New Roman"/>
                      <w:b w:val="0"/>
                      <w:bCs w:val="0"/>
                      <w:color w:val="auto"/>
                      <w:szCs w:val="21"/>
                      <w:highlight w:val="none"/>
                      <w:lang w:val="en-US" w:eastAsia="zh-CN"/>
                    </w:rPr>
                    <w:t>8</w:t>
                  </w:r>
                  <w:r>
                    <w:rPr>
                      <w:rFonts w:hint="default" w:ascii="Times New Roman" w:hAnsi="Times New Roman" w:eastAsia="宋体" w:cs="Times New Roman"/>
                      <w:b w:val="0"/>
                      <w:bCs w:val="0"/>
                      <w:color w:val="auto"/>
                      <w:szCs w:val="21"/>
                      <w:highlight w:val="none"/>
                      <w:lang w:val="en-US" w:eastAsia="zh-CN"/>
                    </w:rPr>
                    <w:t>Mvar</w:t>
                  </w:r>
                </w:p>
              </w:tc>
            </w:tr>
            <w:tr w14:paraId="391C2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2EF39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公用工程</w:t>
                  </w:r>
                </w:p>
              </w:tc>
              <w:tc>
                <w:tcPr>
                  <w:tcW w:w="1278" w:type="pct"/>
                  <w:tcBorders>
                    <w:tl2br w:val="nil"/>
                    <w:tr2bl w:val="nil"/>
                  </w:tcBorders>
                  <w:vAlign w:val="center"/>
                </w:tcPr>
                <w:p w14:paraId="79E51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给水</w:t>
                  </w:r>
                </w:p>
              </w:tc>
              <w:tc>
                <w:tcPr>
                  <w:tcW w:w="3466" w:type="pct"/>
                  <w:tcBorders>
                    <w:tl2br w:val="nil"/>
                    <w:tr2bl w:val="nil"/>
                  </w:tcBorders>
                  <w:vAlign w:val="center"/>
                </w:tcPr>
                <w:p w14:paraId="430E2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由将官庄村引入</w:t>
                  </w:r>
                </w:p>
              </w:tc>
            </w:tr>
            <w:tr w14:paraId="2A74D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0D2D9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p>
              </w:tc>
              <w:tc>
                <w:tcPr>
                  <w:tcW w:w="1278" w:type="pct"/>
                  <w:tcBorders>
                    <w:tl2br w:val="nil"/>
                    <w:tr2bl w:val="nil"/>
                  </w:tcBorders>
                  <w:vAlign w:val="center"/>
                </w:tcPr>
                <w:p w14:paraId="298D0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排水</w:t>
                  </w:r>
                </w:p>
              </w:tc>
              <w:tc>
                <w:tcPr>
                  <w:tcW w:w="3466" w:type="pct"/>
                  <w:tcBorders>
                    <w:tl2br w:val="nil"/>
                    <w:tr2bl w:val="nil"/>
                  </w:tcBorders>
                  <w:vAlign w:val="center"/>
                </w:tcPr>
                <w:p w14:paraId="1AF7B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变电站运行期间不产生</w:t>
                  </w:r>
                  <w:r>
                    <w:rPr>
                      <w:rFonts w:hint="default" w:ascii="Times New Roman" w:hAnsi="Times New Roman" w:eastAsia="宋体" w:cs="Times New Roman"/>
                      <w:b w:val="0"/>
                      <w:bCs w:val="0"/>
                      <w:color w:val="auto"/>
                      <w:szCs w:val="21"/>
                      <w:highlight w:val="none"/>
                      <w:lang w:val="en-US" w:eastAsia="zh-CN"/>
                    </w:rPr>
                    <w:t>生活污水，雨水排至雨水管道</w:t>
                  </w:r>
                  <w:r>
                    <w:rPr>
                      <w:rFonts w:hint="eastAsia" w:ascii="Times New Roman" w:hAnsi="Times New Roman" w:eastAsia="宋体" w:cs="Times New Roman"/>
                      <w:b w:val="0"/>
                      <w:bCs w:val="0"/>
                      <w:color w:val="auto"/>
                      <w:szCs w:val="21"/>
                      <w:highlight w:val="none"/>
                      <w:lang w:val="en-US" w:eastAsia="zh-CN"/>
                    </w:rPr>
                    <w:t>。</w:t>
                  </w:r>
                </w:p>
              </w:tc>
            </w:tr>
            <w:tr w14:paraId="0B626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64BF1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p>
              </w:tc>
              <w:tc>
                <w:tcPr>
                  <w:tcW w:w="1278" w:type="pct"/>
                  <w:tcBorders>
                    <w:tl2br w:val="nil"/>
                    <w:tr2bl w:val="nil"/>
                  </w:tcBorders>
                  <w:vAlign w:val="center"/>
                </w:tcPr>
                <w:p w14:paraId="42270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进站道路</w:t>
                  </w:r>
                </w:p>
              </w:tc>
              <w:tc>
                <w:tcPr>
                  <w:tcW w:w="3466" w:type="pct"/>
                  <w:tcBorders>
                    <w:tl2br w:val="nil"/>
                    <w:tr2bl w:val="nil"/>
                  </w:tcBorders>
                  <w:vAlign w:val="center"/>
                </w:tcPr>
                <w:p w14:paraId="3F3AD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进站道路利用园区规划道路，配电楼南侧设置消防环道，引接口转弯半径均为12m，采用城市型道路</w:t>
                  </w:r>
                </w:p>
              </w:tc>
            </w:tr>
            <w:tr w14:paraId="11B9F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6D456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1278" w:type="pct"/>
                  <w:tcBorders>
                    <w:tl2br w:val="nil"/>
                    <w:tr2bl w:val="nil"/>
                  </w:tcBorders>
                  <w:vAlign w:val="center"/>
                </w:tcPr>
                <w:p w14:paraId="3B29E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生活污水处理设施</w:t>
                  </w:r>
                </w:p>
              </w:tc>
              <w:tc>
                <w:tcPr>
                  <w:tcW w:w="3466" w:type="pct"/>
                  <w:tcBorders>
                    <w:tl2br w:val="nil"/>
                    <w:tr2bl w:val="nil"/>
                  </w:tcBorders>
                  <w:vAlign w:val="center"/>
                </w:tcPr>
                <w:p w14:paraId="028C2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lang w:val="en-US" w:eastAsia="zh-CN"/>
                    </w:rPr>
                    <w:t>变电站</w:t>
                  </w:r>
                  <w:r>
                    <w:rPr>
                      <w:rFonts w:hint="eastAsia" w:ascii="Times New Roman" w:hAnsi="Times New Roman" w:eastAsia="宋体" w:cs="Times New Roman"/>
                      <w:b w:val="0"/>
                      <w:bCs w:val="0"/>
                      <w:color w:val="auto"/>
                      <w:szCs w:val="21"/>
                      <w:highlight w:val="none"/>
                      <w:lang w:val="en-US" w:eastAsia="zh-CN"/>
                    </w:rPr>
                    <w:t>为无人值守站，</w:t>
                  </w:r>
                  <w:r>
                    <w:rPr>
                      <w:rFonts w:hint="default" w:ascii="Times New Roman" w:hAnsi="Times New Roman" w:eastAsia="宋体" w:cs="Times New Roman"/>
                      <w:b w:val="0"/>
                      <w:bCs w:val="0"/>
                      <w:color w:val="auto"/>
                      <w:szCs w:val="21"/>
                      <w:highlight w:val="none"/>
                      <w:lang w:val="en-US" w:eastAsia="zh-CN"/>
                    </w:rPr>
                    <w:t>运行期间不产生生活污水</w:t>
                  </w:r>
                </w:p>
              </w:tc>
            </w:tr>
            <w:tr w14:paraId="6CEB0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6B8E5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7968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事故油池</w:t>
                  </w:r>
                </w:p>
              </w:tc>
              <w:tc>
                <w:tcPr>
                  <w:tcW w:w="3466" w:type="pct"/>
                  <w:tcBorders>
                    <w:tl2br w:val="nil"/>
                    <w:tr2bl w:val="nil"/>
                  </w:tcBorders>
                  <w:vAlign w:val="center"/>
                </w:tcPr>
                <w:p w14:paraId="16790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设置一座</w:t>
                  </w:r>
                  <w:r>
                    <w:rPr>
                      <w:rFonts w:hint="eastAsia" w:ascii="Times New Roman" w:hAnsi="Times New Roman" w:eastAsia="宋体" w:cs="Times New Roman"/>
                      <w:color w:val="auto"/>
                      <w:szCs w:val="21"/>
                      <w:highlight w:val="none"/>
                      <w:lang w:val="en-US" w:eastAsia="zh-CN"/>
                    </w:rPr>
                    <w:t>50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的事故油池，建设满足《危险废物贮存污染控制标准》的要求，废油由有资质单位回收处理</w:t>
                  </w:r>
                </w:p>
              </w:tc>
            </w:tr>
            <w:tr w14:paraId="11526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0" w:hRule="atLeast"/>
                <w:jc w:val="center"/>
              </w:trPr>
              <w:tc>
                <w:tcPr>
                  <w:tcW w:w="255" w:type="pct"/>
                  <w:vMerge w:val="continue"/>
                  <w:tcBorders>
                    <w:tl2br w:val="nil"/>
                    <w:tr2bl w:val="nil"/>
                  </w:tcBorders>
                  <w:vAlign w:val="center"/>
                </w:tcPr>
                <w:p w14:paraId="2B566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5C4FD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危险废物贮存点</w:t>
                  </w:r>
                </w:p>
              </w:tc>
              <w:tc>
                <w:tcPr>
                  <w:tcW w:w="3466" w:type="pct"/>
                  <w:tcBorders>
                    <w:tl2br w:val="nil"/>
                    <w:tr2bl w:val="nil"/>
                  </w:tcBorders>
                  <w:vAlign w:val="center"/>
                </w:tcPr>
                <w:p w14:paraId="2528A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4"/>
                      <w:highlight w:val="none"/>
                    </w:rPr>
                    <w:t>设置</w:t>
                  </w:r>
                  <w:r>
                    <w:rPr>
                      <w:rFonts w:hint="default" w:ascii="Times New Roman" w:hAnsi="Times New Roman" w:eastAsia="TimesNewRomanPSMT" w:cs="Times New Roman"/>
                      <w:color w:val="auto"/>
                      <w:sz w:val="21"/>
                      <w:szCs w:val="24"/>
                      <w:highlight w:val="none"/>
                    </w:rPr>
                    <w:t>1</w:t>
                  </w:r>
                  <w:r>
                    <w:rPr>
                      <w:rFonts w:hint="default" w:ascii="Times New Roman" w:hAnsi="Times New Roman" w:eastAsia="宋体" w:cs="Times New Roman"/>
                      <w:color w:val="auto"/>
                      <w:sz w:val="21"/>
                      <w:szCs w:val="24"/>
                      <w:highlight w:val="none"/>
                    </w:rPr>
                    <w:t>间</w:t>
                  </w:r>
                  <w:r>
                    <w:rPr>
                      <w:rFonts w:hint="eastAsia" w:ascii="Times New Roman" w:hAnsi="Times New Roman" w:eastAsia="宋体" w:cs="Times New Roman"/>
                      <w:color w:val="auto"/>
                      <w:sz w:val="21"/>
                      <w:szCs w:val="24"/>
                      <w:highlight w:val="none"/>
                      <w:lang w:eastAsia="zh-CN"/>
                    </w:rPr>
                    <w:t>危废贮存点</w:t>
                  </w:r>
                  <w:r>
                    <w:rPr>
                      <w:rFonts w:hint="default" w:ascii="Times New Roman" w:hAnsi="Times New Roman" w:eastAsia="宋体" w:cs="Times New Roman"/>
                      <w:color w:val="auto"/>
                      <w:sz w:val="21"/>
                      <w:szCs w:val="24"/>
                      <w:highlight w:val="none"/>
                    </w:rPr>
                    <w:t>，建筑面积</w:t>
                  </w:r>
                  <w:r>
                    <w:rPr>
                      <w:rFonts w:hint="default" w:ascii="Times New Roman" w:hAnsi="Times New Roman" w:eastAsia="TimesNewRomanPSMT" w:cs="Times New Roman"/>
                      <w:color w:val="auto"/>
                      <w:sz w:val="21"/>
                      <w:szCs w:val="24"/>
                      <w:highlight w:val="none"/>
                    </w:rPr>
                    <w:t>10m</w:t>
                  </w:r>
                  <w:r>
                    <w:rPr>
                      <w:rFonts w:hint="default" w:ascii="Times New Roman" w:hAnsi="Times New Roman" w:eastAsia="宋体" w:cs="Times New Roman"/>
                      <w:color w:val="auto"/>
                      <w:sz w:val="21"/>
                      <w:szCs w:val="24"/>
                      <w:highlight w:val="none"/>
                      <w:vertAlign w:val="superscript"/>
                      <w:lang w:val="en-US" w:eastAsia="zh-CN"/>
                    </w:rPr>
                    <w:t>2</w:t>
                  </w:r>
                  <w:r>
                    <w:rPr>
                      <w:rFonts w:hint="default" w:ascii="Times New Roman" w:hAnsi="Times New Roman" w:eastAsia="宋体" w:cs="Times New Roman"/>
                      <w:color w:val="auto"/>
                      <w:sz w:val="21"/>
                      <w:szCs w:val="24"/>
                      <w:highlight w:val="none"/>
                    </w:rPr>
                    <w:t>。</w:t>
                  </w:r>
                  <w:r>
                    <w:rPr>
                      <w:rFonts w:hint="eastAsia" w:ascii="Times New Roman" w:hAnsi="Times New Roman" w:eastAsia="宋体" w:cs="Times New Roman"/>
                      <w:color w:val="auto"/>
                      <w:sz w:val="21"/>
                      <w:szCs w:val="24"/>
                      <w:highlight w:val="none"/>
                      <w:lang w:val="en-US" w:eastAsia="zh-CN"/>
                    </w:rPr>
                    <w:t>项目产生的废变压器油、废油桶及废铅蓄电池暂存在</w:t>
                  </w:r>
                  <w:r>
                    <w:rPr>
                      <w:rFonts w:hint="eastAsia" w:ascii="Times New Roman" w:hAnsi="Times New Roman" w:eastAsia="宋体" w:cs="Times New Roman"/>
                      <w:color w:val="auto"/>
                      <w:sz w:val="21"/>
                      <w:szCs w:val="24"/>
                      <w:highlight w:val="none"/>
                      <w:lang w:eastAsia="zh-CN"/>
                    </w:rPr>
                    <w:t>危废贮存点</w:t>
                  </w:r>
                  <w:r>
                    <w:rPr>
                      <w:rFonts w:hint="eastAsia" w:ascii="Times New Roman" w:hAnsi="Times New Roman" w:eastAsia="宋体" w:cs="Times New Roman"/>
                      <w:color w:val="auto"/>
                      <w:sz w:val="21"/>
                      <w:szCs w:val="24"/>
                      <w:highlight w:val="none"/>
                      <w:lang w:val="en-US" w:eastAsia="zh-CN"/>
                    </w:rPr>
                    <w:t>内，定期交由有资质单位处置</w:t>
                  </w:r>
                  <w:r>
                    <w:rPr>
                      <w:rFonts w:hint="default" w:ascii="Times New Roman" w:hAnsi="Times New Roman" w:eastAsia="宋体" w:cs="Times New Roman"/>
                      <w:color w:val="auto"/>
                      <w:sz w:val="21"/>
                      <w:szCs w:val="24"/>
                      <w:highlight w:val="none"/>
                    </w:rPr>
                    <w:t>。</w:t>
                  </w:r>
                </w:p>
              </w:tc>
            </w:tr>
            <w:tr w14:paraId="6ED34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1" w:hRule="atLeast"/>
                <w:jc w:val="center"/>
              </w:trPr>
              <w:tc>
                <w:tcPr>
                  <w:tcW w:w="255" w:type="pct"/>
                  <w:vMerge w:val="continue"/>
                  <w:tcBorders>
                    <w:tl2br w:val="nil"/>
                    <w:tr2bl w:val="nil"/>
                  </w:tcBorders>
                  <w:vAlign w:val="center"/>
                </w:tcPr>
                <w:p w14:paraId="19CAE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5D59B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噪声防治措施</w:t>
                  </w:r>
                </w:p>
              </w:tc>
              <w:tc>
                <w:tcPr>
                  <w:tcW w:w="3466" w:type="pct"/>
                  <w:tcBorders>
                    <w:tl2br w:val="nil"/>
                    <w:tr2bl w:val="nil"/>
                  </w:tcBorders>
                  <w:vAlign w:val="center"/>
                </w:tcPr>
                <w:p w14:paraId="3E8E7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4"/>
                      <w:highlight w:val="none"/>
                    </w:rPr>
                    <w:t>采用低噪声主变，合理布置，主变户内布置等措施。</w:t>
                  </w:r>
                </w:p>
              </w:tc>
            </w:tr>
            <w:tr w14:paraId="1FD6A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000" w:type="pct"/>
                  <w:gridSpan w:val="3"/>
                  <w:tcBorders>
                    <w:tl2br w:val="nil"/>
                    <w:tr2bl w:val="nil"/>
                  </w:tcBorders>
                  <w:vAlign w:val="center"/>
                </w:tcPr>
                <w:p w14:paraId="32A1A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b/>
                      <w:bCs/>
                      <w:color w:val="auto"/>
                      <w:szCs w:val="21"/>
                      <w:highlight w:val="none"/>
                      <w:lang w:val="en-US" w:eastAsia="zh-CN"/>
                    </w:rPr>
                    <w:t>过渡方案：“</w:t>
                  </w:r>
                  <w:r>
                    <w:rPr>
                      <w:rFonts w:hint="default" w:ascii="Times New Roman" w:hAnsi="Times New Roman" w:eastAsia="宋体" w:cs="Times New Roman"/>
                      <w:b/>
                      <w:bCs/>
                      <w:color w:val="auto"/>
                      <w:szCs w:val="21"/>
                      <w:highlight w:val="none"/>
                      <w:lang w:val="en-US" w:eastAsia="zh-CN"/>
                    </w:rPr>
                    <w:t>π</w:t>
                  </w:r>
                  <w:r>
                    <w:rPr>
                      <w:rFonts w:hint="eastAsia"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bCs/>
                      <w:color w:val="auto"/>
                      <w:szCs w:val="21"/>
                      <w:highlight w:val="none"/>
                      <w:lang w:val="en-US" w:eastAsia="zh-CN"/>
                    </w:rPr>
                    <w:t>入火山云二期至壶泉站的220kV线路工程</w:t>
                  </w:r>
                </w:p>
              </w:tc>
            </w:tr>
            <w:tr w14:paraId="078BB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531B1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1278" w:type="pct"/>
                  <w:tcBorders>
                    <w:tl2br w:val="nil"/>
                    <w:tr2bl w:val="nil"/>
                  </w:tcBorders>
                  <w:vAlign w:val="center"/>
                </w:tcPr>
                <w:p w14:paraId="63523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电压等级</w:t>
                  </w:r>
                </w:p>
              </w:tc>
              <w:tc>
                <w:tcPr>
                  <w:tcW w:w="3466" w:type="pct"/>
                  <w:tcBorders>
                    <w:tl2br w:val="nil"/>
                    <w:tr2bl w:val="nil"/>
                  </w:tcBorders>
                  <w:vAlign w:val="center"/>
                </w:tcPr>
                <w:p w14:paraId="51B06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220</w:t>
                  </w:r>
                  <w:r>
                    <w:rPr>
                      <w:rFonts w:hint="default" w:ascii="Times New Roman" w:hAnsi="Times New Roman" w:eastAsia="宋体" w:cs="Times New Roman"/>
                      <w:b w:val="0"/>
                      <w:bCs w:val="0"/>
                      <w:color w:val="auto"/>
                      <w:szCs w:val="21"/>
                      <w:highlight w:val="none"/>
                    </w:rPr>
                    <w:t>kV</w:t>
                  </w:r>
                </w:p>
              </w:tc>
            </w:tr>
            <w:tr w14:paraId="2F0AC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3D294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3D3C5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地理位置</w:t>
                  </w:r>
                </w:p>
              </w:tc>
              <w:tc>
                <w:tcPr>
                  <w:tcW w:w="3466" w:type="pct"/>
                  <w:tcBorders>
                    <w:tl2br w:val="nil"/>
                    <w:tr2bl w:val="nil"/>
                  </w:tcBorders>
                  <w:vAlign w:val="center"/>
                </w:tcPr>
                <w:p w14:paraId="1C75F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山西省大同市</w:t>
                  </w:r>
                  <w:r>
                    <w:rPr>
                      <w:rFonts w:hint="default" w:ascii="Times New Roman" w:hAnsi="Times New Roman" w:eastAsia="宋体" w:cs="Times New Roman"/>
                      <w:color w:val="auto"/>
                      <w:szCs w:val="21"/>
                      <w:highlight w:val="none"/>
                      <w:lang w:val="zh-CN" w:eastAsia="zh-CN"/>
                    </w:rPr>
                    <w:t>广灵县</w:t>
                  </w:r>
                </w:p>
              </w:tc>
            </w:tr>
            <w:tr w14:paraId="342A9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24475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2DF44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架设方式</w:t>
                  </w:r>
                </w:p>
              </w:tc>
              <w:tc>
                <w:tcPr>
                  <w:tcW w:w="3466" w:type="pct"/>
                  <w:tcBorders>
                    <w:tl2br w:val="nil"/>
                    <w:tr2bl w:val="nil"/>
                  </w:tcBorders>
                  <w:vAlign w:val="center"/>
                </w:tcPr>
                <w:p w14:paraId="00054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单回架空</w:t>
                  </w:r>
                </w:p>
              </w:tc>
            </w:tr>
            <w:tr w14:paraId="7C0FC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504BA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54D3A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线路长度</w:t>
                  </w:r>
                </w:p>
              </w:tc>
              <w:tc>
                <w:tcPr>
                  <w:tcW w:w="3466" w:type="pct"/>
                  <w:tcBorders>
                    <w:tl2br w:val="nil"/>
                    <w:tr2bl w:val="nil"/>
                  </w:tcBorders>
                  <w:vAlign w:val="center"/>
                </w:tcPr>
                <w:p w14:paraId="5FF81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2×0.5</w:t>
                  </w:r>
                  <w:r>
                    <w:rPr>
                      <w:rFonts w:hint="default" w:ascii="Times New Roman" w:hAnsi="Times New Roman" w:eastAsia="宋体" w:cs="Times New Roman"/>
                      <w:color w:val="auto"/>
                      <w:szCs w:val="21"/>
                      <w:highlight w:val="none"/>
                      <w:lang w:val="en-US" w:eastAsia="zh-CN"/>
                    </w:rPr>
                    <w:t>km</w:t>
                  </w:r>
                </w:p>
              </w:tc>
            </w:tr>
            <w:tr w14:paraId="57043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3A215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3686A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导线型号和分裂间距</w:t>
                  </w:r>
                </w:p>
              </w:tc>
              <w:tc>
                <w:tcPr>
                  <w:tcW w:w="3466" w:type="pct"/>
                  <w:tcBorders>
                    <w:tl2br w:val="nil"/>
                    <w:tr2bl w:val="nil"/>
                  </w:tcBorders>
                  <w:vAlign w:val="center"/>
                </w:tcPr>
                <w:p w14:paraId="176AD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导线采用2×JL/G1A-400/35 钢芯铝绞线</w:t>
                  </w:r>
                  <w:r>
                    <w:rPr>
                      <w:rFonts w:hint="default" w:ascii="Times New Roman" w:hAnsi="Times New Roman" w:eastAsia="宋体" w:cs="Times New Roman"/>
                      <w:color w:val="auto"/>
                      <w:szCs w:val="21"/>
                      <w:highlight w:val="none"/>
                      <w:lang w:eastAsia="zh-CN"/>
                    </w:rPr>
                    <w:t>，地线</w:t>
                  </w:r>
                  <w:r>
                    <w:rPr>
                      <w:rFonts w:hint="default" w:ascii="Times New Roman" w:hAnsi="Times New Roman" w:eastAsia="宋体" w:cs="Times New Roman"/>
                      <w:color w:val="auto"/>
                      <w:szCs w:val="21"/>
                      <w:highlight w:val="none"/>
                      <w:lang w:val="en-US" w:eastAsia="zh-CN"/>
                    </w:rPr>
                    <w:t>采用48 芯 OPGW 复合光缆。</w:t>
                  </w:r>
                </w:p>
              </w:tc>
            </w:tr>
            <w:tr w14:paraId="4B571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0089B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7E2F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杆塔形式及数量</w:t>
                  </w:r>
                </w:p>
              </w:tc>
              <w:tc>
                <w:tcPr>
                  <w:tcW w:w="3466" w:type="pct"/>
                  <w:tcBorders>
                    <w:tl2br w:val="nil"/>
                    <w:tr2bl w:val="nil"/>
                  </w:tcBorders>
                  <w:vAlign w:val="center"/>
                </w:tcPr>
                <w:p w14:paraId="3F7750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全线共</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基杆塔，单回路终端塔1基，单回路耐张塔3基，双回路终端塔1基。</w:t>
                  </w:r>
                </w:p>
              </w:tc>
            </w:tr>
            <w:tr w14:paraId="534DC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5" w:type="pct"/>
                  <w:vMerge w:val="continue"/>
                  <w:tcBorders>
                    <w:tl2br w:val="nil"/>
                    <w:tr2bl w:val="nil"/>
                  </w:tcBorders>
                  <w:vAlign w:val="center"/>
                </w:tcPr>
                <w:p w14:paraId="51177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234A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塔基永久占地面积</w:t>
                  </w:r>
                </w:p>
              </w:tc>
              <w:tc>
                <w:tcPr>
                  <w:tcW w:w="3466" w:type="pct"/>
                  <w:tcBorders>
                    <w:tl2br w:val="nil"/>
                    <w:tr2bl w:val="nil"/>
                  </w:tcBorders>
                  <w:vAlign w:val="center"/>
                </w:tcPr>
                <w:p w14:paraId="15D01C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720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r>
            <w:tr w14:paraId="267D3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7ABF8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174D5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交叉跨越</w:t>
                  </w:r>
                </w:p>
              </w:tc>
              <w:tc>
                <w:tcPr>
                  <w:tcW w:w="3466" w:type="pct"/>
                  <w:tcBorders>
                    <w:tl2br w:val="nil"/>
                    <w:tr2bl w:val="nil"/>
                  </w:tcBorders>
                  <w:vAlign w:val="center"/>
                </w:tcPr>
                <w:p w14:paraId="52012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线路跨越省道 1 次，水泥路 1 次。</w:t>
                  </w:r>
                </w:p>
              </w:tc>
            </w:tr>
            <w:tr w14:paraId="3257E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10258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辅助工程</w:t>
                  </w:r>
                </w:p>
              </w:tc>
              <w:tc>
                <w:tcPr>
                  <w:tcW w:w="1278" w:type="pct"/>
                  <w:tcBorders>
                    <w:tl2br w:val="nil"/>
                    <w:tr2bl w:val="nil"/>
                  </w:tcBorders>
                  <w:vAlign w:val="center"/>
                </w:tcPr>
                <w:p w14:paraId="3B9B7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塔基施工区</w:t>
                  </w:r>
                </w:p>
              </w:tc>
              <w:tc>
                <w:tcPr>
                  <w:tcW w:w="3466" w:type="pct"/>
                  <w:tcBorders>
                    <w:tl2br w:val="nil"/>
                    <w:tr2bl w:val="nil"/>
                  </w:tcBorders>
                  <w:vAlign w:val="center"/>
                </w:tcPr>
                <w:p w14:paraId="3EADD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每个铁塔塔基布设1处塔基施工区，占地</w:t>
                  </w:r>
                  <w:r>
                    <w:rPr>
                      <w:rFonts w:hint="eastAsia" w:ascii="Times New Roman" w:hAnsi="Times New Roman" w:eastAsia="宋体" w:cs="Times New Roman"/>
                      <w:color w:val="auto"/>
                      <w:szCs w:val="21"/>
                      <w:highlight w:val="none"/>
                      <w:lang w:val="en-US" w:eastAsia="zh-CN"/>
                    </w:rPr>
                    <w:t>1665</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w:t>
                  </w:r>
                </w:p>
              </w:tc>
            </w:tr>
            <w:tr w14:paraId="6D099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25EA9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274A6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牵张场</w:t>
                  </w:r>
                </w:p>
              </w:tc>
              <w:tc>
                <w:tcPr>
                  <w:tcW w:w="3466" w:type="pct"/>
                  <w:tcBorders>
                    <w:tl2br w:val="nil"/>
                    <w:tr2bl w:val="nil"/>
                  </w:tcBorders>
                  <w:vAlign w:val="center"/>
                </w:tcPr>
                <w:p w14:paraId="1210D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设1处牵张场，占地面积1000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w:t>
                  </w:r>
                </w:p>
              </w:tc>
            </w:tr>
            <w:tr w14:paraId="0E76E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325C1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B1A1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施工道路</w:t>
                  </w:r>
                </w:p>
              </w:tc>
              <w:tc>
                <w:tcPr>
                  <w:tcW w:w="3466" w:type="pct"/>
                  <w:tcBorders>
                    <w:tl2br w:val="nil"/>
                    <w:tr2bl w:val="nil"/>
                  </w:tcBorders>
                  <w:vAlign w:val="center"/>
                </w:tcPr>
                <w:p w14:paraId="71315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主要</w:t>
                  </w:r>
                  <w:r>
                    <w:rPr>
                      <w:rFonts w:hint="default" w:ascii="Times New Roman" w:hAnsi="Times New Roman" w:eastAsia="宋体" w:cs="Times New Roman"/>
                      <w:color w:val="auto"/>
                      <w:szCs w:val="21"/>
                      <w:highlight w:val="none"/>
                    </w:rPr>
                    <w:t>利用已有道路</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新建道路1km，宽度4m，占地4000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eastAsia" w:ascii="Times New Roman" w:hAnsi="Times New Roman" w:eastAsia="宋体" w:cs="Times New Roman"/>
                      <w:color w:val="auto"/>
                      <w:szCs w:val="21"/>
                      <w:highlight w:val="none"/>
                      <w:lang w:val="en-US" w:eastAsia="zh-CN"/>
                    </w:rPr>
                    <w:t>。</w:t>
                  </w:r>
                </w:p>
              </w:tc>
            </w:tr>
            <w:tr w14:paraId="2143C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176CE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1278" w:type="pct"/>
                  <w:tcBorders>
                    <w:tl2br w:val="nil"/>
                    <w:tr2bl w:val="nil"/>
                  </w:tcBorders>
                  <w:vAlign w:val="center"/>
                </w:tcPr>
                <w:p w14:paraId="21B32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生态</w:t>
                  </w:r>
                </w:p>
              </w:tc>
              <w:tc>
                <w:tcPr>
                  <w:tcW w:w="3466" w:type="pct"/>
                  <w:tcBorders>
                    <w:tl2br w:val="nil"/>
                    <w:tr2bl w:val="nil"/>
                  </w:tcBorders>
                  <w:vAlign w:val="center"/>
                </w:tcPr>
                <w:p w14:paraId="0DD54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控制施工作业带宽度，减小施工占地；优化施工方案，减小施工对植被破坏。施工前收集表土及耕种土并妥善保存，施工结束后，及生态时进行植被恢复和耕地复垦，植被恢复优先选用本地物种；定期组织对施工人员和管理人员的宣传教育。严禁捕猎野生动物、破坏鸟巢等行为。合理安排施工时间和优化施工方案，以降低工程施工噪声对野生动物的惊扰</w:t>
                  </w:r>
                  <w:r>
                    <w:rPr>
                      <w:rFonts w:hint="eastAsia" w:ascii="Times New Roman" w:hAnsi="Times New Roman" w:eastAsia="宋体" w:cs="Times New Roman"/>
                      <w:color w:val="auto"/>
                      <w:szCs w:val="21"/>
                      <w:highlight w:val="none"/>
                      <w:lang w:val="en-US" w:eastAsia="zh-CN"/>
                    </w:rPr>
                    <w:t>。</w:t>
                  </w:r>
                </w:p>
              </w:tc>
            </w:tr>
            <w:tr w14:paraId="7DB37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18C95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34DC1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466" w:type="pct"/>
                  <w:tcBorders>
                    <w:tl2br w:val="nil"/>
                    <w:tr2bl w:val="nil"/>
                  </w:tcBorders>
                  <w:vAlign w:val="center"/>
                </w:tcPr>
                <w:p w14:paraId="75AC1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各施工区四周设置围挡，粉状物料密闭运输、贮存，物料堆放全覆环保盖，裸露地面及时苫盖，施工场地定时洒水降尘</w:t>
                  </w:r>
                  <w:r>
                    <w:rPr>
                      <w:rFonts w:hint="eastAsia" w:ascii="Times New Roman" w:hAnsi="Times New Roman" w:eastAsia="宋体" w:cs="Times New Roman"/>
                      <w:color w:val="auto"/>
                      <w:szCs w:val="21"/>
                      <w:highlight w:val="none"/>
                      <w:lang w:val="en-US" w:eastAsia="zh-CN"/>
                    </w:rPr>
                    <w:t>。</w:t>
                  </w:r>
                </w:p>
              </w:tc>
            </w:tr>
            <w:tr w14:paraId="4F125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177F4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0138D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466" w:type="pct"/>
                  <w:tcBorders>
                    <w:tl2br w:val="nil"/>
                    <w:tr2bl w:val="nil"/>
                  </w:tcBorders>
                  <w:vAlign w:val="center"/>
                </w:tcPr>
                <w:p w14:paraId="36B84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①做好施工场地周围的拦挡措施，避免雨季开挖作业；</w:t>
                  </w:r>
                </w:p>
                <w:p w14:paraId="79D62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②施工期采用商品混凝土；</w:t>
                  </w:r>
                </w:p>
                <w:p w14:paraId="4EBAF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③施工废水经沉淀后回用，防止施工废水跑冒滴漏； </w:t>
                  </w:r>
                </w:p>
                <w:p w14:paraId="5E9B5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④生活污水依托村庄现有设施或设旱厕，收集后定期清掏，用于沿线农田施肥</w:t>
                  </w:r>
                  <w:r>
                    <w:rPr>
                      <w:rFonts w:hint="eastAsia" w:ascii="Times New Roman" w:hAnsi="Times New Roman" w:eastAsia="宋体" w:cs="Times New Roman"/>
                      <w:color w:val="auto"/>
                      <w:szCs w:val="21"/>
                      <w:highlight w:val="none"/>
                      <w:lang w:val="en-US" w:eastAsia="zh-CN"/>
                    </w:rPr>
                    <w:t>。</w:t>
                  </w:r>
                </w:p>
              </w:tc>
            </w:tr>
            <w:tr w14:paraId="53B7A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288B3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05A17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固废</w:t>
                  </w:r>
                </w:p>
              </w:tc>
              <w:tc>
                <w:tcPr>
                  <w:tcW w:w="3466" w:type="pct"/>
                  <w:tcBorders>
                    <w:tl2br w:val="nil"/>
                    <w:tr2bl w:val="nil"/>
                  </w:tcBorders>
                  <w:vAlign w:val="center"/>
                </w:tcPr>
                <w:p w14:paraId="0C3D6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施工过程中产生固废及时清运不堆存。输电线路施工产生的弃土方用于塔基护坡建设或就近回填，施工营地生活垃圾收集后由当地环卫部门统一处理。</w:t>
                  </w:r>
                </w:p>
              </w:tc>
            </w:tr>
            <w:tr w14:paraId="6689E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5D335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6E156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噪声</w:t>
                  </w:r>
                </w:p>
              </w:tc>
              <w:tc>
                <w:tcPr>
                  <w:tcW w:w="3466" w:type="pct"/>
                  <w:tcBorders>
                    <w:tl2br w:val="nil"/>
                    <w:tr2bl w:val="nil"/>
                  </w:tcBorders>
                  <w:vAlign w:val="center"/>
                </w:tcPr>
                <w:p w14:paraId="41DF0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①选用低噪声设备，禁止夜间和午间施工；</w:t>
                  </w:r>
                </w:p>
                <w:p w14:paraId="1F960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②加强施工管理，文明施工，错开高噪声设备使用时间</w:t>
                  </w:r>
                  <w:r>
                    <w:rPr>
                      <w:rFonts w:hint="eastAsia" w:ascii="Times New Roman" w:hAnsi="Times New Roman" w:eastAsia="宋体" w:cs="Times New Roman"/>
                      <w:color w:val="auto"/>
                      <w:szCs w:val="21"/>
                      <w:highlight w:val="none"/>
                      <w:lang w:val="en-US" w:eastAsia="zh-CN"/>
                    </w:rPr>
                    <w:t>。</w:t>
                  </w:r>
                </w:p>
              </w:tc>
            </w:tr>
            <w:tr w14:paraId="50C92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5F165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3BBE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电磁环境</w:t>
                  </w:r>
                </w:p>
              </w:tc>
              <w:tc>
                <w:tcPr>
                  <w:tcW w:w="3466" w:type="pct"/>
                  <w:tcBorders>
                    <w:tl2br w:val="nil"/>
                    <w:tr2bl w:val="nil"/>
                  </w:tcBorders>
                  <w:vAlign w:val="center"/>
                </w:tcPr>
                <w:p w14:paraId="6B0FD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按照设计和环评要求，保证输电线路架设高度，运行期定期开展环境监测。</w:t>
                  </w:r>
                </w:p>
              </w:tc>
            </w:tr>
            <w:tr w14:paraId="4AB2D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000" w:type="pct"/>
                  <w:gridSpan w:val="3"/>
                  <w:tcBorders>
                    <w:tl2br w:val="nil"/>
                    <w:tr2bl w:val="nil"/>
                  </w:tcBorders>
                  <w:vAlign w:val="center"/>
                </w:tcPr>
                <w:p w14:paraId="0754E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lang w:val="en-US" w:eastAsia="zh-CN"/>
                    </w:rPr>
                    <w:t>终期方案：线路起于拟建大同东500kV汇集站，止于拟建二期扩容220kV变电站与二期220kV变电站</w:t>
                  </w:r>
                </w:p>
              </w:tc>
            </w:tr>
            <w:tr w14:paraId="116A4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56CBB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1278" w:type="pct"/>
                  <w:tcBorders>
                    <w:tl2br w:val="nil"/>
                    <w:tr2bl w:val="nil"/>
                  </w:tcBorders>
                  <w:vAlign w:val="center"/>
                </w:tcPr>
                <w:p w14:paraId="70128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电压等级</w:t>
                  </w:r>
                </w:p>
              </w:tc>
              <w:tc>
                <w:tcPr>
                  <w:tcW w:w="3466" w:type="pct"/>
                  <w:tcBorders>
                    <w:tl2br w:val="nil"/>
                    <w:tr2bl w:val="nil"/>
                  </w:tcBorders>
                  <w:vAlign w:val="center"/>
                </w:tcPr>
                <w:p w14:paraId="291FE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lang w:val="en-US" w:eastAsia="zh-CN"/>
                    </w:rPr>
                    <w:t>220</w:t>
                  </w:r>
                  <w:r>
                    <w:rPr>
                      <w:rFonts w:hint="default" w:ascii="Times New Roman" w:hAnsi="Times New Roman" w:eastAsia="宋体" w:cs="Times New Roman"/>
                      <w:b w:val="0"/>
                      <w:bCs w:val="0"/>
                      <w:color w:val="auto"/>
                      <w:szCs w:val="21"/>
                      <w:highlight w:val="none"/>
                    </w:rPr>
                    <w:t>kV</w:t>
                  </w:r>
                </w:p>
              </w:tc>
            </w:tr>
            <w:tr w14:paraId="7327E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2D925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591F7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地理位置</w:t>
                  </w:r>
                </w:p>
              </w:tc>
              <w:tc>
                <w:tcPr>
                  <w:tcW w:w="3466" w:type="pct"/>
                  <w:tcBorders>
                    <w:tl2br w:val="nil"/>
                    <w:tr2bl w:val="nil"/>
                  </w:tcBorders>
                  <w:vAlign w:val="center"/>
                </w:tcPr>
                <w:p w14:paraId="39420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山西省大同市</w:t>
                  </w:r>
                  <w:r>
                    <w:rPr>
                      <w:rFonts w:hint="default" w:ascii="Times New Roman" w:hAnsi="Times New Roman" w:eastAsia="宋体" w:cs="Times New Roman"/>
                      <w:color w:val="auto"/>
                      <w:szCs w:val="21"/>
                      <w:highlight w:val="none"/>
                      <w:lang w:val="zh-CN" w:eastAsia="zh-CN"/>
                    </w:rPr>
                    <w:t>广灵县</w:t>
                  </w:r>
                </w:p>
              </w:tc>
            </w:tr>
            <w:tr w14:paraId="5FE79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610A1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38AC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架设方式</w:t>
                  </w:r>
                </w:p>
              </w:tc>
              <w:tc>
                <w:tcPr>
                  <w:tcW w:w="3466" w:type="pct"/>
                  <w:tcBorders>
                    <w:tl2br w:val="nil"/>
                    <w:tr2bl w:val="nil"/>
                  </w:tcBorders>
                  <w:vAlign w:val="center"/>
                </w:tcPr>
                <w:p w14:paraId="00AD8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双</w:t>
                  </w:r>
                  <w:r>
                    <w:rPr>
                      <w:rFonts w:hint="default" w:ascii="Times New Roman" w:hAnsi="Times New Roman" w:eastAsia="宋体" w:cs="Times New Roman"/>
                      <w:color w:val="auto"/>
                      <w:szCs w:val="21"/>
                      <w:highlight w:val="none"/>
                      <w:lang w:val="en-US" w:eastAsia="zh-CN"/>
                    </w:rPr>
                    <w:t>回架空</w:t>
                  </w:r>
                </w:p>
              </w:tc>
            </w:tr>
            <w:tr w14:paraId="6B013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5DF7C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25421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线路长度</w:t>
                  </w:r>
                </w:p>
              </w:tc>
              <w:tc>
                <w:tcPr>
                  <w:tcW w:w="3466" w:type="pct"/>
                  <w:tcBorders>
                    <w:tl2br w:val="nil"/>
                    <w:tr2bl w:val="nil"/>
                  </w:tcBorders>
                  <w:vAlign w:val="center"/>
                </w:tcPr>
                <w:p w14:paraId="7B69E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2×21.5</w:t>
                  </w:r>
                  <w:r>
                    <w:rPr>
                      <w:rFonts w:hint="default" w:ascii="Times New Roman" w:hAnsi="Times New Roman" w:eastAsia="宋体" w:cs="Times New Roman"/>
                      <w:color w:val="auto"/>
                      <w:szCs w:val="21"/>
                      <w:highlight w:val="none"/>
                      <w:lang w:val="en-US" w:eastAsia="zh-CN"/>
                    </w:rPr>
                    <w:t>km</w:t>
                  </w:r>
                </w:p>
              </w:tc>
            </w:tr>
            <w:tr w14:paraId="0F38F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0CD0C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5BE15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导线型号和分裂间距</w:t>
                  </w:r>
                </w:p>
              </w:tc>
              <w:tc>
                <w:tcPr>
                  <w:tcW w:w="3466" w:type="pct"/>
                  <w:tcBorders>
                    <w:tl2br w:val="nil"/>
                    <w:tr2bl w:val="nil"/>
                  </w:tcBorders>
                  <w:vAlign w:val="center"/>
                </w:tcPr>
                <w:p w14:paraId="45C43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导线采用2×JL/G1A-400/35 钢芯铝绞线，地线采用48 芯 OPGW 复合光缆。</w:t>
                  </w:r>
                </w:p>
              </w:tc>
            </w:tr>
            <w:tr w14:paraId="1789E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31038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1BFE6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杆塔形式及数量</w:t>
                  </w:r>
                </w:p>
              </w:tc>
              <w:tc>
                <w:tcPr>
                  <w:tcW w:w="3466" w:type="pct"/>
                  <w:tcBorders>
                    <w:tl2br w:val="nil"/>
                    <w:tr2bl w:val="nil"/>
                  </w:tcBorders>
                  <w:vAlign w:val="center"/>
                </w:tcPr>
                <w:p w14:paraId="4C62A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全线共</w:t>
                  </w:r>
                  <w:r>
                    <w:rPr>
                      <w:rFonts w:hint="eastAsia"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lang w:val="en-US" w:eastAsia="zh-CN"/>
                    </w:rPr>
                    <w:t xml:space="preserve">基杆塔，其中双回路终端塔 2 基，单回路耐张塔 27 基，单回路直线塔 </w:t>
                  </w:r>
                  <w:r>
                    <w:rPr>
                      <w:rFonts w:hint="eastAsia" w:ascii="Times New Roman" w:hAnsi="Times New Roman" w:eastAsia="宋体" w:cs="Times New Roman"/>
                      <w:color w:val="auto"/>
                      <w:szCs w:val="21"/>
                      <w:highlight w:val="none"/>
                      <w:lang w:val="en-US" w:eastAsia="zh-CN"/>
                    </w:rPr>
                    <w:t>51</w:t>
                  </w:r>
                  <w:r>
                    <w:rPr>
                      <w:rFonts w:hint="default" w:ascii="Times New Roman" w:hAnsi="Times New Roman" w:eastAsia="宋体" w:cs="Times New Roman"/>
                      <w:color w:val="auto"/>
                      <w:szCs w:val="21"/>
                      <w:highlight w:val="none"/>
                      <w:lang w:val="en-US" w:eastAsia="zh-CN"/>
                    </w:rPr>
                    <w:t xml:space="preserve"> 基。</w:t>
                  </w:r>
                </w:p>
              </w:tc>
            </w:tr>
            <w:tr w14:paraId="1EE72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62B53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05B7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塔基永久占地面积</w:t>
                  </w:r>
                </w:p>
              </w:tc>
              <w:tc>
                <w:tcPr>
                  <w:tcW w:w="3466" w:type="pct"/>
                  <w:tcBorders>
                    <w:tl2br w:val="nil"/>
                    <w:tr2bl w:val="nil"/>
                  </w:tcBorders>
                  <w:vAlign w:val="center"/>
                </w:tcPr>
                <w:p w14:paraId="55582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14436</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r>
            <w:tr w14:paraId="0680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30714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3F0A0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交叉跨越</w:t>
                  </w:r>
                </w:p>
              </w:tc>
              <w:tc>
                <w:tcPr>
                  <w:tcW w:w="3466" w:type="pct"/>
                  <w:tcBorders>
                    <w:tl2br w:val="nil"/>
                    <w:tr2bl w:val="nil"/>
                  </w:tcBorders>
                  <w:vAlign w:val="center"/>
                </w:tcPr>
                <w:p w14:paraId="04259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线路</w:t>
                  </w:r>
                  <w:r>
                    <w:rPr>
                      <w:rFonts w:hint="eastAsia" w:ascii="Times New Roman" w:hAnsi="Times New Roman" w:eastAsia="宋体" w:cs="Times New Roman"/>
                      <w:color w:val="auto"/>
                      <w:szCs w:val="21"/>
                      <w:highlight w:val="none"/>
                      <w:lang w:val="en-US" w:eastAsia="zh-CN"/>
                    </w:rPr>
                    <w:t>跨</w:t>
                  </w:r>
                  <w:r>
                    <w:rPr>
                      <w:rFonts w:hint="default" w:ascii="Times New Roman" w:hAnsi="Times New Roman" w:eastAsia="宋体" w:cs="Times New Roman"/>
                      <w:color w:val="auto"/>
                      <w:szCs w:val="21"/>
                      <w:highlight w:val="none"/>
                      <w:lang w:val="en-US" w:eastAsia="zh-CN"/>
                    </w:rPr>
                    <w:t>越220kV线路1次，跨越110kV线路1次，跨越35kV线路1次，跨越10kV 及以下线路10次，跨越通信线10次，省道3次（神南线、黄南线、G239、北圣线、城关线、S201），水泥路5次，土路12次，跨越壶流河1次。</w:t>
                  </w:r>
                </w:p>
              </w:tc>
            </w:tr>
            <w:tr w14:paraId="5125A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55" w:type="pct"/>
                  <w:vMerge w:val="restart"/>
                  <w:tcBorders>
                    <w:tl2br w:val="nil"/>
                    <w:tr2bl w:val="nil"/>
                  </w:tcBorders>
                  <w:vAlign w:val="center"/>
                </w:tcPr>
                <w:p w14:paraId="7EFF7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辅助工程</w:t>
                  </w:r>
                </w:p>
              </w:tc>
              <w:tc>
                <w:tcPr>
                  <w:tcW w:w="1278" w:type="pct"/>
                  <w:tcBorders>
                    <w:tl2br w:val="nil"/>
                    <w:tr2bl w:val="nil"/>
                  </w:tcBorders>
                  <w:vAlign w:val="center"/>
                </w:tcPr>
                <w:p w14:paraId="1C264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塔基施工区</w:t>
                  </w:r>
                </w:p>
              </w:tc>
              <w:tc>
                <w:tcPr>
                  <w:tcW w:w="3466" w:type="pct"/>
                  <w:tcBorders>
                    <w:tl2br w:val="nil"/>
                    <w:tr2bl w:val="nil"/>
                  </w:tcBorders>
                  <w:vAlign w:val="center"/>
                </w:tcPr>
                <w:p w14:paraId="2FA78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每个铁塔塔基布设1处塔基施工区，占地</w:t>
                  </w:r>
                  <w:r>
                    <w:rPr>
                      <w:rFonts w:hint="eastAsia" w:ascii="Times New Roman" w:hAnsi="Times New Roman" w:eastAsia="宋体" w:cs="Times New Roman"/>
                      <w:color w:val="auto"/>
                      <w:szCs w:val="21"/>
                      <w:highlight w:val="none"/>
                      <w:lang w:val="en-US" w:eastAsia="zh-CN"/>
                    </w:rPr>
                    <w:t>26640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w:t>
                  </w:r>
                </w:p>
              </w:tc>
            </w:tr>
            <w:tr w14:paraId="2F871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6EDBE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64CC8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牵张场</w:t>
                  </w:r>
                </w:p>
              </w:tc>
              <w:tc>
                <w:tcPr>
                  <w:tcW w:w="3466" w:type="pct"/>
                  <w:tcBorders>
                    <w:tl2br w:val="nil"/>
                    <w:tr2bl w:val="nil"/>
                  </w:tcBorders>
                  <w:vAlign w:val="center"/>
                </w:tcPr>
                <w:p w14:paraId="49CAD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共设4处牵张场，占地面积4000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w:t>
                  </w:r>
                </w:p>
              </w:tc>
            </w:tr>
            <w:tr w14:paraId="35178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56F58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682E6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施工道路</w:t>
                  </w:r>
                </w:p>
              </w:tc>
              <w:tc>
                <w:tcPr>
                  <w:tcW w:w="3466" w:type="pct"/>
                  <w:tcBorders>
                    <w:tl2br w:val="nil"/>
                    <w:tr2bl w:val="nil"/>
                  </w:tcBorders>
                  <w:vAlign w:val="center"/>
                </w:tcPr>
                <w:p w14:paraId="2C806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主要</w:t>
                  </w:r>
                  <w:r>
                    <w:rPr>
                      <w:rFonts w:hint="default" w:ascii="Times New Roman" w:hAnsi="Times New Roman" w:eastAsia="宋体" w:cs="Times New Roman"/>
                      <w:color w:val="auto"/>
                      <w:szCs w:val="21"/>
                      <w:highlight w:val="none"/>
                    </w:rPr>
                    <w:t>利用已有道路</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新建道路7km，宽度4m，占地28000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eastAsia" w:ascii="Times New Roman" w:hAnsi="Times New Roman" w:eastAsia="宋体" w:cs="Times New Roman"/>
                      <w:color w:val="auto"/>
                      <w:szCs w:val="21"/>
                      <w:highlight w:val="none"/>
                      <w:lang w:val="en-US" w:eastAsia="zh-CN"/>
                    </w:rPr>
                    <w:t>。</w:t>
                  </w:r>
                </w:p>
              </w:tc>
            </w:tr>
            <w:tr w14:paraId="55100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restart"/>
                  <w:tcBorders>
                    <w:tl2br w:val="nil"/>
                    <w:tr2bl w:val="nil"/>
                  </w:tcBorders>
                  <w:vAlign w:val="center"/>
                </w:tcPr>
                <w:p w14:paraId="7C538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1278" w:type="pct"/>
                  <w:tcBorders>
                    <w:tl2br w:val="nil"/>
                    <w:tr2bl w:val="nil"/>
                  </w:tcBorders>
                  <w:vAlign w:val="center"/>
                </w:tcPr>
                <w:p w14:paraId="09830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生态</w:t>
                  </w:r>
                </w:p>
              </w:tc>
              <w:tc>
                <w:tcPr>
                  <w:tcW w:w="3466" w:type="pct"/>
                  <w:tcBorders>
                    <w:tl2br w:val="nil"/>
                    <w:tr2bl w:val="nil"/>
                  </w:tcBorders>
                  <w:vAlign w:val="center"/>
                </w:tcPr>
                <w:p w14:paraId="3C551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控制施工作业带宽度，减小施工占地；优化施工方案，减小施工对植被破坏。施工前收集表土及耕种土并妥善保存，施工结束后，及生态时进行植被恢复和耕地复垦，植被恢复优先选用本地物种；定期组织对施工人员和管理人员的宣传教育。严禁捕猎野生动物、破坏鸟巢等行为。合理安排施工时间和优化施工方案，以降低工程施工噪声对野生动物的惊扰</w:t>
                  </w:r>
                  <w:r>
                    <w:rPr>
                      <w:rFonts w:hint="eastAsia" w:ascii="Times New Roman" w:hAnsi="Times New Roman" w:eastAsia="宋体" w:cs="Times New Roman"/>
                      <w:color w:val="auto"/>
                      <w:szCs w:val="21"/>
                      <w:highlight w:val="none"/>
                      <w:lang w:val="en-US" w:eastAsia="zh-CN"/>
                    </w:rPr>
                    <w:t>。</w:t>
                  </w:r>
                </w:p>
              </w:tc>
            </w:tr>
            <w:tr w14:paraId="21E84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74D66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7B8F7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466" w:type="pct"/>
                  <w:tcBorders>
                    <w:tl2br w:val="nil"/>
                    <w:tr2bl w:val="nil"/>
                  </w:tcBorders>
                  <w:vAlign w:val="center"/>
                </w:tcPr>
                <w:p w14:paraId="6DAB4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各施工区四周设置围挡，粉状物料密闭运输、贮存，物料堆放全覆环保盖，裸露地面及时苫盖，施工场地定时洒水降尘</w:t>
                  </w:r>
                  <w:r>
                    <w:rPr>
                      <w:rFonts w:hint="eastAsia" w:ascii="Times New Roman" w:hAnsi="Times New Roman" w:eastAsia="宋体" w:cs="Times New Roman"/>
                      <w:color w:val="auto"/>
                      <w:szCs w:val="21"/>
                      <w:highlight w:val="none"/>
                      <w:lang w:val="en-US" w:eastAsia="zh-CN"/>
                    </w:rPr>
                    <w:t>。</w:t>
                  </w:r>
                </w:p>
              </w:tc>
            </w:tr>
            <w:tr w14:paraId="76BDC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06478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2EABA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466" w:type="pct"/>
                  <w:tcBorders>
                    <w:tl2br w:val="nil"/>
                    <w:tr2bl w:val="nil"/>
                  </w:tcBorders>
                  <w:vAlign w:val="center"/>
                </w:tcPr>
                <w:p w14:paraId="2C477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①做好施工场地周围的拦挡措施，避免雨季开挖作业；</w:t>
                  </w:r>
                </w:p>
                <w:p w14:paraId="49770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②施工期采用商品混凝土；</w:t>
                  </w:r>
                </w:p>
                <w:p w14:paraId="392EC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 xml:space="preserve">③施工废水经沉淀后回用，防止施工废水跑冒滴漏； </w:t>
                  </w:r>
                </w:p>
                <w:p w14:paraId="457A5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④生活污水依托村庄现有设施或设旱厕，收集后定期清掏，用于沿线农田施肥</w:t>
                  </w:r>
                  <w:r>
                    <w:rPr>
                      <w:rFonts w:hint="eastAsia" w:ascii="Times New Roman" w:hAnsi="Times New Roman" w:eastAsia="宋体" w:cs="Times New Roman"/>
                      <w:color w:val="auto"/>
                      <w:szCs w:val="21"/>
                      <w:highlight w:val="none"/>
                      <w:lang w:val="en-US" w:eastAsia="zh-CN"/>
                    </w:rPr>
                    <w:t>。</w:t>
                  </w:r>
                </w:p>
              </w:tc>
            </w:tr>
            <w:tr w14:paraId="3C993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29B17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3EF96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固废</w:t>
                  </w:r>
                </w:p>
              </w:tc>
              <w:tc>
                <w:tcPr>
                  <w:tcW w:w="3466" w:type="pct"/>
                  <w:tcBorders>
                    <w:tl2br w:val="nil"/>
                    <w:tr2bl w:val="nil"/>
                  </w:tcBorders>
                  <w:vAlign w:val="center"/>
                </w:tcPr>
                <w:p w14:paraId="403EF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施工过程中产生固废及时清运不堆存。输电线路施工产生的弃土方用于塔基护坡建设或就近回填，施工营地生活垃圾收集后由当地环卫部门统一处理。</w:t>
                  </w:r>
                </w:p>
              </w:tc>
            </w:tr>
            <w:tr w14:paraId="6F842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74B24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0AFE9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噪声</w:t>
                  </w:r>
                </w:p>
              </w:tc>
              <w:tc>
                <w:tcPr>
                  <w:tcW w:w="3466" w:type="pct"/>
                  <w:tcBorders>
                    <w:tl2br w:val="nil"/>
                    <w:tr2bl w:val="nil"/>
                  </w:tcBorders>
                  <w:vAlign w:val="center"/>
                </w:tcPr>
                <w:p w14:paraId="57576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①选用低噪声设备，禁止夜间和午间施工；</w:t>
                  </w:r>
                </w:p>
                <w:p w14:paraId="2438D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②加强施工管理，文明施工，错开高噪声设备使用时间</w:t>
                  </w:r>
                  <w:r>
                    <w:rPr>
                      <w:rFonts w:hint="eastAsia" w:ascii="Times New Roman" w:hAnsi="Times New Roman" w:eastAsia="宋体" w:cs="Times New Roman"/>
                      <w:color w:val="auto"/>
                      <w:szCs w:val="21"/>
                      <w:highlight w:val="none"/>
                      <w:lang w:val="en-US" w:eastAsia="zh-CN"/>
                    </w:rPr>
                    <w:t>。</w:t>
                  </w:r>
                </w:p>
              </w:tc>
            </w:tr>
            <w:tr w14:paraId="673BC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5" w:type="pct"/>
                  <w:vMerge w:val="continue"/>
                  <w:tcBorders>
                    <w:tl2br w:val="nil"/>
                    <w:tr2bl w:val="nil"/>
                  </w:tcBorders>
                  <w:vAlign w:val="center"/>
                </w:tcPr>
                <w:p w14:paraId="5031A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rPr>
                  </w:pPr>
                </w:p>
              </w:tc>
              <w:tc>
                <w:tcPr>
                  <w:tcW w:w="1278" w:type="pct"/>
                  <w:tcBorders>
                    <w:tl2br w:val="nil"/>
                    <w:tr2bl w:val="nil"/>
                  </w:tcBorders>
                  <w:vAlign w:val="center"/>
                </w:tcPr>
                <w:p w14:paraId="5DC79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电磁环境</w:t>
                  </w:r>
                </w:p>
              </w:tc>
              <w:tc>
                <w:tcPr>
                  <w:tcW w:w="3466" w:type="pct"/>
                  <w:tcBorders>
                    <w:tl2br w:val="nil"/>
                    <w:tr2bl w:val="nil"/>
                  </w:tcBorders>
                  <w:vAlign w:val="center"/>
                </w:tcPr>
                <w:p w14:paraId="3CCFA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按照设计和环评要求，保证输电线路架设高度，运行期定期开展环境监测。</w:t>
                  </w:r>
                </w:p>
              </w:tc>
            </w:tr>
          </w:tbl>
          <w:p w14:paraId="0F154E7C">
            <w:pPr>
              <w:pStyle w:val="46"/>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项目建设</w:t>
            </w:r>
            <w:r>
              <w:rPr>
                <w:rFonts w:hint="default" w:ascii="Times New Roman" w:hAnsi="Times New Roman" w:eastAsia="宋体" w:cs="Times New Roman"/>
                <w:b/>
                <w:color w:val="auto"/>
                <w:sz w:val="24"/>
                <w:szCs w:val="24"/>
                <w:highlight w:val="none"/>
                <w:lang w:val="en-US" w:eastAsia="zh-CN"/>
              </w:rPr>
              <w:t>内容</w:t>
            </w:r>
          </w:p>
          <w:p w14:paraId="3E0F05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（1）变电站工程</w:t>
            </w:r>
          </w:p>
          <w:p w14:paraId="0F1368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1）建设规模</w:t>
            </w:r>
          </w:p>
          <w:p w14:paraId="3AE671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①主变压器</w:t>
            </w:r>
          </w:p>
          <w:p w14:paraId="2349CC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本期建设</w:t>
            </w:r>
            <w:r>
              <w:rPr>
                <w:rFonts w:hint="eastAsia" w:ascii="Times New Roman" w:hAnsi="Times New Roman" w:eastAsia="宋体" w:cs="Times New Roman"/>
                <w:color w:val="auto"/>
                <w:kern w:val="0"/>
                <w:sz w:val="24"/>
                <w:szCs w:val="24"/>
                <w:highlight w:val="none"/>
                <w:lang w:val="en-US" w:eastAsia="zh-CN"/>
              </w:rPr>
              <w:t>一座全户内变电站，</w:t>
            </w:r>
            <w:r>
              <w:rPr>
                <w:rFonts w:hint="default" w:ascii="Times New Roman" w:hAnsi="Times New Roman" w:eastAsia="宋体" w:cs="Times New Roman"/>
                <w:color w:val="auto"/>
                <w:kern w:val="0"/>
                <w:sz w:val="24"/>
                <w:szCs w:val="24"/>
                <w:highlight w:val="none"/>
                <w:lang w:val="en-US" w:eastAsia="zh-CN"/>
              </w:rPr>
              <w:t>变压器</w:t>
            </w:r>
            <w:r>
              <w:rPr>
                <w:rFonts w:hint="eastAsia" w:ascii="Times New Roman" w:hAnsi="Times New Roman" w:eastAsia="宋体" w:cs="Times New Roman"/>
                <w:color w:val="auto"/>
                <w:kern w:val="0"/>
                <w:sz w:val="24"/>
                <w:szCs w:val="24"/>
                <w:highlight w:val="none"/>
                <w:lang w:val="en-US" w:eastAsia="zh-CN"/>
              </w:rPr>
              <w:t>为</w:t>
            </w:r>
            <w:r>
              <w:rPr>
                <w:rFonts w:hint="default" w:ascii="Times New Roman" w:hAnsi="Times New Roman" w:eastAsia="宋体" w:cs="Times New Roman"/>
                <w:color w:val="auto"/>
                <w:kern w:val="0"/>
                <w:sz w:val="24"/>
                <w:szCs w:val="24"/>
                <w:highlight w:val="none"/>
                <w:lang w:val="en-US" w:eastAsia="zh-CN"/>
              </w:rPr>
              <w:t>3×150MVA，变压器采用采用三相双分裂三绕组有载调压变压器，电压等级220/10.5/10.5kV。</w:t>
            </w:r>
          </w:p>
          <w:p w14:paraId="700E94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w:t>
            </w:r>
            <w:r>
              <w:rPr>
                <w:rFonts w:hint="eastAsia" w:ascii="Times New Roman" w:hAnsi="Times New Roman" w:eastAsia="宋体" w:cs="Times New Roman"/>
                <w:color w:val="auto"/>
                <w:kern w:val="0"/>
                <w:sz w:val="24"/>
                <w:szCs w:val="24"/>
                <w:highlight w:val="none"/>
                <w:lang w:val="en-US" w:eastAsia="zh-CN"/>
              </w:rPr>
              <w:t>出线规模</w:t>
            </w:r>
          </w:p>
          <w:p w14:paraId="6ABC5B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220kV 出线规模3回，本期3回（其中1回为预留新能源接线间隔），终期3回。</w:t>
            </w:r>
          </w:p>
          <w:p w14:paraId="48E74B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10kV出线规模为72回，本期出线72回。</w:t>
            </w:r>
          </w:p>
          <w:p w14:paraId="06F6B5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③无功补偿</w:t>
            </w:r>
          </w:p>
          <w:p w14:paraId="52F5B2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暂定按每台主变压器低压侧装设容量为4×8Mvar 的电容器考虑。</w:t>
            </w:r>
          </w:p>
          <w:p w14:paraId="3CD482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2）设施设备</w:t>
            </w:r>
          </w:p>
          <w:p w14:paraId="3486EC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表2-2主要设备一览表</w:t>
            </w:r>
          </w:p>
          <w:tbl>
            <w:tblPr>
              <w:tblStyle w:val="1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895"/>
              <w:gridCol w:w="1322"/>
              <w:gridCol w:w="4563"/>
              <w:gridCol w:w="937"/>
            </w:tblGrid>
            <w:tr w14:paraId="363B2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12" w:type="pct"/>
                  <w:tcBorders>
                    <w:tl2br w:val="nil"/>
                    <w:tr2bl w:val="nil"/>
                  </w:tcBorders>
                  <w:vAlign w:val="center"/>
                </w:tcPr>
                <w:p w14:paraId="09AD1B2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序号</w:t>
                  </w:r>
                </w:p>
              </w:tc>
              <w:tc>
                <w:tcPr>
                  <w:tcW w:w="1318" w:type="pct"/>
                  <w:gridSpan w:val="2"/>
                  <w:tcBorders>
                    <w:tl2br w:val="nil"/>
                    <w:tr2bl w:val="nil"/>
                  </w:tcBorders>
                  <w:vAlign w:val="center"/>
                </w:tcPr>
                <w:p w14:paraId="20FE744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设备名称</w:t>
                  </w:r>
                </w:p>
              </w:tc>
              <w:tc>
                <w:tcPr>
                  <w:tcW w:w="2713" w:type="pct"/>
                  <w:tcBorders>
                    <w:tl2br w:val="nil"/>
                    <w:tr2bl w:val="nil"/>
                  </w:tcBorders>
                  <w:vAlign w:val="center"/>
                </w:tcPr>
                <w:p w14:paraId="68FB500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型式及主要参数</w:t>
                  </w:r>
                </w:p>
              </w:tc>
              <w:tc>
                <w:tcPr>
                  <w:tcW w:w="555" w:type="pct"/>
                  <w:tcBorders>
                    <w:tl2br w:val="nil"/>
                    <w:tr2bl w:val="nil"/>
                  </w:tcBorders>
                  <w:vAlign w:val="center"/>
                </w:tcPr>
                <w:p w14:paraId="3968231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备注</w:t>
                  </w:r>
                </w:p>
              </w:tc>
            </w:tr>
            <w:tr w14:paraId="4E807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412" w:type="pct"/>
                  <w:vMerge w:val="restart"/>
                  <w:tcBorders>
                    <w:tl2br w:val="nil"/>
                    <w:tr2bl w:val="nil"/>
                  </w:tcBorders>
                  <w:vAlign w:val="center"/>
                </w:tcPr>
                <w:p w14:paraId="1A38F9F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32" w:type="pct"/>
                  <w:vMerge w:val="restart"/>
                  <w:tcBorders>
                    <w:tl2br w:val="nil"/>
                    <w:tr2bl w:val="nil"/>
                  </w:tcBorders>
                  <w:vAlign w:val="center"/>
                </w:tcPr>
                <w:p w14:paraId="229A7D3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3"/>
                      <w:sz w:val="21"/>
                      <w:szCs w:val="21"/>
                    </w:rPr>
                  </w:pPr>
                  <w:r>
                    <w:rPr>
                      <w:rFonts w:hint="default" w:ascii="Times New Roman" w:hAnsi="Times New Roman" w:cs="Times New Roman"/>
                      <w:color w:val="auto"/>
                      <w:spacing w:val="-3"/>
                      <w:sz w:val="21"/>
                      <w:szCs w:val="21"/>
                    </w:rPr>
                    <w:t>主变</w:t>
                  </w:r>
                </w:p>
                <w:p w14:paraId="1D8E817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压器</w:t>
                  </w:r>
                </w:p>
              </w:tc>
              <w:tc>
                <w:tcPr>
                  <w:tcW w:w="785" w:type="pct"/>
                  <w:tcBorders>
                    <w:tl2br w:val="nil"/>
                    <w:tr2bl w:val="nil"/>
                  </w:tcBorders>
                  <w:vAlign w:val="center"/>
                </w:tcPr>
                <w:p w14:paraId="2DE4056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3"/>
                      <w:sz w:val="21"/>
                      <w:szCs w:val="21"/>
                    </w:rPr>
                    <w:t>型式</w:t>
                  </w:r>
                  <w:r>
                    <w:rPr>
                      <w:rFonts w:hint="eastAsia" w:ascii="Times New Roman" w:hAnsi="Times New Roman" w:cs="Times New Roman"/>
                      <w:color w:val="auto"/>
                      <w:spacing w:val="3"/>
                      <w:sz w:val="21"/>
                      <w:szCs w:val="21"/>
                      <w:lang w:val="en-US" w:eastAsia="zh-CN"/>
                    </w:rPr>
                    <w:t>/冷却方式</w:t>
                  </w:r>
                </w:p>
              </w:tc>
              <w:tc>
                <w:tcPr>
                  <w:tcW w:w="2713" w:type="pct"/>
                  <w:tcBorders>
                    <w:tl2br w:val="nil"/>
                    <w:tr2bl w:val="nil"/>
                  </w:tcBorders>
                  <w:vAlign w:val="center"/>
                </w:tcPr>
                <w:p w14:paraId="0F3F603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lang w:val="en-US" w:eastAsia="zh-CN"/>
                    </w:rPr>
                    <w:t>三相双分裂三绕组有载调压自冷变压器</w:t>
                  </w:r>
                </w:p>
              </w:tc>
              <w:tc>
                <w:tcPr>
                  <w:tcW w:w="555" w:type="pct"/>
                  <w:tcBorders>
                    <w:tl2br w:val="nil"/>
                    <w:tr2bl w:val="nil"/>
                  </w:tcBorders>
                  <w:vAlign w:val="center"/>
                </w:tcPr>
                <w:p w14:paraId="1D80A48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3台</w:t>
                  </w:r>
                </w:p>
              </w:tc>
            </w:tr>
            <w:tr w14:paraId="22D3D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12" w:type="pct"/>
                  <w:vMerge w:val="continue"/>
                  <w:tcBorders>
                    <w:tl2br w:val="nil"/>
                    <w:tr2bl w:val="nil"/>
                  </w:tcBorders>
                  <w:vAlign w:val="center"/>
                </w:tcPr>
                <w:p w14:paraId="4210A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2BAEC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162C92D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容量</w:t>
                  </w:r>
                </w:p>
              </w:tc>
              <w:tc>
                <w:tcPr>
                  <w:tcW w:w="2713" w:type="pct"/>
                  <w:tcBorders>
                    <w:tl2br w:val="nil"/>
                    <w:tr2bl w:val="nil"/>
                  </w:tcBorders>
                  <w:vAlign w:val="center"/>
                </w:tcPr>
                <w:p w14:paraId="03A6B2A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3"/>
                      <w:sz w:val="21"/>
                      <w:szCs w:val="21"/>
                      <w:lang w:val="en-US" w:eastAsia="zh-CN"/>
                    </w:rPr>
                    <w:t>150</w:t>
                  </w:r>
                  <w:r>
                    <w:rPr>
                      <w:rFonts w:hint="default" w:ascii="Times New Roman" w:hAnsi="Times New Roman" w:cs="Times New Roman"/>
                      <w:color w:val="auto"/>
                      <w:spacing w:val="-3"/>
                      <w:sz w:val="21"/>
                      <w:szCs w:val="21"/>
                    </w:rPr>
                    <w:t>MVA</w:t>
                  </w:r>
                </w:p>
              </w:tc>
              <w:tc>
                <w:tcPr>
                  <w:tcW w:w="555" w:type="pct"/>
                  <w:tcBorders>
                    <w:tl2br w:val="nil"/>
                    <w:tr2bl w:val="nil"/>
                  </w:tcBorders>
                  <w:vAlign w:val="center"/>
                </w:tcPr>
                <w:p w14:paraId="0E743B7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387E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412" w:type="pct"/>
                  <w:vMerge w:val="continue"/>
                  <w:tcBorders>
                    <w:tl2br w:val="nil"/>
                    <w:tr2bl w:val="nil"/>
                  </w:tcBorders>
                  <w:vAlign w:val="center"/>
                </w:tcPr>
                <w:p w14:paraId="4049D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0DFDD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48A4B2D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额定电压</w:t>
                  </w:r>
                </w:p>
              </w:tc>
              <w:tc>
                <w:tcPr>
                  <w:tcW w:w="2713" w:type="pct"/>
                  <w:tcBorders>
                    <w:tl2br w:val="nil"/>
                    <w:tr2bl w:val="nil"/>
                  </w:tcBorders>
                  <w:vAlign w:val="center"/>
                </w:tcPr>
                <w:p w14:paraId="5517C6D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1"/>
                      <w:sz w:val="21"/>
                      <w:szCs w:val="21"/>
                      <w:lang w:val="en-US" w:eastAsia="zh-CN"/>
                    </w:rPr>
                    <w:t>（</w:t>
                  </w:r>
                  <w:r>
                    <w:rPr>
                      <w:rFonts w:hint="default" w:ascii="Times New Roman" w:hAnsi="Times New Roman" w:cs="Times New Roman"/>
                      <w:color w:val="auto"/>
                      <w:spacing w:val="-1"/>
                      <w:sz w:val="21"/>
                      <w:szCs w:val="21"/>
                      <w:lang w:val="en-US" w:eastAsia="zh-CN"/>
                    </w:rPr>
                    <w:t>230±8×1.25%</w:t>
                  </w:r>
                  <w:r>
                    <w:rPr>
                      <w:rFonts w:hint="eastAsia" w:ascii="Times New Roman" w:hAnsi="Times New Roman" w:cs="Times New Roman"/>
                      <w:color w:val="auto"/>
                      <w:spacing w:val="-1"/>
                      <w:sz w:val="21"/>
                      <w:szCs w:val="21"/>
                      <w:lang w:val="en-US" w:eastAsia="zh-CN"/>
                    </w:rPr>
                    <w:t>）</w:t>
                  </w:r>
                  <w:r>
                    <w:rPr>
                      <w:rFonts w:hint="default" w:ascii="Times New Roman" w:hAnsi="Times New Roman" w:cs="Times New Roman"/>
                      <w:color w:val="auto"/>
                      <w:spacing w:val="-1"/>
                      <w:sz w:val="21"/>
                      <w:szCs w:val="21"/>
                      <w:lang w:val="en-US" w:eastAsia="zh-CN"/>
                    </w:rPr>
                    <w:t>/10.5-10.5kV</w:t>
                  </w:r>
                </w:p>
              </w:tc>
              <w:tc>
                <w:tcPr>
                  <w:tcW w:w="555" w:type="pct"/>
                  <w:tcBorders>
                    <w:tl2br w:val="nil"/>
                    <w:tr2bl w:val="nil"/>
                  </w:tcBorders>
                  <w:vAlign w:val="center"/>
                </w:tcPr>
                <w:p w14:paraId="0C144CF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0273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12" w:type="pct"/>
                  <w:vMerge w:val="continue"/>
                  <w:tcBorders>
                    <w:tl2br w:val="nil"/>
                    <w:tr2bl w:val="nil"/>
                  </w:tcBorders>
                  <w:vAlign w:val="center"/>
                </w:tcPr>
                <w:p w14:paraId="36AEF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151EF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7C4CB22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接线组别</w:t>
                  </w:r>
                </w:p>
              </w:tc>
              <w:tc>
                <w:tcPr>
                  <w:tcW w:w="2713" w:type="pct"/>
                  <w:tcBorders>
                    <w:tl2br w:val="nil"/>
                    <w:tr2bl w:val="nil"/>
                  </w:tcBorders>
                  <w:vAlign w:val="center"/>
                </w:tcPr>
                <w:p w14:paraId="1AE52D9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lang w:val="en-US" w:eastAsia="zh-CN"/>
                    </w:rPr>
                    <w:t>YN，d11-d11</w:t>
                  </w:r>
                </w:p>
              </w:tc>
              <w:tc>
                <w:tcPr>
                  <w:tcW w:w="555" w:type="pct"/>
                  <w:tcBorders>
                    <w:tl2br w:val="nil"/>
                    <w:tr2bl w:val="nil"/>
                  </w:tcBorders>
                  <w:vAlign w:val="center"/>
                </w:tcPr>
                <w:p w14:paraId="4F86624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CD18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412" w:type="pct"/>
                  <w:vMerge w:val="continue"/>
                  <w:tcBorders>
                    <w:tl2br w:val="nil"/>
                    <w:tr2bl w:val="nil"/>
                  </w:tcBorders>
                  <w:vAlign w:val="center"/>
                </w:tcPr>
                <w:p w14:paraId="1B5C8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239C1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45A78B0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5"/>
                      <w:sz w:val="21"/>
                      <w:szCs w:val="21"/>
                      <w:lang w:val="en-US" w:eastAsia="zh-CN"/>
                    </w:rPr>
                    <w:t>22</w:t>
                  </w:r>
                  <w:r>
                    <w:rPr>
                      <w:rFonts w:hint="default" w:ascii="Times New Roman" w:hAnsi="Times New Roman" w:cs="Times New Roman"/>
                      <w:color w:val="auto"/>
                      <w:spacing w:val="5"/>
                      <w:sz w:val="21"/>
                      <w:szCs w:val="21"/>
                    </w:rPr>
                    <w:t>0</w:t>
                  </w:r>
                  <w:r>
                    <w:rPr>
                      <w:rFonts w:hint="default" w:ascii="Times New Roman" w:hAnsi="Times New Roman" w:cs="Times New Roman"/>
                      <w:color w:val="auto"/>
                      <w:sz w:val="21"/>
                      <w:szCs w:val="21"/>
                    </w:rPr>
                    <w:t>kV</w:t>
                  </w:r>
                  <w:r>
                    <w:rPr>
                      <w:rFonts w:hint="default" w:ascii="Times New Roman" w:hAnsi="Times New Roman" w:cs="Times New Roman"/>
                      <w:color w:val="auto"/>
                      <w:spacing w:val="5"/>
                      <w:sz w:val="21"/>
                      <w:szCs w:val="21"/>
                    </w:rPr>
                    <w:t>中</w:t>
                  </w:r>
                  <w:r>
                    <w:rPr>
                      <w:rFonts w:hint="default" w:ascii="Times New Roman" w:hAnsi="Times New Roman" w:cs="Times New Roman"/>
                      <w:color w:val="auto"/>
                      <w:spacing w:val="-3"/>
                      <w:sz w:val="21"/>
                      <w:szCs w:val="21"/>
                    </w:rPr>
                    <w:t>性点设备</w:t>
                  </w:r>
                </w:p>
              </w:tc>
              <w:tc>
                <w:tcPr>
                  <w:tcW w:w="2713" w:type="pct"/>
                  <w:tcBorders>
                    <w:tl2br w:val="nil"/>
                    <w:tr2bl w:val="nil"/>
                  </w:tcBorders>
                  <w:vAlign w:val="center"/>
                </w:tcPr>
                <w:p w14:paraId="114221E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采用中性点成套设备，每套含中性点隔离开关1台</w:t>
                  </w:r>
                  <w:r>
                    <w:rPr>
                      <w:rFonts w:hint="eastAsia" w:ascii="Times New Roman" w:hAnsi="Times New Roman" w:cs="Times New Roman"/>
                      <w:color w:val="auto"/>
                      <w:spacing w:val="4"/>
                      <w:sz w:val="21"/>
                      <w:szCs w:val="21"/>
                      <w:lang w:eastAsia="zh-CN"/>
                    </w:rPr>
                    <w:t>（</w:t>
                  </w:r>
                  <w:r>
                    <w:rPr>
                      <w:rFonts w:hint="eastAsia" w:ascii="Times New Roman" w:hAnsi="Times New Roman" w:cs="Times New Roman"/>
                      <w:color w:val="auto"/>
                      <w:spacing w:val="4"/>
                      <w:sz w:val="21"/>
                      <w:szCs w:val="21"/>
                      <w:lang w:val="en-US" w:eastAsia="zh-CN"/>
                    </w:rPr>
                    <w:t>GW13-126/630A、电动操作机构</w:t>
                  </w:r>
                  <w:r>
                    <w:rPr>
                      <w:rFonts w:hint="eastAsia" w:ascii="Times New Roman" w:hAnsi="Times New Roman" w:cs="Times New Roman"/>
                      <w:color w:val="auto"/>
                      <w:spacing w:val="4"/>
                      <w:sz w:val="21"/>
                      <w:szCs w:val="21"/>
                      <w:lang w:eastAsia="zh-CN"/>
                    </w:rPr>
                    <w:t>），</w:t>
                  </w:r>
                  <w:r>
                    <w:rPr>
                      <w:rFonts w:hint="eastAsia" w:ascii="Times New Roman" w:hAnsi="Times New Roman" w:cs="Times New Roman"/>
                      <w:color w:val="auto"/>
                      <w:spacing w:val="4"/>
                      <w:sz w:val="21"/>
                      <w:szCs w:val="21"/>
                      <w:lang w:val="en-US" w:eastAsia="zh-CN"/>
                    </w:rPr>
                    <w:t>1台避雷器（Y1.5W-144/320），3台间隙接地电流互感器（LZZBJ9-10 100~200/1A5P30/5P30/5P30），1台放电间隙</w:t>
                  </w:r>
                </w:p>
              </w:tc>
              <w:tc>
                <w:tcPr>
                  <w:tcW w:w="555" w:type="pct"/>
                  <w:tcBorders>
                    <w:tl2br w:val="nil"/>
                    <w:tr2bl w:val="nil"/>
                  </w:tcBorders>
                  <w:vAlign w:val="center"/>
                </w:tcPr>
                <w:p w14:paraId="2A7E3B0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每台主</w:t>
                  </w:r>
                </w:p>
                <w:p w14:paraId="043C8EA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变配置</w:t>
                  </w:r>
                  <w:r>
                    <w:rPr>
                      <w:rFonts w:hint="default" w:ascii="Times New Roman" w:hAnsi="Times New Roman" w:cs="Times New Roman"/>
                      <w:color w:val="auto"/>
                      <w:spacing w:val="5"/>
                      <w:sz w:val="21"/>
                      <w:szCs w:val="21"/>
                    </w:rPr>
                    <w:t>1套</w:t>
                  </w:r>
                </w:p>
              </w:tc>
            </w:tr>
            <w:tr w14:paraId="51B82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5000" w:type="pct"/>
                  <w:gridSpan w:val="5"/>
                  <w:tcBorders>
                    <w:tl2br w:val="nil"/>
                    <w:tr2bl w:val="nil"/>
                  </w:tcBorders>
                  <w:vAlign w:val="center"/>
                </w:tcPr>
                <w:p w14:paraId="38F0A03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1"/>
                      <w:sz w:val="21"/>
                      <w:szCs w:val="21"/>
                      <w:lang w:val="en-US" w:eastAsia="zh-CN"/>
                    </w:rPr>
                    <w:t>220</w:t>
                  </w:r>
                  <w:r>
                    <w:rPr>
                      <w:rFonts w:hint="default" w:ascii="Times New Roman" w:hAnsi="Times New Roman" w:cs="Times New Roman"/>
                      <w:color w:val="auto"/>
                      <w:sz w:val="21"/>
                      <w:szCs w:val="21"/>
                    </w:rPr>
                    <w:t>kV</w:t>
                  </w:r>
                  <w:r>
                    <w:rPr>
                      <w:rFonts w:hint="default" w:ascii="Times New Roman" w:hAnsi="Times New Roman" w:cs="Times New Roman"/>
                      <w:color w:val="auto"/>
                      <w:spacing w:val="1"/>
                      <w:sz w:val="21"/>
                      <w:szCs w:val="21"/>
                    </w:rPr>
                    <w:t>配电装置</w:t>
                  </w:r>
                </w:p>
              </w:tc>
            </w:tr>
            <w:tr w14:paraId="2F10B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vMerge w:val="restart"/>
                  <w:tcBorders>
                    <w:tl2br w:val="nil"/>
                    <w:tr2bl w:val="nil"/>
                  </w:tcBorders>
                  <w:vAlign w:val="center"/>
                </w:tcPr>
                <w:p w14:paraId="6FF4E54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32" w:type="pct"/>
                  <w:vMerge w:val="restart"/>
                  <w:tcBorders>
                    <w:tl2br w:val="nil"/>
                    <w:tr2bl w:val="nil"/>
                  </w:tcBorders>
                  <w:vAlign w:val="center"/>
                </w:tcPr>
                <w:p w14:paraId="6F0992D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GIS</w:t>
                  </w:r>
                </w:p>
              </w:tc>
              <w:tc>
                <w:tcPr>
                  <w:tcW w:w="785" w:type="pct"/>
                  <w:tcBorders>
                    <w:tl2br w:val="nil"/>
                    <w:tr2bl w:val="nil"/>
                  </w:tcBorders>
                  <w:vAlign w:val="center"/>
                </w:tcPr>
                <w:p w14:paraId="498DBFA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断路器</w:t>
                  </w:r>
                </w:p>
              </w:tc>
              <w:tc>
                <w:tcPr>
                  <w:tcW w:w="2713" w:type="pct"/>
                  <w:tcBorders>
                    <w:tl2br w:val="nil"/>
                    <w:tr2bl w:val="nil"/>
                  </w:tcBorders>
                  <w:vAlign w:val="center"/>
                </w:tcPr>
                <w:p w14:paraId="7BD6F75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六氟化硫 252kV，4000A，50kA/3S，125kA</w:t>
                  </w:r>
                </w:p>
              </w:tc>
              <w:tc>
                <w:tcPr>
                  <w:tcW w:w="555" w:type="pct"/>
                  <w:vMerge w:val="restart"/>
                  <w:tcBorders>
                    <w:tl2br w:val="nil"/>
                    <w:tr2bl w:val="nil"/>
                  </w:tcBorders>
                  <w:vAlign w:val="center"/>
                </w:tcPr>
                <w:p w14:paraId="6704C28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7CCD1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12" w:type="pct"/>
                  <w:vMerge w:val="continue"/>
                  <w:tcBorders>
                    <w:tl2br w:val="nil"/>
                    <w:tr2bl w:val="nil"/>
                  </w:tcBorders>
                  <w:vAlign w:val="center"/>
                </w:tcPr>
                <w:p w14:paraId="1B5DB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51584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1946B2A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隔离开关</w:t>
                  </w:r>
                </w:p>
              </w:tc>
              <w:tc>
                <w:tcPr>
                  <w:tcW w:w="2713" w:type="pct"/>
                  <w:tcBorders>
                    <w:tl2br w:val="nil"/>
                    <w:tr2bl w:val="nil"/>
                  </w:tcBorders>
                  <w:vAlign w:val="center"/>
                </w:tcPr>
                <w:p w14:paraId="2440FA4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2"/>
                      <w:sz w:val="21"/>
                      <w:szCs w:val="21"/>
                      <w:lang w:val="en-US" w:eastAsia="zh-CN"/>
                    </w:rPr>
                    <w:t>252kV，4000A，50kA/3S，125kA</w:t>
                  </w:r>
                </w:p>
              </w:tc>
              <w:tc>
                <w:tcPr>
                  <w:tcW w:w="555" w:type="pct"/>
                  <w:vMerge w:val="continue"/>
                  <w:tcBorders>
                    <w:tl2br w:val="nil"/>
                    <w:tr2bl w:val="nil"/>
                  </w:tcBorders>
                  <w:vAlign w:val="center"/>
                </w:tcPr>
                <w:p w14:paraId="4177E33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p>
              </w:tc>
            </w:tr>
            <w:tr w14:paraId="45041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412" w:type="pct"/>
                  <w:vMerge w:val="continue"/>
                  <w:tcBorders>
                    <w:tl2br w:val="nil"/>
                    <w:tr2bl w:val="nil"/>
                  </w:tcBorders>
                  <w:vAlign w:val="center"/>
                </w:tcPr>
                <w:p w14:paraId="3DA44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56C9E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272E2AC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接地开关</w:t>
                  </w:r>
                </w:p>
              </w:tc>
              <w:tc>
                <w:tcPr>
                  <w:tcW w:w="2713" w:type="pct"/>
                  <w:tcBorders>
                    <w:tl2br w:val="nil"/>
                    <w:tr2bl w:val="nil"/>
                  </w:tcBorders>
                  <w:vAlign w:val="center"/>
                </w:tcPr>
                <w:p w14:paraId="500EA5A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252kV，50kA/3S，125kA</w:t>
                  </w:r>
                </w:p>
              </w:tc>
              <w:tc>
                <w:tcPr>
                  <w:tcW w:w="555" w:type="pct"/>
                  <w:vMerge w:val="continue"/>
                  <w:tcBorders>
                    <w:tl2br w:val="nil"/>
                    <w:tr2bl w:val="nil"/>
                  </w:tcBorders>
                  <w:vAlign w:val="center"/>
                </w:tcPr>
                <w:p w14:paraId="47684434">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p>
              </w:tc>
            </w:tr>
            <w:tr w14:paraId="2DBD5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412" w:type="pct"/>
                  <w:vMerge w:val="continue"/>
                  <w:tcBorders>
                    <w:tl2br w:val="nil"/>
                    <w:tr2bl w:val="nil"/>
                  </w:tcBorders>
                  <w:vAlign w:val="center"/>
                </w:tcPr>
                <w:p w14:paraId="6CE0C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57F07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161D02E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电流互感</w:t>
                  </w:r>
                </w:p>
                <w:p w14:paraId="4EBF4CC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器</w:t>
                  </w:r>
                </w:p>
              </w:tc>
              <w:tc>
                <w:tcPr>
                  <w:tcW w:w="2713" w:type="pct"/>
                  <w:tcBorders>
                    <w:tl2br w:val="nil"/>
                    <w:tr2bl w:val="nil"/>
                  </w:tcBorders>
                  <w:vAlign w:val="center"/>
                </w:tcPr>
                <w:p w14:paraId="66D6E77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出线、母联：252kV，1000-2000-3000/1A </w:t>
                  </w:r>
                </w:p>
                <w:p w14:paraId="540B4F8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5P40/5P40 </w:t>
                  </w:r>
                </w:p>
                <w:p w14:paraId="726EC9A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计量带 800-1500-2500/1A 抽头 0.2S/0.2S </w:t>
                  </w:r>
                </w:p>
                <w:p w14:paraId="19BFA93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主变：252kV，600-1250-2500/1A </w:t>
                  </w:r>
                </w:p>
                <w:p w14:paraId="491A9C8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5P40/5P40 </w:t>
                  </w:r>
                </w:p>
                <w:p w14:paraId="7F84920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计量带 400-600-1200/1A 抽头 0.2S/0.2S</w:t>
                  </w:r>
                </w:p>
              </w:tc>
              <w:tc>
                <w:tcPr>
                  <w:tcW w:w="555" w:type="pct"/>
                  <w:vMerge w:val="continue"/>
                  <w:tcBorders>
                    <w:tl2br w:val="nil"/>
                    <w:tr2bl w:val="nil"/>
                  </w:tcBorders>
                  <w:vAlign w:val="center"/>
                </w:tcPr>
                <w:p w14:paraId="49EEB2E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p>
              </w:tc>
            </w:tr>
            <w:tr w14:paraId="1E12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412" w:type="pct"/>
                  <w:vMerge w:val="continue"/>
                  <w:tcBorders>
                    <w:tl2br w:val="nil"/>
                    <w:tr2bl w:val="nil"/>
                  </w:tcBorders>
                  <w:vAlign w:val="center"/>
                </w:tcPr>
                <w:p w14:paraId="33EB7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0FB91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vMerge w:val="restart"/>
                  <w:tcBorders>
                    <w:tl2br w:val="nil"/>
                    <w:tr2bl w:val="nil"/>
                  </w:tcBorders>
                  <w:vAlign w:val="center"/>
                </w:tcPr>
                <w:p w14:paraId="0ADC0A0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电压互感</w:t>
                  </w:r>
                </w:p>
                <w:p w14:paraId="1A0F773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器</w:t>
                  </w:r>
                </w:p>
              </w:tc>
              <w:tc>
                <w:tcPr>
                  <w:tcW w:w="2713" w:type="pct"/>
                  <w:tcBorders>
                    <w:tl2br w:val="nil"/>
                    <w:tr2bl w:val="nil"/>
                  </w:tcBorders>
                  <w:vAlign w:val="center"/>
                </w:tcPr>
                <w:p w14:paraId="5B8ADB0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7"/>
                      <w:sz w:val="21"/>
                      <w:szCs w:val="21"/>
                      <w:lang w:val="en-US" w:eastAsia="zh-CN"/>
                    </w:rPr>
                  </w:pPr>
                  <w:r>
                    <w:rPr>
                      <w:rFonts w:hint="default" w:ascii="Times New Roman" w:hAnsi="Times New Roman" w:cs="Times New Roman"/>
                      <w:color w:val="auto"/>
                      <w:spacing w:val="-7"/>
                      <w:sz w:val="21"/>
                      <w:szCs w:val="21"/>
                      <w:lang w:val="en-US" w:eastAsia="zh-CN"/>
                    </w:rPr>
                    <w:t>母线：252kV，</w:t>
                  </w:r>
                </w:p>
                <w:p w14:paraId="603AF49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7"/>
                      <w:sz w:val="21"/>
                      <w:szCs w:val="21"/>
                      <w:lang w:val="en-US" w:eastAsia="zh-CN"/>
                    </w:rPr>
                  </w:pPr>
                  <w:r>
                    <w:rPr>
                      <w:rFonts w:hint="default" w:ascii="Times New Roman" w:hAnsi="Times New Roman" w:cs="Times New Roman"/>
                      <w:color w:val="auto"/>
                      <w:spacing w:val="-7"/>
                      <w:sz w:val="21"/>
                      <w:szCs w:val="21"/>
                      <w:lang w:val="en-US" w:eastAsia="zh-CN"/>
                    </w:rPr>
                    <w:t>220/√3/0.1/√3/0.1/√3/0.1/3/0.1kV</w:t>
                  </w:r>
                </w:p>
                <w:p w14:paraId="46DCC9C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lang w:val="en-US" w:eastAsia="zh-CN"/>
                    </w:rPr>
                    <w:t>0.2/0.5(3P)/0.5（3P）/3P 10/30/30/50VA</w:t>
                  </w:r>
                </w:p>
              </w:tc>
              <w:tc>
                <w:tcPr>
                  <w:tcW w:w="555" w:type="pct"/>
                  <w:vMerge w:val="continue"/>
                  <w:tcBorders>
                    <w:tl2br w:val="nil"/>
                    <w:tr2bl w:val="nil"/>
                  </w:tcBorders>
                  <w:vAlign w:val="center"/>
                </w:tcPr>
                <w:p w14:paraId="259A0A4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p>
              </w:tc>
            </w:tr>
            <w:tr w14:paraId="6C0B2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412" w:type="pct"/>
                  <w:vMerge w:val="continue"/>
                  <w:tcBorders>
                    <w:tl2br w:val="nil"/>
                    <w:tr2bl w:val="nil"/>
                  </w:tcBorders>
                  <w:vAlign w:val="center"/>
                </w:tcPr>
                <w:p w14:paraId="79AE3B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1B965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vMerge w:val="continue"/>
                  <w:tcBorders>
                    <w:tl2br w:val="nil"/>
                    <w:tr2bl w:val="nil"/>
                  </w:tcBorders>
                  <w:vAlign w:val="center"/>
                </w:tcPr>
                <w:p w14:paraId="11912DA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p>
              </w:tc>
              <w:tc>
                <w:tcPr>
                  <w:tcW w:w="2713" w:type="pct"/>
                  <w:tcBorders>
                    <w:tl2br w:val="nil"/>
                    <w:tr2bl w:val="nil"/>
                  </w:tcBorders>
                  <w:vAlign w:val="center"/>
                </w:tcPr>
                <w:p w14:paraId="6A0A33F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7"/>
                      <w:sz w:val="21"/>
                      <w:szCs w:val="21"/>
                      <w:lang w:val="en-US" w:eastAsia="zh-CN"/>
                    </w:rPr>
                  </w:pPr>
                  <w:r>
                    <w:rPr>
                      <w:rFonts w:hint="eastAsia" w:ascii="Times New Roman" w:hAnsi="Times New Roman" w:cs="Times New Roman"/>
                      <w:color w:val="auto"/>
                      <w:spacing w:val="-7"/>
                      <w:sz w:val="21"/>
                      <w:szCs w:val="21"/>
                      <w:lang w:val="en-US" w:eastAsia="zh-CN"/>
                    </w:rPr>
                    <w:t>线路</w:t>
                  </w:r>
                  <w:r>
                    <w:rPr>
                      <w:rFonts w:hint="default" w:ascii="Times New Roman" w:hAnsi="Times New Roman" w:cs="Times New Roman"/>
                      <w:color w:val="auto"/>
                      <w:spacing w:val="-7"/>
                      <w:sz w:val="21"/>
                      <w:szCs w:val="21"/>
                      <w:lang w:val="en-US" w:eastAsia="zh-CN"/>
                    </w:rPr>
                    <w:t>：252kV，</w:t>
                  </w:r>
                </w:p>
                <w:p w14:paraId="3182CC0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7"/>
                      <w:sz w:val="21"/>
                      <w:szCs w:val="21"/>
                      <w:lang w:val="en-US" w:eastAsia="zh-CN"/>
                    </w:rPr>
                  </w:pPr>
                  <w:r>
                    <w:rPr>
                      <w:rFonts w:hint="default" w:ascii="Times New Roman" w:hAnsi="Times New Roman" w:cs="Times New Roman"/>
                      <w:color w:val="auto"/>
                      <w:spacing w:val="-7"/>
                      <w:sz w:val="21"/>
                      <w:szCs w:val="21"/>
                      <w:lang w:val="en-US" w:eastAsia="zh-CN"/>
                    </w:rPr>
                    <w:t>220/√3/0.1/√3/0.1/√3/0.1/3/0.1kV</w:t>
                  </w:r>
                </w:p>
                <w:p w14:paraId="2AE0581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7"/>
                      <w:sz w:val="21"/>
                      <w:szCs w:val="21"/>
                      <w:lang w:val="en-US" w:eastAsia="zh-CN"/>
                    </w:rPr>
                  </w:pPr>
                  <w:r>
                    <w:rPr>
                      <w:rFonts w:hint="default" w:ascii="Times New Roman" w:hAnsi="Times New Roman" w:cs="Times New Roman"/>
                      <w:color w:val="auto"/>
                      <w:spacing w:val="-7"/>
                      <w:sz w:val="21"/>
                      <w:szCs w:val="21"/>
                      <w:lang w:val="en-US" w:eastAsia="zh-CN"/>
                    </w:rPr>
                    <w:t>0.2/0.5(3P)/0.5（3P）/3P 10/30/30/50VA</w:t>
                  </w:r>
                </w:p>
              </w:tc>
              <w:tc>
                <w:tcPr>
                  <w:tcW w:w="555" w:type="pct"/>
                  <w:vMerge w:val="continue"/>
                  <w:tcBorders>
                    <w:tl2br w:val="nil"/>
                    <w:tr2bl w:val="nil"/>
                  </w:tcBorders>
                  <w:vAlign w:val="center"/>
                </w:tcPr>
                <w:p w14:paraId="416C558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p>
              </w:tc>
            </w:tr>
            <w:tr w14:paraId="053E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12" w:type="pct"/>
                  <w:vMerge w:val="continue"/>
                  <w:tcBorders>
                    <w:tl2br w:val="nil"/>
                    <w:tr2bl w:val="nil"/>
                  </w:tcBorders>
                  <w:vAlign w:val="center"/>
                </w:tcPr>
                <w:p w14:paraId="0E78B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1AFED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785" w:type="pct"/>
                  <w:tcBorders>
                    <w:tl2br w:val="nil"/>
                    <w:tr2bl w:val="nil"/>
                  </w:tcBorders>
                  <w:vAlign w:val="center"/>
                </w:tcPr>
                <w:p w14:paraId="60DD663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lang w:val="en-US" w:eastAsia="zh-CN"/>
                    </w:rPr>
                    <w:t>氧化锌避雷器</w:t>
                  </w:r>
                </w:p>
              </w:tc>
              <w:tc>
                <w:tcPr>
                  <w:tcW w:w="2713" w:type="pct"/>
                  <w:tcBorders>
                    <w:tl2br w:val="nil"/>
                    <w:tr2bl w:val="nil"/>
                  </w:tcBorders>
                  <w:vAlign w:val="center"/>
                </w:tcPr>
                <w:p w14:paraId="4061655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pacing w:val="-2"/>
                      <w:sz w:val="21"/>
                      <w:szCs w:val="21"/>
                      <w:lang w:val="en-US" w:eastAsia="zh-CN"/>
                    </w:rPr>
                    <w:t>Y10W-204/532W</w:t>
                  </w:r>
                </w:p>
              </w:tc>
              <w:tc>
                <w:tcPr>
                  <w:tcW w:w="555" w:type="pct"/>
                  <w:vMerge w:val="continue"/>
                  <w:tcBorders>
                    <w:tl2br w:val="nil"/>
                    <w:tr2bl w:val="nil"/>
                  </w:tcBorders>
                  <w:vAlign w:val="center"/>
                </w:tcPr>
                <w:p w14:paraId="158BD1F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p>
              </w:tc>
            </w:tr>
            <w:tr w14:paraId="126A5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00" w:type="pct"/>
                  <w:gridSpan w:val="5"/>
                  <w:tcBorders>
                    <w:tl2br w:val="nil"/>
                    <w:tr2bl w:val="nil"/>
                  </w:tcBorders>
                  <w:vAlign w:val="center"/>
                </w:tcPr>
                <w:p w14:paraId="0C2AD84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2"/>
                      <w:sz w:val="21"/>
                      <w:szCs w:val="21"/>
                      <w:lang w:val="en-US" w:eastAsia="zh-CN"/>
                    </w:rPr>
                    <w:t>10</w:t>
                  </w:r>
                  <w:r>
                    <w:rPr>
                      <w:rFonts w:hint="default" w:ascii="Times New Roman" w:hAnsi="Times New Roman" w:cs="Times New Roman"/>
                      <w:color w:val="auto"/>
                      <w:spacing w:val="-2"/>
                      <w:sz w:val="21"/>
                      <w:szCs w:val="21"/>
                    </w:rPr>
                    <w:t>kV配电装置</w:t>
                  </w:r>
                </w:p>
              </w:tc>
            </w:tr>
            <w:tr w14:paraId="4ED43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vMerge w:val="restart"/>
                  <w:tcBorders>
                    <w:tl2br w:val="nil"/>
                    <w:tr2bl w:val="nil"/>
                  </w:tcBorders>
                  <w:vAlign w:val="center"/>
                </w:tcPr>
                <w:p w14:paraId="5A6205C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32" w:type="pct"/>
                  <w:vMerge w:val="restart"/>
                  <w:tcBorders>
                    <w:tl2br w:val="nil"/>
                    <w:tr2bl w:val="nil"/>
                  </w:tcBorders>
                  <w:vAlign w:val="center"/>
                </w:tcPr>
                <w:p w14:paraId="214B10C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lang w:val="en-US" w:eastAsia="zh-CN"/>
                    </w:rPr>
                    <w:t>开关柜</w:t>
                  </w:r>
                </w:p>
              </w:tc>
              <w:tc>
                <w:tcPr>
                  <w:tcW w:w="3499" w:type="pct"/>
                  <w:gridSpan w:val="2"/>
                  <w:tcBorders>
                    <w:tl2br w:val="nil"/>
                    <w:tr2bl w:val="nil"/>
                  </w:tcBorders>
                  <w:vAlign w:val="center"/>
                </w:tcPr>
                <w:p w14:paraId="3F87B4A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lang w:val="en-US" w:eastAsia="zh-CN"/>
                    </w:rPr>
                    <w:t>主变进线柜，12kV，5000A，40kA/4s，真空断路器</w:t>
                  </w:r>
                </w:p>
              </w:tc>
              <w:tc>
                <w:tcPr>
                  <w:tcW w:w="555" w:type="pct"/>
                  <w:vMerge w:val="restart"/>
                  <w:tcBorders>
                    <w:tl2br w:val="nil"/>
                    <w:tr2bl w:val="nil"/>
                  </w:tcBorders>
                  <w:vAlign w:val="center"/>
                </w:tcPr>
                <w:p w14:paraId="5AC66DD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金属移开式</w:t>
                  </w:r>
                  <w:r>
                    <w:rPr>
                      <w:rFonts w:hint="default" w:ascii="Times New Roman" w:hAnsi="Times New Roman" w:cs="Times New Roman"/>
                      <w:color w:val="auto"/>
                      <w:sz w:val="21"/>
                      <w:szCs w:val="21"/>
                    </w:rPr>
                    <w:t>装开关</w:t>
                  </w:r>
                </w:p>
                <w:p w14:paraId="2705BCE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柜</w:t>
                  </w:r>
                </w:p>
              </w:tc>
            </w:tr>
            <w:tr w14:paraId="75076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12" w:type="pct"/>
                  <w:vMerge w:val="continue"/>
                  <w:tcBorders>
                    <w:tl2br w:val="nil"/>
                    <w:tr2bl w:val="nil"/>
                  </w:tcBorders>
                  <w:vAlign w:val="center"/>
                </w:tcPr>
                <w:p w14:paraId="285B1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7E30E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14471E2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分段断路器柜，12kV，5000A，40kA/4s，真空断路器</w:t>
                  </w:r>
                </w:p>
              </w:tc>
              <w:tc>
                <w:tcPr>
                  <w:tcW w:w="555" w:type="pct"/>
                  <w:vMerge w:val="continue"/>
                  <w:tcBorders>
                    <w:tl2br w:val="nil"/>
                    <w:tr2bl w:val="nil"/>
                  </w:tcBorders>
                  <w:vAlign w:val="center"/>
                </w:tcPr>
                <w:p w14:paraId="4D8EE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73671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412" w:type="pct"/>
                  <w:vMerge w:val="continue"/>
                  <w:tcBorders>
                    <w:tl2br w:val="nil"/>
                    <w:tr2bl w:val="nil"/>
                  </w:tcBorders>
                  <w:vAlign w:val="center"/>
                </w:tcPr>
                <w:p w14:paraId="37DFA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553C6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75E28E4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母线设备柜，12kV，40kA/4s</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 </w:t>
                  </w:r>
                </w:p>
                <w:p w14:paraId="43B62CA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10/√3/0.1/√3/0.1/√3/0.1/√3/0.1/3kV </w:t>
                  </w:r>
                </w:p>
                <w:p w14:paraId="7FE4BAA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氧化锌避雷器 5kA，17/45</w:t>
                  </w:r>
                </w:p>
              </w:tc>
              <w:tc>
                <w:tcPr>
                  <w:tcW w:w="555" w:type="pct"/>
                  <w:vMerge w:val="continue"/>
                  <w:tcBorders>
                    <w:tl2br w:val="nil"/>
                    <w:tr2bl w:val="nil"/>
                  </w:tcBorders>
                  <w:vAlign w:val="center"/>
                </w:tcPr>
                <w:p w14:paraId="10AAE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25082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12" w:type="pct"/>
                  <w:vMerge w:val="continue"/>
                  <w:tcBorders>
                    <w:tl2br w:val="nil"/>
                    <w:tr2bl w:val="nil"/>
                  </w:tcBorders>
                  <w:vAlign w:val="center"/>
                </w:tcPr>
                <w:p w14:paraId="00A64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42E3C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3CB375A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电容器柜，12kV，1250A，40kA/4s，真空断路器</w:t>
                  </w:r>
                </w:p>
              </w:tc>
              <w:tc>
                <w:tcPr>
                  <w:tcW w:w="555" w:type="pct"/>
                  <w:vMerge w:val="continue"/>
                  <w:tcBorders>
                    <w:tl2br w:val="nil"/>
                    <w:tr2bl w:val="nil"/>
                  </w:tcBorders>
                  <w:vAlign w:val="center"/>
                </w:tcPr>
                <w:p w14:paraId="68C1F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0B38B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12" w:type="pct"/>
                  <w:vMerge w:val="continue"/>
                  <w:tcBorders>
                    <w:tl2br w:val="nil"/>
                    <w:tr2bl w:val="nil"/>
                  </w:tcBorders>
                  <w:vAlign w:val="center"/>
                </w:tcPr>
                <w:p w14:paraId="7118B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54263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3961EB5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lang w:val="en-US" w:eastAsia="zh-CN"/>
                    </w:rPr>
                    <w:t>站用变柜，12kV，1250A，40kA/4s，真空断路器</w:t>
                  </w:r>
                </w:p>
              </w:tc>
              <w:tc>
                <w:tcPr>
                  <w:tcW w:w="555" w:type="pct"/>
                  <w:vMerge w:val="continue"/>
                  <w:tcBorders>
                    <w:tl2br w:val="nil"/>
                    <w:tr2bl w:val="nil"/>
                  </w:tcBorders>
                  <w:vAlign w:val="center"/>
                </w:tcPr>
                <w:p w14:paraId="3FF61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30111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vMerge w:val="continue"/>
                  <w:tcBorders>
                    <w:tl2br w:val="nil"/>
                    <w:tr2bl w:val="nil"/>
                  </w:tcBorders>
                  <w:vAlign w:val="center"/>
                </w:tcPr>
                <w:p w14:paraId="0FBCF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6C274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59A4398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lang w:val="en-US" w:eastAsia="zh-CN"/>
                    </w:rPr>
                    <w:t>出线柜，12kV，1250A，40kA/4s，真空断路器</w:t>
                  </w:r>
                </w:p>
              </w:tc>
              <w:tc>
                <w:tcPr>
                  <w:tcW w:w="555" w:type="pct"/>
                  <w:vMerge w:val="continue"/>
                  <w:tcBorders>
                    <w:tl2br w:val="nil"/>
                    <w:tr2bl w:val="nil"/>
                  </w:tcBorders>
                  <w:vAlign w:val="center"/>
                </w:tcPr>
                <w:p w14:paraId="0A4AA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1EA76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vMerge w:val="continue"/>
                  <w:tcBorders>
                    <w:tl2br w:val="nil"/>
                    <w:tr2bl w:val="nil"/>
                  </w:tcBorders>
                  <w:vAlign w:val="center"/>
                </w:tcPr>
                <w:p w14:paraId="2F017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2EC32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07FCB27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3"/>
                      <w:sz w:val="21"/>
                      <w:szCs w:val="21"/>
                      <w:lang w:val="en-US" w:eastAsia="zh-CN"/>
                    </w:rPr>
                  </w:pPr>
                  <w:r>
                    <w:rPr>
                      <w:rFonts w:hint="default" w:ascii="Times New Roman" w:hAnsi="Times New Roman" w:cs="Times New Roman"/>
                      <w:color w:val="auto"/>
                      <w:spacing w:val="-3"/>
                      <w:sz w:val="21"/>
                      <w:szCs w:val="21"/>
                      <w:lang w:val="en-US" w:eastAsia="zh-CN"/>
                    </w:rPr>
                    <w:t>分段断路器柜，12kV，5000A，40kA/4s</w:t>
                  </w:r>
                </w:p>
              </w:tc>
              <w:tc>
                <w:tcPr>
                  <w:tcW w:w="555" w:type="pct"/>
                  <w:vMerge w:val="continue"/>
                  <w:tcBorders>
                    <w:tl2br w:val="nil"/>
                    <w:tr2bl w:val="nil"/>
                  </w:tcBorders>
                  <w:vAlign w:val="center"/>
                </w:tcPr>
                <w:p w14:paraId="5E2D2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0E275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vMerge w:val="continue"/>
                  <w:tcBorders>
                    <w:tl2br w:val="nil"/>
                    <w:tr2bl w:val="nil"/>
                  </w:tcBorders>
                  <w:vAlign w:val="center"/>
                </w:tcPr>
                <w:p w14:paraId="0A343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532" w:type="pct"/>
                  <w:vMerge w:val="continue"/>
                  <w:tcBorders>
                    <w:tl2br w:val="nil"/>
                    <w:tr2bl w:val="nil"/>
                  </w:tcBorders>
                  <w:vAlign w:val="center"/>
                </w:tcPr>
                <w:p w14:paraId="1C2E3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3499" w:type="pct"/>
                  <w:gridSpan w:val="2"/>
                  <w:tcBorders>
                    <w:tl2br w:val="nil"/>
                    <w:tr2bl w:val="nil"/>
                  </w:tcBorders>
                  <w:vAlign w:val="center"/>
                </w:tcPr>
                <w:p w14:paraId="0D0CBC1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3"/>
                      <w:sz w:val="21"/>
                      <w:szCs w:val="21"/>
                      <w:lang w:val="en-US" w:eastAsia="zh-CN"/>
                    </w:rPr>
                  </w:pPr>
                  <w:r>
                    <w:rPr>
                      <w:rFonts w:hint="default" w:ascii="Times New Roman" w:hAnsi="Times New Roman" w:cs="Times New Roman"/>
                      <w:color w:val="auto"/>
                      <w:spacing w:val="-3"/>
                      <w:sz w:val="21"/>
                      <w:szCs w:val="21"/>
                      <w:lang w:val="en-US" w:eastAsia="zh-CN"/>
                    </w:rPr>
                    <w:t>分段隔离柜，12kV，5000A 隔离手车，40kA/4s</w:t>
                  </w:r>
                </w:p>
              </w:tc>
              <w:tc>
                <w:tcPr>
                  <w:tcW w:w="555" w:type="pct"/>
                  <w:vMerge w:val="continue"/>
                  <w:tcBorders>
                    <w:tl2br w:val="nil"/>
                    <w:tr2bl w:val="nil"/>
                  </w:tcBorders>
                  <w:vAlign w:val="center"/>
                </w:tcPr>
                <w:p w14:paraId="37734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66F6A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tcBorders>
                    <w:tl2br w:val="nil"/>
                    <w:tr2bl w:val="nil"/>
                  </w:tcBorders>
                  <w:vAlign w:val="center"/>
                </w:tcPr>
                <w:p w14:paraId="239E375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32" w:type="pct"/>
                  <w:tcBorders>
                    <w:tl2br w:val="nil"/>
                    <w:tr2bl w:val="nil"/>
                  </w:tcBorders>
                  <w:vAlign w:val="center"/>
                </w:tcPr>
                <w:p w14:paraId="3B9ED33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并联电容器组</w:t>
                  </w:r>
                </w:p>
              </w:tc>
              <w:tc>
                <w:tcPr>
                  <w:tcW w:w="3499" w:type="pct"/>
                  <w:gridSpan w:val="2"/>
                  <w:tcBorders>
                    <w:tl2br w:val="nil"/>
                    <w:tr2bl w:val="nil"/>
                  </w:tcBorders>
                  <w:vAlign w:val="center"/>
                </w:tcPr>
                <w:p w14:paraId="4CA28FB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户内框架式，12kV，8Mvar</w:t>
                  </w:r>
                </w:p>
              </w:tc>
              <w:tc>
                <w:tcPr>
                  <w:tcW w:w="555" w:type="pct"/>
                  <w:tcBorders>
                    <w:tl2br w:val="nil"/>
                    <w:tr2bl w:val="nil"/>
                  </w:tcBorders>
                  <w:vAlign w:val="center"/>
                </w:tcPr>
                <w:p w14:paraId="2FD83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32178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tcBorders>
                    <w:tl2br w:val="nil"/>
                    <w:tr2bl w:val="nil"/>
                  </w:tcBorders>
                  <w:vAlign w:val="center"/>
                </w:tcPr>
                <w:p w14:paraId="4105D0C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32" w:type="pct"/>
                  <w:tcBorders>
                    <w:tl2br w:val="nil"/>
                    <w:tr2bl w:val="nil"/>
                  </w:tcBorders>
                  <w:vAlign w:val="center"/>
                </w:tcPr>
                <w:p w14:paraId="0D3CE3A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接地变兼站用变</w:t>
                  </w:r>
                </w:p>
              </w:tc>
              <w:tc>
                <w:tcPr>
                  <w:tcW w:w="3499" w:type="pct"/>
                  <w:gridSpan w:val="2"/>
                  <w:tcBorders>
                    <w:tl2br w:val="nil"/>
                    <w:tr2bl w:val="nil"/>
                  </w:tcBorders>
                  <w:vAlign w:val="center"/>
                </w:tcPr>
                <w:p w14:paraId="205ED584">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DKSC-800/10.5-630/0.4，2 台</w:t>
                  </w:r>
                </w:p>
              </w:tc>
              <w:tc>
                <w:tcPr>
                  <w:tcW w:w="555" w:type="pct"/>
                  <w:tcBorders>
                    <w:tl2br w:val="nil"/>
                    <w:tr2bl w:val="nil"/>
                  </w:tcBorders>
                  <w:vAlign w:val="center"/>
                </w:tcPr>
                <w:p w14:paraId="628C4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r w14:paraId="19F85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12" w:type="pct"/>
                  <w:tcBorders>
                    <w:tl2br w:val="nil"/>
                    <w:tr2bl w:val="nil"/>
                  </w:tcBorders>
                  <w:vAlign w:val="center"/>
                </w:tcPr>
                <w:p w14:paraId="4AEE462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32" w:type="pct"/>
                  <w:tcBorders>
                    <w:tl2br w:val="nil"/>
                    <w:tr2bl w:val="nil"/>
                  </w:tcBorders>
                  <w:vAlign w:val="center"/>
                </w:tcPr>
                <w:p w14:paraId="460BCB7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接地变</w:t>
                  </w:r>
                </w:p>
              </w:tc>
              <w:tc>
                <w:tcPr>
                  <w:tcW w:w="3499" w:type="pct"/>
                  <w:gridSpan w:val="2"/>
                  <w:tcBorders>
                    <w:tl2br w:val="nil"/>
                    <w:tr2bl w:val="nil"/>
                  </w:tcBorders>
                  <w:vAlign w:val="center"/>
                </w:tcPr>
                <w:p w14:paraId="75CCD40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DKSC-200/10.5，4 台</w:t>
                  </w:r>
                </w:p>
              </w:tc>
              <w:tc>
                <w:tcPr>
                  <w:tcW w:w="555" w:type="pct"/>
                  <w:tcBorders>
                    <w:tl2br w:val="nil"/>
                    <w:tr2bl w:val="nil"/>
                  </w:tcBorders>
                  <w:vAlign w:val="center"/>
                </w:tcPr>
                <w:p w14:paraId="0521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r>
          </w:tbl>
          <w:p w14:paraId="735785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主要建构筑物</w:t>
            </w:r>
          </w:p>
          <w:p w14:paraId="2DE32B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本工程主要建构筑物见表2-3。</w:t>
            </w:r>
          </w:p>
          <w:p w14:paraId="3DAF1346">
            <w:pPr>
              <w:keepNext w:val="0"/>
              <w:keepLines w:val="0"/>
              <w:suppressLineNumbers w:val="0"/>
              <w:autoSpaceDE w:val="0"/>
              <w:autoSpaceDN w:val="0"/>
              <w:adjustRightInd w:val="0"/>
              <w:snapToGrid w:val="0"/>
              <w:spacing w:before="0" w:beforeLines="0" w:beforeAutospacing="0" w:after="0" w:afterLines="0" w:afterAutospacing="0" w:line="420" w:lineRule="exact"/>
              <w:ind w:left="0" w:right="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表2-</w:t>
            </w:r>
            <w:r>
              <w:rPr>
                <w:rFonts w:hint="eastAsia" w:ascii="Times New Roman" w:hAnsi="Times New Roman" w:eastAsia="宋体"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rPr>
              <w:t>主要设备一览表</w:t>
            </w:r>
          </w:p>
          <w:tbl>
            <w:tblPr>
              <w:tblStyle w:val="1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1686"/>
              <w:gridCol w:w="658"/>
              <w:gridCol w:w="1122"/>
              <w:gridCol w:w="4179"/>
            </w:tblGrid>
            <w:tr w14:paraId="2148D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54" w:type="pct"/>
                  <w:vAlign w:val="center"/>
                </w:tcPr>
                <w:p w14:paraId="1D48FDA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序号</w:t>
                  </w:r>
                </w:p>
              </w:tc>
              <w:tc>
                <w:tcPr>
                  <w:tcW w:w="1002" w:type="pct"/>
                  <w:vAlign w:val="center"/>
                </w:tcPr>
                <w:p w14:paraId="2475BBF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建筑物名称</w:t>
                  </w:r>
                </w:p>
              </w:tc>
              <w:tc>
                <w:tcPr>
                  <w:tcW w:w="391" w:type="pct"/>
                  <w:vAlign w:val="center"/>
                </w:tcPr>
                <w:p w14:paraId="2982EEE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单位</w:t>
                  </w:r>
                </w:p>
              </w:tc>
              <w:tc>
                <w:tcPr>
                  <w:tcW w:w="667" w:type="pct"/>
                  <w:vAlign w:val="center"/>
                </w:tcPr>
                <w:p w14:paraId="236380E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数量</w:t>
                  </w:r>
                </w:p>
              </w:tc>
              <w:tc>
                <w:tcPr>
                  <w:tcW w:w="2484" w:type="pct"/>
                  <w:vAlign w:val="center"/>
                </w:tcPr>
                <w:p w14:paraId="4AD429D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备注</w:t>
                  </w:r>
                </w:p>
              </w:tc>
            </w:tr>
            <w:tr w14:paraId="5CFF6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54" w:type="pct"/>
                  <w:vAlign w:val="center"/>
                </w:tcPr>
                <w:p w14:paraId="271A7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02" w:type="pct"/>
                  <w:vAlign w:val="center"/>
                </w:tcPr>
                <w:p w14:paraId="20DC367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配电装置楼</w:t>
                  </w:r>
                </w:p>
              </w:tc>
              <w:tc>
                <w:tcPr>
                  <w:tcW w:w="391" w:type="pct"/>
                  <w:vAlign w:val="center"/>
                </w:tcPr>
                <w:p w14:paraId="153F22A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m²</w:t>
                  </w:r>
                </w:p>
              </w:tc>
              <w:tc>
                <w:tcPr>
                  <w:tcW w:w="667" w:type="pct"/>
                  <w:vAlign w:val="center"/>
                </w:tcPr>
                <w:p w14:paraId="00BA204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lang w:val="en-US" w:eastAsia="zh-CN"/>
                    </w:rPr>
                    <w:t>2230.94</w:t>
                  </w:r>
                </w:p>
              </w:tc>
              <w:tc>
                <w:tcPr>
                  <w:tcW w:w="2484" w:type="pct"/>
                  <w:vAlign w:val="center"/>
                </w:tcPr>
                <w:p w14:paraId="2E9AF45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pacing w:val="1"/>
                      <w:sz w:val="21"/>
                      <w:szCs w:val="21"/>
                      <w:lang w:val="en-US" w:eastAsia="zh-CN"/>
                    </w:rPr>
                    <w:t>三</w:t>
                  </w:r>
                  <w:r>
                    <w:rPr>
                      <w:rFonts w:hint="default" w:ascii="Times New Roman" w:hAnsi="Times New Roman" w:cs="Times New Roman"/>
                      <w:color w:val="auto"/>
                      <w:spacing w:val="1"/>
                      <w:sz w:val="21"/>
                      <w:szCs w:val="21"/>
                    </w:rPr>
                    <w:t>层钢框架结构</w:t>
                  </w:r>
                  <w:r>
                    <w:rPr>
                      <w:rFonts w:hint="eastAsia" w:ascii="Times New Roman" w:hAnsi="Times New Roman" w:cs="Times New Roman"/>
                      <w:color w:val="auto"/>
                      <w:spacing w:val="1"/>
                      <w:sz w:val="21"/>
                      <w:szCs w:val="21"/>
                      <w:lang w:eastAsia="zh-CN"/>
                    </w:rPr>
                    <w:t>，</w:t>
                  </w:r>
                  <w:r>
                    <w:rPr>
                      <w:rFonts w:hint="eastAsia" w:ascii="Times New Roman" w:hAnsi="Times New Roman" w:cs="Times New Roman"/>
                      <w:color w:val="auto"/>
                      <w:spacing w:val="1"/>
                      <w:sz w:val="21"/>
                      <w:szCs w:val="21"/>
                      <w:lang w:val="en-US" w:eastAsia="zh-CN"/>
                    </w:rPr>
                    <w:t>生产部分主要用房为：10kV 配电室、GIS室、主变压器室、电容器室、二次设备室、蓄电池室等；办公用房为：办公室、会议室等；辅助用房为：安全工具间、备品备件室等</w:t>
                  </w:r>
                </w:p>
              </w:tc>
            </w:tr>
            <w:tr w14:paraId="4FA03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54" w:type="pct"/>
                  <w:vAlign w:val="center"/>
                </w:tcPr>
                <w:p w14:paraId="1DB46CB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pacing w:val="-6"/>
                      <w:sz w:val="21"/>
                      <w:szCs w:val="21"/>
                      <w:lang w:val="en-US" w:eastAsia="zh-CN"/>
                    </w:rPr>
                    <w:t>2</w:t>
                  </w:r>
                </w:p>
              </w:tc>
              <w:tc>
                <w:tcPr>
                  <w:tcW w:w="1002" w:type="pct"/>
                  <w:vAlign w:val="center"/>
                </w:tcPr>
                <w:p w14:paraId="27C28F8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事故油池</w:t>
                  </w:r>
                </w:p>
              </w:tc>
              <w:tc>
                <w:tcPr>
                  <w:tcW w:w="391" w:type="pct"/>
                  <w:vAlign w:val="center"/>
                </w:tcPr>
                <w:p w14:paraId="110C675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m³</w:t>
                  </w:r>
                </w:p>
              </w:tc>
              <w:tc>
                <w:tcPr>
                  <w:tcW w:w="667" w:type="pct"/>
                  <w:vAlign w:val="center"/>
                </w:tcPr>
                <w:p w14:paraId="04FA61C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50</w:t>
                  </w:r>
                </w:p>
              </w:tc>
              <w:tc>
                <w:tcPr>
                  <w:tcW w:w="2484" w:type="pct"/>
                  <w:vAlign w:val="center"/>
                </w:tcPr>
                <w:p w14:paraId="2F7C978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钢筋混凝土结构</w:t>
                  </w:r>
                </w:p>
              </w:tc>
            </w:tr>
            <w:tr w14:paraId="0919C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54" w:type="pct"/>
                  <w:vAlign w:val="center"/>
                </w:tcPr>
                <w:p w14:paraId="36FEE83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pacing w:val="-6"/>
                      <w:sz w:val="21"/>
                      <w:szCs w:val="21"/>
                      <w:lang w:val="en-US" w:eastAsia="zh-CN"/>
                    </w:rPr>
                    <w:t>3</w:t>
                  </w:r>
                </w:p>
              </w:tc>
              <w:tc>
                <w:tcPr>
                  <w:tcW w:w="1002" w:type="pct"/>
                  <w:vAlign w:val="center"/>
                </w:tcPr>
                <w:p w14:paraId="32E275B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危废贮存点</w:t>
                  </w:r>
                </w:p>
              </w:tc>
              <w:tc>
                <w:tcPr>
                  <w:tcW w:w="391" w:type="pct"/>
                  <w:vAlign w:val="center"/>
                </w:tcPr>
                <w:p w14:paraId="4412E12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m²</w:t>
                  </w:r>
                </w:p>
              </w:tc>
              <w:tc>
                <w:tcPr>
                  <w:tcW w:w="667" w:type="pct"/>
                  <w:vAlign w:val="center"/>
                </w:tcPr>
                <w:p w14:paraId="7DC906A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5"/>
                      <w:sz w:val="21"/>
                      <w:szCs w:val="21"/>
                      <w:lang w:val="en-US" w:eastAsia="zh-CN"/>
                    </w:rPr>
                    <w:t>10</w:t>
                  </w:r>
                </w:p>
              </w:tc>
              <w:tc>
                <w:tcPr>
                  <w:tcW w:w="2484" w:type="pct"/>
                  <w:vAlign w:val="center"/>
                </w:tcPr>
                <w:p w14:paraId="450A4E7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钢筋混凝土结构</w:t>
                  </w:r>
                </w:p>
              </w:tc>
            </w:tr>
          </w:tbl>
          <w:p w14:paraId="5EEA12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进出线形式</w:t>
            </w:r>
          </w:p>
          <w:p w14:paraId="207211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220kV线路进出线走廊规划：接入系统过渡方案为壶泉220kV变电站至二期项目220kV变电站的220kV线路π入二期扩容项目220kV变电站，该线路位于站址东侧，走廊不受限制；接入系统终期方案二期项目220kV变电站及二期扩容项目</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20kV变电站为分别由大同东500kV汇集站引接，线路由站址东侧进线，走廊不受限制。</w:t>
            </w:r>
          </w:p>
          <w:p w14:paraId="672A9D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10kV线路进出线走廊规划：10kV线路向西出线。</w:t>
            </w:r>
          </w:p>
          <w:p w14:paraId="129473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公用工程</w:t>
            </w:r>
          </w:p>
          <w:p w14:paraId="4DAD7E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①给水</w:t>
            </w:r>
          </w:p>
          <w:p w14:paraId="18B532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用水水源由将官庄村给水管网接入。</w:t>
            </w:r>
          </w:p>
          <w:p w14:paraId="6778C0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②排水</w:t>
            </w:r>
          </w:p>
          <w:p w14:paraId="24D5C3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变电站运行期间不产生生活污水，雨水排至雨水管道</w:t>
            </w:r>
            <w:r>
              <w:rPr>
                <w:rFonts w:hint="eastAsia" w:ascii="Times New Roman" w:hAnsi="Times New Roman" w:eastAsia="宋体" w:cs="Times New Roman"/>
                <w:color w:val="auto"/>
                <w:kern w:val="0"/>
                <w:sz w:val="24"/>
                <w:szCs w:val="24"/>
                <w:highlight w:val="none"/>
                <w:lang w:val="en-US" w:eastAsia="zh-CN"/>
              </w:rPr>
              <w:t>。</w:t>
            </w:r>
          </w:p>
          <w:p w14:paraId="5259DA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③进站道路</w:t>
            </w:r>
          </w:p>
          <w:p w14:paraId="66ED32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变电站</w:t>
            </w:r>
            <w:r>
              <w:rPr>
                <w:rFonts w:hint="eastAsia" w:ascii="Times New Roman" w:hAnsi="Times New Roman" w:eastAsia="宋体" w:cs="Times New Roman"/>
                <w:color w:val="auto"/>
                <w:kern w:val="0"/>
                <w:sz w:val="24"/>
                <w:szCs w:val="24"/>
                <w:highlight w:val="none"/>
                <w:lang w:val="en-US" w:eastAsia="zh-CN"/>
              </w:rPr>
              <w:t>周围有走马线，依托现有道路，不新建进站道路</w:t>
            </w:r>
            <w:r>
              <w:rPr>
                <w:rFonts w:hint="default" w:ascii="Times New Roman" w:hAnsi="Times New Roman" w:eastAsia="宋体" w:cs="Times New Roman"/>
                <w:color w:val="auto"/>
                <w:kern w:val="0"/>
                <w:sz w:val="24"/>
                <w:szCs w:val="24"/>
                <w:highlight w:val="none"/>
                <w:lang w:val="en-US" w:eastAsia="zh-CN"/>
              </w:rPr>
              <w:t>。</w:t>
            </w:r>
          </w:p>
          <w:p w14:paraId="39C0EE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w:t>
            </w:r>
            <w:r>
              <w:rPr>
                <w:rFonts w:hint="eastAsia" w:ascii="Times New Roman" w:hAnsi="Times New Roman" w:eastAsia="宋体" w:cs="Times New Roman"/>
                <w:b/>
                <w:bCs/>
                <w:color w:val="auto"/>
                <w:kern w:val="0"/>
                <w:sz w:val="24"/>
                <w:szCs w:val="24"/>
                <w:highlight w:val="none"/>
                <w:lang w:val="en-US" w:eastAsia="zh-CN"/>
              </w:rPr>
              <w:t>输电线路</w:t>
            </w:r>
            <w:r>
              <w:rPr>
                <w:rFonts w:hint="default" w:ascii="Times New Roman" w:hAnsi="Times New Roman" w:eastAsia="宋体" w:cs="Times New Roman"/>
                <w:b/>
                <w:bCs/>
                <w:color w:val="auto"/>
                <w:kern w:val="0"/>
                <w:sz w:val="24"/>
                <w:szCs w:val="24"/>
                <w:highlight w:val="none"/>
                <w:lang w:val="en-US" w:eastAsia="zh-CN"/>
              </w:rPr>
              <w:t>工程</w:t>
            </w:r>
          </w:p>
          <w:p w14:paraId="7857C4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color w:val="auto"/>
                <w:kern w:val="0"/>
                <w:sz w:val="24"/>
                <w:szCs w:val="24"/>
                <w:highlight w:val="none"/>
                <w:lang w:val="en-US" w:eastAsia="zh-CN"/>
              </w:rPr>
              <w:t>线路路径方案</w:t>
            </w:r>
          </w:p>
          <w:p w14:paraId="112FC5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①过渡方案：“π”入火山云二期至壶泉站的220kV线路工程</w:t>
            </w:r>
          </w:p>
          <w:p w14:paraId="2DF6EF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“π”入火山云二期至壶泉站的 220kV 线路。“π”接线路长度约 2×0.5km，型号为 2×JL/G1A-400/35，最终形成壶泉站~火山云二期扩容项目变电站~火山云二期变电站~史庄站供电网络。</w:t>
            </w:r>
          </w:p>
          <w:p w14:paraId="028590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本工程路径方案图见附图</w:t>
            </w:r>
            <w:r>
              <w:rPr>
                <w:rFonts w:hint="eastAsia"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lang w:val="en-US" w:eastAsia="zh-CN"/>
              </w:rPr>
              <w:t>。</w:t>
            </w:r>
          </w:p>
          <w:p w14:paraId="185222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w:t>
            </w:r>
            <w:r>
              <w:rPr>
                <w:rFonts w:hint="eastAsia" w:ascii="Times New Roman" w:hAnsi="Times New Roman" w:eastAsia="宋体" w:cs="Times New Roman"/>
                <w:color w:val="auto"/>
                <w:kern w:val="0"/>
                <w:sz w:val="24"/>
                <w:szCs w:val="24"/>
                <w:highlight w:val="none"/>
                <w:lang w:val="en-US" w:eastAsia="zh-CN"/>
              </w:rPr>
              <w:t>终期方案：线路起于拟建大同东500kV汇集站，止于拟建二期扩容220kV变电站与二期220kV变电站</w:t>
            </w:r>
          </w:p>
          <w:p w14:paraId="564768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大同东500kV汇集站投产后，火山云二期至二期扩容项目间线路退出运行，新建大同东~火山云二期变电站线路21.5km，导线型号2×JL/G1A-400/35、大同东~火山云二期扩容变电站供电线路21.5km，导线型号为2×JL/G1A-400/35。</w:t>
            </w:r>
          </w:p>
          <w:p w14:paraId="2D5E0B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线路起于500kV大同东站西侧出线，沿梁庄西堡村南侧与广源高速廊道内向东架设，至风场处绕行风电场区，同时从广源高速隧道上方跨越高速；之后跨越新能源线路，接着向东架设至杨窑村西南侧，向南转向架设至国道 G239 南侧继续向东架设，至壶流河北岸西河洼村南侧；向南架设沿 S201 架设至火山云二期及二期扩容项目新建变电站。</w:t>
            </w:r>
          </w:p>
          <w:p w14:paraId="40D179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本工程路径方案图见附图</w:t>
            </w:r>
            <w:r>
              <w:rPr>
                <w:rFonts w:hint="eastAsia" w:ascii="Times New Roman" w:hAnsi="Times New Roman" w:eastAsia="宋体" w:cs="Times New Roman"/>
                <w:color w:val="auto"/>
                <w:kern w:val="0"/>
                <w:sz w:val="24"/>
                <w:szCs w:val="24"/>
                <w:highlight w:val="none"/>
                <w:lang w:val="en-US" w:eastAsia="zh-CN"/>
              </w:rPr>
              <w:t>2-2</w:t>
            </w:r>
            <w:r>
              <w:rPr>
                <w:rFonts w:hint="default" w:ascii="Times New Roman" w:hAnsi="Times New Roman" w:eastAsia="宋体" w:cs="Times New Roman"/>
                <w:color w:val="auto"/>
                <w:kern w:val="0"/>
                <w:sz w:val="24"/>
                <w:szCs w:val="24"/>
                <w:highlight w:val="none"/>
                <w:lang w:val="en-US" w:eastAsia="zh-CN"/>
              </w:rPr>
              <w:t>。</w:t>
            </w:r>
          </w:p>
          <w:p w14:paraId="25FFB0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导线、地线选型</w:t>
            </w:r>
          </w:p>
          <w:p w14:paraId="3029FD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导线型号2×JL/G1A-400/35 钢芯铝绞线，地线采用48芯OPGW</w:t>
            </w:r>
            <w:r>
              <w:rPr>
                <w:rFonts w:hint="eastAsia" w:ascii="Times New Roman" w:hAnsi="Times New Roman" w:eastAsia="宋体" w:cs="Times New Roman"/>
                <w:color w:val="auto"/>
                <w:kern w:val="0"/>
                <w:sz w:val="24"/>
                <w:szCs w:val="24"/>
                <w:highlight w:val="none"/>
                <w:lang w:val="en-US" w:eastAsia="zh-CN"/>
              </w:rPr>
              <w:t>复合</w:t>
            </w:r>
            <w:r>
              <w:rPr>
                <w:rFonts w:hint="default" w:ascii="Times New Roman" w:hAnsi="Times New Roman" w:eastAsia="宋体" w:cs="Times New Roman"/>
                <w:color w:val="auto"/>
                <w:kern w:val="0"/>
                <w:sz w:val="24"/>
                <w:szCs w:val="24"/>
                <w:highlight w:val="none"/>
                <w:lang w:val="en-US" w:eastAsia="zh-CN"/>
              </w:rPr>
              <w:t>光缆。</w:t>
            </w:r>
          </w:p>
          <w:p w14:paraId="29B76E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3）杆塔和基础</w:t>
            </w:r>
          </w:p>
          <w:p w14:paraId="0713FE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①过渡方案：“π”入火山云二期至壶泉站的220kV线路工程</w:t>
            </w:r>
          </w:p>
          <w:p w14:paraId="2388FA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全线共5基杆塔，单回路终端塔1基，单回路耐张塔3基，双回路终端塔1基。</w:t>
            </w:r>
            <w:r>
              <w:rPr>
                <w:rFonts w:hint="eastAsia" w:ascii="Times New Roman" w:hAnsi="Times New Roman" w:eastAsia="宋体" w:cs="Times New Roman"/>
                <w:color w:val="auto"/>
                <w:kern w:val="0"/>
                <w:sz w:val="24"/>
                <w:szCs w:val="24"/>
                <w:highlight w:val="none"/>
                <w:lang w:val="en-US" w:eastAsia="zh-CN"/>
              </w:rPr>
              <w:t>基础采用</w:t>
            </w:r>
            <w:r>
              <w:rPr>
                <w:rFonts w:hint="default" w:ascii="Times New Roman" w:hAnsi="Times New Roman" w:eastAsia="宋体" w:cs="Times New Roman"/>
                <w:color w:val="auto"/>
                <w:kern w:val="0"/>
                <w:sz w:val="24"/>
                <w:szCs w:val="24"/>
                <w:highlight w:val="none"/>
                <w:lang w:val="en-US" w:eastAsia="zh-CN"/>
              </w:rPr>
              <w:t>台阶基础、板式基础、挖孔基础</w:t>
            </w:r>
            <w:r>
              <w:rPr>
                <w:rFonts w:hint="eastAsia" w:ascii="Times New Roman" w:hAnsi="Times New Roman" w:eastAsia="宋体" w:cs="Times New Roman"/>
                <w:color w:val="auto"/>
                <w:kern w:val="0"/>
                <w:sz w:val="24"/>
                <w:szCs w:val="24"/>
                <w:highlight w:val="none"/>
                <w:lang w:val="en-US" w:eastAsia="zh-CN"/>
              </w:rPr>
              <w:t>。</w:t>
            </w:r>
          </w:p>
          <w:p w14:paraId="5E70A9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②终期方案：线路起于拟建大同东500kV汇集站，止于拟建二期扩容220kV变电站与二期220kV变电站</w:t>
            </w:r>
          </w:p>
          <w:p w14:paraId="5C6C37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全线共80基杆塔，其中双回路终端塔 2 基，单回路耐张塔 27 基，单回路直线塔 51 基。基础采用台阶基础、板式基础、挖孔基础。</w:t>
            </w:r>
          </w:p>
          <w:p w14:paraId="018664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4</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rPr>
              <w:t>工程交叉跨越</w:t>
            </w:r>
          </w:p>
          <w:p w14:paraId="726777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①过渡方案：“π”入火山云二期至壶泉站的220kV线路工程</w:t>
            </w:r>
          </w:p>
          <w:p w14:paraId="0F5DC9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线路跨越省道 1 次，水泥路 1 次</w:t>
            </w:r>
          </w:p>
          <w:p w14:paraId="68B324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②终期方案：线路起于拟建大同东500kV汇集站，止于拟建二期扩容220kV变电站与二期220kV变电站</w:t>
            </w:r>
          </w:p>
          <w:p w14:paraId="6D94FF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线路</w:t>
            </w:r>
            <w:r>
              <w:rPr>
                <w:rFonts w:hint="eastAsia" w:ascii="Times New Roman" w:hAnsi="Times New Roman" w:eastAsia="宋体" w:cs="Times New Roman"/>
                <w:color w:val="auto"/>
                <w:kern w:val="0"/>
                <w:sz w:val="24"/>
                <w:szCs w:val="24"/>
                <w:highlight w:val="none"/>
                <w:lang w:val="en-US" w:eastAsia="zh-CN"/>
              </w:rPr>
              <w:t>跨</w:t>
            </w:r>
            <w:r>
              <w:rPr>
                <w:rFonts w:hint="default" w:ascii="Times New Roman" w:hAnsi="Times New Roman" w:eastAsia="宋体" w:cs="Times New Roman"/>
                <w:color w:val="auto"/>
                <w:kern w:val="0"/>
                <w:sz w:val="24"/>
                <w:szCs w:val="24"/>
                <w:highlight w:val="none"/>
                <w:lang w:val="en-US" w:eastAsia="zh-CN"/>
              </w:rPr>
              <w:t>越220kV线路1次，跨越110kV线路1次，跨越35kV线路1次，跨越10kV及以下线路10次，跨越通信线10次，省道3次（神南线、黄南线、G239、北圣线、城关线、S201），水泥路5次，土路12次，跨越壶流河1次。</w:t>
            </w:r>
          </w:p>
          <w:p w14:paraId="0ECB66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5）塔基坐标</w:t>
            </w:r>
          </w:p>
          <w:p w14:paraId="1839FF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①过渡方案：“π”入火山云二期至壶泉站的220kV线路工程</w:t>
            </w:r>
          </w:p>
          <w:p w14:paraId="1854D1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过渡方案</w:t>
            </w:r>
            <w:r>
              <w:rPr>
                <w:rFonts w:hint="default" w:ascii="Times New Roman" w:hAnsi="Times New Roman" w:eastAsia="宋体" w:cs="Times New Roman"/>
                <w:color w:val="auto"/>
                <w:kern w:val="0"/>
                <w:sz w:val="24"/>
                <w:szCs w:val="24"/>
                <w:highlight w:val="none"/>
                <w:lang w:val="en-US" w:eastAsia="zh-CN"/>
              </w:rPr>
              <w:t>共建</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座塔基，铁塔编号和对应坐标见表2-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w:t>
            </w:r>
          </w:p>
          <w:p w14:paraId="733042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表2-</w:t>
            </w:r>
            <w:r>
              <w:rPr>
                <w:rFonts w:hint="eastAsia" w:ascii="Times New Roman" w:hAnsi="Times New Roman" w:eastAsia="宋体" w:cs="Times New Roman"/>
                <w:b/>
                <w:color w:val="auto"/>
                <w:kern w:val="0"/>
                <w:sz w:val="21"/>
                <w:szCs w:val="21"/>
                <w:highlight w:val="none"/>
                <w:lang w:val="en-US" w:eastAsia="zh-CN"/>
              </w:rPr>
              <w:t>4</w:t>
            </w:r>
            <w:r>
              <w:rPr>
                <w:rFonts w:hint="default" w:ascii="Times New Roman" w:hAnsi="Times New Roman" w:eastAsia="宋体" w:cs="Times New Roman"/>
                <w:b/>
                <w:color w:val="auto"/>
                <w:kern w:val="0"/>
                <w:sz w:val="21"/>
                <w:szCs w:val="21"/>
                <w:highlight w:val="none"/>
                <w:lang w:val="en-US" w:eastAsia="zh-CN"/>
              </w:rPr>
              <w:t xml:space="preserve"> 塔基编号和坐标</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2122"/>
              <w:gridCol w:w="2139"/>
              <w:gridCol w:w="2125"/>
            </w:tblGrid>
            <w:tr w14:paraId="6AB6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96F950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铁塔编号</w:t>
                  </w:r>
                </w:p>
              </w:tc>
              <w:tc>
                <w:tcPr>
                  <w:tcW w:w="2122" w:type="dxa"/>
                  <w:noWrap w:val="0"/>
                  <w:vAlign w:val="center"/>
                </w:tcPr>
                <w:p w14:paraId="6BB539B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X坐标</w:t>
                  </w:r>
                </w:p>
              </w:tc>
              <w:tc>
                <w:tcPr>
                  <w:tcW w:w="2139" w:type="dxa"/>
                  <w:noWrap w:val="0"/>
                  <w:vAlign w:val="center"/>
                </w:tcPr>
                <w:p w14:paraId="02DD348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Y坐标</w:t>
                  </w:r>
                </w:p>
              </w:tc>
              <w:tc>
                <w:tcPr>
                  <w:tcW w:w="2125" w:type="dxa"/>
                  <w:noWrap w:val="0"/>
                  <w:vAlign w:val="center"/>
                </w:tcPr>
                <w:p w14:paraId="200754A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型号</w:t>
                  </w:r>
                </w:p>
              </w:tc>
            </w:tr>
            <w:tr w14:paraId="687E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9AF33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L</w:t>
                  </w:r>
                  <w:r>
                    <w:rPr>
                      <w:rFonts w:hint="default" w:ascii="Times New Roman" w:hAnsi="Times New Roman" w:eastAsia="宋体" w:cs="Times New Roman"/>
                      <w:i w:val="0"/>
                      <w:iCs w:val="0"/>
                      <w:color w:val="auto"/>
                      <w:kern w:val="0"/>
                      <w:sz w:val="21"/>
                      <w:szCs w:val="21"/>
                      <w:highlight w:val="none"/>
                      <w:u w:val="none"/>
                      <w:lang w:val="en-US" w:eastAsia="zh-CN" w:bidi="ar"/>
                    </w:rPr>
                    <w:t>G</w:t>
                  </w: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2122" w:type="dxa"/>
                  <w:noWrap w:val="0"/>
                  <w:vAlign w:val="center"/>
                </w:tcPr>
                <w:p w14:paraId="4DCC72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4398147</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347</w:t>
                  </w:r>
                </w:p>
              </w:tc>
              <w:tc>
                <w:tcPr>
                  <w:tcW w:w="2139" w:type="dxa"/>
                  <w:noWrap w:val="0"/>
                  <w:vAlign w:val="center"/>
                </w:tcPr>
                <w:p w14:paraId="2A8C1F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38520624</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681</w:t>
                  </w:r>
                </w:p>
              </w:tc>
              <w:tc>
                <w:tcPr>
                  <w:tcW w:w="2125" w:type="dxa"/>
                  <w:shd w:val="clear" w:color="auto" w:fill="auto"/>
                  <w:noWrap w:val="0"/>
                  <w:vAlign w:val="center"/>
                </w:tcPr>
                <w:p w14:paraId="10D15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220-GD22D-JC4</w:t>
                  </w:r>
                </w:p>
              </w:tc>
            </w:tr>
            <w:tr w14:paraId="14B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62BC3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Z1</w:t>
                  </w:r>
                </w:p>
              </w:tc>
              <w:tc>
                <w:tcPr>
                  <w:tcW w:w="2122" w:type="dxa"/>
                  <w:noWrap w:val="0"/>
                  <w:vAlign w:val="center"/>
                </w:tcPr>
                <w:p w14:paraId="64972C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4398116.130</w:t>
                  </w:r>
                </w:p>
              </w:tc>
              <w:tc>
                <w:tcPr>
                  <w:tcW w:w="2139" w:type="dxa"/>
                  <w:noWrap w:val="0"/>
                  <w:vAlign w:val="center"/>
                </w:tcPr>
                <w:p w14:paraId="26D504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38520526.674</w:t>
                  </w:r>
                </w:p>
              </w:tc>
              <w:tc>
                <w:tcPr>
                  <w:tcW w:w="2125" w:type="dxa"/>
                  <w:noWrap w:val="0"/>
                  <w:vAlign w:val="center"/>
                </w:tcPr>
                <w:p w14:paraId="71C2E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220-GD22D-JC4</w:t>
                  </w:r>
                </w:p>
              </w:tc>
            </w:tr>
            <w:tr w14:paraId="5FB1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AE3C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Z2</w:t>
                  </w:r>
                </w:p>
              </w:tc>
              <w:tc>
                <w:tcPr>
                  <w:tcW w:w="2122" w:type="dxa"/>
                  <w:noWrap w:val="0"/>
                  <w:vAlign w:val="center"/>
                </w:tcPr>
                <w:p w14:paraId="119E09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4398098.184</w:t>
                  </w:r>
                </w:p>
              </w:tc>
              <w:tc>
                <w:tcPr>
                  <w:tcW w:w="2139" w:type="dxa"/>
                  <w:noWrap w:val="0"/>
                  <w:vAlign w:val="center"/>
                </w:tcPr>
                <w:p w14:paraId="2446C5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38520526.</w:t>
                  </w:r>
                  <w:r>
                    <w:rPr>
                      <w:rFonts w:hint="eastAsia" w:ascii="Times New Roman" w:hAnsi="Times New Roman" w:eastAsia="宋体" w:cs="Times New Roman"/>
                      <w:i w:val="0"/>
                      <w:iCs w:val="0"/>
                      <w:color w:val="auto"/>
                      <w:kern w:val="0"/>
                      <w:sz w:val="21"/>
                      <w:szCs w:val="21"/>
                      <w:highlight w:val="none"/>
                      <w:u w:val="none"/>
                      <w:lang w:val="en-US" w:eastAsia="zh-CN" w:bidi="ar"/>
                    </w:rPr>
                    <w:t>989</w:t>
                  </w:r>
                </w:p>
              </w:tc>
              <w:tc>
                <w:tcPr>
                  <w:tcW w:w="2125" w:type="dxa"/>
                  <w:noWrap w:val="0"/>
                  <w:vAlign w:val="center"/>
                </w:tcPr>
                <w:p w14:paraId="25013C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220-GCD90</w:t>
                  </w:r>
                </w:p>
              </w:tc>
            </w:tr>
            <w:tr w14:paraId="731C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12D8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LG</w:t>
                  </w:r>
                  <w:r>
                    <w:rPr>
                      <w:rFonts w:hint="eastAsia" w:ascii="Times New Roman" w:hAnsi="Times New Roman" w:eastAsia="宋体" w:cs="Times New Roman"/>
                      <w:i w:val="0"/>
                      <w:iCs w:val="0"/>
                      <w:color w:val="auto"/>
                      <w:kern w:val="0"/>
                      <w:sz w:val="21"/>
                      <w:szCs w:val="21"/>
                      <w:highlight w:val="none"/>
                      <w:u w:val="none"/>
                      <w:lang w:val="en-US" w:eastAsia="zh-CN" w:bidi="ar"/>
                    </w:rPr>
                    <w:t>29</w:t>
                  </w:r>
                </w:p>
              </w:tc>
              <w:tc>
                <w:tcPr>
                  <w:tcW w:w="2122" w:type="dxa"/>
                  <w:noWrap w:val="0"/>
                  <w:vAlign w:val="center"/>
                </w:tcPr>
                <w:p w14:paraId="2E058D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4398095.853</w:t>
                  </w:r>
                </w:p>
              </w:tc>
              <w:tc>
                <w:tcPr>
                  <w:tcW w:w="2139" w:type="dxa"/>
                  <w:noWrap w:val="0"/>
                  <w:vAlign w:val="center"/>
                </w:tcPr>
                <w:p w14:paraId="13F6D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385205</w:t>
                  </w:r>
                  <w:r>
                    <w:rPr>
                      <w:rFonts w:hint="eastAsia" w:ascii="Times New Roman" w:hAnsi="Times New Roman" w:eastAsia="宋体" w:cs="Times New Roman"/>
                      <w:i w:val="0"/>
                      <w:iCs w:val="0"/>
                      <w:color w:val="auto"/>
                      <w:kern w:val="0"/>
                      <w:sz w:val="21"/>
                      <w:szCs w:val="21"/>
                      <w:highlight w:val="none"/>
                      <w:u w:val="none"/>
                      <w:lang w:val="en-US" w:eastAsia="zh-CN" w:bidi="ar"/>
                    </w:rPr>
                    <w:t>91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985</w:t>
                  </w:r>
                </w:p>
              </w:tc>
              <w:tc>
                <w:tcPr>
                  <w:tcW w:w="2125" w:type="dxa"/>
                  <w:shd w:val="clear" w:color="auto" w:fill="auto"/>
                  <w:noWrap w:val="0"/>
                  <w:vAlign w:val="center"/>
                </w:tcPr>
                <w:p w14:paraId="57778F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220-GD22D-JC4</w:t>
                  </w:r>
                </w:p>
              </w:tc>
            </w:tr>
            <w:tr w14:paraId="7056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9F43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G</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2122" w:type="dxa"/>
                  <w:noWrap w:val="0"/>
                  <w:vAlign w:val="center"/>
                </w:tcPr>
                <w:p w14:paraId="761E4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4397953.429</w:t>
                  </w:r>
                </w:p>
              </w:tc>
              <w:tc>
                <w:tcPr>
                  <w:tcW w:w="2139" w:type="dxa"/>
                  <w:noWrap w:val="0"/>
                  <w:vAlign w:val="center"/>
                </w:tcPr>
                <w:p w14:paraId="4B302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38520</w:t>
                  </w:r>
                  <w:r>
                    <w:rPr>
                      <w:rFonts w:hint="eastAsia" w:ascii="Times New Roman" w:hAnsi="Times New Roman" w:eastAsia="宋体" w:cs="Times New Roman"/>
                      <w:i w:val="0"/>
                      <w:iCs w:val="0"/>
                      <w:color w:val="auto"/>
                      <w:kern w:val="0"/>
                      <w:sz w:val="21"/>
                      <w:szCs w:val="21"/>
                      <w:highlight w:val="none"/>
                      <w:u w:val="none"/>
                      <w:lang w:val="en-US" w:eastAsia="zh-CN" w:bidi="ar"/>
                    </w:rPr>
                    <w:t>646</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546</w:t>
                  </w:r>
                </w:p>
              </w:tc>
              <w:tc>
                <w:tcPr>
                  <w:tcW w:w="2125" w:type="dxa"/>
                  <w:shd w:val="clear" w:color="auto" w:fill="auto"/>
                  <w:noWrap w:val="0"/>
                  <w:vAlign w:val="center"/>
                </w:tcPr>
                <w:p w14:paraId="45AAEF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220-GCD90</w:t>
                  </w:r>
                </w:p>
              </w:tc>
            </w:tr>
          </w:tbl>
          <w:p w14:paraId="69101B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②终期方案：线路起于拟建大同东500kV汇集站，止于拟建二期扩容220kV变电站与二期220kV变电站</w:t>
            </w:r>
          </w:p>
          <w:p w14:paraId="01AFC5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终期</w:t>
            </w:r>
            <w:r>
              <w:rPr>
                <w:rFonts w:hint="default" w:ascii="Times New Roman" w:hAnsi="Times New Roman" w:eastAsia="宋体" w:cs="Times New Roman"/>
                <w:color w:val="auto"/>
                <w:kern w:val="0"/>
                <w:sz w:val="24"/>
                <w:szCs w:val="24"/>
                <w:highlight w:val="none"/>
                <w:lang w:val="en-US" w:eastAsia="zh-CN"/>
              </w:rPr>
              <w:t>方案共建</w:t>
            </w:r>
            <w:r>
              <w:rPr>
                <w:rFonts w:hint="eastAsia" w:ascii="Times New Roman" w:hAnsi="Times New Roman" w:eastAsia="宋体" w:cs="Times New Roman"/>
                <w:color w:val="auto"/>
                <w:kern w:val="0"/>
                <w:sz w:val="24"/>
                <w:szCs w:val="24"/>
                <w:highlight w:val="none"/>
                <w:lang w:val="en-US" w:eastAsia="zh-CN"/>
              </w:rPr>
              <w:t>80</w:t>
            </w:r>
            <w:r>
              <w:rPr>
                <w:rFonts w:hint="default" w:ascii="Times New Roman" w:hAnsi="Times New Roman" w:eastAsia="宋体" w:cs="Times New Roman"/>
                <w:color w:val="auto"/>
                <w:kern w:val="0"/>
                <w:sz w:val="24"/>
                <w:szCs w:val="24"/>
                <w:highlight w:val="none"/>
                <w:lang w:val="en-US" w:eastAsia="zh-CN"/>
              </w:rPr>
              <w:t>座塔基，铁塔编号和对应坐标见表2-</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w:t>
            </w:r>
          </w:p>
          <w:p w14:paraId="54CACF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表2-5 塔基编号和坐标</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2122"/>
              <w:gridCol w:w="2139"/>
              <w:gridCol w:w="2125"/>
            </w:tblGrid>
            <w:tr w14:paraId="36BC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9CB02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铁塔编号</w:t>
                  </w:r>
                </w:p>
              </w:tc>
              <w:tc>
                <w:tcPr>
                  <w:tcW w:w="2122" w:type="dxa"/>
                  <w:noWrap w:val="0"/>
                  <w:vAlign w:val="center"/>
                </w:tcPr>
                <w:p w14:paraId="0DF65C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X坐标</w:t>
                  </w:r>
                </w:p>
              </w:tc>
              <w:tc>
                <w:tcPr>
                  <w:tcW w:w="2139" w:type="dxa"/>
                  <w:noWrap w:val="0"/>
                  <w:vAlign w:val="center"/>
                </w:tcPr>
                <w:p w14:paraId="47E122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Y坐标</w:t>
                  </w:r>
                </w:p>
              </w:tc>
              <w:tc>
                <w:tcPr>
                  <w:tcW w:w="2125" w:type="dxa"/>
                  <w:noWrap w:val="0"/>
                  <w:vAlign w:val="center"/>
                </w:tcPr>
                <w:p w14:paraId="7EA283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型号</w:t>
                  </w:r>
                </w:p>
              </w:tc>
            </w:tr>
            <w:tr w14:paraId="78E1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120144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w:t>
                  </w:r>
                </w:p>
              </w:tc>
              <w:tc>
                <w:tcPr>
                  <w:tcW w:w="2122" w:type="dxa"/>
                  <w:noWrap w:val="0"/>
                  <w:vAlign w:val="center"/>
                </w:tcPr>
                <w:p w14:paraId="52E2FB2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4409656.368</w:t>
                  </w:r>
                </w:p>
              </w:tc>
              <w:tc>
                <w:tcPr>
                  <w:tcW w:w="2139" w:type="dxa"/>
                  <w:noWrap w:val="0"/>
                  <w:vAlign w:val="center"/>
                </w:tcPr>
                <w:p w14:paraId="3A73FAA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38507989.817</w:t>
                  </w:r>
                </w:p>
              </w:tc>
              <w:tc>
                <w:tcPr>
                  <w:tcW w:w="2125" w:type="dxa"/>
                  <w:noWrap w:val="0"/>
                  <w:vAlign w:val="center"/>
                </w:tcPr>
                <w:p w14:paraId="1ECF8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220-GD22S-DJ</w:t>
                  </w:r>
                </w:p>
              </w:tc>
            </w:tr>
            <w:tr w14:paraId="1B8B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9AECBF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w:t>
                  </w:r>
                </w:p>
              </w:tc>
              <w:tc>
                <w:tcPr>
                  <w:tcW w:w="2122" w:type="dxa"/>
                  <w:noWrap w:val="0"/>
                  <w:vAlign w:val="center"/>
                </w:tcPr>
                <w:p w14:paraId="5AC9717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4409497.744</w:t>
                  </w:r>
                </w:p>
              </w:tc>
              <w:tc>
                <w:tcPr>
                  <w:tcW w:w="2139" w:type="dxa"/>
                  <w:noWrap w:val="0"/>
                  <w:vAlign w:val="center"/>
                </w:tcPr>
                <w:p w14:paraId="41C146E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38507991.065</w:t>
                  </w:r>
                </w:p>
              </w:tc>
              <w:tc>
                <w:tcPr>
                  <w:tcW w:w="2125" w:type="dxa"/>
                  <w:noWrap w:val="0"/>
                  <w:vAlign w:val="center"/>
                </w:tcPr>
                <w:p w14:paraId="13185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220-GD22S-J3</w:t>
                  </w:r>
                </w:p>
              </w:tc>
            </w:tr>
            <w:tr w14:paraId="6E55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0321AE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G3</w:t>
                  </w:r>
                </w:p>
              </w:tc>
              <w:tc>
                <w:tcPr>
                  <w:tcW w:w="2122" w:type="dxa"/>
                  <w:noWrap w:val="0"/>
                  <w:vAlign w:val="center"/>
                </w:tcPr>
                <w:p w14:paraId="48CEA75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4409434.939</w:t>
                  </w:r>
                </w:p>
              </w:tc>
              <w:tc>
                <w:tcPr>
                  <w:tcW w:w="2139" w:type="dxa"/>
                  <w:noWrap w:val="0"/>
                  <w:vAlign w:val="center"/>
                </w:tcPr>
                <w:p w14:paraId="3F92997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38508264.642</w:t>
                  </w:r>
                </w:p>
              </w:tc>
              <w:tc>
                <w:tcPr>
                  <w:tcW w:w="2125" w:type="dxa"/>
                  <w:noWrap w:val="0"/>
                  <w:vAlign w:val="center"/>
                </w:tcPr>
                <w:p w14:paraId="41670C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3B19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C69FCA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G4</w:t>
                  </w:r>
                </w:p>
              </w:tc>
              <w:tc>
                <w:tcPr>
                  <w:tcW w:w="2122" w:type="dxa"/>
                  <w:noWrap w:val="0"/>
                  <w:vAlign w:val="center"/>
                </w:tcPr>
                <w:p w14:paraId="36046AA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4409204.730</w:t>
                  </w:r>
                </w:p>
              </w:tc>
              <w:tc>
                <w:tcPr>
                  <w:tcW w:w="2139" w:type="dxa"/>
                  <w:noWrap w:val="0"/>
                  <w:vAlign w:val="center"/>
                </w:tcPr>
                <w:p w14:paraId="4E451C0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38508408.369</w:t>
                  </w:r>
                </w:p>
              </w:tc>
              <w:tc>
                <w:tcPr>
                  <w:tcW w:w="2125" w:type="dxa"/>
                  <w:noWrap w:val="0"/>
                  <w:vAlign w:val="center"/>
                </w:tcPr>
                <w:p w14:paraId="5CF56A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5B5E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BA14D8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G5</w:t>
                  </w:r>
                </w:p>
              </w:tc>
              <w:tc>
                <w:tcPr>
                  <w:tcW w:w="2122" w:type="dxa"/>
                  <w:noWrap w:val="0"/>
                  <w:vAlign w:val="center"/>
                </w:tcPr>
                <w:p w14:paraId="523C78C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4408876.387</w:t>
                  </w:r>
                </w:p>
              </w:tc>
              <w:tc>
                <w:tcPr>
                  <w:tcW w:w="2139" w:type="dxa"/>
                  <w:noWrap w:val="0"/>
                  <w:vAlign w:val="center"/>
                </w:tcPr>
                <w:p w14:paraId="27B158C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38508613.365</w:t>
                  </w:r>
                </w:p>
              </w:tc>
              <w:tc>
                <w:tcPr>
                  <w:tcW w:w="2125" w:type="dxa"/>
                  <w:noWrap w:val="0"/>
                  <w:vAlign w:val="center"/>
                </w:tcPr>
                <w:p w14:paraId="35C49E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220-GD22S-J2</w:t>
                  </w:r>
                </w:p>
              </w:tc>
            </w:tr>
            <w:tr w14:paraId="29A8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113ADD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G6</w:t>
                  </w:r>
                </w:p>
              </w:tc>
              <w:tc>
                <w:tcPr>
                  <w:tcW w:w="2122" w:type="dxa"/>
                  <w:noWrap w:val="0"/>
                  <w:vAlign w:val="center"/>
                </w:tcPr>
                <w:p w14:paraId="1D57241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4408775.413</w:t>
                  </w:r>
                </w:p>
              </w:tc>
              <w:tc>
                <w:tcPr>
                  <w:tcW w:w="2139" w:type="dxa"/>
                  <w:noWrap w:val="0"/>
                  <w:vAlign w:val="center"/>
                </w:tcPr>
                <w:p w14:paraId="7583AAE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38508911.553</w:t>
                  </w:r>
                </w:p>
              </w:tc>
              <w:tc>
                <w:tcPr>
                  <w:tcW w:w="2125" w:type="dxa"/>
                  <w:noWrap w:val="0"/>
                  <w:vAlign w:val="center"/>
                </w:tcPr>
                <w:p w14:paraId="6F22EC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25F6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EFA246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G7</w:t>
                  </w:r>
                </w:p>
              </w:tc>
              <w:tc>
                <w:tcPr>
                  <w:tcW w:w="2122" w:type="dxa"/>
                  <w:noWrap w:val="0"/>
                  <w:vAlign w:val="center"/>
                </w:tcPr>
                <w:p w14:paraId="1BDFAEC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4408687.881</w:t>
                  </w:r>
                </w:p>
              </w:tc>
              <w:tc>
                <w:tcPr>
                  <w:tcW w:w="2139" w:type="dxa"/>
                  <w:noWrap w:val="0"/>
                  <w:vAlign w:val="center"/>
                </w:tcPr>
                <w:p w14:paraId="3E3791E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38509170.047</w:t>
                  </w:r>
                </w:p>
              </w:tc>
              <w:tc>
                <w:tcPr>
                  <w:tcW w:w="2125" w:type="dxa"/>
                  <w:noWrap w:val="0"/>
                  <w:vAlign w:val="center"/>
                </w:tcPr>
                <w:p w14:paraId="689E58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5D0B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C4EA68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G8</w:t>
                  </w:r>
                </w:p>
              </w:tc>
              <w:tc>
                <w:tcPr>
                  <w:tcW w:w="2122" w:type="dxa"/>
                  <w:noWrap w:val="0"/>
                  <w:vAlign w:val="center"/>
                </w:tcPr>
                <w:p w14:paraId="49F098D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4408592.944</w:t>
                  </w:r>
                </w:p>
              </w:tc>
              <w:tc>
                <w:tcPr>
                  <w:tcW w:w="2139" w:type="dxa"/>
                  <w:noWrap w:val="0"/>
                  <w:vAlign w:val="center"/>
                </w:tcPr>
                <w:p w14:paraId="49555B8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38509450.410</w:t>
                  </w:r>
                </w:p>
              </w:tc>
              <w:tc>
                <w:tcPr>
                  <w:tcW w:w="2125" w:type="dxa"/>
                  <w:noWrap w:val="0"/>
                  <w:vAlign w:val="center"/>
                </w:tcPr>
                <w:p w14:paraId="433B4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2C68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81F425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G9</w:t>
                  </w:r>
                </w:p>
              </w:tc>
              <w:tc>
                <w:tcPr>
                  <w:tcW w:w="2122" w:type="dxa"/>
                  <w:noWrap w:val="0"/>
                  <w:vAlign w:val="center"/>
                </w:tcPr>
                <w:p w14:paraId="3DD82BF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4408498.006</w:t>
                  </w:r>
                </w:p>
              </w:tc>
              <w:tc>
                <w:tcPr>
                  <w:tcW w:w="2139" w:type="dxa"/>
                  <w:noWrap w:val="0"/>
                  <w:vAlign w:val="center"/>
                </w:tcPr>
                <w:p w14:paraId="36D729D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38509730.774</w:t>
                  </w:r>
                </w:p>
              </w:tc>
              <w:tc>
                <w:tcPr>
                  <w:tcW w:w="2125" w:type="dxa"/>
                  <w:noWrap w:val="0"/>
                  <w:vAlign w:val="center"/>
                </w:tcPr>
                <w:p w14:paraId="31D3D7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03B0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8C0273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G10</w:t>
                  </w:r>
                </w:p>
              </w:tc>
              <w:tc>
                <w:tcPr>
                  <w:tcW w:w="2122" w:type="dxa"/>
                  <w:noWrap w:val="0"/>
                  <w:vAlign w:val="center"/>
                </w:tcPr>
                <w:p w14:paraId="5989D78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4408400.258</w:t>
                  </w:r>
                </w:p>
              </w:tc>
              <w:tc>
                <w:tcPr>
                  <w:tcW w:w="2139" w:type="dxa"/>
                  <w:noWrap w:val="0"/>
                  <w:vAlign w:val="center"/>
                </w:tcPr>
                <w:p w14:paraId="40C789F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38510019.438</w:t>
                  </w:r>
                </w:p>
              </w:tc>
              <w:tc>
                <w:tcPr>
                  <w:tcW w:w="2125" w:type="dxa"/>
                  <w:noWrap w:val="0"/>
                  <w:vAlign w:val="center"/>
                </w:tcPr>
                <w:p w14:paraId="1FE83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220-GD22S-J1</w:t>
                  </w:r>
                </w:p>
              </w:tc>
            </w:tr>
            <w:tr w14:paraId="59A3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4B0A2C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G11</w:t>
                  </w:r>
                </w:p>
              </w:tc>
              <w:tc>
                <w:tcPr>
                  <w:tcW w:w="2122" w:type="dxa"/>
                  <w:noWrap w:val="0"/>
                  <w:vAlign w:val="center"/>
                </w:tcPr>
                <w:p w14:paraId="017CED3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4408161.210</w:t>
                  </w:r>
                </w:p>
              </w:tc>
              <w:tc>
                <w:tcPr>
                  <w:tcW w:w="2139" w:type="dxa"/>
                  <w:noWrap w:val="0"/>
                  <w:vAlign w:val="center"/>
                </w:tcPr>
                <w:p w14:paraId="36932C1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38510167.482</w:t>
                  </w:r>
                </w:p>
              </w:tc>
              <w:tc>
                <w:tcPr>
                  <w:tcW w:w="2125" w:type="dxa"/>
                  <w:noWrap w:val="0"/>
                  <w:vAlign w:val="center"/>
                </w:tcPr>
                <w:p w14:paraId="7ECFC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7814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A06BDC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G12</w:t>
                  </w:r>
                </w:p>
              </w:tc>
              <w:tc>
                <w:tcPr>
                  <w:tcW w:w="2122" w:type="dxa"/>
                  <w:noWrap w:val="0"/>
                  <w:vAlign w:val="center"/>
                </w:tcPr>
                <w:p w14:paraId="42748B1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4407923,802</w:t>
                  </w:r>
                </w:p>
              </w:tc>
              <w:tc>
                <w:tcPr>
                  <w:tcW w:w="2139" w:type="dxa"/>
                  <w:noWrap w:val="0"/>
                  <w:vAlign w:val="center"/>
                </w:tcPr>
                <w:p w14:paraId="22C205D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38510313.697</w:t>
                  </w:r>
                </w:p>
              </w:tc>
              <w:tc>
                <w:tcPr>
                  <w:tcW w:w="2125" w:type="dxa"/>
                  <w:noWrap w:val="0"/>
                  <w:vAlign w:val="center"/>
                </w:tcPr>
                <w:p w14:paraId="35239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5BF0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C7C60C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G13</w:t>
                  </w:r>
                </w:p>
              </w:tc>
              <w:tc>
                <w:tcPr>
                  <w:tcW w:w="2122" w:type="dxa"/>
                  <w:noWrap w:val="0"/>
                  <w:vAlign w:val="center"/>
                </w:tcPr>
                <w:p w14:paraId="165CE30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4407685.575</w:t>
                  </w:r>
                </w:p>
              </w:tc>
              <w:tc>
                <w:tcPr>
                  <w:tcW w:w="2139" w:type="dxa"/>
                  <w:noWrap w:val="0"/>
                  <w:vAlign w:val="center"/>
                </w:tcPr>
                <w:p w14:paraId="7861658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38510460.828</w:t>
                  </w:r>
                </w:p>
              </w:tc>
              <w:tc>
                <w:tcPr>
                  <w:tcW w:w="2125" w:type="dxa"/>
                  <w:noWrap w:val="0"/>
                  <w:vAlign w:val="center"/>
                </w:tcPr>
                <w:p w14:paraId="1474DC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220-GD22S-J2</w:t>
                  </w:r>
                </w:p>
              </w:tc>
            </w:tr>
            <w:tr w14:paraId="7EBF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D7F86C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G14</w:t>
                  </w:r>
                </w:p>
              </w:tc>
              <w:tc>
                <w:tcPr>
                  <w:tcW w:w="2122" w:type="dxa"/>
                  <w:noWrap w:val="0"/>
                  <w:vAlign w:val="center"/>
                </w:tcPr>
                <w:p w14:paraId="41E6835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4407447.346</w:t>
                  </w:r>
                </w:p>
              </w:tc>
              <w:tc>
                <w:tcPr>
                  <w:tcW w:w="2139" w:type="dxa"/>
                  <w:noWrap w:val="0"/>
                  <w:vAlign w:val="center"/>
                </w:tcPr>
                <w:p w14:paraId="484867A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38510607.961</w:t>
                  </w:r>
                </w:p>
              </w:tc>
              <w:tc>
                <w:tcPr>
                  <w:tcW w:w="2125" w:type="dxa"/>
                  <w:noWrap w:val="0"/>
                  <w:vAlign w:val="center"/>
                </w:tcPr>
                <w:p w14:paraId="16B6FE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706E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607576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G15</w:t>
                  </w:r>
                </w:p>
              </w:tc>
              <w:tc>
                <w:tcPr>
                  <w:tcW w:w="2122" w:type="dxa"/>
                  <w:noWrap w:val="0"/>
                  <w:vAlign w:val="center"/>
                </w:tcPr>
                <w:p w14:paraId="15FAC39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4407209.120</w:t>
                  </w:r>
                </w:p>
              </w:tc>
              <w:tc>
                <w:tcPr>
                  <w:tcW w:w="2139" w:type="dxa"/>
                  <w:noWrap w:val="0"/>
                  <w:vAlign w:val="center"/>
                </w:tcPr>
                <w:p w14:paraId="151DB16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38510755.087</w:t>
                  </w:r>
                </w:p>
              </w:tc>
              <w:tc>
                <w:tcPr>
                  <w:tcW w:w="2125" w:type="dxa"/>
                  <w:noWrap w:val="0"/>
                  <w:vAlign w:val="center"/>
                </w:tcPr>
                <w:p w14:paraId="395B45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2F69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460C70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G16</w:t>
                  </w:r>
                </w:p>
              </w:tc>
              <w:tc>
                <w:tcPr>
                  <w:tcW w:w="2122" w:type="dxa"/>
                  <w:noWrap w:val="0"/>
                  <w:vAlign w:val="center"/>
                </w:tcPr>
                <w:p w14:paraId="6DD6B70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4406970.892</w:t>
                  </w:r>
                </w:p>
              </w:tc>
              <w:tc>
                <w:tcPr>
                  <w:tcW w:w="2139" w:type="dxa"/>
                  <w:noWrap w:val="0"/>
                  <w:vAlign w:val="center"/>
                </w:tcPr>
                <w:p w14:paraId="1161073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38510902.216</w:t>
                  </w:r>
                </w:p>
              </w:tc>
              <w:tc>
                <w:tcPr>
                  <w:tcW w:w="2125" w:type="dxa"/>
                  <w:noWrap w:val="0"/>
                  <w:vAlign w:val="center"/>
                </w:tcPr>
                <w:p w14:paraId="04AD97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7E7C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9BB809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G17</w:t>
                  </w:r>
                </w:p>
              </w:tc>
              <w:tc>
                <w:tcPr>
                  <w:tcW w:w="2122" w:type="dxa"/>
                  <w:noWrap w:val="0"/>
                  <w:vAlign w:val="center"/>
                </w:tcPr>
                <w:p w14:paraId="60875BC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4406724.971</w:t>
                  </w:r>
                </w:p>
              </w:tc>
              <w:tc>
                <w:tcPr>
                  <w:tcW w:w="2139" w:type="dxa"/>
                  <w:noWrap w:val="0"/>
                  <w:vAlign w:val="center"/>
                </w:tcPr>
                <w:p w14:paraId="328BE35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38511056.976</w:t>
                  </w:r>
                </w:p>
              </w:tc>
              <w:tc>
                <w:tcPr>
                  <w:tcW w:w="2125" w:type="dxa"/>
                  <w:noWrap w:val="0"/>
                  <w:vAlign w:val="center"/>
                </w:tcPr>
                <w:p w14:paraId="01BAB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D7D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E2097A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G18</w:t>
                  </w:r>
                </w:p>
              </w:tc>
              <w:tc>
                <w:tcPr>
                  <w:tcW w:w="2122" w:type="dxa"/>
                  <w:noWrap w:val="0"/>
                  <w:vAlign w:val="center"/>
                </w:tcPr>
                <w:p w14:paraId="51485FD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4406424.983</w:t>
                  </w:r>
                </w:p>
              </w:tc>
              <w:tc>
                <w:tcPr>
                  <w:tcW w:w="2139" w:type="dxa"/>
                  <w:noWrap w:val="0"/>
                  <w:vAlign w:val="center"/>
                </w:tcPr>
                <w:p w14:paraId="5560136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38511059.633</w:t>
                  </w:r>
                </w:p>
              </w:tc>
              <w:tc>
                <w:tcPr>
                  <w:tcW w:w="2125" w:type="dxa"/>
                  <w:noWrap w:val="0"/>
                  <w:vAlign w:val="center"/>
                </w:tcPr>
                <w:p w14:paraId="1F8B0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0DFA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65CF22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G19</w:t>
                  </w:r>
                </w:p>
              </w:tc>
              <w:tc>
                <w:tcPr>
                  <w:tcW w:w="2122" w:type="dxa"/>
                  <w:noWrap w:val="0"/>
                  <w:vAlign w:val="center"/>
                </w:tcPr>
                <w:p w14:paraId="22360E4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4406124.995</w:t>
                  </w:r>
                </w:p>
              </w:tc>
              <w:tc>
                <w:tcPr>
                  <w:tcW w:w="2139" w:type="dxa"/>
                  <w:noWrap w:val="0"/>
                  <w:vAlign w:val="center"/>
                </w:tcPr>
                <w:p w14:paraId="6FA877C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38511062.299</w:t>
                  </w:r>
                </w:p>
              </w:tc>
              <w:tc>
                <w:tcPr>
                  <w:tcW w:w="2125" w:type="dxa"/>
                  <w:noWrap w:val="0"/>
                  <w:vAlign w:val="center"/>
                </w:tcPr>
                <w:p w14:paraId="5A9AE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220-GD22S-JC1</w:t>
                  </w:r>
                </w:p>
              </w:tc>
            </w:tr>
            <w:tr w14:paraId="2D5D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209FA9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G20</w:t>
                  </w:r>
                </w:p>
              </w:tc>
              <w:tc>
                <w:tcPr>
                  <w:tcW w:w="2122" w:type="dxa"/>
                  <w:noWrap w:val="0"/>
                  <w:vAlign w:val="center"/>
                </w:tcPr>
                <w:p w14:paraId="231AE9B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4405825.007</w:t>
                  </w:r>
                </w:p>
              </w:tc>
              <w:tc>
                <w:tcPr>
                  <w:tcW w:w="2139" w:type="dxa"/>
                  <w:noWrap w:val="0"/>
                  <w:vAlign w:val="center"/>
                </w:tcPr>
                <w:p w14:paraId="0DC4BE2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38511064.967</w:t>
                  </w:r>
                </w:p>
              </w:tc>
              <w:tc>
                <w:tcPr>
                  <w:tcW w:w="2125" w:type="dxa"/>
                  <w:noWrap w:val="0"/>
                  <w:vAlign w:val="center"/>
                </w:tcPr>
                <w:p w14:paraId="14CE7C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220-GC22S-ZCK</w:t>
                  </w:r>
                </w:p>
              </w:tc>
            </w:tr>
            <w:tr w14:paraId="77B0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E0D716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G21</w:t>
                  </w:r>
                </w:p>
              </w:tc>
              <w:tc>
                <w:tcPr>
                  <w:tcW w:w="2122" w:type="dxa"/>
                  <w:noWrap w:val="0"/>
                  <w:vAlign w:val="center"/>
                </w:tcPr>
                <w:p w14:paraId="26F9CD1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4405525.018</w:t>
                  </w:r>
                </w:p>
              </w:tc>
              <w:tc>
                <w:tcPr>
                  <w:tcW w:w="2139" w:type="dxa"/>
                  <w:noWrap w:val="0"/>
                  <w:vAlign w:val="center"/>
                </w:tcPr>
                <w:p w14:paraId="7624EDD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38511067.633</w:t>
                  </w:r>
                </w:p>
              </w:tc>
              <w:tc>
                <w:tcPr>
                  <w:tcW w:w="2125" w:type="dxa"/>
                  <w:noWrap w:val="0"/>
                  <w:vAlign w:val="center"/>
                </w:tcPr>
                <w:p w14:paraId="083A98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220-GD22S-JC1</w:t>
                  </w:r>
                </w:p>
              </w:tc>
            </w:tr>
            <w:tr w14:paraId="31DA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A54BD2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G22</w:t>
                  </w:r>
                </w:p>
              </w:tc>
              <w:tc>
                <w:tcPr>
                  <w:tcW w:w="2122" w:type="dxa"/>
                  <w:noWrap w:val="0"/>
                  <w:vAlign w:val="center"/>
                </w:tcPr>
                <w:p w14:paraId="0DA6E32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4405224.534</w:t>
                  </w:r>
                </w:p>
              </w:tc>
              <w:tc>
                <w:tcPr>
                  <w:tcW w:w="2139" w:type="dxa"/>
                  <w:noWrap w:val="0"/>
                  <w:vAlign w:val="center"/>
                </w:tcPr>
                <w:p w14:paraId="68E9E4D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38511070.316</w:t>
                  </w:r>
                </w:p>
              </w:tc>
              <w:tc>
                <w:tcPr>
                  <w:tcW w:w="2125" w:type="dxa"/>
                  <w:noWrap w:val="0"/>
                  <w:vAlign w:val="center"/>
                </w:tcPr>
                <w:p w14:paraId="2F5D0D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220-GC22S-ZC3</w:t>
                  </w:r>
                </w:p>
              </w:tc>
            </w:tr>
            <w:tr w14:paraId="4B6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7C10F4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G23</w:t>
                  </w:r>
                </w:p>
              </w:tc>
              <w:tc>
                <w:tcPr>
                  <w:tcW w:w="2122" w:type="dxa"/>
                  <w:noWrap w:val="0"/>
                  <w:vAlign w:val="center"/>
                </w:tcPr>
                <w:p w14:paraId="33DC009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4404924.438</w:t>
                  </w:r>
                </w:p>
              </w:tc>
              <w:tc>
                <w:tcPr>
                  <w:tcW w:w="2139" w:type="dxa"/>
                  <w:noWrap w:val="0"/>
                  <w:vAlign w:val="center"/>
                </w:tcPr>
                <w:p w14:paraId="34DA642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38511072.984</w:t>
                  </w:r>
                </w:p>
              </w:tc>
              <w:tc>
                <w:tcPr>
                  <w:tcW w:w="2125" w:type="dxa"/>
                  <w:noWrap w:val="0"/>
                  <w:vAlign w:val="center"/>
                </w:tcPr>
                <w:p w14:paraId="661594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220-GC22S-ZC3</w:t>
                  </w:r>
                </w:p>
              </w:tc>
            </w:tr>
            <w:tr w14:paraId="1024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9A3E2B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G24</w:t>
                  </w:r>
                </w:p>
              </w:tc>
              <w:tc>
                <w:tcPr>
                  <w:tcW w:w="2122" w:type="dxa"/>
                  <w:noWrap w:val="0"/>
                  <w:vAlign w:val="center"/>
                </w:tcPr>
                <w:p w14:paraId="0304006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4404625.055</w:t>
                  </w:r>
                </w:p>
              </w:tc>
              <w:tc>
                <w:tcPr>
                  <w:tcW w:w="2139" w:type="dxa"/>
                  <w:noWrap w:val="0"/>
                  <w:vAlign w:val="center"/>
                </w:tcPr>
                <w:p w14:paraId="4F1C655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38511075.635</w:t>
                  </w:r>
                </w:p>
              </w:tc>
              <w:tc>
                <w:tcPr>
                  <w:tcW w:w="2125" w:type="dxa"/>
                  <w:noWrap w:val="0"/>
                  <w:vAlign w:val="center"/>
                </w:tcPr>
                <w:p w14:paraId="3F0C6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220-GC22S-ZC4</w:t>
                  </w:r>
                </w:p>
              </w:tc>
            </w:tr>
            <w:tr w14:paraId="7CEB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32D1E1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position w:val="-1"/>
                      <w:sz w:val="21"/>
                      <w:szCs w:val="21"/>
                    </w:rPr>
                    <w:t>G25</w:t>
                  </w:r>
                </w:p>
              </w:tc>
              <w:tc>
                <w:tcPr>
                  <w:tcW w:w="2122" w:type="dxa"/>
                  <w:noWrap w:val="0"/>
                  <w:vAlign w:val="center"/>
                </w:tcPr>
                <w:p w14:paraId="5BF5A61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4404325.066</w:t>
                  </w:r>
                </w:p>
              </w:tc>
              <w:tc>
                <w:tcPr>
                  <w:tcW w:w="2139" w:type="dxa"/>
                  <w:noWrap w:val="0"/>
                  <w:vAlign w:val="center"/>
                </w:tcPr>
                <w:p w14:paraId="01B9ECE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1"/>
                      <w:sz w:val="21"/>
                      <w:szCs w:val="21"/>
                    </w:rPr>
                    <w:t>38511078.305</w:t>
                  </w:r>
                </w:p>
              </w:tc>
              <w:tc>
                <w:tcPr>
                  <w:tcW w:w="2125" w:type="dxa"/>
                  <w:noWrap w:val="0"/>
                  <w:vAlign w:val="center"/>
                </w:tcPr>
                <w:p w14:paraId="460658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220-GC22S-ZC3</w:t>
                  </w:r>
                </w:p>
              </w:tc>
            </w:tr>
            <w:tr w14:paraId="75DC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134A95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G26</w:t>
                  </w:r>
                </w:p>
              </w:tc>
              <w:tc>
                <w:tcPr>
                  <w:tcW w:w="2122" w:type="dxa"/>
                  <w:noWrap w:val="0"/>
                  <w:vAlign w:val="center"/>
                </w:tcPr>
                <w:p w14:paraId="7241040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4404025.078</w:t>
                  </w:r>
                </w:p>
              </w:tc>
              <w:tc>
                <w:tcPr>
                  <w:tcW w:w="2139" w:type="dxa"/>
                  <w:noWrap w:val="0"/>
                  <w:vAlign w:val="center"/>
                </w:tcPr>
                <w:p w14:paraId="20B9046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38511080.976</w:t>
                  </w:r>
                </w:p>
              </w:tc>
              <w:tc>
                <w:tcPr>
                  <w:tcW w:w="2125" w:type="dxa"/>
                  <w:noWrap w:val="0"/>
                  <w:vAlign w:val="center"/>
                </w:tcPr>
                <w:p w14:paraId="25B685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220-GC22S-ZCK</w:t>
                  </w:r>
                </w:p>
              </w:tc>
            </w:tr>
            <w:tr w14:paraId="5323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BB4BFA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G27</w:t>
                  </w:r>
                </w:p>
              </w:tc>
              <w:tc>
                <w:tcPr>
                  <w:tcW w:w="2122" w:type="dxa"/>
                  <w:noWrap w:val="0"/>
                  <w:vAlign w:val="center"/>
                </w:tcPr>
                <w:p w14:paraId="2703490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4403765.280</w:t>
                  </w:r>
                </w:p>
              </w:tc>
              <w:tc>
                <w:tcPr>
                  <w:tcW w:w="2139" w:type="dxa"/>
                  <w:noWrap w:val="0"/>
                  <w:vAlign w:val="center"/>
                </w:tcPr>
                <w:p w14:paraId="200D574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38511083.290</w:t>
                  </w:r>
                </w:p>
              </w:tc>
              <w:tc>
                <w:tcPr>
                  <w:tcW w:w="2125" w:type="dxa"/>
                  <w:noWrap w:val="0"/>
                  <w:vAlign w:val="center"/>
                </w:tcPr>
                <w:p w14:paraId="0174D9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220-GD22S-JC3</w:t>
                  </w:r>
                </w:p>
              </w:tc>
            </w:tr>
            <w:tr w14:paraId="036F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1C9DEF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G28</w:t>
                  </w:r>
                </w:p>
              </w:tc>
              <w:tc>
                <w:tcPr>
                  <w:tcW w:w="2122" w:type="dxa"/>
                  <w:noWrap w:val="0"/>
                  <w:vAlign w:val="center"/>
                </w:tcPr>
                <w:p w14:paraId="42FBAE4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4403734.197</w:t>
                  </w:r>
                </w:p>
              </w:tc>
              <w:tc>
                <w:tcPr>
                  <w:tcW w:w="2139" w:type="dxa"/>
                  <w:noWrap w:val="0"/>
                  <w:vAlign w:val="center"/>
                </w:tcPr>
                <w:p w14:paraId="4CC6765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38511381.478</w:t>
                  </w:r>
                </w:p>
              </w:tc>
              <w:tc>
                <w:tcPr>
                  <w:tcW w:w="2125" w:type="dxa"/>
                  <w:noWrap w:val="0"/>
                  <w:vAlign w:val="center"/>
                </w:tcPr>
                <w:p w14:paraId="07F45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220-GC22S-ZCK</w:t>
                  </w:r>
                </w:p>
              </w:tc>
            </w:tr>
            <w:tr w14:paraId="220C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6856B7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G29</w:t>
                  </w:r>
                </w:p>
              </w:tc>
              <w:tc>
                <w:tcPr>
                  <w:tcW w:w="2122" w:type="dxa"/>
                  <w:noWrap w:val="0"/>
                  <w:vAlign w:val="center"/>
                </w:tcPr>
                <w:p w14:paraId="2232685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4403703.073</w:t>
                  </w:r>
                </w:p>
              </w:tc>
              <w:tc>
                <w:tcPr>
                  <w:tcW w:w="2139" w:type="dxa"/>
                  <w:noWrap w:val="0"/>
                  <w:vAlign w:val="center"/>
                </w:tcPr>
                <w:p w14:paraId="39BFE9B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38511680.061</w:t>
                  </w:r>
                </w:p>
              </w:tc>
              <w:tc>
                <w:tcPr>
                  <w:tcW w:w="2125" w:type="dxa"/>
                  <w:noWrap w:val="0"/>
                  <w:vAlign w:val="center"/>
                </w:tcPr>
                <w:p w14:paraId="64DEB1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2C98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B270AB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G30</w:t>
                  </w:r>
                </w:p>
              </w:tc>
              <w:tc>
                <w:tcPr>
                  <w:tcW w:w="2122" w:type="dxa"/>
                  <w:noWrap w:val="0"/>
                  <w:vAlign w:val="center"/>
                </w:tcPr>
                <w:p w14:paraId="27BFC57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4403671.969</w:t>
                  </w:r>
                </w:p>
              </w:tc>
              <w:tc>
                <w:tcPr>
                  <w:tcW w:w="2139" w:type="dxa"/>
                  <w:noWrap w:val="0"/>
                  <w:vAlign w:val="center"/>
                </w:tcPr>
                <w:p w14:paraId="7F7BA23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38511978.437</w:t>
                  </w:r>
                </w:p>
              </w:tc>
              <w:tc>
                <w:tcPr>
                  <w:tcW w:w="2125" w:type="dxa"/>
                  <w:noWrap w:val="0"/>
                  <w:vAlign w:val="center"/>
                </w:tcPr>
                <w:p w14:paraId="0A42E0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220-GD22S-J3</w:t>
                  </w:r>
                </w:p>
              </w:tc>
            </w:tr>
            <w:tr w14:paraId="3607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A4758E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G31</w:t>
                  </w:r>
                </w:p>
              </w:tc>
              <w:tc>
                <w:tcPr>
                  <w:tcW w:w="2122" w:type="dxa"/>
                  <w:noWrap w:val="0"/>
                  <w:vAlign w:val="center"/>
                </w:tcPr>
                <w:p w14:paraId="76673DC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4403640.812</w:t>
                  </w:r>
                </w:p>
              </w:tc>
              <w:tc>
                <w:tcPr>
                  <w:tcW w:w="2139" w:type="dxa"/>
                  <w:noWrap w:val="0"/>
                  <w:vAlign w:val="center"/>
                </w:tcPr>
                <w:p w14:paraId="2BE1DAF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38512277.347</w:t>
                  </w:r>
                </w:p>
              </w:tc>
              <w:tc>
                <w:tcPr>
                  <w:tcW w:w="2125" w:type="dxa"/>
                  <w:noWrap w:val="0"/>
                  <w:vAlign w:val="center"/>
                </w:tcPr>
                <w:p w14:paraId="63BCCB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A8E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D9FB22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G32</w:t>
                  </w:r>
                </w:p>
              </w:tc>
              <w:tc>
                <w:tcPr>
                  <w:tcW w:w="2122" w:type="dxa"/>
                  <w:noWrap w:val="0"/>
                  <w:vAlign w:val="center"/>
                </w:tcPr>
                <w:p w14:paraId="4AA5F43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4403609.721</w:t>
                  </w:r>
                </w:p>
              </w:tc>
              <w:tc>
                <w:tcPr>
                  <w:tcW w:w="2139" w:type="dxa"/>
                  <w:noWrap w:val="0"/>
                  <w:vAlign w:val="center"/>
                </w:tcPr>
                <w:p w14:paraId="0A38EDC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38512575.613</w:t>
                  </w:r>
                </w:p>
              </w:tc>
              <w:tc>
                <w:tcPr>
                  <w:tcW w:w="2125" w:type="dxa"/>
                  <w:noWrap w:val="0"/>
                  <w:vAlign w:val="center"/>
                </w:tcPr>
                <w:p w14:paraId="6C26C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E9B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ED0BB1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G33</w:t>
                  </w:r>
                </w:p>
              </w:tc>
              <w:tc>
                <w:tcPr>
                  <w:tcW w:w="2122" w:type="dxa"/>
                  <w:noWrap w:val="0"/>
                  <w:vAlign w:val="center"/>
                </w:tcPr>
                <w:p w14:paraId="50A757C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4403578.659</w:t>
                  </w:r>
                </w:p>
              </w:tc>
              <w:tc>
                <w:tcPr>
                  <w:tcW w:w="2139" w:type="dxa"/>
                  <w:noWrap w:val="0"/>
                  <w:vAlign w:val="center"/>
                </w:tcPr>
                <w:p w14:paraId="35A5C6B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38512873.592</w:t>
                  </w:r>
                </w:p>
              </w:tc>
              <w:tc>
                <w:tcPr>
                  <w:tcW w:w="2125" w:type="dxa"/>
                  <w:noWrap w:val="0"/>
                  <w:vAlign w:val="center"/>
                </w:tcPr>
                <w:p w14:paraId="61BB65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1648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5C1856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G34</w:t>
                  </w:r>
                </w:p>
              </w:tc>
              <w:tc>
                <w:tcPr>
                  <w:tcW w:w="2122" w:type="dxa"/>
                  <w:noWrap w:val="0"/>
                  <w:vAlign w:val="center"/>
                </w:tcPr>
                <w:p w14:paraId="699A5AB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4403547.555</w:t>
                  </w:r>
                </w:p>
              </w:tc>
              <w:tc>
                <w:tcPr>
                  <w:tcW w:w="2139" w:type="dxa"/>
                  <w:noWrap w:val="0"/>
                  <w:vAlign w:val="center"/>
                </w:tcPr>
                <w:p w14:paraId="0762FC9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38513171.979</w:t>
                  </w:r>
                </w:p>
              </w:tc>
              <w:tc>
                <w:tcPr>
                  <w:tcW w:w="2125" w:type="dxa"/>
                  <w:noWrap w:val="0"/>
                  <w:vAlign w:val="center"/>
                </w:tcPr>
                <w:p w14:paraId="6A20B6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5475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79051E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G35</w:t>
                  </w:r>
                </w:p>
              </w:tc>
              <w:tc>
                <w:tcPr>
                  <w:tcW w:w="2122" w:type="dxa"/>
                  <w:noWrap w:val="0"/>
                  <w:vAlign w:val="center"/>
                </w:tcPr>
                <w:p w14:paraId="5F7B5FB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4403529.131</w:t>
                  </w:r>
                </w:p>
              </w:tc>
              <w:tc>
                <w:tcPr>
                  <w:tcW w:w="2139" w:type="dxa"/>
                  <w:noWrap w:val="0"/>
                  <w:vAlign w:val="center"/>
                </w:tcPr>
                <w:p w14:paraId="2CC1596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38513348.741</w:t>
                  </w:r>
                </w:p>
              </w:tc>
              <w:tc>
                <w:tcPr>
                  <w:tcW w:w="2125" w:type="dxa"/>
                  <w:noWrap w:val="0"/>
                  <w:vAlign w:val="center"/>
                </w:tcPr>
                <w:p w14:paraId="1C9C9A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220-GC22S-ZK</w:t>
                  </w:r>
                </w:p>
              </w:tc>
            </w:tr>
            <w:tr w14:paraId="4285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895431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G36</w:t>
                  </w:r>
                </w:p>
              </w:tc>
              <w:tc>
                <w:tcPr>
                  <w:tcW w:w="2122" w:type="dxa"/>
                  <w:noWrap w:val="0"/>
                  <w:vAlign w:val="center"/>
                </w:tcPr>
                <w:p w14:paraId="2F0E88E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4403410.553</w:t>
                  </w:r>
                </w:p>
              </w:tc>
              <w:tc>
                <w:tcPr>
                  <w:tcW w:w="2139" w:type="dxa"/>
                  <w:noWrap w:val="0"/>
                  <w:vAlign w:val="center"/>
                </w:tcPr>
                <w:p w14:paraId="2800DF8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38513602.993</w:t>
                  </w:r>
                </w:p>
              </w:tc>
              <w:tc>
                <w:tcPr>
                  <w:tcW w:w="2125" w:type="dxa"/>
                  <w:noWrap w:val="0"/>
                  <w:vAlign w:val="center"/>
                </w:tcPr>
                <w:p w14:paraId="472655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220-GC22S-ZK</w:t>
                  </w:r>
                </w:p>
              </w:tc>
            </w:tr>
            <w:tr w14:paraId="3BDE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4E5D7A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G37</w:t>
                  </w:r>
                </w:p>
              </w:tc>
              <w:tc>
                <w:tcPr>
                  <w:tcW w:w="2122" w:type="dxa"/>
                  <w:noWrap w:val="0"/>
                  <w:vAlign w:val="center"/>
                </w:tcPr>
                <w:p w14:paraId="1E9CE78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4403292.436</w:t>
                  </w:r>
                </w:p>
              </w:tc>
              <w:tc>
                <w:tcPr>
                  <w:tcW w:w="2139" w:type="dxa"/>
                  <w:noWrap w:val="0"/>
                  <w:vAlign w:val="center"/>
                </w:tcPr>
                <w:p w14:paraId="6717468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38513856.265</w:t>
                  </w:r>
                </w:p>
              </w:tc>
              <w:tc>
                <w:tcPr>
                  <w:tcW w:w="2125" w:type="dxa"/>
                  <w:noWrap w:val="0"/>
                  <w:vAlign w:val="center"/>
                </w:tcPr>
                <w:p w14:paraId="4EA28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220-GD22S-J3</w:t>
                  </w:r>
                </w:p>
              </w:tc>
            </w:tr>
            <w:tr w14:paraId="18FC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5539D1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G38</w:t>
                  </w:r>
                </w:p>
              </w:tc>
              <w:tc>
                <w:tcPr>
                  <w:tcW w:w="2122" w:type="dxa"/>
                  <w:noWrap w:val="0"/>
                  <w:vAlign w:val="center"/>
                </w:tcPr>
                <w:p w14:paraId="4FEF01D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4403174.089</w:t>
                  </w:r>
                </w:p>
              </w:tc>
              <w:tc>
                <w:tcPr>
                  <w:tcW w:w="2139" w:type="dxa"/>
                  <w:noWrap w:val="0"/>
                  <w:vAlign w:val="center"/>
                </w:tcPr>
                <w:p w14:paraId="424ABA9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38514110.025</w:t>
                  </w:r>
                </w:p>
              </w:tc>
              <w:tc>
                <w:tcPr>
                  <w:tcW w:w="2125" w:type="dxa"/>
                  <w:noWrap w:val="0"/>
                  <w:vAlign w:val="center"/>
                </w:tcPr>
                <w:p w14:paraId="2E14A0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220-GC22S-ZK</w:t>
                  </w:r>
                </w:p>
              </w:tc>
            </w:tr>
            <w:tr w14:paraId="381F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CDC7DA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G39</w:t>
                  </w:r>
                </w:p>
              </w:tc>
              <w:tc>
                <w:tcPr>
                  <w:tcW w:w="2122" w:type="dxa"/>
                  <w:noWrap w:val="0"/>
                  <w:vAlign w:val="center"/>
                </w:tcPr>
                <w:p w14:paraId="6F8AD5C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4403055.263</w:t>
                  </w:r>
                </w:p>
              </w:tc>
              <w:tc>
                <w:tcPr>
                  <w:tcW w:w="2139" w:type="dxa"/>
                  <w:noWrap w:val="0"/>
                  <w:vAlign w:val="center"/>
                </w:tcPr>
                <w:p w14:paraId="3B378D2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38514364.139</w:t>
                  </w:r>
                </w:p>
              </w:tc>
              <w:tc>
                <w:tcPr>
                  <w:tcW w:w="2125" w:type="dxa"/>
                  <w:noWrap w:val="0"/>
                  <w:vAlign w:val="center"/>
                </w:tcPr>
                <w:p w14:paraId="658709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220-GC22S-ZK</w:t>
                  </w:r>
                </w:p>
              </w:tc>
            </w:tr>
            <w:tr w14:paraId="576C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7C9E09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G40</w:t>
                  </w:r>
                </w:p>
              </w:tc>
              <w:tc>
                <w:tcPr>
                  <w:tcW w:w="2122" w:type="dxa"/>
                  <w:noWrap w:val="0"/>
                  <w:vAlign w:val="center"/>
                </w:tcPr>
                <w:p w14:paraId="23DAF1E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4402937.239</w:t>
                  </w:r>
                </w:p>
              </w:tc>
              <w:tc>
                <w:tcPr>
                  <w:tcW w:w="2139" w:type="dxa"/>
                  <w:noWrap w:val="0"/>
                  <w:vAlign w:val="center"/>
                </w:tcPr>
                <w:p w14:paraId="4242142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38514617.854</w:t>
                  </w:r>
                </w:p>
              </w:tc>
              <w:tc>
                <w:tcPr>
                  <w:tcW w:w="2125" w:type="dxa"/>
                  <w:noWrap w:val="0"/>
                  <w:vAlign w:val="center"/>
                </w:tcPr>
                <w:p w14:paraId="78183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220-GC22S-ZK</w:t>
                  </w:r>
                </w:p>
              </w:tc>
            </w:tr>
            <w:tr w14:paraId="10F2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A7DA49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G41</w:t>
                  </w:r>
                </w:p>
              </w:tc>
              <w:tc>
                <w:tcPr>
                  <w:tcW w:w="2122" w:type="dxa"/>
                  <w:noWrap w:val="0"/>
                  <w:vAlign w:val="center"/>
                </w:tcPr>
                <w:p w14:paraId="7AA7B16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4402825.837</w:t>
                  </w:r>
                </w:p>
              </w:tc>
              <w:tc>
                <w:tcPr>
                  <w:tcW w:w="2139" w:type="dxa"/>
                  <w:noWrap w:val="0"/>
                  <w:vAlign w:val="center"/>
                </w:tcPr>
                <w:p w14:paraId="675E1A1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38514856.719</w:t>
                  </w:r>
                </w:p>
              </w:tc>
              <w:tc>
                <w:tcPr>
                  <w:tcW w:w="2125" w:type="dxa"/>
                  <w:noWrap w:val="0"/>
                  <w:vAlign w:val="center"/>
                </w:tcPr>
                <w:p w14:paraId="7E70F8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220-GC22S-Z3</w:t>
                  </w:r>
                </w:p>
              </w:tc>
            </w:tr>
            <w:tr w14:paraId="63F3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862671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G42</w:t>
                  </w:r>
                </w:p>
              </w:tc>
              <w:tc>
                <w:tcPr>
                  <w:tcW w:w="2122" w:type="dxa"/>
                  <w:noWrap w:val="0"/>
                  <w:vAlign w:val="center"/>
                </w:tcPr>
                <w:p w14:paraId="729B8A4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position w:val="-1"/>
                      <w:sz w:val="21"/>
                      <w:szCs w:val="21"/>
                    </w:rPr>
                    <w:t>4402834.452</w:t>
                  </w:r>
                </w:p>
              </w:tc>
              <w:tc>
                <w:tcPr>
                  <w:tcW w:w="2139" w:type="dxa"/>
                  <w:noWrap w:val="0"/>
                  <w:vAlign w:val="center"/>
                </w:tcPr>
                <w:p w14:paraId="230973B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position w:val="-1"/>
                      <w:sz w:val="21"/>
                      <w:szCs w:val="21"/>
                    </w:rPr>
                    <w:t>38515136.598</w:t>
                  </w:r>
                </w:p>
              </w:tc>
              <w:tc>
                <w:tcPr>
                  <w:tcW w:w="2125" w:type="dxa"/>
                  <w:noWrap w:val="0"/>
                  <w:vAlign w:val="center"/>
                </w:tcPr>
                <w:p w14:paraId="31823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220-GD22S-J4</w:t>
                  </w:r>
                </w:p>
              </w:tc>
            </w:tr>
            <w:tr w14:paraId="38D5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0E7B9A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G43</w:t>
                  </w:r>
                </w:p>
              </w:tc>
              <w:tc>
                <w:tcPr>
                  <w:tcW w:w="2122" w:type="dxa"/>
                  <w:noWrap w:val="0"/>
                  <w:vAlign w:val="center"/>
                </w:tcPr>
                <w:p w14:paraId="0B24A81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4402843.066</w:t>
                  </w:r>
                </w:p>
              </w:tc>
              <w:tc>
                <w:tcPr>
                  <w:tcW w:w="2139" w:type="dxa"/>
                  <w:noWrap w:val="0"/>
                  <w:vAlign w:val="center"/>
                </w:tcPr>
                <w:p w14:paraId="1C1ECF3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38515416.461</w:t>
                  </w:r>
                </w:p>
              </w:tc>
              <w:tc>
                <w:tcPr>
                  <w:tcW w:w="2125" w:type="dxa"/>
                  <w:noWrap w:val="0"/>
                  <w:vAlign w:val="center"/>
                </w:tcPr>
                <w:p w14:paraId="0379D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220-GC22S-Z3</w:t>
                  </w:r>
                </w:p>
              </w:tc>
            </w:tr>
            <w:tr w14:paraId="7D8C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E23F09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G44</w:t>
                  </w:r>
                </w:p>
              </w:tc>
              <w:tc>
                <w:tcPr>
                  <w:tcW w:w="2122" w:type="dxa"/>
                  <w:noWrap w:val="0"/>
                  <w:vAlign w:val="center"/>
                </w:tcPr>
                <w:p w14:paraId="0D71D25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4402851.681</w:t>
                  </w:r>
                </w:p>
              </w:tc>
              <w:tc>
                <w:tcPr>
                  <w:tcW w:w="2139" w:type="dxa"/>
                  <w:noWrap w:val="0"/>
                  <w:vAlign w:val="center"/>
                </w:tcPr>
                <w:p w14:paraId="1522B2E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38515696.331</w:t>
                  </w:r>
                </w:p>
              </w:tc>
              <w:tc>
                <w:tcPr>
                  <w:tcW w:w="2125" w:type="dxa"/>
                  <w:noWrap w:val="0"/>
                  <w:vAlign w:val="center"/>
                </w:tcPr>
                <w:p w14:paraId="005C53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220-GC22S-Z3</w:t>
                  </w:r>
                </w:p>
              </w:tc>
            </w:tr>
            <w:tr w14:paraId="09F4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997B0D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G45</w:t>
                  </w:r>
                </w:p>
              </w:tc>
              <w:tc>
                <w:tcPr>
                  <w:tcW w:w="2122" w:type="dxa"/>
                  <w:noWrap w:val="0"/>
                  <w:vAlign w:val="center"/>
                </w:tcPr>
                <w:p w14:paraId="47BE6D7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4402860.297</w:t>
                  </w:r>
                </w:p>
              </w:tc>
              <w:tc>
                <w:tcPr>
                  <w:tcW w:w="2139" w:type="dxa"/>
                  <w:noWrap w:val="0"/>
                  <w:vAlign w:val="center"/>
                </w:tcPr>
                <w:p w14:paraId="4FA3BF2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38515976.196</w:t>
                  </w:r>
                </w:p>
              </w:tc>
              <w:tc>
                <w:tcPr>
                  <w:tcW w:w="2125" w:type="dxa"/>
                  <w:noWrap w:val="0"/>
                  <w:vAlign w:val="center"/>
                </w:tcPr>
                <w:p w14:paraId="07860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650E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CBF588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G46</w:t>
                  </w:r>
                </w:p>
              </w:tc>
              <w:tc>
                <w:tcPr>
                  <w:tcW w:w="2122" w:type="dxa"/>
                  <w:noWrap w:val="0"/>
                  <w:vAlign w:val="center"/>
                </w:tcPr>
                <w:p w14:paraId="68A29B0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4402868.919</w:t>
                  </w:r>
                </w:p>
              </w:tc>
              <w:tc>
                <w:tcPr>
                  <w:tcW w:w="2139" w:type="dxa"/>
                  <w:noWrap w:val="0"/>
                  <w:vAlign w:val="center"/>
                </w:tcPr>
                <w:p w14:paraId="052911A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38516256.291</w:t>
                  </w:r>
                </w:p>
              </w:tc>
              <w:tc>
                <w:tcPr>
                  <w:tcW w:w="2125" w:type="dxa"/>
                  <w:noWrap w:val="0"/>
                  <w:vAlign w:val="center"/>
                </w:tcPr>
                <w:p w14:paraId="4CCB26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7898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C340E1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G47</w:t>
                  </w:r>
                </w:p>
              </w:tc>
              <w:tc>
                <w:tcPr>
                  <w:tcW w:w="2122" w:type="dxa"/>
                  <w:noWrap w:val="0"/>
                  <w:vAlign w:val="center"/>
                </w:tcPr>
                <w:p w14:paraId="3F00021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4402877.527</w:t>
                  </w:r>
                </w:p>
              </w:tc>
              <w:tc>
                <w:tcPr>
                  <w:tcW w:w="2139" w:type="dxa"/>
                  <w:noWrap w:val="0"/>
                  <w:vAlign w:val="center"/>
                </w:tcPr>
                <w:p w14:paraId="6FBF350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38516535.938</w:t>
                  </w:r>
                </w:p>
              </w:tc>
              <w:tc>
                <w:tcPr>
                  <w:tcW w:w="2125" w:type="dxa"/>
                  <w:noWrap w:val="0"/>
                  <w:vAlign w:val="center"/>
                </w:tcPr>
                <w:p w14:paraId="32FF2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220-GD22S-J3</w:t>
                  </w:r>
                </w:p>
              </w:tc>
            </w:tr>
            <w:tr w14:paraId="6B7C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BAD629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G48</w:t>
                  </w:r>
                </w:p>
              </w:tc>
              <w:tc>
                <w:tcPr>
                  <w:tcW w:w="2122" w:type="dxa"/>
                  <w:noWrap w:val="0"/>
                  <w:vAlign w:val="center"/>
                </w:tcPr>
                <w:p w14:paraId="0E7E4A4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w:t>
                  </w:r>
                  <w:r>
                    <w:rPr>
                      <w:rFonts w:hint="default" w:ascii="Times New Roman" w:hAnsi="Times New Roman" w:cs="Times New Roman"/>
                      <w:color w:val="auto"/>
                      <w:spacing w:val="-1"/>
                      <w:sz w:val="21"/>
                      <w:szCs w:val="21"/>
                      <w:lang w:val="en-US" w:eastAsia="zh-CN"/>
                    </w:rPr>
                    <w:t>8</w:t>
                  </w:r>
                  <w:r>
                    <w:rPr>
                      <w:rFonts w:hint="default" w:ascii="Times New Roman" w:hAnsi="Times New Roman" w:cs="Times New Roman"/>
                      <w:color w:val="auto"/>
                      <w:spacing w:val="-1"/>
                      <w:sz w:val="21"/>
                      <w:szCs w:val="21"/>
                    </w:rPr>
                    <w:t>88.266</w:t>
                  </w:r>
                </w:p>
              </w:tc>
              <w:tc>
                <w:tcPr>
                  <w:tcW w:w="2139" w:type="dxa"/>
                  <w:noWrap w:val="0"/>
                  <w:vAlign w:val="center"/>
                </w:tcPr>
                <w:p w14:paraId="0872ECC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38516884.809</w:t>
                  </w:r>
                </w:p>
              </w:tc>
              <w:tc>
                <w:tcPr>
                  <w:tcW w:w="2125" w:type="dxa"/>
                  <w:noWrap w:val="0"/>
                  <w:vAlign w:val="center"/>
                </w:tcPr>
                <w:p w14:paraId="4222B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760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1AE052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G49</w:t>
                  </w:r>
                </w:p>
              </w:tc>
              <w:tc>
                <w:tcPr>
                  <w:tcW w:w="2122" w:type="dxa"/>
                  <w:noWrap w:val="0"/>
                  <w:vAlign w:val="center"/>
                </w:tcPr>
                <w:p w14:paraId="5B9C904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4402825.057</w:t>
                  </w:r>
                </w:p>
              </w:tc>
              <w:tc>
                <w:tcPr>
                  <w:tcW w:w="2139" w:type="dxa"/>
                  <w:noWrap w:val="0"/>
                  <w:vAlign w:val="center"/>
                </w:tcPr>
                <w:p w14:paraId="45A7B3C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38517120.605</w:t>
                  </w:r>
                </w:p>
              </w:tc>
              <w:tc>
                <w:tcPr>
                  <w:tcW w:w="2125" w:type="dxa"/>
                  <w:noWrap w:val="0"/>
                  <w:vAlign w:val="center"/>
                </w:tcPr>
                <w:p w14:paraId="4FED23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220-GD22S-J4</w:t>
                  </w:r>
                </w:p>
              </w:tc>
            </w:tr>
            <w:tr w14:paraId="4660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E71570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G50</w:t>
                  </w:r>
                </w:p>
              </w:tc>
              <w:tc>
                <w:tcPr>
                  <w:tcW w:w="2122" w:type="dxa"/>
                  <w:noWrap w:val="0"/>
                  <w:vAlign w:val="center"/>
                </w:tcPr>
                <w:p w14:paraId="6FF8F03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4402747.017</w:t>
                  </w:r>
                </w:p>
              </w:tc>
              <w:tc>
                <w:tcPr>
                  <w:tcW w:w="2139" w:type="dxa"/>
                  <w:noWrap w:val="0"/>
                  <w:vAlign w:val="center"/>
                </w:tcPr>
                <w:p w14:paraId="1C63521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38517411.725</w:t>
                  </w:r>
                </w:p>
              </w:tc>
              <w:tc>
                <w:tcPr>
                  <w:tcW w:w="2125" w:type="dxa"/>
                  <w:noWrap w:val="0"/>
                  <w:vAlign w:val="center"/>
                </w:tcPr>
                <w:p w14:paraId="59BFA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3E3E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D188A9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G51</w:t>
                  </w:r>
                </w:p>
              </w:tc>
              <w:tc>
                <w:tcPr>
                  <w:tcW w:w="2122" w:type="dxa"/>
                  <w:noWrap w:val="0"/>
                  <w:vAlign w:val="center"/>
                </w:tcPr>
                <w:p w14:paraId="6902D5A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4402674.140</w:t>
                  </w:r>
                </w:p>
              </w:tc>
              <w:tc>
                <w:tcPr>
                  <w:tcW w:w="2139" w:type="dxa"/>
                  <w:noWrap w:val="0"/>
                  <w:vAlign w:val="center"/>
                </w:tcPr>
                <w:p w14:paraId="0DFADAE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38517683.583</w:t>
                  </w:r>
                </w:p>
              </w:tc>
              <w:tc>
                <w:tcPr>
                  <w:tcW w:w="2125" w:type="dxa"/>
                  <w:noWrap w:val="0"/>
                  <w:vAlign w:val="center"/>
                </w:tcPr>
                <w:p w14:paraId="509715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6321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74F373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G52</w:t>
                  </w:r>
                </w:p>
              </w:tc>
              <w:tc>
                <w:tcPr>
                  <w:tcW w:w="2122" w:type="dxa"/>
                  <w:noWrap w:val="0"/>
                  <w:vAlign w:val="center"/>
                </w:tcPr>
                <w:p w14:paraId="1DE42F9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4402572.028</w:t>
                  </w:r>
                </w:p>
              </w:tc>
              <w:tc>
                <w:tcPr>
                  <w:tcW w:w="2139" w:type="dxa"/>
                  <w:noWrap w:val="0"/>
                  <w:vAlign w:val="center"/>
                </w:tcPr>
                <w:p w14:paraId="2A519FB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38518064.504</w:t>
                  </w:r>
                </w:p>
              </w:tc>
              <w:tc>
                <w:tcPr>
                  <w:tcW w:w="2125" w:type="dxa"/>
                  <w:noWrap w:val="0"/>
                  <w:vAlign w:val="center"/>
                </w:tcPr>
                <w:p w14:paraId="419D63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36C0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51AE58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G53</w:t>
                  </w:r>
                </w:p>
              </w:tc>
              <w:tc>
                <w:tcPr>
                  <w:tcW w:w="2122" w:type="dxa"/>
                  <w:noWrap w:val="0"/>
                  <w:vAlign w:val="center"/>
                </w:tcPr>
                <w:p w14:paraId="069706A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4402332.109</w:t>
                  </w:r>
                </w:p>
              </w:tc>
              <w:tc>
                <w:tcPr>
                  <w:tcW w:w="2139" w:type="dxa"/>
                  <w:noWrap w:val="0"/>
                  <w:vAlign w:val="center"/>
                </w:tcPr>
                <w:p w14:paraId="4DBE7D9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38518106.669</w:t>
                  </w:r>
                </w:p>
              </w:tc>
              <w:tc>
                <w:tcPr>
                  <w:tcW w:w="2125" w:type="dxa"/>
                  <w:noWrap w:val="0"/>
                  <w:vAlign w:val="center"/>
                </w:tcPr>
                <w:p w14:paraId="06C0E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39D6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C9BB26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G54</w:t>
                  </w:r>
                </w:p>
              </w:tc>
              <w:tc>
                <w:tcPr>
                  <w:tcW w:w="2122" w:type="dxa"/>
                  <w:noWrap w:val="0"/>
                  <w:vAlign w:val="center"/>
                </w:tcPr>
                <w:p w14:paraId="2C69788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4402092.189</w:t>
                  </w:r>
                </w:p>
              </w:tc>
              <w:tc>
                <w:tcPr>
                  <w:tcW w:w="2139" w:type="dxa"/>
                  <w:noWrap w:val="0"/>
                  <w:vAlign w:val="center"/>
                </w:tcPr>
                <w:p w14:paraId="1ED3872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38518148.835</w:t>
                  </w:r>
                </w:p>
              </w:tc>
              <w:tc>
                <w:tcPr>
                  <w:tcW w:w="2125" w:type="dxa"/>
                  <w:noWrap w:val="0"/>
                  <w:vAlign w:val="center"/>
                </w:tcPr>
                <w:p w14:paraId="28959B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61B9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42DFD5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G55</w:t>
                  </w:r>
                </w:p>
              </w:tc>
              <w:tc>
                <w:tcPr>
                  <w:tcW w:w="2122" w:type="dxa"/>
                  <w:noWrap w:val="0"/>
                  <w:vAlign w:val="center"/>
                </w:tcPr>
                <w:p w14:paraId="0D66B33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4402028.196</w:t>
                  </w:r>
                </w:p>
              </w:tc>
              <w:tc>
                <w:tcPr>
                  <w:tcW w:w="2139" w:type="dxa"/>
                  <w:noWrap w:val="0"/>
                  <w:vAlign w:val="center"/>
                </w:tcPr>
                <w:p w14:paraId="1FD89B7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38518441.931</w:t>
                  </w:r>
                </w:p>
              </w:tc>
              <w:tc>
                <w:tcPr>
                  <w:tcW w:w="2125" w:type="dxa"/>
                  <w:noWrap w:val="0"/>
                  <w:vAlign w:val="center"/>
                </w:tcPr>
                <w:p w14:paraId="14BF51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0CB4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FE96D8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G56</w:t>
                  </w:r>
                </w:p>
              </w:tc>
              <w:tc>
                <w:tcPr>
                  <w:tcW w:w="2122" w:type="dxa"/>
                  <w:noWrap w:val="0"/>
                  <w:vAlign w:val="center"/>
                </w:tcPr>
                <w:p w14:paraId="1F4578E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4401963.592</w:t>
                  </w:r>
                </w:p>
              </w:tc>
              <w:tc>
                <w:tcPr>
                  <w:tcW w:w="2139" w:type="dxa"/>
                  <w:noWrap w:val="0"/>
                  <w:vAlign w:val="center"/>
                </w:tcPr>
                <w:p w14:paraId="249414E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38518734.892</w:t>
                  </w:r>
                </w:p>
              </w:tc>
              <w:tc>
                <w:tcPr>
                  <w:tcW w:w="2125" w:type="dxa"/>
                  <w:noWrap w:val="0"/>
                  <w:vAlign w:val="center"/>
                </w:tcPr>
                <w:p w14:paraId="264A5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1253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47E5E7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G57</w:t>
                  </w:r>
                </w:p>
              </w:tc>
              <w:tc>
                <w:tcPr>
                  <w:tcW w:w="2122" w:type="dxa"/>
                  <w:noWrap w:val="0"/>
                  <w:vAlign w:val="center"/>
                </w:tcPr>
                <w:p w14:paraId="0149AAF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4401899.582</w:t>
                  </w:r>
                </w:p>
              </w:tc>
              <w:tc>
                <w:tcPr>
                  <w:tcW w:w="2139" w:type="dxa"/>
                  <w:noWrap w:val="0"/>
                  <w:vAlign w:val="center"/>
                </w:tcPr>
                <w:p w14:paraId="6636249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38519030.044</w:t>
                  </w:r>
                </w:p>
              </w:tc>
              <w:tc>
                <w:tcPr>
                  <w:tcW w:w="2125" w:type="dxa"/>
                  <w:noWrap w:val="0"/>
                  <w:vAlign w:val="center"/>
                </w:tcPr>
                <w:p w14:paraId="36272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0313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00C19E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G58</w:t>
                  </w:r>
                </w:p>
              </w:tc>
              <w:tc>
                <w:tcPr>
                  <w:tcW w:w="2122" w:type="dxa"/>
                  <w:noWrap w:val="0"/>
                  <w:vAlign w:val="center"/>
                </w:tcPr>
                <w:p w14:paraId="6E52A15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4401834.994</w:t>
                  </w:r>
                </w:p>
              </w:tc>
              <w:tc>
                <w:tcPr>
                  <w:tcW w:w="2139" w:type="dxa"/>
                  <w:noWrap w:val="0"/>
                  <w:vAlign w:val="center"/>
                </w:tcPr>
                <w:p w14:paraId="38446D2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38519320.950</w:t>
                  </w:r>
                </w:p>
              </w:tc>
              <w:tc>
                <w:tcPr>
                  <w:tcW w:w="2125" w:type="dxa"/>
                  <w:noWrap w:val="0"/>
                  <w:vAlign w:val="center"/>
                </w:tcPr>
                <w:p w14:paraId="0608F4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7B30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1D918A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G59</w:t>
                  </w:r>
                </w:p>
              </w:tc>
              <w:tc>
                <w:tcPr>
                  <w:tcW w:w="2122" w:type="dxa"/>
                  <w:noWrap w:val="0"/>
                  <w:vAlign w:val="center"/>
                </w:tcPr>
                <w:p w14:paraId="11038C5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4401771.920</w:t>
                  </w:r>
                </w:p>
              </w:tc>
              <w:tc>
                <w:tcPr>
                  <w:tcW w:w="2139" w:type="dxa"/>
                  <w:noWrap w:val="0"/>
                  <w:vAlign w:val="center"/>
                </w:tcPr>
                <w:p w14:paraId="3C65C83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38519614.115</w:t>
                  </w:r>
                </w:p>
              </w:tc>
              <w:tc>
                <w:tcPr>
                  <w:tcW w:w="2125" w:type="dxa"/>
                  <w:noWrap w:val="0"/>
                  <w:vAlign w:val="center"/>
                </w:tcPr>
                <w:p w14:paraId="64114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DE9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D2C26F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G60</w:t>
                  </w:r>
                </w:p>
              </w:tc>
              <w:tc>
                <w:tcPr>
                  <w:tcW w:w="2122" w:type="dxa"/>
                  <w:noWrap w:val="0"/>
                  <w:vAlign w:val="center"/>
                </w:tcPr>
                <w:p w14:paraId="753CBD9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4401708.074</w:t>
                  </w:r>
                </w:p>
              </w:tc>
              <w:tc>
                <w:tcPr>
                  <w:tcW w:w="2139" w:type="dxa"/>
                  <w:noWrap w:val="0"/>
                  <w:vAlign w:val="center"/>
                </w:tcPr>
                <w:p w14:paraId="220E41A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38519907.377</w:t>
                  </w:r>
                </w:p>
              </w:tc>
              <w:tc>
                <w:tcPr>
                  <w:tcW w:w="2125" w:type="dxa"/>
                  <w:noWrap w:val="0"/>
                  <w:vAlign w:val="center"/>
                </w:tcPr>
                <w:p w14:paraId="21425C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220-GD22S-J4</w:t>
                  </w:r>
                </w:p>
              </w:tc>
            </w:tr>
            <w:tr w14:paraId="55C4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426EF83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G61</w:t>
                  </w:r>
                </w:p>
              </w:tc>
              <w:tc>
                <w:tcPr>
                  <w:tcW w:w="2122" w:type="dxa"/>
                  <w:noWrap w:val="0"/>
                  <w:vAlign w:val="center"/>
                </w:tcPr>
                <w:p w14:paraId="058943D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4401643.951</w:t>
                  </w:r>
                </w:p>
              </w:tc>
              <w:tc>
                <w:tcPr>
                  <w:tcW w:w="2139" w:type="dxa"/>
                  <w:noWrap w:val="0"/>
                  <w:vAlign w:val="center"/>
                </w:tcPr>
                <w:p w14:paraId="6D3A853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38520200.444</w:t>
                  </w:r>
                </w:p>
              </w:tc>
              <w:tc>
                <w:tcPr>
                  <w:tcW w:w="2125" w:type="dxa"/>
                  <w:noWrap w:val="0"/>
                  <w:vAlign w:val="center"/>
                </w:tcPr>
                <w:p w14:paraId="374A95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220-GC22S-Z3</w:t>
                  </w:r>
                </w:p>
              </w:tc>
            </w:tr>
            <w:tr w14:paraId="4E12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8230D3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G62</w:t>
                  </w:r>
                </w:p>
              </w:tc>
              <w:tc>
                <w:tcPr>
                  <w:tcW w:w="2122" w:type="dxa"/>
                  <w:noWrap w:val="0"/>
                  <w:vAlign w:val="center"/>
                </w:tcPr>
                <w:p w14:paraId="7AA425F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4401579.720</w:t>
                  </w:r>
                </w:p>
              </w:tc>
              <w:tc>
                <w:tcPr>
                  <w:tcW w:w="2139" w:type="dxa"/>
                  <w:noWrap w:val="0"/>
                  <w:vAlign w:val="center"/>
                </w:tcPr>
                <w:p w14:paraId="06752F1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38520493.487</w:t>
                  </w:r>
                </w:p>
              </w:tc>
              <w:tc>
                <w:tcPr>
                  <w:tcW w:w="2125" w:type="dxa"/>
                  <w:noWrap w:val="0"/>
                  <w:vAlign w:val="center"/>
                </w:tcPr>
                <w:p w14:paraId="5C61DC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220-GD22S-J3</w:t>
                  </w:r>
                </w:p>
              </w:tc>
            </w:tr>
            <w:tr w14:paraId="09CE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6392FC6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G63</w:t>
                  </w:r>
                </w:p>
              </w:tc>
              <w:tc>
                <w:tcPr>
                  <w:tcW w:w="2122" w:type="dxa"/>
                  <w:noWrap w:val="0"/>
                  <w:vAlign w:val="center"/>
                </w:tcPr>
                <w:p w14:paraId="44077C8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4401515.710</w:t>
                  </w:r>
                </w:p>
              </w:tc>
              <w:tc>
                <w:tcPr>
                  <w:tcW w:w="2139" w:type="dxa"/>
                  <w:noWrap w:val="0"/>
                  <w:vAlign w:val="center"/>
                </w:tcPr>
                <w:p w14:paraId="060A653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38520786.580</w:t>
                  </w:r>
                </w:p>
              </w:tc>
              <w:tc>
                <w:tcPr>
                  <w:tcW w:w="2125" w:type="dxa"/>
                  <w:noWrap w:val="0"/>
                  <w:vAlign w:val="center"/>
                </w:tcPr>
                <w:p w14:paraId="141E8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2346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B594CC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G64</w:t>
                  </w:r>
                </w:p>
              </w:tc>
              <w:tc>
                <w:tcPr>
                  <w:tcW w:w="2122" w:type="dxa"/>
                  <w:noWrap w:val="0"/>
                  <w:vAlign w:val="center"/>
                </w:tcPr>
                <w:p w14:paraId="64E01EF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4401466.471</w:t>
                  </w:r>
                </w:p>
              </w:tc>
              <w:tc>
                <w:tcPr>
                  <w:tcW w:w="2139" w:type="dxa"/>
                  <w:noWrap w:val="0"/>
                  <w:vAlign w:val="center"/>
                </w:tcPr>
                <w:p w14:paraId="3371295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38521011.587</w:t>
                  </w:r>
                </w:p>
              </w:tc>
              <w:tc>
                <w:tcPr>
                  <w:tcW w:w="2125" w:type="dxa"/>
                  <w:noWrap w:val="0"/>
                  <w:vAlign w:val="center"/>
                </w:tcPr>
                <w:p w14:paraId="7BC5D1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470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F69EBF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G65</w:t>
                  </w:r>
                </w:p>
              </w:tc>
              <w:tc>
                <w:tcPr>
                  <w:tcW w:w="2122" w:type="dxa"/>
                  <w:noWrap w:val="0"/>
                  <w:vAlign w:val="center"/>
                </w:tcPr>
                <w:p w14:paraId="7E8E803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4401425.111</w:t>
                  </w:r>
                </w:p>
              </w:tc>
              <w:tc>
                <w:tcPr>
                  <w:tcW w:w="2139" w:type="dxa"/>
                  <w:noWrap w:val="0"/>
                  <w:vAlign w:val="center"/>
                </w:tcPr>
                <w:p w14:paraId="04074B6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38521200.819</w:t>
                  </w:r>
                </w:p>
              </w:tc>
              <w:tc>
                <w:tcPr>
                  <w:tcW w:w="2125" w:type="dxa"/>
                  <w:noWrap w:val="0"/>
                  <w:vAlign w:val="center"/>
                </w:tcPr>
                <w:p w14:paraId="2C263D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02DC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416BF2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1"/>
                      <w:sz w:val="21"/>
                      <w:szCs w:val="21"/>
                    </w:rPr>
                    <w:t>G66</w:t>
                  </w:r>
                </w:p>
              </w:tc>
              <w:tc>
                <w:tcPr>
                  <w:tcW w:w="2122" w:type="dxa"/>
                  <w:noWrap w:val="0"/>
                  <w:vAlign w:val="center"/>
                </w:tcPr>
                <w:p w14:paraId="64F1822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4401133.526</w:t>
                  </w:r>
                </w:p>
              </w:tc>
              <w:tc>
                <w:tcPr>
                  <w:tcW w:w="2139" w:type="dxa"/>
                  <w:noWrap w:val="0"/>
                  <w:vAlign w:val="center"/>
                </w:tcPr>
                <w:p w14:paraId="4E3BCB8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38521198.123</w:t>
                  </w:r>
                </w:p>
              </w:tc>
              <w:tc>
                <w:tcPr>
                  <w:tcW w:w="2125" w:type="dxa"/>
                  <w:noWrap w:val="0"/>
                  <w:vAlign w:val="center"/>
                </w:tcPr>
                <w:p w14:paraId="324B85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220-GD22S-J4</w:t>
                  </w:r>
                </w:p>
              </w:tc>
            </w:tr>
            <w:tr w14:paraId="0313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2D6699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G67</w:t>
                  </w:r>
                </w:p>
              </w:tc>
              <w:tc>
                <w:tcPr>
                  <w:tcW w:w="2122" w:type="dxa"/>
                  <w:noWrap w:val="0"/>
                  <w:vAlign w:val="center"/>
                </w:tcPr>
                <w:p w14:paraId="3E88065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4400834.374</w:t>
                  </w:r>
                </w:p>
              </w:tc>
              <w:tc>
                <w:tcPr>
                  <w:tcW w:w="2139" w:type="dxa"/>
                  <w:noWrap w:val="0"/>
                  <w:vAlign w:val="center"/>
                </w:tcPr>
                <w:p w14:paraId="58B40D2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38521195.358</w:t>
                  </w:r>
                </w:p>
              </w:tc>
              <w:tc>
                <w:tcPr>
                  <w:tcW w:w="2125" w:type="dxa"/>
                  <w:noWrap w:val="0"/>
                  <w:vAlign w:val="center"/>
                </w:tcPr>
                <w:p w14:paraId="054EFA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5C7F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0034CF4">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G68</w:t>
                  </w:r>
                </w:p>
              </w:tc>
              <w:tc>
                <w:tcPr>
                  <w:tcW w:w="2122" w:type="dxa"/>
                  <w:noWrap w:val="0"/>
                  <w:vAlign w:val="center"/>
                </w:tcPr>
                <w:p w14:paraId="4EAE791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4400642.597</w:t>
                  </w:r>
                </w:p>
              </w:tc>
              <w:tc>
                <w:tcPr>
                  <w:tcW w:w="2139" w:type="dxa"/>
                  <w:noWrap w:val="0"/>
                  <w:vAlign w:val="center"/>
                </w:tcPr>
                <w:p w14:paraId="1490711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38521353.443</w:t>
                  </w:r>
                </w:p>
              </w:tc>
              <w:tc>
                <w:tcPr>
                  <w:tcW w:w="2125" w:type="dxa"/>
                  <w:noWrap w:val="0"/>
                  <w:vAlign w:val="center"/>
                </w:tcPr>
                <w:p w14:paraId="70B9AF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220-GC22S-ZK</w:t>
                  </w:r>
                </w:p>
              </w:tc>
            </w:tr>
            <w:tr w14:paraId="557F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105C73C">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G69</w:t>
                  </w:r>
                </w:p>
              </w:tc>
              <w:tc>
                <w:tcPr>
                  <w:tcW w:w="2122" w:type="dxa"/>
                  <w:noWrap w:val="0"/>
                  <w:vAlign w:val="center"/>
                </w:tcPr>
                <w:p w14:paraId="1DD77E4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4400393.643</w:t>
                  </w:r>
                </w:p>
              </w:tc>
              <w:tc>
                <w:tcPr>
                  <w:tcW w:w="2139" w:type="dxa"/>
                  <w:noWrap w:val="0"/>
                  <w:vAlign w:val="center"/>
                </w:tcPr>
                <w:p w14:paraId="3183461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38521558.686</w:t>
                  </w:r>
                </w:p>
              </w:tc>
              <w:tc>
                <w:tcPr>
                  <w:tcW w:w="2125" w:type="dxa"/>
                  <w:noWrap w:val="0"/>
                  <w:vAlign w:val="center"/>
                </w:tcPr>
                <w:p w14:paraId="0925E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1CD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3A4D568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G70</w:t>
                  </w:r>
                </w:p>
              </w:tc>
              <w:tc>
                <w:tcPr>
                  <w:tcW w:w="2122" w:type="dxa"/>
                  <w:noWrap w:val="0"/>
                  <w:vAlign w:val="center"/>
                </w:tcPr>
                <w:p w14:paraId="126EDEB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4400151.502</w:t>
                  </w:r>
                </w:p>
              </w:tc>
              <w:tc>
                <w:tcPr>
                  <w:tcW w:w="2139" w:type="dxa"/>
                  <w:noWrap w:val="0"/>
                  <w:vAlign w:val="center"/>
                </w:tcPr>
                <w:p w14:paraId="330EA7E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38521758.277</w:t>
                  </w:r>
                </w:p>
              </w:tc>
              <w:tc>
                <w:tcPr>
                  <w:tcW w:w="2125" w:type="dxa"/>
                  <w:noWrap w:val="0"/>
                  <w:vAlign w:val="center"/>
                </w:tcPr>
                <w:p w14:paraId="64E7B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06F1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3BACC4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G71</w:t>
                  </w:r>
                </w:p>
              </w:tc>
              <w:tc>
                <w:tcPr>
                  <w:tcW w:w="2122" w:type="dxa"/>
                  <w:noWrap w:val="0"/>
                  <w:vAlign w:val="center"/>
                </w:tcPr>
                <w:p w14:paraId="243FE50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4399952.909</w:t>
                  </w:r>
                </w:p>
              </w:tc>
              <w:tc>
                <w:tcPr>
                  <w:tcW w:w="2139" w:type="dxa"/>
                  <w:noWrap w:val="0"/>
                  <w:vAlign w:val="center"/>
                </w:tcPr>
                <w:p w14:paraId="21C77A5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38521921.984</w:t>
                  </w:r>
                </w:p>
              </w:tc>
              <w:tc>
                <w:tcPr>
                  <w:tcW w:w="2125" w:type="dxa"/>
                  <w:noWrap w:val="0"/>
                  <w:vAlign w:val="center"/>
                </w:tcPr>
                <w:p w14:paraId="058A0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220-GD22S-J1</w:t>
                  </w:r>
                </w:p>
              </w:tc>
            </w:tr>
            <w:tr w14:paraId="63B6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3CA3BF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G72</w:t>
                  </w:r>
                </w:p>
              </w:tc>
              <w:tc>
                <w:tcPr>
                  <w:tcW w:w="2122" w:type="dxa"/>
                  <w:noWrap w:val="0"/>
                  <w:vAlign w:val="center"/>
                </w:tcPr>
                <w:p w14:paraId="027F096D">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4399682.976</w:t>
                  </w:r>
                </w:p>
              </w:tc>
              <w:tc>
                <w:tcPr>
                  <w:tcW w:w="2139" w:type="dxa"/>
                  <w:noWrap w:val="0"/>
                  <w:vAlign w:val="center"/>
                </w:tcPr>
                <w:p w14:paraId="210B89D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38521790.799</w:t>
                  </w:r>
                </w:p>
              </w:tc>
              <w:tc>
                <w:tcPr>
                  <w:tcW w:w="2125" w:type="dxa"/>
                  <w:noWrap w:val="0"/>
                  <w:vAlign w:val="center"/>
                </w:tcPr>
                <w:p w14:paraId="100295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4405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DC0CED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G73</w:t>
                  </w:r>
                </w:p>
              </w:tc>
              <w:tc>
                <w:tcPr>
                  <w:tcW w:w="2122" w:type="dxa"/>
                  <w:noWrap w:val="0"/>
                  <w:vAlign w:val="center"/>
                </w:tcPr>
                <w:p w14:paraId="415CA9E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4399413.308</w:t>
                  </w:r>
                </w:p>
              </w:tc>
              <w:tc>
                <w:tcPr>
                  <w:tcW w:w="2139" w:type="dxa"/>
                  <w:noWrap w:val="0"/>
                  <w:vAlign w:val="center"/>
                </w:tcPr>
                <w:p w14:paraId="3866AFAF">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38521659.349</w:t>
                  </w:r>
                </w:p>
              </w:tc>
              <w:tc>
                <w:tcPr>
                  <w:tcW w:w="2125" w:type="dxa"/>
                  <w:noWrap w:val="0"/>
                  <w:vAlign w:val="center"/>
                </w:tcPr>
                <w:p w14:paraId="0A19F5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220-GD22S-J2</w:t>
                  </w:r>
                </w:p>
              </w:tc>
            </w:tr>
            <w:tr w14:paraId="698B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38F60D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G74</w:t>
                  </w:r>
                </w:p>
              </w:tc>
              <w:tc>
                <w:tcPr>
                  <w:tcW w:w="2122" w:type="dxa"/>
                  <w:noWrap w:val="0"/>
                  <w:vAlign w:val="center"/>
                </w:tcPr>
                <w:p w14:paraId="184C929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4399143.366</w:t>
                  </w:r>
                </w:p>
              </w:tc>
              <w:tc>
                <w:tcPr>
                  <w:tcW w:w="2139" w:type="dxa"/>
                  <w:noWrap w:val="0"/>
                  <w:vAlign w:val="center"/>
                </w:tcPr>
                <w:p w14:paraId="0DB966E3">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38521528.461</w:t>
                  </w:r>
                </w:p>
              </w:tc>
              <w:tc>
                <w:tcPr>
                  <w:tcW w:w="2125" w:type="dxa"/>
                  <w:noWrap w:val="0"/>
                  <w:vAlign w:val="center"/>
                </w:tcPr>
                <w:p w14:paraId="1BCBF2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220-GC22S-ZCK</w:t>
                  </w:r>
                </w:p>
              </w:tc>
            </w:tr>
            <w:tr w14:paraId="68F7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59F41425">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G75</w:t>
                  </w:r>
                </w:p>
              </w:tc>
              <w:tc>
                <w:tcPr>
                  <w:tcW w:w="2122" w:type="dxa"/>
                  <w:noWrap w:val="0"/>
                  <w:vAlign w:val="center"/>
                </w:tcPr>
                <w:p w14:paraId="0A76354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4398874.165</w:t>
                  </w:r>
                </w:p>
              </w:tc>
              <w:tc>
                <w:tcPr>
                  <w:tcW w:w="2139" w:type="dxa"/>
                  <w:noWrap w:val="0"/>
                  <w:vAlign w:val="center"/>
                </w:tcPr>
                <w:p w14:paraId="3D270E7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38521396.544</w:t>
                  </w:r>
                </w:p>
              </w:tc>
              <w:tc>
                <w:tcPr>
                  <w:tcW w:w="2125" w:type="dxa"/>
                  <w:noWrap w:val="0"/>
                  <w:vAlign w:val="center"/>
                </w:tcPr>
                <w:p w14:paraId="130A0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220-GD22S-J4</w:t>
                  </w:r>
                </w:p>
              </w:tc>
            </w:tr>
            <w:tr w14:paraId="7503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D4C37E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G76</w:t>
                  </w:r>
                </w:p>
              </w:tc>
              <w:tc>
                <w:tcPr>
                  <w:tcW w:w="2122" w:type="dxa"/>
                  <w:noWrap w:val="0"/>
                  <w:vAlign w:val="center"/>
                </w:tcPr>
                <w:p w14:paraId="7F74C0C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4398575.188</w:t>
                  </w:r>
                </w:p>
              </w:tc>
              <w:tc>
                <w:tcPr>
                  <w:tcW w:w="2139" w:type="dxa"/>
                  <w:noWrap w:val="0"/>
                  <w:vAlign w:val="center"/>
                </w:tcPr>
                <w:p w14:paraId="3A14DEC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38521250.808</w:t>
                  </w:r>
                </w:p>
              </w:tc>
              <w:tc>
                <w:tcPr>
                  <w:tcW w:w="2125" w:type="dxa"/>
                  <w:noWrap w:val="0"/>
                  <w:vAlign w:val="center"/>
                </w:tcPr>
                <w:p w14:paraId="17556E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220-GD22S-J1</w:t>
                  </w:r>
                </w:p>
              </w:tc>
            </w:tr>
            <w:tr w14:paraId="6711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0485E11B">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G77</w:t>
                  </w:r>
                </w:p>
              </w:tc>
              <w:tc>
                <w:tcPr>
                  <w:tcW w:w="2122" w:type="dxa"/>
                  <w:noWrap w:val="0"/>
                  <w:vAlign w:val="center"/>
                </w:tcPr>
                <w:p w14:paraId="54DA7A88">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4398423.574</w:t>
                  </w:r>
                </w:p>
              </w:tc>
              <w:tc>
                <w:tcPr>
                  <w:tcW w:w="2139" w:type="dxa"/>
                  <w:noWrap w:val="0"/>
                  <w:vAlign w:val="center"/>
                </w:tcPr>
                <w:p w14:paraId="7C0D1A2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38521063.343</w:t>
                  </w:r>
                </w:p>
              </w:tc>
              <w:tc>
                <w:tcPr>
                  <w:tcW w:w="2125" w:type="dxa"/>
                  <w:noWrap w:val="0"/>
                  <w:vAlign w:val="center"/>
                </w:tcPr>
                <w:p w14:paraId="0D7AD3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220-GD22S-JC1</w:t>
                  </w:r>
                </w:p>
              </w:tc>
            </w:tr>
            <w:tr w14:paraId="44BB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7D87D409">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G78</w:t>
                  </w:r>
                </w:p>
              </w:tc>
              <w:tc>
                <w:tcPr>
                  <w:tcW w:w="2122" w:type="dxa"/>
                  <w:noWrap w:val="0"/>
                  <w:vAlign w:val="center"/>
                </w:tcPr>
                <w:p w14:paraId="7CE366E6">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4398292.849</w:t>
                  </w:r>
                </w:p>
              </w:tc>
              <w:tc>
                <w:tcPr>
                  <w:tcW w:w="2139" w:type="dxa"/>
                  <w:noWrap w:val="0"/>
                  <w:vAlign w:val="center"/>
                </w:tcPr>
                <w:p w14:paraId="504DCD6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38520902.319</w:t>
                  </w:r>
                </w:p>
              </w:tc>
              <w:tc>
                <w:tcPr>
                  <w:tcW w:w="2125" w:type="dxa"/>
                  <w:noWrap w:val="0"/>
                  <w:vAlign w:val="center"/>
                </w:tcPr>
                <w:p w14:paraId="5EDB65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220-GC22S-Z2</w:t>
                  </w:r>
                </w:p>
              </w:tc>
            </w:tr>
            <w:tr w14:paraId="56B4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1B4A290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G79</w:t>
                  </w:r>
                </w:p>
              </w:tc>
              <w:tc>
                <w:tcPr>
                  <w:tcW w:w="2122" w:type="dxa"/>
                  <w:noWrap w:val="0"/>
                  <w:vAlign w:val="center"/>
                </w:tcPr>
                <w:p w14:paraId="7D5E026E">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4398166.008</w:t>
                  </w:r>
                </w:p>
              </w:tc>
              <w:tc>
                <w:tcPr>
                  <w:tcW w:w="2139" w:type="dxa"/>
                  <w:noWrap w:val="0"/>
                  <w:vAlign w:val="center"/>
                </w:tcPr>
                <w:p w14:paraId="738D891A">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38520750.902</w:t>
                  </w:r>
                </w:p>
              </w:tc>
              <w:tc>
                <w:tcPr>
                  <w:tcW w:w="2125" w:type="dxa"/>
                  <w:noWrap w:val="0"/>
                  <w:vAlign w:val="center"/>
                </w:tcPr>
                <w:p w14:paraId="686C0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220-GC22S-ZC3</w:t>
                  </w:r>
                </w:p>
              </w:tc>
            </w:tr>
            <w:tr w14:paraId="3587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6" w:type="dxa"/>
                  <w:noWrap w:val="0"/>
                  <w:vAlign w:val="center"/>
                </w:tcPr>
                <w:p w14:paraId="276BEBF2">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position w:val="-1"/>
                      <w:sz w:val="21"/>
                      <w:szCs w:val="21"/>
                    </w:rPr>
                  </w:pPr>
                  <w:r>
                    <w:rPr>
                      <w:rFonts w:hint="default" w:ascii="Times New Roman" w:hAnsi="Times New Roman" w:cs="Times New Roman"/>
                      <w:color w:val="auto"/>
                      <w:spacing w:val="-1"/>
                      <w:position w:val="-2"/>
                      <w:sz w:val="21"/>
                      <w:szCs w:val="21"/>
                    </w:rPr>
                    <w:t>G80</w:t>
                  </w:r>
                </w:p>
              </w:tc>
              <w:tc>
                <w:tcPr>
                  <w:tcW w:w="2122" w:type="dxa"/>
                  <w:noWrap w:val="0"/>
                  <w:vAlign w:val="center"/>
                </w:tcPr>
                <w:p w14:paraId="505143D1">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4398104.713</w:t>
                  </w:r>
                </w:p>
              </w:tc>
              <w:tc>
                <w:tcPr>
                  <w:tcW w:w="2139" w:type="dxa"/>
                  <w:noWrap w:val="0"/>
                  <w:vAlign w:val="center"/>
                </w:tcPr>
                <w:p w14:paraId="0982C590">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38520670.103</w:t>
                  </w:r>
                </w:p>
              </w:tc>
              <w:tc>
                <w:tcPr>
                  <w:tcW w:w="2125" w:type="dxa"/>
                  <w:noWrap w:val="0"/>
                  <w:vAlign w:val="center"/>
                </w:tcPr>
                <w:p w14:paraId="4806BE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0"/>
                      <w:szCs w:val="20"/>
                      <w:u w:val="none"/>
                      <w:lang w:val="en-US" w:eastAsia="zh-CN" w:bidi="ar"/>
                    </w:rPr>
                    <w:t>220-GD22S-DJC</w:t>
                  </w:r>
                </w:p>
              </w:tc>
            </w:tr>
          </w:tbl>
          <w:p w14:paraId="74690B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导线对地距离及交叉跨越要求</w:t>
            </w:r>
          </w:p>
          <w:p w14:paraId="692937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本项目导线对地及交叉跨越的最小允许距离应满足《110kV-750kV 架空输电线路设计规范》（GB50545-2010）对地距离及交叉跨越要求。见表2-</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w:t>
            </w:r>
          </w:p>
          <w:p w14:paraId="7638B3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表2-</w:t>
            </w:r>
            <w:r>
              <w:rPr>
                <w:rFonts w:hint="eastAsia" w:ascii="Times New Roman" w:hAnsi="Times New Roman" w:eastAsia="宋体" w:cs="Times New Roman"/>
                <w:b/>
                <w:color w:val="auto"/>
                <w:kern w:val="0"/>
                <w:sz w:val="21"/>
                <w:szCs w:val="21"/>
                <w:highlight w:val="none"/>
                <w:lang w:val="en-US" w:eastAsia="zh-CN"/>
              </w:rPr>
              <w:t>6</w:t>
            </w:r>
            <w:r>
              <w:rPr>
                <w:rFonts w:hint="default" w:ascii="Times New Roman" w:hAnsi="Times New Roman" w:eastAsia="宋体" w:cs="Times New Roman"/>
                <w:b/>
                <w:color w:val="auto"/>
                <w:kern w:val="0"/>
                <w:sz w:val="21"/>
                <w:szCs w:val="21"/>
                <w:highlight w:val="none"/>
                <w:lang w:val="en-US" w:eastAsia="zh-CN"/>
              </w:rPr>
              <w:t xml:space="preserve"> 导线对地及交叉跨越物的最小允许距离一览表 单位：（m）</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590"/>
              <w:gridCol w:w="1693"/>
              <w:gridCol w:w="1694"/>
              <w:gridCol w:w="1694"/>
            </w:tblGrid>
            <w:tr w14:paraId="68A7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219A0B5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2590" w:type="dxa"/>
                  <w:noWrap w:val="0"/>
                  <w:vAlign w:val="center"/>
                </w:tcPr>
                <w:p w14:paraId="084E46E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线路经过地区</w:t>
                  </w:r>
                </w:p>
              </w:tc>
              <w:tc>
                <w:tcPr>
                  <w:tcW w:w="3387" w:type="dxa"/>
                  <w:gridSpan w:val="2"/>
                  <w:noWrap w:val="0"/>
                  <w:vAlign w:val="center"/>
                </w:tcPr>
                <w:p w14:paraId="62CF344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GB50545-2010</w:t>
                  </w:r>
                </w:p>
              </w:tc>
              <w:tc>
                <w:tcPr>
                  <w:tcW w:w="1694" w:type="dxa"/>
                  <w:noWrap w:val="0"/>
                  <w:vAlign w:val="center"/>
                </w:tcPr>
                <w:p w14:paraId="4E21972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备注</w:t>
                  </w:r>
                </w:p>
              </w:tc>
            </w:tr>
            <w:tr w14:paraId="769B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7174C56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590" w:type="dxa"/>
                  <w:noWrap w:val="0"/>
                  <w:vAlign w:val="center"/>
                </w:tcPr>
                <w:p w14:paraId="1D41853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居民区（公众居住、工作或学习的建筑物附近）</w:t>
                  </w:r>
                </w:p>
              </w:tc>
              <w:tc>
                <w:tcPr>
                  <w:tcW w:w="1693" w:type="dxa"/>
                  <w:vMerge w:val="restart"/>
                  <w:noWrap w:val="0"/>
                  <w:vAlign w:val="center"/>
                </w:tcPr>
                <w:p w14:paraId="3E60264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对地最小距离</w:t>
                  </w:r>
                </w:p>
              </w:tc>
              <w:tc>
                <w:tcPr>
                  <w:tcW w:w="1694" w:type="dxa"/>
                  <w:noWrap w:val="0"/>
                  <w:vAlign w:val="center"/>
                </w:tcPr>
                <w:p w14:paraId="77B495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w:t>
                  </w:r>
                </w:p>
              </w:tc>
              <w:tc>
                <w:tcPr>
                  <w:tcW w:w="1694" w:type="dxa"/>
                  <w:noWrap w:val="0"/>
                  <w:vAlign w:val="center"/>
                </w:tcPr>
                <w:p w14:paraId="16E012B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7DBD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3A3D975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590" w:type="dxa"/>
                  <w:noWrap w:val="0"/>
                  <w:vAlign w:val="center"/>
                </w:tcPr>
                <w:p w14:paraId="059ACC3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非居民区</w:t>
                  </w:r>
                </w:p>
              </w:tc>
              <w:tc>
                <w:tcPr>
                  <w:tcW w:w="1693" w:type="dxa"/>
                  <w:vMerge w:val="continue"/>
                  <w:noWrap w:val="0"/>
                  <w:vAlign w:val="center"/>
                </w:tcPr>
                <w:p w14:paraId="58BA408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5CA94D2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694" w:type="dxa"/>
                  <w:noWrap w:val="0"/>
                  <w:vAlign w:val="center"/>
                </w:tcPr>
                <w:p w14:paraId="16B3310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1238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72178D0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590" w:type="dxa"/>
                  <w:noWrap w:val="0"/>
                  <w:vAlign w:val="center"/>
                </w:tcPr>
                <w:p w14:paraId="2953EA3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交通困难地区</w:t>
                  </w:r>
                </w:p>
              </w:tc>
              <w:tc>
                <w:tcPr>
                  <w:tcW w:w="1693" w:type="dxa"/>
                  <w:vMerge w:val="continue"/>
                  <w:noWrap w:val="0"/>
                  <w:vAlign w:val="center"/>
                </w:tcPr>
                <w:p w14:paraId="35F2612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4835743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5.5</w:t>
                  </w:r>
                </w:p>
              </w:tc>
              <w:tc>
                <w:tcPr>
                  <w:tcW w:w="1694" w:type="dxa"/>
                  <w:noWrap w:val="0"/>
                  <w:vAlign w:val="center"/>
                </w:tcPr>
                <w:p w14:paraId="0534F15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2A13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885A18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2590" w:type="dxa"/>
                  <w:noWrap w:val="0"/>
                  <w:vAlign w:val="center"/>
                </w:tcPr>
                <w:p w14:paraId="4DBEB22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步行可以到达的山坡</w:t>
                  </w:r>
                </w:p>
              </w:tc>
              <w:tc>
                <w:tcPr>
                  <w:tcW w:w="1693" w:type="dxa"/>
                  <w:vMerge w:val="continue"/>
                  <w:noWrap w:val="0"/>
                  <w:vAlign w:val="center"/>
                </w:tcPr>
                <w:p w14:paraId="3B9CA32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08DD2DB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5.5</w:t>
                  </w:r>
                </w:p>
              </w:tc>
              <w:tc>
                <w:tcPr>
                  <w:tcW w:w="1694" w:type="dxa"/>
                  <w:noWrap w:val="0"/>
                  <w:vAlign w:val="center"/>
                </w:tcPr>
                <w:p w14:paraId="733410A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2B41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53B4952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2590" w:type="dxa"/>
                  <w:noWrap w:val="0"/>
                  <w:vAlign w:val="center"/>
                </w:tcPr>
                <w:p w14:paraId="49A6FB2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步行不能到达的山坡、峭壁和岩石</w:t>
                  </w:r>
                </w:p>
              </w:tc>
              <w:tc>
                <w:tcPr>
                  <w:tcW w:w="1693" w:type="dxa"/>
                  <w:vMerge w:val="continue"/>
                  <w:noWrap w:val="0"/>
                  <w:vAlign w:val="center"/>
                </w:tcPr>
                <w:p w14:paraId="3761F7E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071578E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1694" w:type="dxa"/>
                  <w:noWrap w:val="0"/>
                  <w:vAlign w:val="center"/>
                </w:tcPr>
                <w:p w14:paraId="50A76A7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3120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1F9E05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2590" w:type="dxa"/>
                  <w:noWrap w:val="0"/>
                  <w:vAlign w:val="center"/>
                </w:tcPr>
                <w:p w14:paraId="477E788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路面：等级公路</w:t>
                  </w:r>
                </w:p>
              </w:tc>
              <w:tc>
                <w:tcPr>
                  <w:tcW w:w="1693" w:type="dxa"/>
                  <w:vMerge w:val="restart"/>
                  <w:noWrap w:val="0"/>
                  <w:vAlign w:val="center"/>
                </w:tcPr>
                <w:p w14:paraId="2D57D22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最小垂直距离</w:t>
                  </w:r>
                </w:p>
              </w:tc>
              <w:tc>
                <w:tcPr>
                  <w:tcW w:w="1694" w:type="dxa"/>
                  <w:noWrap w:val="0"/>
                  <w:vAlign w:val="center"/>
                </w:tcPr>
                <w:p w14:paraId="1F9DFBC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8.0</w:t>
                  </w:r>
                </w:p>
              </w:tc>
              <w:tc>
                <w:tcPr>
                  <w:tcW w:w="1694" w:type="dxa"/>
                  <w:noWrap w:val="0"/>
                  <w:vAlign w:val="center"/>
                </w:tcPr>
                <w:p w14:paraId="3F5945B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29E2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8CE0A0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w:t>
                  </w:r>
                </w:p>
              </w:tc>
              <w:tc>
                <w:tcPr>
                  <w:tcW w:w="2590" w:type="dxa"/>
                  <w:noWrap w:val="0"/>
                  <w:vAlign w:val="center"/>
                </w:tcPr>
                <w:p w14:paraId="2BE6B9B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路面：非等级公路</w:t>
                  </w:r>
                </w:p>
              </w:tc>
              <w:tc>
                <w:tcPr>
                  <w:tcW w:w="1693" w:type="dxa"/>
                  <w:vMerge w:val="continue"/>
                  <w:noWrap w:val="0"/>
                  <w:vAlign w:val="center"/>
                </w:tcPr>
                <w:p w14:paraId="1E82B93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511F0CE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694" w:type="dxa"/>
                  <w:noWrap w:val="0"/>
                  <w:vAlign w:val="center"/>
                </w:tcPr>
                <w:p w14:paraId="7EA2718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49FB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6951268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w:t>
                  </w:r>
                </w:p>
              </w:tc>
              <w:tc>
                <w:tcPr>
                  <w:tcW w:w="2590" w:type="dxa"/>
                  <w:noWrap w:val="0"/>
                  <w:vAlign w:val="center"/>
                </w:tcPr>
                <w:p w14:paraId="2505F5D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铁路：至轨顶</w:t>
                  </w:r>
                </w:p>
              </w:tc>
              <w:tc>
                <w:tcPr>
                  <w:tcW w:w="1693" w:type="dxa"/>
                  <w:vMerge w:val="continue"/>
                  <w:noWrap w:val="0"/>
                  <w:vAlign w:val="center"/>
                </w:tcPr>
                <w:p w14:paraId="4211A0E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05FD980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8.5</w:t>
                  </w:r>
                </w:p>
              </w:tc>
              <w:tc>
                <w:tcPr>
                  <w:tcW w:w="1694" w:type="dxa"/>
                  <w:noWrap w:val="0"/>
                  <w:vAlign w:val="center"/>
                </w:tcPr>
                <w:p w14:paraId="206DC4C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48B5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0570CDF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c>
                <w:tcPr>
                  <w:tcW w:w="2590" w:type="dxa"/>
                  <w:noWrap w:val="0"/>
                  <w:vAlign w:val="center"/>
                </w:tcPr>
                <w:p w14:paraId="781C7DE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铁路：至承力索</w:t>
                  </w:r>
                </w:p>
              </w:tc>
              <w:tc>
                <w:tcPr>
                  <w:tcW w:w="1693" w:type="dxa"/>
                  <w:vMerge w:val="continue"/>
                  <w:noWrap w:val="0"/>
                  <w:vAlign w:val="center"/>
                </w:tcPr>
                <w:p w14:paraId="1AF4220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5741E2F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1694" w:type="dxa"/>
                  <w:noWrap w:val="0"/>
                  <w:vAlign w:val="center"/>
                </w:tcPr>
                <w:p w14:paraId="42E5F95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37D3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1100CF9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2590" w:type="dxa"/>
                  <w:noWrap w:val="0"/>
                  <w:vAlign w:val="center"/>
                </w:tcPr>
                <w:p w14:paraId="32B8346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不通航河流：至百年一遇洪水位</w:t>
                  </w:r>
                </w:p>
              </w:tc>
              <w:tc>
                <w:tcPr>
                  <w:tcW w:w="1693" w:type="dxa"/>
                  <w:vMerge w:val="continue"/>
                  <w:noWrap w:val="0"/>
                  <w:vAlign w:val="center"/>
                </w:tcPr>
                <w:p w14:paraId="51C7664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7454D6E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1694" w:type="dxa"/>
                  <w:noWrap w:val="0"/>
                  <w:vAlign w:val="center"/>
                </w:tcPr>
                <w:p w14:paraId="7FA57EE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39B0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366C649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w:t>
                  </w:r>
                </w:p>
              </w:tc>
              <w:tc>
                <w:tcPr>
                  <w:tcW w:w="2590" w:type="dxa"/>
                  <w:noWrap w:val="0"/>
                  <w:vAlign w:val="center"/>
                </w:tcPr>
                <w:p w14:paraId="3240320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不通航河流：冬季结冰时至冰面</w:t>
                  </w:r>
                </w:p>
              </w:tc>
              <w:tc>
                <w:tcPr>
                  <w:tcW w:w="1693" w:type="dxa"/>
                  <w:vMerge w:val="continue"/>
                  <w:noWrap w:val="0"/>
                  <w:vAlign w:val="center"/>
                </w:tcPr>
                <w:p w14:paraId="4D200F5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6C4E8B3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694" w:type="dxa"/>
                  <w:noWrap w:val="0"/>
                  <w:vAlign w:val="center"/>
                </w:tcPr>
                <w:p w14:paraId="45DC16E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0387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5FD3586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w:t>
                  </w:r>
                </w:p>
              </w:tc>
              <w:tc>
                <w:tcPr>
                  <w:tcW w:w="2590" w:type="dxa"/>
                  <w:noWrap w:val="0"/>
                  <w:vAlign w:val="center"/>
                </w:tcPr>
                <w:p w14:paraId="2645F1D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电力线：至导线</w:t>
                  </w:r>
                </w:p>
              </w:tc>
              <w:tc>
                <w:tcPr>
                  <w:tcW w:w="1693" w:type="dxa"/>
                  <w:vMerge w:val="continue"/>
                  <w:noWrap w:val="0"/>
                  <w:vAlign w:val="center"/>
                </w:tcPr>
                <w:p w14:paraId="1DCE028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5A3D279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1694" w:type="dxa"/>
                  <w:noWrap w:val="0"/>
                  <w:vAlign w:val="center"/>
                </w:tcPr>
                <w:p w14:paraId="132DB5E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6DD2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47B77CE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w:t>
                  </w:r>
                </w:p>
              </w:tc>
              <w:tc>
                <w:tcPr>
                  <w:tcW w:w="2590" w:type="dxa"/>
                  <w:noWrap w:val="0"/>
                  <w:vAlign w:val="center"/>
                </w:tcPr>
                <w:p w14:paraId="1D5FB7C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通信线：Ⅰ～Ⅲ</w:t>
                  </w:r>
                </w:p>
              </w:tc>
              <w:tc>
                <w:tcPr>
                  <w:tcW w:w="1693" w:type="dxa"/>
                  <w:vMerge w:val="continue"/>
                  <w:noWrap w:val="0"/>
                  <w:vAlign w:val="center"/>
                </w:tcPr>
                <w:p w14:paraId="7634007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12F0A6F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1694" w:type="dxa"/>
                  <w:noWrap w:val="0"/>
                  <w:vAlign w:val="center"/>
                </w:tcPr>
                <w:p w14:paraId="2E50512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1ACD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70F2722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w:t>
                  </w:r>
                </w:p>
              </w:tc>
              <w:tc>
                <w:tcPr>
                  <w:tcW w:w="2590" w:type="dxa"/>
                  <w:noWrap w:val="0"/>
                  <w:vAlign w:val="center"/>
                </w:tcPr>
                <w:p w14:paraId="519C97D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建筑物</w:t>
                  </w:r>
                </w:p>
              </w:tc>
              <w:tc>
                <w:tcPr>
                  <w:tcW w:w="1693" w:type="dxa"/>
                  <w:vMerge w:val="continue"/>
                  <w:noWrap w:val="0"/>
                  <w:vAlign w:val="center"/>
                </w:tcPr>
                <w:p w14:paraId="7DC2296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4" w:type="dxa"/>
                  <w:noWrap w:val="0"/>
                  <w:vAlign w:val="center"/>
                </w:tcPr>
                <w:p w14:paraId="4137F86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1694" w:type="dxa"/>
                  <w:noWrap w:val="0"/>
                  <w:vAlign w:val="center"/>
                </w:tcPr>
                <w:p w14:paraId="003D7DF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3964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53626EB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2590" w:type="dxa"/>
                  <w:noWrap w:val="0"/>
                  <w:vAlign w:val="center"/>
                </w:tcPr>
                <w:p w14:paraId="4391B40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建筑物</w:t>
                  </w:r>
                </w:p>
              </w:tc>
              <w:tc>
                <w:tcPr>
                  <w:tcW w:w="1693" w:type="dxa"/>
                  <w:noWrap w:val="0"/>
                  <w:vAlign w:val="center"/>
                </w:tcPr>
                <w:p w14:paraId="094399F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最小净空距离</w:t>
                  </w:r>
                </w:p>
              </w:tc>
              <w:tc>
                <w:tcPr>
                  <w:tcW w:w="1694" w:type="dxa"/>
                  <w:noWrap w:val="0"/>
                  <w:vAlign w:val="center"/>
                </w:tcPr>
                <w:p w14:paraId="7E51CFD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c>
                <w:tcPr>
                  <w:tcW w:w="1694" w:type="dxa"/>
                  <w:noWrap w:val="0"/>
                  <w:vAlign w:val="center"/>
                </w:tcPr>
                <w:p w14:paraId="44A9C0F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660E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center"/>
                </w:tcPr>
                <w:p w14:paraId="3EAF2AA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w:t>
                  </w:r>
                </w:p>
              </w:tc>
              <w:tc>
                <w:tcPr>
                  <w:tcW w:w="2590" w:type="dxa"/>
                  <w:noWrap w:val="0"/>
                  <w:vAlign w:val="center"/>
                </w:tcPr>
                <w:p w14:paraId="622D309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建筑物</w:t>
                  </w:r>
                </w:p>
              </w:tc>
              <w:tc>
                <w:tcPr>
                  <w:tcW w:w="1693" w:type="dxa"/>
                  <w:noWrap w:val="0"/>
                  <w:vAlign w:val="center"/>
                </w:tcPr>
                <w:p w14:paraId="085CBDF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水平距离</w:t>
                  </w:r>
                </w:p>
              </w:tc>
              <w:tc>
                <w:tcPr>
                  <w:tcW w:w="1694" w:type="dxa"/>
                  <w:noWrap w:val="0"/>
                  <w:vAlign w:val="center"/>
                </w:tcPr>
                <w:p w14:paraId="4FEFC74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2.5</w:t>
                  </w:r>
                </w:p>
              </w:tc>
              <w:tc>
                <w:tcPr>
                  <w:tcW w:w="1694" w:type="dxa"/>
                  <w:noWrap w:val="0"/>
                  <w:vAlign w:val="center"/>
                </w:tcPr>
                <w:p w14:paraId="3941819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bl>
          <w:p w14:paraId="2FE970D0">
            <w:pPr>
              <w:keepNext w:val="0"/>
              <w:keepLines w:val="0"/>
              <w:widowControl w:val="0"/>
              <w:suppressLineNumbers w:val="0"/>
              <w:wordWrap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本工程交叉跨越情况见表</w:t>
            </w: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Times New Roman"/>
                <w:color w:val="auto"/>
                <w:kern w:val="2"/>
                <w:sz w:val="24"/>
                <w:szCs w:val="24"/>
                <w:lang w:val="en-US" w:eastAsia="zh-CN" w:bidi="ar"/>
              </w:rPr>
              <w:t>7</w:t>
            </w:r>
            <w:r>
              <w:rPr>
                <w:rFonts w:hint="eastAsia" w:ascii="宋体" w:hAnsi="宋体" w:eastAsia="宋体" w:cs="宋体"/>
                <w:color w:val="auto"/>
                <w:kern w:val="2"/>
                <w:sz w:val="24"/>
                <w:szCs w:val="24"/>
                <w:lang w:val="en-US" w:eastAsia="zh-CN" w:bidi="ar"/>
              </w:rPr>
              <w:t>。</w:t>
            </w:r>
          </w:p>
          <w:p w14:paraId="28A4C4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w:t>
            </w:r>
            <w:r>
              <w:rPr>
                <w:rFonts w:hint="default" w:ascii="Times New Roman" w:hAnsi="Times New Roman" w:eastAsia="宋体" w:cs="Times New Roman"/>
                <w:b/>
                <w:color w:val="auto"/>
                <w:kern w:val="0"/>
                <w:sz w:val="21"/>
                <w:szCs w:val="21"/>
                <w:highlight w:val="none"/>
                <w:lang w:val="en-US" w:eastAsia="zh-CN"/>
              </w:rPr>
              <w:t>2-</w:t>
            </w:r>
            <w:r>
              <w:rPr>
                <w:rFonts w:hint="eastAsia" w:ascii="Times New Roman" w:hAnsi="Times New Roman" w:eastAsia="宋体" w:cs="Times New Roman"/>
                <w:b/>
                <w:color w:val="auto"/>
                <w:kern w:val="0"/>
                <w:sz w:val="21"/>
                <w:szCs w:val="21"/>
                <w:highlight w:val="none"/>
                <w:lang w:val="en-US" w:eastAsia="zh-CN"/>
              </w:rPr>
              <w:t>7</w:t>
            </w:r>
            <w:r>
              <w:rPr>
                <w:rFonts w:hint="default" w:ascii="Times New Roman" w:hAnsi="Times New Roman" w:eastAsia="宋体" w:cs="Times New Roman"/>
                <w:b/>
                <w:color w:val="auto"/>
                <w:kern w:val="0"/>
                <w:sz w:val="21"/>
                <w:szCs w:val="21"/>
                <w:highlight w:val="none"/>
                <w:lang w:val="en-US" w:eastAsia="zh-CN"/>
              </w:rPr>
              <w:t xml:space="preserve"> </w:t>
            </w:r>
            <w:r>
              <w:rPr>
                <w:rFonts w:hint="eastAsia" w:ascii="Times New Roman" w:hAnsi="Times New Roman" w:eastAsia="宋体" w:cs="Times New Roman"/>
                <w:b/>
                <w:color w:val="auto"/>
                <w:kern w:val="0"/>
                <w:sz w:val="21"/>
                <w:szCs w:val="21"/>
                <w:highlight w:val="none"/>
                <w:lang w:val="en-US" w:eastAsia="zh-CN"/>
              </w:rPr>
              <w:t>工程交叉跨越情况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70"/>
              <w:gridCol w:w="2608"/>
              <w:gridCol w:w="2423"/>
              <w:gridCol w:w="1711"/>
            </w:tblGrid>
            <w:tr w14:paraId="2C8D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9B57F49">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交叉跨越</w:t>
                  </w:r>
                </w:p>
              </w:tc>
            </w:tr>
            <w:tr w14:paraId="303D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B78E5A">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类型</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180DF43C">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跨越垂直距离（m）</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31372672">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次数</w:t>
                  </w:r>
                </w:p>
              </w:tc>
            </w:tr>
            <w:tr w14:paraId="4C5F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A34F99">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高速公路（S36广源高速）</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2631F236">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8（至路面）</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19714720">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w:t>
                  </w:r>
                </w:p>
              </w:tc>
            </w:tr>
            <w:tr w14:paraId="6DF7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5E209E">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等级公路（神南线、黄南线、G239、北圣线、城关线S201）</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0CC4D264">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8（至路面）</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41050A55">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w:t>
                  </w:r>
                </w:p>
              </w:tc>
            </w:tr>
            <w:tr w14:paraId="04FA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restart"/>
                  <w:tcBorders>
                    <w:top w:val="nil"/>
                    <w:left w:val="single" w:color="auto" w:sz="4" w:space="0"/>
                    <w:right w:val="single" w:color="auto" w:sz="4" w:space="0"/>
                  </w:tcBorders>
                  <w:shd w:val="clear" w:color="auto" w:fill="auto"/>
                  <w:vAlign w:val="center"/>
                </w:tcPr>
                <w:p w14:paraId="73166ED7">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电力线</w:t>
                  </w:r>
                </w:p>
              </w:tc>
              <w:tc>
                <w:tcPr>
                  <w:tcW w:w="1550" w:type="pct"/>
                  <w:tcBorders>
                    <w:top w:val="single" w:color="auto" w:sz="4" w:space="0"/>
                    <w:left w:val="single" w:color="auto" w:sz="4" w:space="0"/>
                    <w:bottom w:val="single" w:color="auto" w:sz="4" w:space="0"/>
                    <w:right w:val="single" w:color="auto" w:sz="4" w:space="0"/>
                  </w:tcBorders>
                  <w:shd w:val="clear" w:color="auto" w:fill="auto"/>
                  <w:vAlign w:val="center"/>
                </w:tcPr>
                <w:p w14:paraId="11D658E9">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跨越220</w:t>
                  </w:r>
                  <w:r>
                    <w:rPr>
                      <w:rFonts w:hint="default" w:ascii="Times New Roman" w:hAnsi="Times New Roman" w:eastAsia="宋体" w:cs="Times New Roman"/>
                      <w:color w:val="auto"/>
                      <w:kern w:val="2"/>
                      <w:sz w:val="21"/>
                      <w:szCs w:val="21"/>
                      <w:lang w:val="en-US" w:eastAsia="zh-CN" w:bidi="ar"/>
                    </w:rPr>
                    <w:t>kV线路</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46BB82D6">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4</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4B9F66D2">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1</w:t>
                  </w:r>
                </w:p>
              </w:tc>
            </w:tr>
            <w:tr w14:paraId="6E1D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continue"/>
                  <w:tcBorders>
                    <w:left w:val="single" w:color="auto" w:sz="4" w:space="0"/>
                    <w:right w:val="single" w:color="auto" w:sz="4" w:space="0"/>
                  </w:tcBorders>
                  <w:shd w:val="clear" w:color="auto" w:fill="auto"/>
                  <w:vAlign w:val="center"/>
                </w:tcPr>
                <w:p w14:paraId="59326083">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p>
              </w:tc>
              <w:tc>
                <w:tcPr>
                  <w:tcW w:w="1550" w:type="pct"/>
                  <w:tcBorders>
                    <w:top w:val="single" w:color="auto" w:sz="4" w:space="0"/>
                    <w:left w:val="single" w:color="auto" w:sz="4" w:space="0"/>
                    <w:bottom w:val="single" w:color="auto" w:sz="4" w:space="0"/>
                    <w:right w:val="single" w:color="auto" w:sz="4" w:space="0"/>
                  </w:tcBorders>
                  <w:shd w:val="clear" w:color="auto" w:fill="auto"/>
                  <w:vAlign w:val="center"/>
                </w:tcPr>
                <w:p w14:paraId="662DDE8E">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跨越110kV线路</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35C12B0E">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3FF9C84C">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r>
            <w:tr w14:paraId="4699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continue"/>
                  <w:tcBorders>
                    <w:left w:val="single" w:color="auto" w:sz="4" w:space="0"/>
                    <w:right w:val="single" w:color="auto" w:sz="4" w:space="0"/>
                  </w:tcBorders>
                  <w:shd w:val="clear" w:color="auto" w:fill="auto"/>
                  <w:vAlign w:val="center"/>
                </w:tcPr>
                <w:p w14:paraId="7BF9C18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50" w:type="pct"/>
                  <w:tcBorders>
                    <w:top w:val="single" w:color="auto" w:sz="4" w:space="0"/>
                    <w:left w:val="single" w:color="auto" w:sz="4" w:space="0"/>
                    <w:bottom w:val="single" w:color="auto" w:sz="4" w:space="0"/>
                    <w:right w:val="single" w:color="auto" w:sz="4" w:space="0"/>
                  </w:tcBorders>
                  <w:shd w:val="clear" w:color="auto" w:fill="auto"/>
                  <w:vAlign w:val="center"/>
                </w:tcPr>
                <w:p w14:paraId="6AB8CEB3">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跨越35kV线路</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0C62F358">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36910E11">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1</w:t>
                  </w:r>
                </w:p>
              </w:tc>
            </w:tr>
            <w:tr w14:paraId="6280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continue"/>
                  <w:tcBorders>
                    <w:left w:val="single" w:color="auto" w:sz="4" w:space="0"/>
                    <w:right w:val="single" w:color="auto" w:sz="4" w:space="0"/>
                  </w:tcBorders>
                  <w:shd w:val="clear" w:color="auto" w:fill="auto"/>
                  <w:vAlign w:val="center"/>
                </w:tcPr>
                <w:p w14:paraId="5CEDE55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50" w:type="pct"/>
                  <w:tcBorders>
                    <w:top w:val="single" w:color="auto" w:sz="4" w:space="0"/>
                    <w:left w:val="single" w:color="auto" w:sz="4" w:space="0"/>
                    <w:bottom w:val="single" w:color="auto" w:sz="4" w:space="0"/>
                    <w:right w:val="single" w:color="auto" w:sz="4" w:space="0"/>
                  </w:tcBorders>
                  <w:shd w:val="clear" w:color="auto" w:fill="auto"/>
                  <w:vAlign w:val="center"/>
                </w:tcPr>
                <w:p w14:paraId="170AC482">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跨越10kV线路</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16119786">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47F59FD5">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eastAsia="zh-CN" w:bidi="ar"/>
                    </w:rPr>
                    <w:t>10</w:t>
                  </w:r>
                </w:p>
              </w:tc>
            </w:tr>
            <w:tr w14:paraId="7094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pct"/>
                  <w:vMerge w:val="continue"/>
                  <w:tcBorders>
                    <w:left w:val="single" w:color="auto" w:sz="4" w:space="0"/>
                    <w:bottom w:val="single" w:color="auto" w:sz="4" w:space="0"/>
                    <w:right w:val="single" w:color="auto" w:sz="4" w:space="0"/>
                  </w:tcBorders>
                  <w:shd w:val="clear" w:color="auto" w:fill="auto"/>
                  <w:vAlign w:val="center"/>
                </w:tcPr>
                <w:p w14:paraId="40A4FDE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550" w:type="pct"/>
                  <w:tcBorders>
                    <w:top w:val="single" w:color="auto" w:sz="4" w:space="0"/>
                    <w:left w:val="single" w:color="auto" w:sz="4" w:space="0"/>
                    <w:bottom w:val="single" w:color="auto" w:sz="4" w:space="0"/>
                    <w:right w:val="single" w:color="auto" w:sz="4" w:space="0"/>
                  </w:tcBorders>
                  <w:shd w:val="clear" w:color="auto" w:fill="auto"/>
                  <w:vAlign w:val="center"/>
                </w:tcPr>
                <w:p w14:paraId="4E9F9F39">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跨越低压线路</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64D2AAFC">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4</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4B6D9631">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10</w:t>
                  </w:r>
                </w:p>
              </w:tc>
            </w:tr>
            <w:tr w14:paraId="4364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B88625">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eastAsia="zh-CN" w:bidi="ar"/>
                    </w:rPr>
                    <w:t>跨越通信线</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4C5D2119">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73BB99F8">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rPr>
                  </w:pPr>
                  <w:r>
                    <w:rPr>
                      <w:rFonts w:hint="eastAsia" w:ascii="Times New Roman" w:hAnsi="Times New Roman" w:eastAsia="宋体" w:cs="Times New Roman"/>
                      <w:color w:val="auto"/>
                      <w:kern w:val="2"/>
                      <w:sz w:val="21"/>
                      <w:szCs w:val="21"/>
                      <w:lang w:val="en-US" w:eastAsia="zh-CN" w:bidi="ar"/>
                    </w:rPr>
                    <w:t>10</w:t>
                  </w:r>
                </w:p>
              </w:tc>
            </w:tr>
            <w:tr w14:paraId="52DC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992FC5">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河流（壶流河）</w:t>
                  </w:r>
                </w:p>
              </w:tc>
              <w:tc>
                <w:tcPr>
                  <w:tcW w:w="1440" w:type="pct"/>
                  <w:tcBorders>
                    <w:top w:val="single" w:color="auto" w:sz="4" w:space="0"/>
                    <w:left w:val="single" w:color="auto" w:sz="4" w:space="0"/>
                    <w:bottom w:val="single" w:color="auto" w:sz="4" w:space="0"/>
                    <w:right w:val="single" w:color="auto" w:sz="4" w:space="0"/>
                  </w:tcBorders>
                  <w:shd w:val="clear" w:color="auto" w:fill="auto"/>
                  <w:vAlign w:val="center"/>
                </w:tcPr>
                <w:p w14:paraId="1D661855">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6.5</w:t>
                  </w:r>
                </w:p>
              </w:tc>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14:paraId="7A74082C">
                  <w:pPr>
                    <w:keepNext w:val="0"/>
                    <w:keepLines w:val="0"/>
                    <w:widowControl w:val="0"/>
                    <w:suppressLineNumbers w:val="0"/>
                    <w:wordWrap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w:t>
                  </w:r>
                </w:p>
              </w:tc>
            </w:tr>
          </w:tbl>
          <w:p w14:paraId="49517991">
            <w:pPr>
              <w:keepNext w:val="0"/>
              <w:keepLines w:val="0"/>
              <w:widowControl w:val="0"/>
              <w:suppressLineNumbers w:val="0"/>
              <w:wordWrap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本工程线路交叉跨越垂直距离均符合标准要求。</w:t>
            </w:r>
          </w:p>
          <w:p w14:paraId="478D1CCC">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7E090F3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09036CF5">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5CDA098D">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04A96702">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28D5C03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22AB1910">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1B41BB4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1D053FF8">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0769BAC1">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1E2F043C">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3140855F">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419913D2">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7722DF9C">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7C810CBC">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0312A0CB">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07DB766A">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685941D4">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77E2E726">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2561C43C">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10A8504F">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2A5251C9">
            <w:pPr>
              <w:pStyle w:val="26"/>
              <w:keepNext w:val="0"/>
              <w:keepLines w:val="0"/>
              <w:suppressLineNumbers w:val="0"/>
              <w:ind w:left="0" w:right="0"/>
              <w:rPr>
                <w:rFonts w:hint="default"/>
                <w:color w:val="auto"/>
                <w:lang w:val="en-US" w:eastAsia="zh-CN"/>
              </w:rPr>
            </w:pPr>
          </w:p>
        </w:tc>
      </w:tr>
      <w:tr w14:paraId="5C39E5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1643" w:hRule="atLeast"/>
          <w:jc w:val="center"/>
        </w:trPr>
        <w:tc>
          <w:tcPr>
            <w:tcW w:w="987" w:type="dxa"/>
            <w:tcBorders>
              <w:top w:val="single" w:color="auto" w:sz="4" w:space="0"/>
              <w:bottom w:val="single" w:color="auto" w:sz="8" w:space="0"/>
              <w:right w:val="single" w:color="auto" w:sz="4" w:space="0"/>
            </w:tcBorders>
            <w:vAlign w:val="center"/>
          </w:tcPr>
          <w:p w14:paraId="01C25C8A">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总平面及现场布置</w:t>
            </w:r>
          </w:p>
        </w:tc>
        <w:tc>
          <w:tcPr>
            <w:tcW w:w="8592" w:type="dxa"/>
            <w:tcBorders>
              <w:left w:val="single" w:color="auto" w:sz="4" w:space="0"/>
            </w:tcBorders>
            <w:vAlign w:val="top"/>
          </w:tcPr>
          <w:p w14:paraId="0CBE118D">
            <w:pPr>
              <w:pStyle w:val="46"/>
              <w:keepNext w:val="0"/>
              <w:keepLines w:val="0"/>
              <w:pageBreakBefore w:val="0"/>
              <w:suppressLineNumbers w:val="0"/>
              <w:kinsoku/>
              <w:wordWrap w:val="0"/>
              <w:overflowPunct/>
              <w:topLinePunct w:val="0"/>
              <w:bidi w:val="0"/>
              <w:spacing w:before="120" w:beforeLines="50" w:beforeAutospacing="0" w:after="0" w:afterAutospacing="0" w:line="420" w:lineRule="exact"/>
              <w:ind w:left="0" w:right="0" w:firstLine="482"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1.平面布置</w:t>
            </w:r>
          </w:p>
          <w:p w14:paraId="4975BA17">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rPr>
              <w:t>拟建变电站布置</w:t>
            </w:r>
          </w:p>
          <w:p w14:paraId="476B37D7">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火山云太行算力中心位于大同市广灵县作瞳镇将官庄村，二期扩容建设用地面积为 181787.84m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（约272.68亩），共规划9栋单体建筑，包含4栋数据中心机房楼、1栋变电站、1栋综合楼、1处消防水池、1处生产水池及1 栋门卫。其中，数据中心机房楼为四栋单体建筑，均为地上2层。数据机房楼6-11、6-12、6-13、6-14，主要功能为数据机房、电力电池室、辅助用房、油机室等。</w:t>
            </w:r>
          </w:p>
          <w:p w14:paraId="7A48677A">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新建火山云二期扩容220kV变电站占地面积2230.94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eastAsia="zh-CN"/>
              </w:rPr>
              <w:t>。</w:t>
            </w:r>
          </w:p>
          <w:p w14:paraId="6903A14F">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二期扩容220kV变电站</w:t>
            </w:r>
            <w:r>
              <w:rPr>
                <w:rFonts w:hint="default" w:ascii="Times New Roman" w:hAnsi="Times New Roman" w:eastAsia="宋体" w:cs="Times New Roman"/>
                <w:color w:val="auto"/>
                <w:kern w:val="0"/>
                <w:sz w:val="24"/>
                <w:szCs w:val="24"/>
                <w:highlight w:val="none"/>
              </w:rPr>
              <w:t>总平面布置图见附图</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w:t>
            </w:r>
          </w:p>
          <w:p w14:paraId="794EF94A">
            <w:pPr>
              <w:keepNext w:val="0"/>
              <w:keepLines w:val="0"/>
              <w:pageBreakBefore w:val="0"/>
              <w:numPr>
                <w:ilvl w:val="0"/>
                <w:numId w:val="1"/>
              </w:numPr>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线路路径方案</w:t>
            </w:r>
          </w:p>
          <w:p w14:paraId="2BA96754">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①过渡方案：“π”入火山云二期至壶泉站的220kV线路工程</w:t>
            </w:r>
          </w:p>
          <w:p w14:paraId="2AFAE15D">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“π”入火山云二期至壶泉站的 220kV 线路。“π”接线路长度约 2×0.5km，型号为 2×JL/G1A-400/35，最终形成壶泉站~火山云二期扩容项目变电站~火山云二期变电站~史庄站供电网络。</w:t>
            </w:r>
          </w:p>
          <w:p w14:paraId="7E385F82">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本工程路径方案图见附图</w:t>
            </w:r>
            <w:r>
              <w:rPr>
                <w:rFonts w:hint="eastAsia"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lang w:val="en-US" w:eastAsia="zh-CN"/>
              </w:rPr>
              <w:t>。</w:t>
            </w:r>
          </w:p>
          <w:p w14:paraId="2CDE4DD9">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②终期方案：线路起于拟建大同东500kV汇集站，止于拟建二期扩容220kV变电站与二期220kV变电站</w:t>
            </w:r>
          </w:p>
          <w:p w14:paraId="6E56C420">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大同东 500kV 汇集站投产后，火山云二期至二期扩容项目间线路退出运行，新建大同东~火山云二期变电站线路 21.5km，导线型号2×JL/G1A-400/35、大同东~火山云二期扩容变电站供电线路 21.5km，导线型号为2×JL/G1A-400/35。</w:t>
            </w:r>
          </w:p>
          <w:p w14:paraId="0C773550">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线路起于 500kV 大同东站西侧出线，沿梁庄西堡村南侧与广源高速廊道内向东架设，至风场处绕行风电场区，同时从广源高速隧道上方跨越高速；之后跨越新能源线路，接着向东架设至杨窑村西南侧，向南转向架设至国道 G239 南侧继续向东架设，至壶流河北岸西河洼村南侧；向南架设沿 S201 架设至火山云二期及二期扩容项目新建变电站。</w:t>
            </w:r>
          </w:p>
          <w:p w14:paraId="6B2843F1">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本工程路径方案图见附图</w:t>
            </w:r>
            <w:r>
              <w:rPr>
                <w:rFonts w:hint="eastAsia" w:ascii="Times New Roman" w:hAnsi="Times New Roman" w:eastAsia="宋体" w:cs="Times New Roman"/>
                <w:color w:val="auto"/>
                <w:kern w:val="0"/>
                <w:sz w:val="24"/>
                <w:szCs w:val="24"/>
                <w:highlight w:val="none"/>
                <w:lang w:val="en-US" w:eastAsia="zh-CN"/>
              </w:rPr>
              <w:t>2-2</w:t>
            </w:r>
            <w:r>
              <w:rPr>
                <w:rFonts w:hint="default" w:ascii="Times New Roman" w:hAnsi="Times New Roman" w:eastAsia="宋体" w:cs="Times New Roman"/>
                <w:color w:val="auto"/>
                <w:kern w:val="0"/>
                <w:sz w:val="24"/>
                <w:szCs w:val="24"/>
                <w:highlight w:val="none"/>
                <w:lang w:val="en-US" w:eastAsia="zh-CN"/>
              </w:rPr>
              <w:t>。</w:t>
            </w:r>
          </w:p>
          <w:p w14:paraId="1C3CF4B7">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rPr>
              <w:t>项目占地</w:t>
            </w:r>
          </w:p>
          <w:p w14:paraId="74350D2E">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（1）变电站</w:t>
            </w:r>
          </w:p>
          <w:p w14:paraId="257EC679">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项目变电站用地面积约2230.94m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新建3×150MVA主变</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电压等级220/10.5/10.5kV</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并建设</w:t>
            </w:r>
            <w:r>
              <w:rPr>
                <w:rFonts w:hint="default" w:ascii="Times New Roman" w:hAnsi="Times New Roman" w:eastAsia="宋体" w:cs="Times New Roman"/>
                <w:color w:val="auto"/>
                <w:kern w:val="0"/>
                <w:sz w:val="24"/>
                <w:szCs w:val="24"/>
                <w:highlight w:val="none"/>
              </w:rPr>
              <w:t>相应配套设施</w:t>
            </w:r>
            <w:r>
              <w:rPr>
                <w:rFonts w:hint="default"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占地类型为工业用地。</w:t>
            </w:r>
          </w:p>
          <w:p w14:paraId="3E41926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（2）杆塔</w:t>
            </w:r>
          </w:p>
          <w:p w14:paraId="5D97253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过渡方案：“π”入火山云二期至壶泉站的220kV线路工程</w:t>
            </w:r>
            <w:r>
              <w:rPr>
                <w:rFonts w:hint="eastAsia" w:ascii="Times New Roman" w:hAnsi="Times New Roman" w:eastAsia="宋体" w:cs="Times New Roman"/>
                <w:color w:val="auto"/>
                <w:kern w:val="0"/>
                <w:sz w:val="24"/>
                <w:szCs w:val="24"/>
                <w:highlight w:val="none"/>
                <w:lang w:val="en-US" w:eastAsia="zh-CN"/>
              </w:rPr>
              <w:t>，全线共5基杆塔，单回路终端塔1基，单回路耐张塔3基，双回路终端塔1基。</w:t>
            </w:r>
          </w:p>
          <w:p w14:paraId="17F00652">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终期方案：线路起于拟建大同东500kV汇集站，止于拟建二期扩容220kV变电站与二期220kV变电站</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全线共80基杆塔，其中双回路终端塔 2 基，单回路耐张塔 27 基，单回路直线塔 51 基。</w:t>
            </w:r>
          </w:p>
          <w:p w14:paraId="125F77A9">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塔基施工区</w:t>
            </w:r>
          </w:p>
          <w:p w14:paraId="4015D283">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yellow"/>
                <w:lang w:val="en-US" w:eastAsia="zh-CN"/>
              </w:rPr>
            </w:pPr>
            <w:r>
              <w:rPr>
                <w:rFonts w:hint="eastAsia" w:ascii="Times New Roman" w:hAnsi="Times New Roman" w:eastAsia="宋体" w:cs="Times New Roman"/>
                <w:color w:val="auto"/>
                <w:kern w:val="0"/>
                <w:sz w:val="24"/>
                <w:szCs w:val="24"/>
                <w:highlight w:val="none"/>
                <w:lang w:val="en-US" w:eastAsia="zh-CN"/>
              </w:rPr>
              <w:t>过渡方案</w:t>
            </w:r>
            <w:r>
              <w:rPr>
                <w:rFonts w:hint="default" w:ascii="Times New Roman" w:hAnsi="Times New Roman" w:eastAsia="宋体" w:cs="Times New Roman"/>
                <w:color w:val="auto"/>
                <w:kern w:val="0"/>
                <w:sz w:val="24"/>
                <w:szCs w:val="24"/>
                <w:highlight w:val="none"/>
                <w:lang w:val="en-US" w:eastAsia="zh-CN"/>
              </w:rPr>
              <w:t>每个铁塔塔基布设1处塔基施工区，临时占地</w:t>
            </w:r>
            <w:r>
              <w:rPr>
                <w:rFonts w:hint="eastAsia" w:ascii="Times New Roman" w:hAnsi="Times New Roman" w:eastAsia="宋体" w:cs="Times New Roman"/>
                <w:color w:val="auto"/>
                <w:kern w:val="0"/>
                <w:sz w:val="24"/>
                <w:szCs w:val="24"/>
                <w:highlight w:val="none"/>
                <w:lang w:val="en-US" w:eastAsia="zh-CN"/>
              </w:rPr>
              <w:t>1665</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终期方案</w:t>
            </w:r>
            <w:r>
              <w:rPr>
                <w:rFonts w:hint="default" w:ascii="Times New Roman" w:hAnsi="Times New Roman" w:eastAsia="宋体" w:cs="Times New Roman"/>
                <w:color w:val="auto"/>
                <w:kern w:val="0"/>
                <w:sz w:val="24"/>
                <w:szCs w:val="24"/>
                <w:highlight w:val="none"/>
                <w:lang w:val="en-US" w:eastAsia="zh-CN"/>
              </w:rPr>
              <w:t>每个铁塔塔基布设1处塔基施工区，临时占地</w:t>
            </w:r>
            <w:r>
              <w:rPr>
                <w:rFonts w:hint="eastAsia" w:ascii="Times New Roman" w:hAnsi="Times New Roman" w:eastAsia="宋体" w:cs="Times New Roman"/>
                <w:color w:val="auto"/>
                <w:kern w:val="0"/>
                <w:sz w:val="24"/>
                <w:szCs w:val="24"/>
                <w:highlight w:val="none"/>
                <w:lang w:val="en-US" w:eastAsia="zh-CN"/>
              </w:rPr>
              <w:t>26640</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占地类型为旱地、水浇地、乔木林地、其他草地。</w:t>
            </w:r>
          </w:p>
          <w:p w14:paraId="48C1ED7B">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施工营地</w:t>
            </w:r>
          </w:p>
          <w:p w14:paraId="119324AF">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输电线路塔基较分散，且单个塔基施工周期短，沿线分布有村庄，因此，输电线路临时施工生活采用租用民房的方式解决，不需单独设置。变电站施工时间较长，施工营地布置在变电站永久占地内，不新增占地。</w:t>
            </w:r>
          </w:p>
          <w:p w14:paraId="7BF5EC25">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（5）施工便道</w:t>
            </w:r>
          </w:p>
          <w:p w14:paraId="682FD379">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yellow"/>
                <w:lang w:val="en-US" w:eastAsia="zh-CN"/>
              </w:rPr>
            </w:pPr>
            <w:r>
              <w:rPr>
                <w:rFonts w:hint="default" w:ascii="Times New Roman" w:hAnsi="Times New Roman" w:eastAsia="宋体" w:cs="Times New Roman"/>
                <w:color w:val="auto"/>
                <w:kern w:val="0"/>
                <w:sz w:val="24"/>
                <w:szCs w:val="24"/>
                <w:highlight w:val="none"/>
                <w:lang w:val="en-US" w:eastAsia="zh-CN"/>
              </w:rPr>
              <w:t xml:space="preserve">施工便道为简易道路，仅临时占用，施工结束后全部恢复、不保留。工程材料的运送尽量利用现有的各种道路，为了施工和运行检修的方便，设计选线的时候尽量将输电线路靠近现有道路。根据主体设计结合现场调查，本项目铁塔施工及其他施工布置点施工期间除利用周边已有道路外，另需新建施工道路以满足建设需求，经统计共需布设简易道路 8.0km，布设简易道路路面宽 </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.0m，简易道路占地面积为</w:t>
            </w:r>
            <w:r>
              <w:rPr>
                <w:rFonts w:hint="eastAsia" w:ascii="Times New Roman" w:hAnsi="Times New Roman" w:eastAsia="宋体" w:cs="Times New Roman"/>
                <w:color w:val="auto"/>
                <w:kern w:val="0"/>
                <w:sz w:val="24"/>
                <w:szCs w:val="24"/>
                <w:highlight w:val="none"/>
                <w:lang w:val="en-US" w:eastAsia="zh-CN"/>
              </w:rPr>
              <w:t>3.2</w:t>
            </w:r>
            <w:r>
              <w:rPr>
                <w:rFonts w:hint="default" w:ascii="Times New Roman" w:hAnsi="Times New Roman" w:eastAsia="宋体" w:cs="Times New Roman"/>
                <w:color w:val="auto"/>
                <w:kern w:val="0"/>
                <w:sz w:val="24"/>
                <w:szCs w:val="24"/>
                <w:highlight w:val="none"/>
                <w:lang w:val="en-US" w:eastAsia="zh-CN"/>
              </w:rPr>
              <w:t>hm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，均属于临时占地，占地类型为旱地、其他草地和农村道路。</w:t>
            </w:r>
          </w:p>
          <w:p w14:paraId="248E8413">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（6）牵张场</w:t>
            </w:r>
          </w:p>
          <w:p w14:paraId="58385751">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yellow"/>
                <w:lang w:val="en-US" w:eastAsia="zh-CN"/>
              </w:rPr>
            </w:pPr>
            <w:r>
              <w:rPr>
                <w:rFonts w:hint="default" w:ascii="Times New Roman" w:hAnsi="Times New Roman" w:eastAsia="宋体" w:cs="Times New Roman"/>
                <w:color w:val="auto"/>
                <w:kern w:val="0"/>
                <w:sz w:val="24"/>
                <w:szCs w:val="24"/>
                <w:highlight w:val="none"/>
                <w:lang w:val="en-US" w:eastAsia="zh-CN"/>
              </w:rPr>
              <w:t>项目共设</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处牵张场，每处占地面积为</w:t>
            </w:r>
            <w:r>
              <w:rPr>
                <w:rFonts w:hint="eastAsia"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lang w:val="en-US" w:eastAsia="zh-CN"/>
              </w:rPr>
              <w:t>*50m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，不另设材料场，材料暂时存放在塔基施工区及牵张场。占地类型为旱地、其他草地和</w:t>
            </w:r>
            <w:r>
              <w:rPr>
                <w:rFonts w:hint="eastAsia" w:ascii="Times New Roman" w:hAnsi="Times New Roman" w:eastAsia="宋体" w:cs="Times New Roman"/>
                <w:color w:val="auto"/>
                <w:kern w:val="0"/>
                <w:sz w:val="24"/>
                <w:szCs w:val="24"/>
                <w:highlight w:val="none"/>
                <w:lang w:val="en-US" w:eastAsia="zh-CN"/>
              </w:rPr>
              <w:t>乔木林地</w:t>
            </w:r>
            <w:r>
              <w:rPr>
                <w:rFonts w:hint="default" w:ascii="Times New Roman" w:hAnsi="Times New Roman" w:eastAsia="宋体" w:cs="Times New Roman"/>
                <w:color w:val="auto"/>
                <w:kern w:val="0"/>
                <w:sz w:val="24"/>
                <w:szCs w:val="24"/>
                <w:highlight w:val="none"/>
                <w:lang w:val="en-US" w:eastAsia="zh-CN"/>
              </w:rPr>
              <w:t>。</w:t>
            </w:r>
          </w:p>
          <w:p w14:paraId="37562855">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表2-</w:t>
            </w:r>
            <w:r>
              <w:rPr>
                <w:rFonts w:hint="eastAsia" w:ascii="Times New Roman" w:hAnsi="Times New Roman" w:eastAsia="宋体" w:cs="Times New Roman"/>
                <w:b/>
                <w:bCs/>
                <w:color w:val="auto"/>
                <w:kern w:val="0"/>
                <w:sz w:val="21"/>
                <w:szCs w:val="21"/>
                <w:highlight w:val="none"/>
                <w:lang w:val="en-US" w:eastAsia="zh-CN"/>
              </w:rPr>
              <w:t>8</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rPr>
              <w:t>项目占地情况一览表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9"/>
              <w:gridCol w:w="1076"/>
              <w:gridCol w:w="1841"/>
              <w:gridCol w:w="1210"/>
              <w:gridCol w:w="1777"/>
              <w:gridCol w:w="1406"/>
            </w:tblGrid>
            <w:tr w14:paraId="0F2F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pct"/>
                  <w:gridSpan w:val="2"/>
                  <w:vMerge w:val="restart"/>
                  <w:noWrap w:val="0"/>
                  <w:vAlign w:val="center"/>
                </w:tcPr>
                <w:p w14:paraId="5EFA0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工程内容</w:t>
                  </w:r>
                </w:p>
              </w:tc>
              <w:tc>
                <w:tcPr>
                  <w:tcW w:w="1818" w:type="pct"/>
                  <w:gridSpan w:val="2"/>
                  <w:noWrap w:val="0"/>
                  <w:vAlign w:val="center"/>
                </w:tcPr>
                <w:p w14:paraId="187046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永久占地</w:t>
                  </w:r>
                </w:p>
              </w:tc>
              <w:tc>
                <w:tcPr>
                  <w:tcW w:w="1897" w:type="pct"/>
                  <w:gridSpan w:val="2"/>
                  <w:noWrap w:val="0"/>
                  <w:vAlign w:val="center"/>
                </w:tcPr>
                <w:p w14:paraId="0D5A1F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r>
            <w:tr w14:paraId="39337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pct"/>
                  <w:gridSpan w:val="2"/>
                  <w:vMerge w:val="continue"/>
                  <w:noWrap w:val="0"/>
                  <w:vAlign w:val="center"/>
                </w:tcPr>
                <w:p w14:paraId="1BEB6C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97" w:type="pct"/>
                  <w:tcBorders>
                    <w:right w:val="single" w:color="auto" w:sz="4" w:space="0"/>
                  </w:tcBorders>
                  <w:noWrap w:val="0"/>
                  <w:vAlign w:val="center"/>
                </w:tcPr>
                <w:p w14:paraId="193A7A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土地利用现状</w:t>
                  </w:r>
                </w:p>
              </w:tc>
              <w:tc>
                <w:tcPr>
                  <w:tcW w:w="721" w:type="pct"/>
                  <w:tcBorders>
                    <w:left w:val="single" w:color="auto" w:sz="4" w:space="0"/>
                  </w:tcBorders>
                  <w:noWrap w:val="0"/>
                  <w:vAlign w:val="center"/>
                </w:tcPr>
                <w:p w14:paraId="6FE09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面积（m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1059" w:type="pct"/>
                  <w:tcBorders>
                    <w:right w:val="single" w:color="auto" w:sz="4" w:space="0"/>
                  </w:tcBorders>
                  <w:noWrap w:val="0"/>
                  <w:vAlign w:val="center"/>
                </w:tcPr>
                <w:p w14:paraId="327D07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土地利用现状</w:t>
                  </w:r>
                </w:p>
              </w:tc>
              <w:tc>
                <w:tcPr>
                  <w:tcW w:w="838" w:type="pct"/>
                  <w:tcBorders>
                    <w:left w:val="single" w:color="auto" w:sz="4" w:space="0"/>
                  </w:tcBorders>
                  <w:noWrap w:val="0"/>
                  <w:vAlign w:val="center"/>
                </w:tcPr>
                <w:p w14:paraId="1E7478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面积</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p>
              </w:tc>
            </w:tr>
            <w:tr w14:paraId="1EC86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3" w:type="pct"/>
                  <w:noWrap w:val="0"/>
                  <w:vAlign w:val="center"/>
                </w:tcPr>
                <w:p w14:paraId="089A315C">
                  <w:pPr>
                    <w:keepNext w:val="0"/>
                    <w:keepLines w:val="0"/>
                    <w:pageBreakBefore w:val="0"/>
                    <w:widowControl/>
                    <w:suppressLineNumbers w:val="0"/>
                    <w:kinsoku/>
                    <w:overflowPunct/>
                    <w:topLinePunct w:val="0"/>
                    <w:bidi w:val="0"/>
                    <w:spacing w:before="0" w:beforeAutospacing="0" w:after="0" w:afterAutospacing="0" w:line="320" w:lineRule="exact"/>
                    <w:ind w:left="0" w:right="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过渡路径</w:t>
                  </w:r>
                </w:p>
              </w:tc>
              <w:tc>
                <w:tcPr>
                  <w:tcW w:w="641" w:type="pct"/>
                  <w:tcBorders>
                    <w:right w:val="single" w:color="auto" w:sz="4" w:space="0"/>
                  </w:tcBorders>
                  <w:noWrap w:val="0"/>
                  <w:vAlign w:val="center"/>
                </w:tcPr>
                <w:p w14:paraId="0BC89E0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塔基占地</w:t>
                  </w:r>
                </w:p>
              </w:tc>
              <w:tc>
                <w:tcPr>
                  <w:tcW w:w="1097" w:type="pct"/>
                  <w:tcBorders>
                    <w:right w:val="single" w:color="auto" w:sz="4" w:space="0"/>
                  </w:tcBorders>
                  <w:noWrap w:val="0"/>
                  <w:vAlign w:val="center"/>
                </w:tcPr>
                <w:p w14:paraId="08BF31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乔木林地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水浇地</w:t>
                  </w:r>
                  <w:r>
                    <w:rPr>
                      <w:rFonts w:hint="eastAsia" w:ascii="Times New Roman" w:hAnsi="Times New Roman" w:eastAsia="宋体" w:cs="Times New Roman"/>
                      <w:color w:val="auto"/>
                      <w:sz w:val="21"/>
                      <w:szCs w:val="21"/>
                      <w:highlight w:val="none"/>
                      <w:lang w:val="en-US" w:eastAsia="zh-CN"/>
                    </w:rPr>
                    <w:t>、旱地</w:t>
                  </w:r>
                </w:p>
              </w:tc>
              <w:tc>
                <w:tcPr>
                  <w:tcW w:w="721" w:type="pct"/>
                  <w:tcBorders>
                    <w:left w:val="single" w:color="auto" w:sz="4" w:space="0"/>
                  </w:tcBorders>
                  <w:noWrap w:val="0"/>
                  <w:vAlign w:val="center"/>
                </w:tcPr>
                <w:p w14:paraId="6FE73D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750</w:t>
                  </w:r>
                </w:p>
              </w:tc>
              <w:tc>
                <w:tcPr>
                  <w:tcW w:w="1059" w:type="pct"/>
                  <w:tcBorders>
                    <w:right w:val="single" w:color="auto" w:sz="4" w:space="0"/>
                  </w:tcBorders>
                  <w:noWrap w:val="0"/>
                  <w:vAlign w:val="center"/>
                </w:tcPr>
                <w:p w14:paraId="37F19E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乔木林地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水浇地</w:t>
                  </w:r>
                  <w:r>
                    <w:rPr>
                      <w:rFonts w:hint="eastAsia" w:ascii="Times New Roman" w:hAnsi="Times New Roman" w:eastAsia="宋体" w:cs="Times New Roman"/>
                      <w:color w:val="auto"/>
                      <w:sz w:val="21"/>
                      <w:szCs w:val="21"/>
                      <w:highlight w:val="none"/>
                      <w:lang w:val="en-US" w:eastAsia="zh-CN"/>
                    </w:rPr>
                    <w:t>、旱地</w:t>
                  </w:r>
                </w:p>
              </w:tc>
              <w:tc>
                <w:tcPr>
                  <w:tcW w:w="838" w:type="pct"/>
                  <w:tcBorders>
                    <w:left w:val="single" w:color="auto" w:sz="4" w:space="0"/>
                  </w:tcBorders>
                  <w:noWrap w:val="0"/>
                  <w:vAlign w:val="center"/>
                </w:tcPr>
                <w:p w14:paraId="6BF31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1665</w:t>
                  </w:r>
                </w:p>
              </w:tc>
            </w:tr>
            <w:tr w14:paraId="3BD7C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3" w:type="pct"/>
                  <w:noWrap w:val="0"/>
                  <w:vAlign w:val="center"/>
                </w:tcPr>
                <w:p w14:paraId="3084181E">
                  <w:pPr>
                    <w:keepNext w:val="0"/>
                    <w:keepLines w:val="0"/>
                    <w:pageBreakBefore w:val="0"/>
                    <w:widowControl/>
                    <w:suppressLineNumbers w:val="0"/>
                    <w:kinsoku/>
                    <w:overflowPunct/>
                    <w:topLinePunct w:val="0"/>
                    <w:bidi w:val="0"/>
                    <w:spacing w:before="0" w:beforeAutospacing="0" w:after="0" w:afterAutospacing="0" w:line="320" w:lineRule="exact"/>
                    <w:ind w:left="0" w:right="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最终路径</w:t>
                  </w:r>
                </w:p>
              </w:tc>
              <w:tc>
                <w:tcPr>
                  <w:tcW w:w="641" w:type="pct"/>
                  <w:tcBorders>
                    <w:right w:val="single" w:color="auto" w:sz="4" w:space="0"/>
                  </w:tcBorders>
                  <w:noWrap w:val="0"/>
                  <w:vAlign w:val="center"/>
                </w:tcPr>
                <w:p w14:paraId="697C1FF7">
                  <w:pPr>
                    <w:pStyle w:val="114"/>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1"/>
                      <w:position w:val="-1"/>
                      <w:sz w:val="21"/>
                      <w:szCs w:val="21"/>
                      <w:lang w:val="en-US" w:eastAsia="zh-CN"/>
                    </w:rPr>
                    <w:t>塔基占地</w:t>
                  </w:r>
                </w:p>
              </w:tc>
              <w:tc>
                <w:tcPr>
                  <w:tcW w:w="1097" w:type="pct"/>
                  <w:tcBorders>
                    <w:right w:val="single" w:color="auto" w:sz="4" w:space="0"/>
                  </w:tcBorders>
                  <w:noWrap w:val="0"/>
                  <w:vAlign w:val="center"/>
                </w:tcPr>
                <w:p w14:paraId="7E063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旱地、水浇地、其他草地、乔木林地</w:t>
                  </w:r>
                </w:p>
              </w:tc>
              <w:tc>
                <w:tcPr>
                  <w:tcW w:w="721" w:type="pct"/>
                  <w:tcBorders>
                    <w:left w:val="single" w:color="auto" w:sz="4" w:space="0"/>
                  </w:tcBorders>
                  <w:noWrap w:val="0"/>
                  <w:vAlign w:val="center"/>
                </w:tcPr>
                <w:p w14:paraId="3624B6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14406</w:t>
                  </w:r>
                </w:p>
              </w:tc>
              <w:tc>
                <w:tcPr>
                  <w:tcW w:w="1059" w:type="pct"/>
                  <w:tcBorders>
                    <w:right w:val="single" w:color="auto" w:sz="4" w:space="0"/>
                  </w:tcBorders>
                  <w:noWrap w:val="0"/>
                  <w:vAlign w:val="center"/>
                </w:tcPr>
                <w:p w14:paraId="750945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旱地</w:t>
                  </w:r>
                </w:p>
              </w:tc>
              <w:tc>
                <w:tcPr>
                  <w:tcW w:w="838" w:type="pct"/>
                  <w:tcBorders>
                    <w:left w:val="single" w:color="auto" w:sz="4" w:space="0"/>
                  </w:tcBorders>
                  <w:noWrap w:val="0"/>
                  <w:vAlign w:val="center"/>
                </w:tcPr>
                <w:p w14:paraId="106F58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26640</w:t>
                  </w:r>
                </w:p>
              </w:tc>
            </w:tr>
            <w:tr w14:paraId="078FF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pct"/>
                  <w:gridSpan w:val="2"/>
                  <w:tcBorders>
                    <w:right w:val="single" w:color="auto" w:sz="4" w:space="0"/>
                  </w:tcBorders>
                  <w:noWrap w:val="0"/>
                  <w:vAlign w:val="center"/>
                </w:tcPr>
                <w:p w14:paraId="58F765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塔基</w:t>
                  </w:r>
                  <w:r>
                    <w:rPr>
                      <w:rFonts w:hint="default" w:ascii="Times New Roman" w:hAnsi="Times New Roman" w:eastAsia="宋体" w:cs="Times New Roman"/>
                      <w:color w:val="auto"/>
                      <w:sz w:val="21"/>
                      <w:szCs w:val="21"/>
                      <w:highlight w:val="none"/>
                      <w:lang w:val="en-US" w:eastAsia="zh-CN"/>
                    </w:rPr>
                    <w:t>区合计</w:t>
                  </w:r>
                </w:p>
              </w:tc>
              <w:tc>
                <w:tcPr>
                  <w:tcW w:w="1097" w:type="pct"/>
                  <w:tcBorders>
                    <w:right w:val="single" w:color="auto" w:sz="4" w:space="0"/>
                  </w:tcBorders>
                  <w:noWrap w:val="0"/>
                  <w:vAlign w:val="center"/>
                </w:tcPr>
                <w:p w14:paraId="4DCD8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721" w:type="pct"/>
                  <w:tcBorders>
                    <w:left w:val="single" w:color="auto" w:sz="4" w:space="0"/>
                  </w:tcBorders>
                  <w:noWrap w:val="0"/>
                  <w:vAlign w:val="center"/>
                </w:tcPr>
                <w:p w14:paraId="2E198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15156</w:t>
                  </w:r>
                </w:p>
              </w:tc>
              <w:tc>
                <w:tcPr>
                  <w:tcW w:w="1059" w:type="pct"/>
                  <w:tcBorders>
                    <w:right w:val="single" w:color="auto" w:sz="4" w:space="0"/>
                  </w:tcBorders>
                  <w:noWrap w:val="0"/>
                  <w:vAlign w:val="center"/>
                </w:tcPr>
                <w:p w14:paraId="413A47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838" w:type="pct"/>
                  <w:tcBorders>
                    <w:left w:val="single" w:color="auto" w:sz="4" w:space="0"/>
                  </w:tcBorders>
                  <w:noWrap w:val="0"/>
                  <w:vAlign w:val="center"/>
                </w:tcPr>
                <w:p w14:paraId="7D3907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28305</w:t>
                  </w:r>
                </w:p>
              </w:tc>
            </w:tr>
            <w:tr w14:paraId="048D9C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284" w:type="pct"/>
                  <w:gridSpan w:val="2"/>
                  <w:tcBorders>
                    <w:right w:val="single" w:color="auto" w:sz="4" w:space="0"/>
                  </w:tcBorders>
                  <w:noWrap w:val="0"/>
                  <w:vAlign w:val="center"/>
                </w:tcPr>
                <w:p w14:paraId="0A2C67B0">
                  <w:pPr>
                    <w:keepNext w:val="0"/>
                    <w:keepLines w:val="0"/>
                    <w:pageBreakBefore w:val="0"/>
                    <w:widowControl/>
                    <w:suppressLineNumbers w:val="0"/>
                    <w:kinsoku/>
                    <w:overflowPunct/>
                    <w:topLinePunct w:val="0"/>
                    <w:bidi w:val="0"/>
                    <w:spacing w:before="0" w:beforeAutospacing="0" w:after="0" w:afterAutospacing="0" w:line="320" w:lineRule="exact"/>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牵张场</w:t>
                  </w:r>
                </w:p>
              </w:tc>
              <w:tc>
                <w:tcPr>
                  <w:tcW w:w="1097" w:type="pct"/>
                  <w:tcBorders>
                    <w:right w:val="single" w:color="auto" w:sz="4" w:space="0"/>
                  </w:tcBorders>
                  <w:noWrap w:val="0"/>
                  <w:vAlign w:val="center"/>
                </w:tcPr>
                <w:p w14:paraId="5B4B55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21" w:type="pct"/>
                  <w:tcBorders>
                    <w:left w:val="single" w:color="auto" w:sz="4" w:space="0"/>
                  </w:tcBorders>
                  <w:noWrap w:val="0"/>
                  <w:vAlign w:val="center"/>
                </w:tcPr>
                <w:p w14:paraId="115C97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59" w:type="pct"/>
                  <w:tcBorders>
                    <w:right w:val="single" w:color="auto" w:sz="4" w:space="0"/>
                  </w:tcBorders>
                  <w:noWrap w:val="0"/>
                  <w:vAlign w:val="center"/>
                </w:tcPr>
                <w:p w14:paraId="06EE55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旱地、水浇地</w:t>
                  </w:r>
                </w:p>
              </w:tc>
              <w:tc>
                <w:tcPr>
                  <w:tcW w:w="838" w:type="pct"/>
                  <w:tcBorders>
                    <w:left w:val="single" w:color="auto" w:sz="4" w:space="0"/>
                  </w:tcBorders>
                  <w:noWrap w:val="0"/>
                  <w:vAlign w:val="center"/>
                </w:tcPr>
                <w:p w14:paraId="689AE4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5000</w:t>
                  </w:r>
                </w:p>
              </w:tc>
            </w:tr>
            <w:tr w14:paraId="1A596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pct"/>
                  <w:gridSpan w:val="2"/>
                  <w:noWrap w:val="0"/>
                  <w:vAlign w:val="center"/>
                </w:tcPr>
                <w:p w14:paraId="7204DB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施工便道</w:t>
                  </w:r>
                </w:p>
              </w:tc>
              <w:tc>
                <w:tcPr>
                  <w:tcW w:w="1097" w:type="pct"/>
                  <w:noWrap w:val="0"/>
                  <w:vAlign w:val="center"/>
                </w:tcPr>
                <w:p w14:paraId="0CDB44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21" w:type="pct"/>
                  <w:noWrap w:val="0"/>
                  <w:vAlign w:val="center"/>
                </w:tcPr>
                <w:p w14:paraId="1618D8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59" w:type="pct"/>
                  <w:noWrap w:val="0"/>
                  <w:vAlign w:val="center"/>
                </w:tcPr>
                <w:p w14:paraId="09E905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旱地、其他草地、乔木林地</w:t>
                  </w:r>
                </w:p>
              </w:tc>
              <w:tc>
                <w:tcPr>
                  <w:tcW w:w="838" w:type="pct"/>
                  <w:noWrap w:val="0"/>
                  <w:vAlign w:val="center"/>
                </w:tcPr>
                <w:p w14:paraId="463C5B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3200</w:t>
                  </w:r>
                </w:p>
              </w:tc>
            </w:tr>
            <w:tr w14:paraId="0761B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pct"/>
                  <w:gridSpan w:val="2"/>
                  <w:noWrap w:val="0"/>
                  <w:vAlign w:val="center"/>
                </w:tcPr>
                <w:p w14:paraId="06BAD9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拟建</w:t>
                  </w:r>
                  <w:r>
                    <w:rPr>
                      <w:rFonts w:hint="eastAsia" w:ascii="Times New Roman" w:hAnsi="Times New Roman" w:eastAsia="宋体" w:cs="Times New Roman"/>
                      <w:color w:val="auto"/>
                      <w:sz w:val="21"/>
                      <w:szCs w:val="21"/>
                      <w:highlight w:val="none"/>
                      <w:lang w:val="en-US" w:eastAsia="zh-CN"/>
                    </w:rPr>
                    <w:t>变电站</w:t>
                  </w:r>
                </w:p>
              </w:tc>
              <w:tc>
                <w:tcPr>
                  <w:tcW w:w="1097" w:type="pct"/>
                  <w:noWrap w:val="0"/>
                  <w:vAlign w:val="center"/>
                </w:tcPr>
                <w:p w14:paraId="2D8E4B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工业用地</w:t>
                  </w:r>
                </w:p>
              </w:tc>
              <w:tc>
                <w:tcPr>
                  <w:tcW w:w="721" w:type="pct"/>
                  <w:noWrap w:val="0"/>
                  <w:vAlign w:val="center"/>
                </w:tcPr>
                <w:p w14:paraId="2A38C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2230.94</w:t>
                  </w:r>
                </w:p>
              </w:tc>
              <w:tc>
                <w:tcPr>
                  <w:tcW w:w="1059" w:type="pct"/>
                  <w:noWrap w:val="0"/>
                  <w:vAlign w:val="center"/>
                </w:tcPr>
                <w:p w14:paraId="4286AF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38" w:type="pct"/>
                  <w:noWrap w:val="0"/>
                  <w:vAlign w:val="center"/>
                </w:tcPr>
                <w:p w14:paraId="1CE69E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8C01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81" w:type="pct"/>
                  <w:gridSpan w:val="3"/>
                  <w:noWrap w:val="0"/>
                  <w:vAlign w:val="center"/>
                </w:tcPr>
                <w:p w14:paraId="20C92F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721" w:type="pct"/>
                  <w:noWrap w:val="0"/>
                  <w:vAlign w:val="center"/>
                </w:tcPr>
                <w:p w14:paraId="7C7125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17386.94</w:t>
                  </w:r>
                </w:p>
              </w:tc>
              <w:tc>
                <w:tcPr>
                  <w:tcW w:w="1059" w:type="pct"/>
                  <w:noWrap w:val="0"/>
                  <w:vAlign w:val="center"/>
                </w:tcPr>
                <w:p w14:paraId="751FA1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38" w:type="pct"/>
                  <w:noWrap w:val="0"/>
                  <w:vAlign w:val="center"/>
                </w:tcPr>
                <w:p w14:paraId="543A01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36505</w:t>
                  </w:r>
                </w:p>
              </w:tc>
            </w:tr>
          </w:tbl>
          <w:p w14:paraId="7601533A">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2.土石方平衡分析</w:t>
            </w:r>
          </w:p>
          <w:p w14:paraId="6507D6FC">
            <w:pPr>
              <w:keepNext w:val="0"/>
              <w:keepLines w:val="0"/>
              <w:pageBreakBefore w:val="0"/>
              <w:widowControl w:val="0"/>
              <w:numPr>
                <w:ilvl w:val="0"/>
                <w:numId w:val="0"/>
              </w:numPr>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本工程土石方主要来源于变电站、线路铁塔基础以及施工便道等的施工。本工程场内地形起伏平缓，仅需对局部凸起及低洼部位进行整平</w:t>
            </w:r>
            <w:r>
              <w:rPr>
                <w:rFonts w:hint="eastAsia" w:ascii="Times New Roman" w:hAnsi="Times New Roman" w:eastAsia="宋体" w:cs="Times New Roman"/>
                <w:color w:val="auto"/>
                <w:kern w:val="0"/>
                <w:sz w:val="24"/>
                <w:szCs w:val="24"/>
                <w:highlight w:val="none"/>
                <w:lang w:val="en-US" w:eastAsia="zh-CN"/>
              </w:rPr>
              <w:t>；塔基基层开挖深度范围为3.5m-4.5m，</w:t>
            </w:r>
            <w:r>
              <w:rPr>
                <w:rFonts w:hint="default" w:ascii="Times New Roman" w:hAnsi="Times New Roman" w:eastAsia="宋体" w:cs="Times New Roman"/>
                <w:color w:val="auto"/>
                <w:kern w:val="0"/>
                <w:sz w:val="24"/>
                <w:szCs w:val="24"/>
                <w:highlight w:val="none"/>
                <w:lang w:val="en-US" w:eastAsia="zh-CN"/>
              </w:rPr>
              <w:t>开挖土方就近摊铺无需倒运，基本无弃土，如有少量弃土采取自行消化的方式。架空线路塔基开挖产生的弃方全部用于塔座基面四周的回填平整。本工程全场土方开挖量为</w:t>
            </w:r>
            <w:r>
              <w:rPr>
                <w:rFonts w:hint="eastAsia" w:ascii="Times New Roman" w:hAnsi="Times New Roman" w:eastAsia="宋体" w:cs="Times New Roman"/>
                <w:color w:val="auto"/>
                <w:kern w:val="0"/>
                <w:sz w:val="24"/>
                <w:szCs w:val="24"/>
                <w:highlight w:val="none"/>
                <w:lang w:val="en-US" w:eastAsia="zh-CN"/>
              </w:rPr>
              <w:t>3.63万</w:t>
            </w:r>
            <w:r>
              <w:rPr>
                <w:rFonts w:hint="default"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，填方量</w:t>
            </w:r>
            <w:r>
              <w:rPr>
                <w:rFonts w:hint="eastAsia" w:ascii="Times New Roman" w:hAnsi="Times New Roman" w:eastAsia="宋体" w:cs="Times New Roman"/>
                <w:color w:val="auto"/>
                <w:kern w:val="0"/>
                <w:sz w:val="24"/>
                <w:szCs w:val="24"/>
                <w:highlight w:val="none"/>
                <w:lang w:val="en-US" w:eastAsia="zh-CN"/>
              </w:rPr>
              <w:t>3.63万</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，可做到挖填平衡。详见表2-</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w:t>
            </w:r>
          </w:p>
          <w:p w14:paraId="421FA6DC">
            <w:pPr>
              <w:keepNext w:val="0"/>
              <w:keepLines w:val="0"/>
              <w:suppressLineNumbers w:val="0"/>
              <w:wordWrap w:val="0"/>
              <w:autoSpaceDE w:val="0"/>
              <w:autoSpaceDN w:val="0"/>
              <w:adjustRightInd w:val="0"/>
              <w:snapToGrid w:val="0"/>
              <w:spacing w:before="0" w:beforeLines="0" w:beforeAutospacing="0" w:after="0" w:afterLines="0" w:afterAutospacing="0" w:line="420" w:lineRule="exact"/>
              <w:ind w:left="0" w:right="0"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rPr>
              <w:t>表2-</w:t>
            </w:r>
            <w:r>
              <w:rPr>
                <w:rFonts w:hint="eastAsia" w:ascii="Times New Roman" w:hAnsi="Times New Roman" w:eastAsia="宋体" w:cs="Times New Roman"/>
                <w:b/>
                <w:color w:val="auto"/>
                <w:kern w:val="0"/>
                <w:sz w:val="21"/>
                <w:szCs w:val="21"/>
                <w:lang w:val="en-US" w:eastAsia="zh-CN"/>
              </w:rPr>
              <w:t>9</w:t>
            </w:r>
            <w:r>
              <w:rPr>
                <w:rFonts w:hint="default" w:ascii="Times New Roman" w:hAnsi="Times New Roman" w:eastAsia="宋体" w:cs="Times New Roman"/>
                <w:b/>
                <w:color w:val="auto"/>
                <w:kern w:val="0"/>
                <w:sz w:val="21"/>
                <w:szCs w:val="21"/>
              </w:rPr>
              <w:t xml:space="preserve"> 工程土石方平衡表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17"/>
              <w:gridCol w:w="998"/>
              <w:gridCol w:w="1140"/>
              <w:gridCol w:w="1273"/>
              <w:gridCol w:w="1265"/>
              <w:gridCol w:w="2419"/>
            </w:tblGrid>
            <w:tr w14:paraId="7457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4" w:hRule="atLeast"/>
              </w:trPr>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65774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tc>
              <w:tc>
                <w:tcPr>
                  <w:tcW w:w="593" w:type="pct"/>
                  <w:tcBorders>
                    <w:top w:val="single" w:color="auto" w:sz="4" w:space="0"/>
                    <w:left w:val="single" w:color="auto" w:sz="4" w:space="0"/>
                    <w:bottom w:val="single" w:color="auto" w:sz="4" w:space="0"/>
                    <w:right w:val="single" w:color="auto" w:sz="4" w:space="0"/>
                    <w:tl2br w:val="nil"/>
                    <w:tr2bl w:val="nil"/>
                  </w:tcBorders>
                  <w:noWrap/>
                  <w:vAlign w:val="center"/>
                </w:tcPr>
                <w:p w14:paraId="61A65DB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挖方</w:t>
                  </w:r>
                </w:p>
                <w:p w14:paraId="11853CC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7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13741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填方</w:t>
                  </w:r>
                </w:p>
                <w:p w14:paraId="4280BB6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B769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余方</w:t>
                  </w:r>
                </w:p>
                <w:p w14:paraId="4D860AB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13FF7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借方</w:t>
                  </w:r>
                </w:p>
                <w:p w14:paraId="0AB924C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4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D34A4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2528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4" w:hRule="atLeast"/>
              </w:trPr>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FC4EC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变电站</w:t>
                  </w:r>
                </w:p>
              </w:tc>
              <w:tc>
                <w:tcPr>
                  <w:tcW w:w="593" w:type="pct"/>
                  <w:tcBorders>
                    <w:top w:val="single" w:color="auto" w:sz="4" w:space="0"/>
                    <w:left w:val="single" w:color="auto" w:sz="4" w:space="0"/>
                    <w:bottom w:val="single" w:color="auto" w:sz="4" w:space="0"/>
                    <w:right w:val="single" w:color="auto" w:sz="4" w:space="0"/>
                    <w:tl2br w:val="nil"/>
                    <w:tr2bl w:val="nil"/>
                  </w:tcBorders>
                  <w:noWrap/>
                  <w:vAlign w:val="center"/>
                </w:tcPr>
                <w:p w14:paraId="5D84602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w:t>
                  </w:r>
                </w:p>
              </w:tc>
              <w:tc>
                <w:tcPr>
                  <w:tcW w:w="677" w:type="pct"/>
                  <w:tcBorders>
                    <w:top w:val="single" w:color="auto" w:sz="4" w:space="0"/>
                    <w:left w:val="single" w:color="auto" w:sz="4" w:space="0"/>
                    <w:bottom w:val="single" w:color="auto" w:sz="4" w:space="0"/>
                    <w:right w:val="single" w:color="auto" w:sz="4" w:space="0"/>
                    <w:tl2br w:val="nil"/>
                    <w:tr2bl w:val="nil"/>
                  </w:tcBorders>
                  <w:noWrap/>
                  <w:vAlign w:val="center"/>
                </w:tcPr>
                <w:p w14:paraId="752C9DA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1.95</w:t>
                  </w:r>
                </w:p>
              </w:tc>
              <w:tc>
                <w:tcPr>
                  <w:tcW w:w="7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52638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7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DDB99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BA5C1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余方调运至施工便道区</w:t>
                  </w:r>
                </w:p>
              </w:tc>
            </w:tr>
            <w:tr w14:paraId="3190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4" w:hRule="atLeast"/>
              </w:trPr>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99B97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塔基及施工区</w:t>
                  </w:r>
                </w:p>
              </w:tc>
              <w:tc>
                <w:tcPr>
                  <w:tcW w:w="593" w:type="pct"/>
                  <w:tcBorders>
                    <w:top w:val="single" w:color="auto" w:sz="4" w:space="0"/>
                    <w:left w:val="single" w:color="auto" w:sz="4" w:space="0"/>
                    <w:bottom w:val="single" w:color="auto" w:sz="4" w:space="0"/>
                    <w:right w:val="single" w:color="auto" w:sz="4" w:space="0"/>
                    <w:tl2br w:val="nil"/>
                    <w:tr2bl w:val="nil"/>
                  </w:tcBorders>
                  <w:noWrap/>
                  <w:vAlign w:val="center"/>
                </w:tcPr>
                <w:p w14:paraId="7E6A83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677" w:type="pct"/>
                  <w:tcBorders>
                    <w:top w:val="single" w:color="auto" w:sz="4" w:space="0"/>
                    <w:left w:val="single" w:color="auto" w:sz="4" w:space="0"/>
                    <w:bottom w:val="single" w:color="auto" w:sz="4" w:space="0"/>
                    <w:right w:val="single" w:color="auto" w:sz="4" w:space="0"/>
                    <w:tl2br w:val="nil"/>
                    <w:tr2bl w:val="nil"/>
                  </w:tcBorders>
                  <w:noWrap/>
                  <w:vAlign w:val="center"/>
                </w:tcPr>
                <w:p w14:paraId="78B7D2C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7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A448F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6949B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5028E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p>
              </w:tc>
            </w:tr>
            <w:tr w14:paraId="5F03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4" w:hRule="atLeast"/>
              </w:trPr>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D6F46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牵张场</w:t>
                  </w:r>
                </w:p>
              </w:tc>
              <w:tc>
                <w:tcPr>
                  <w:tcW w:w="593" w:type="pct"/>
                  <w:tcBorders>
                    <w:top w:val="single" w:color="auto" w:sz="4" w:space="0"/>
                    <w:left w:val="single" w:color="auto" w:sz="4" w:space="0"/>
                    <w:bottom w:val="single" w:color="auto" w:sz="4" w:space="0"/>
                    <w:right w:val="single" w:color="auto" w:sz="4" w:space="0"/>
                    <w:tl2br w:val="nil"/>
                    <w:tr2bl w:val="nil"/>
                  </w:tcBorders>
                  <w:noWrap/>
                  <w:vAlign w:val="center"/>
                </w:tcPr>
                <w:p w14:paraId="3251DC0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677" w:type="pct"/>
                  <w:tcBorders>
                    <w:top w:val="single" w:color="auto" w:sz="4" w:space="0"/>
                    <w:left w:val="single" w:color="auto" w:sz="4" w:space="0"/>
                    <w:bottom w:val="single" w:color="auto" w:sz="4" w:space="0"/>
                    <w:right w:val="single" w:color="auto" w:sz="4" w:space="0"/>
                    <w:tl2br w:val="nil"/>
                    <w:tr2bl w:val="nil"/>
                  </w:tcBorders>
                  <w:noWrap/>
                  <w:vAlign w:val="center"/>
                </w:tcPr>
                <w:p w14:paraId="5AB5375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7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D3BBC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D01FA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3B2E2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p>
              </w:tc>
            </w:tr>
            <w:tr w14:paraId="28D4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31" w:hRule="atLeast"/>
              </w:trPr>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71B0E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施工便道</w:t>
                  </w:r>
                </w:p>
              </w:tc>
              <w:tc>
                <w:tcPr>
                  <w:tcW w:w="593" w:type="pct"/>
                  <w:tcBorders>
                    <w:top w:val="single" w:color="auto" w:sz="4" w:space="0"/>
                    <w:left w:val="single" w:color="auto" w:sz="4" w:space="0"/>
                    <w:bottom w:val="single" w:color="auto" w:sz="4" w:space="0"/>
                    <w:right w:val="single" w:color="auto" w:sz="4" w:space="0"/>
                    <w:tl2br w:val="nil"/>
                    <w:tr2bl w:val="nil"/>
                  </w:tcBorders>
                  <w:noWrap/>
                  <w:vAlign w:val="center"/>
                </w:tcPr>
                <w:p w14:paraId="7438282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677" w:type="pct"/>
                  <w:tcBorders>
                    <w:top w:val="single" w:color="auto" w:sz="4" w:space="0"/>
                    <w:left w:val="single" w:color="auto" w:sz="4" w:space="0"/>
                    <w:bottom w:val="single" w:color="auto" w:sz="4" w:space="0"/>
                    <w:right w:val="single" w:color="auto" w:sz="4" w:space="0"/>
                    <w:tl2br w:val="nil"/>
                    <w:tr2bl w:val="nil"/>
                  </w:tcBorders>
                  <w:noWrap/>
                  <w:vAlign w:val="center"/>
                </w:tcPr>
                <w:p w14:paraId="5E106B0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0.38</w:t>
                  </w:r>
                </w:p>
              </w:tc>
              <w:tc>
                <w:tcPr>
                  <w:tcW w:w="7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263AA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8A1F7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14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970B5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借方来源于变电站区域的土石余方</w:t>
                  </w:r>
                </w:p>
              </w:tc>
            </w:tr>
            <w:tr w14:paraId="5330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4" w:hRule="atLeast"/>
              </w:trPr>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CA82F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93" w:type="pct"/>
                  <w:tcBorders>
                    <w:top w:val="single" w:color="auto" w:sz="4" w:space="0"/>
                    <w:left w:val="single" w:color="auto" w:sz="4" w:space="0"/>
                    <w:bottom w:val="single" w:color="auto" w:sz="4" w:space="0"/>
                    <w:right w:val="single" w:color="auto" w:sz="4" w:space="0"/>
                    <w:tl2br w:val="nil"/>
                    <w:tr2bl w:val="nil"/>
                  </w:tcBorders>
                  <w:noWrap/>
                  <w:vAlign w:val="center"/>
                </w:tcPr>
                <w:p w14:paraId="55B9DC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w:t>
                  </w:r>
                </w:p>
              </w:tc>
              <w:tc>
                <w:tcPr>
                  <w:tcW w:w="677" w:type="pct"/>
                  <w:tcBorders>
                    <w:top w:val="single" w:color="auto" w:sz="4" w:space="0"/>
                    <w:left w:val="single" w:color="auto" w:sz="4" w:space="0"/>
                    <w:bottom w:val="single" w:color="auto" w:sz="4" w:space="0"/>
                    <w:right w:val="single" w:color="auto" w:sz="4" w:space="0"/>
                    <w:tl2br w:val="nil"/>
                    <w:tr2bl w:val="nil"/>
                  </w:tcBorders>
                  <w:noWrap/>
                  <w:vAlign w:val="center"/>
                </w:tcPr>
                <w:p w14:paraId="7C67724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w:t>
                  </w:r>
                </w:p>
              </w:tc>
              <w:tc>
                <w:tcPr>
                  <w:tcW w:w="75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1790D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7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2C524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14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D9513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3540CEA2">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center"/>
              <w:textAlignment w:val="auto"/>
              <w:rPr>
                <w:rFonts w:hint="default" w:ascii="Times New Roman" w:hAnsi="Times New Roman" w:eastAsia="宋体" w:cs="Times New Roman"/>
                <w:b/>
                <w:bCs/>
                <w:color w:val="auto"/>
                <w:kern w:val="0"/>
                <w:sz w:val="24"/>
                <w:szCs w:val="24"/>
                <w:highlight w:val="none"/>
              </w:rPr>
            </w:pPr>
          </w:p>
          <w:p w14:paraId="38A06424">
            <w:pPr>
              <w:keepNext w:val="0"/>
              <w:keepLines w:val="0"/>
              <w:pageBreakBefore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jc w:val="left"/>
              <w:textAlignment w:val="auto"/>
              <w:rPr>
                <w:rFonts w:hint="default" w:ascii="Times New Roman" w:hAnsi="Times New Roman" w:eastAsia="宋体" w:cs="Times New Roman"/>
                <w:color w:val="auto"/>
                <w:kern w:val="0"/>
                <w:sz w:val="24"/>
                <w:szCs w:val="24"/>
                <w:highlight w:val="none"/>
                <w:lang w:val="en-US" w:eastAsia="zh-CN"/>
              </w:rPr>
            </w:pPr>
          </w:p>
          <w:p w14:paraId="0AFF23DA">
            <w:pPr>
              <w:keepNext w:val="0"/>
              <w:keepLines w:val="0"/>
              <w:suppressLineNumbers w:val="0"/>
              <w:spacing w:before="0" w:beforeAutospacing="0" w:after="0" w:afterAutospacing="0"/>
              <w:ind w:left="0" w:right="0"/>
              <w:rPr>
                <w:rFonts w:hint="default"/>
                <w:color w:val="auto"/>
                <w:lang w:val="en-US" w:eastAsia="zh-CN"/>
              </w:rPr>
            </w:pPr>
          </w:p>
        </w:tc>
      </w:tr>
      <w:tr w14:paraId="5750B2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2816" w:hRule="atLeast"/>
          <w:jc w:val="center"/>
        </w:trPr>
        <w:tc>
          <w:tcPr>
            <w:tcW w:w="987" w:type="dxa"/>
            <w:tcBorders>
              <w:top w:val="single" w:color="auto" w:sz="8" w:space="0"/>
              <w:bottom w:val="single" w:color="auto" w:sz="4" w:space="0"/>
              <w:right w:val="single" w:color="auto" w:sz="4" w:space="0"/>
            </w:tcBorders>
            <w:vAlign w:val="center"/>
          </w:tcPr>
          <w:p w14:paraId="61D0AE4A">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施工方案</w:t>
            </w:r>
          </w:p>
        </w:tc>
        <w:tc>
          <w:tcPr>
            <w:tcW w:w="8592" w:type="dxa"/>
            <w:tcBorders>
              <w:left w:val="single" w:color="auto" w:sz="4" w:space="0"/>
              <w:bottom w:val="single" w:color="auto" w:sz="4" w:space="0"/>
            </w:tcBorders>
          </w:tcPr>
          <w:p w14:paraId="3144E630">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1.施工工艺简述</w:t>
            </w:r>
          </w:p>
          <w:p w14:paraId="4C44407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625" w:afterLines="200" w:afterAutospacing="0" w:line="420" w:lineRule="exact"/>
              <w:ind w:left="0" w:right="0" w:firstLine="482" w:firstLineChars="20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lang w:val="en-US" w:eastAsia="zh-CN"/>
              </w:rPr>
              <w:t>1）变电站施工工艺</w:t>
            </w:r>
          </w:p>
          <w:p w14:paraId="2A5C99BB">
            <w:pPr>
              <w:pStyle w:val="26"/>
              <w:keepNext w:val="0"/>
              <w:keepLines w:val="0"/>
              <w:suppressLineNumbers w:val="0"/>
              <w:ind w:left="0" w:right="0"/>
              <w:rPr>
                <w:rFonts w:hint="default"/>
                <w:color w:val="auto"/>
              </w:rPr>
            </w:pPr>
          </w:p>
          <w:p w14:paraId="1B6938AC">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20" w:firstLineChars="200"/>
              <w:textAlignment w:val="auto"/>
              <w:rPr>
                <w:rFonts w:hint="default" w:ascii="Times New Roman" w:hAnsi="Times New Roman" w:eastAsia="宋体" w:cs="Times New Roman"/>
                <w:b/>
                <w:bCs/>
                <w:color w:val="auto"/>
                <w:kern w:val="0"/>
                <w:sz w:val="24"/>
                <w:szCs w:val="24"/>
                <w:highlight w:val="none"/>
              </w:rPr>
            </w:pPr>
            <w:r>
              <w:rPr>
                <w:rFonts w:hint="default"/>
                <w:color w:val="auto"/>
              </w:rPr>
              <mc:AlternateContent>
                <mc:Choice Requires="wps">
                  <w:drawing>
                    <wp:anchor distT="0" distB="0" distL="114300" distR="114300" simplePos="0" relativeHeight="251667456" behindDoc="0" locked="0" layoutInCell="1" allowOverlap="1">
                      <wp:simplePos x="0" y="0"/>
                      <wp:positionH relativeFrom="column">
                        <wp:posOffset>4443095</wp:posOffset>
                      </wp:positionH>
                      <wp:positionV relativeFrom="paragraph">
                        <wp:posOffset>94615</wp:posOffset>
                      </wp:positionV>
                      <wp:extent cx="6350" cy="201930"/>
                      <wp:effectExtent l="46355" t="0" r="61595" b="7620"/>
                      <wp:wrapNone/>
                      <wp:docPr id="66" name="直接连接符 114"/>
                      <wp:cNvGraphicFramePr/>
                      <a:graphic xmlns:a="http://schemas.openxmlformats.org/drawingml/2006/main">
                        <a:graphicData uri="http://schemas.microsoft.com/office/word/2010/wordprocessingShape">
                          <wps:wsp>
                            <wps:cNvCnPr/>
                            <wps:spPr>
                              <a:xfrm flipH="1">
                                <a:off x="0" y="0"/>
                                <a:ext cx="6350" cy="201930"/>
                              </a:xfrm>
                              <a:prstGeom prst="line">
                                <a:avLst/>
                              </a:prstGeom>
                              <a:ln w="9525" cap="flat" cmpd="sng">
                                <a:solidFill>
                                  <a:srgbClr val="000000"/>
                                </a:solidFill>
                                <a:prstDash val="dash"/>
                                <a:headEnd type="none" w="med" len="med"/>
                                <a:tailEnd type="arrow" w="med" len="med"/>
                              </a:ln>
                            </wps:spPr>
                            <wps:bodyPr/>
                          </wps:wsp>
                        </a:graphicData>
                      </a:graphic>
                    </wp:anchor>
                  </w:drawing>
                </mc:Choice>
                <mc:Fallback>
                  <w:pict>
                    <v:line id="直接连接符 114" o:spid="_x0000_s1026" o:spt="20" style="position:absolute;left:0pt;flip:x;margin-left:349.85pt;margin-top:7.45pt;height:15.9pt;width:0.5pt;z-index:251667456;mso-width-relative:page;mso-height-relative:page;" filled="f" stroked="t" coordsize="21600,21600" o:gfxdata="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n321nXAAAACQEAAA8AAAAAAAAAAQAgAAAAIgAAAGRycy9kb3du&#10;cmV2LnhtbFBLAQIUABQAAAAIAIdO4kDb9sYkAAIAAOcDAAAOAAAAAAAAAAEAIAAAACYBAABkcnMv&#10;ZTJvRG9jLnhtbFBLBQYAAAAABgAGAFkBAACYBQAAAAA=&#10;">
                      <v:fill on="f" focussize="0,0"/>
                      <v:stroke color="#000000" joinstyle="round" dashstyle="dash" endarrow="open"/>
                      <v:imagedata o:title=""/>
                      <o:lock v:ext="edit" aspectratio="f"/>
                    </v:line>
                  </w:pict>
                </mc:Fallback>
              </mc:AlternateContent>
            </w:r>
          </w:p>
          <w:p w14:paraId="0B702F89">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20" w:firstLineChars="200"/>
              <w:textAlignment w:val="auto"/>
              <w:rPr>
                <w:rFonts w:hint="default" w:ascii="Times New Roman" w:hAnsi="Times New Roman" w:eastAsia="宋体" w:cs="Times New Roman"/>
                <w:b/>
                <w:bCs/>
                <w:color w:val="auto"/>
                <w:kern w:val="0"/>
                <w:sz w:val="24"/>
                <w:szCs w:val="24"/>
                <w:highlight w:val="none"/>
              </w:rPr>
            </w:pPr>
            <w:r>
              <w:rPr>
                <w:rFonts w:hint="default"/>
                <w:color w:val="auto"/>
              </w:rPr>
              <mc:AlternateContent>
                <mc:Choice Requires="wps">
                  <w:drawing>
                    <wp:anchor distT="0" distB="0" distL="114300" distR="114300" simplePos="0" relativeHeight="251668480" behindDoc="0" locked="0" layoutInCell="1" allowOverlap="1">
                      <wp:simplePos x="0" y="0"/>
                      <wp:positionH relativeFrom="column">
                        <wp:posOffset>3969385</wp:posOffset>
                      </wp:positionH>
                      <wp:positionV relativeFrom="paragraph">
                        <wp:posOffset>90805</wp:posOffset>
                      </wp:positionV>
                      <wp:extent cx="926465" cy="617855"/>
                      <wp:effectExtent l="4445" t="4445" r="21590" b="6350"/>
                      <wp:wrapNone/>
                      <wp:docPr id="67" name="矩形 109"/>
                      <wp:cNvGraphicFramePr/>
                      <a:graphic xmlns:a="http://schemas.openxmlformats.org/drawingml/2006/main">
                        <a:graphicData uri="http://schemas.microsoft.com/office/word/2010/wordprocessingShape">
                          <wps:wsp>
                            <wps:cNvSpPr/>
                            <wps:spPr>
                              <a:xfrm>
                                <a:off x="0" y="0"/>
                                <a:ext cx="926465" cy="617855"/>
                              </a:xfrm>
                              <a:prstGeom prst="rect">
                                <a:avLst/>
                              </a:prstGeom>
                              <a:noFill/>
                              <a:ln w="9525" cap="flat" cmpd="sng">
                                <a:solidFill>
                                  <a:srgbClr val="000000"/>
                                </a:solidFill>
                                <a:prstDash val="dash"/>
                                <a:miter/>
                                <a:headEnd type="none" w="med" len="med"/>
                                <a:tailEnd type="none" w="med" len="med"/>
                              </a:ln>
                            </wps:spPr>
                            <wps:txbx>
                              <w:txbxContent>
                                <w:p w14:paraId="78303D9F">
                                  <w:pPr>
                                    <w:jc w:val="center"/>
                                    <w:rPr>
                                      <w:rFonts w:ascii="Times New Roman" w:hAnsi="Times New Roman" w:eastAsia="宋体" w:cs="Times New Roman"/>
                                    </w:rPr>
                                  </w:pPr>
                                  <w:r>
                                    <w:rPr>
                                      <w:rFonts w:ascii="Times New Roman" w:hAnsi="Times New Roman" w:eastAsia="宋体" w:cs="Times New Roman"/>
                                    </w:rPr>
                                    <w:t>噪声、事故废油、工频电磁场</w:t>
                                  </w:r>
                                </w:p>
                              </w:txbxContent>
                            </wps:txbx>
                            <wps:bodyPr upright="1"/>
                          </wps:wsp>
                        </a:graphicData>
                      </a:graphic>
                    </wp:anchor>
                  </w:drawing>
                </mc:Choice>
                <mc:Fallback>
                  <w:pict>
                    <v:rect id="矩形 109" o:spid="_x0000_s1026" o:spt="1" style="position:absolute;left:0pt;margin-left:312.55pt;margin-top:7.15pt;height:48.65pt;width:72.95pt;z-index:251668480;mso-width-relative:page;mso-height-relative:page;" filled="f" stroked="t" coordsize="21600,21600" o:gfxdata="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nOSq1wAAAAoBAAAPAAAAAAAAAAEAIAAAACIAAABkcnMvZG93bnJl&#10;di54bWxQSwECFAAUAAAACACHTuJAh5i5if4BAAABBAAADgAAAAAAAAABACAAAAAmAQAAZHJzL2Uy&#10;b0RvYy54bWxQSwUGAAAAAAYABgBZAQAAlgUAAAAA&#10;">
                      <v:fill on="f" focussize="0,0"/>
                      <v:stroke color="#000000" joinstyle="miter" dashstyle="dash"/>
                      <v:imagedata o:title=""/>
                      <o:lock v:ext="edit" aspectratio="f"/>
                      <v:textbox>
                        <w:txbxContent>
                          <w:p w14:paraId="78303D9F">
                            <w:pPr>
                              <w:jc w:val="center"/>
                              <w:rPr>
                                <w:rFonts w:ascii="Times New Roman" w:hAnsi="Times New Roman" w:eastAsia="宋体" w:cs="Times New Roman"/>
                              </w:rPr>
                            </w:pPr>
                            <w:r>
                              <w:rPr>
                                <w:rFonts w:ascii="Times New Roman" w:hAnsi="Times New Roman" w:eastAsia="宋体" w:cs="Times New Roman"/>
                              </w:rPr>
                              <w:t>噪声、事故废油、工频电磁场</w:t>
                            </w:r>
                          </w:p>
                        </w:txbxContent>
                      </v:textbox>
                    </v:rect>
                  </w:pict>
                </mc:Fallback>
              </mc:AlternateContent>
            </w:r>
          </w:p>
          <w:p w14:paraId="259075B8">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rPr>
            </w:pPr>
          </w:p>
          <w:p w14:paraId="2D573B22">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rPr>
            </w:pPr>
          </w:p>
          <w:p w14:paraId="3359586A">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mc:AlternateContent>
                <mc:Choice Requires="wpg">
                  <w:drawing>
                    <wp:inline distT="0" distB="0" distL="114300" distR="114300">
                      <wp:extent cx="4557395" cy="1719580"/>
                      <wp:effectExtent l="4445" t="5080" r="10160" b="8890"/>
                      <wp:docPr id="328" name="组合 328"/>
                      <wp:cNvGraphicFramePr/>
                      <a:graphic xmlns:a="http://schemas.openxmlformats.org/drawingml/2006/main">
                        <a:graphicData uri="http://schemas.microsoft.com/office/word/2010/wordprocessingGroup">
                          <wpg:wgp>
                            <wpg:cNvGrpSpPr/>
                            <wpg:grpSpPr>
                              <a:xfrm>
                                <a:off x="0" y="0"/>
                                <a:ext cx="4557395" cy="1719558"/>
                                <a:chOff x="313" y="118"/>
                                <a:chExt cx="7177" cy="2262"/>
                              </a:xfrm>
                            </wpg:grpSpPr>
                            <wps:wsp>
                              <wps:cNvPr id="317" name="矩形 95"/>
                              <wps:cNvSpPr/>
                              <wps:spPr>
                                <a:xfrm>
                                  <a:off x="313" y="118"/>
                                  <a:ext cx="5580" cy="960"/>
                                </a:xfrm>
                                <a:prstGeom prst="rect">
                                  <a:avLst/>
                                </a:prstGeom>
                                <a:noFill/>
                                <a:ln w="9525" cap="flat" cmpd="sng">
                                  <a:solidFill>
                                    <a:srgbClr val="000000"/>
                                  </a:solidFill>
                                  <a:prstDash val="dashDot"/>
                                  <a:miter/>
                                  <a:headEnd type="none" w="med" len="med"/>
                                  <a:tailEnd type="none" w="med" len="med"/>
                                </a:ln>
                              </wps:spPr>
                              <wps:txbx>
                                <w:txbxContent>
                                  <w:p w14:paraId="222BB445"/>
                                </w:txbxContent>
                              </wps:txbx>
                              <wps:bodyPr upright="1"/>
                            </wps:wsp>
                            <wps:wsp>
                              <wps:cNvPr id="318" name="矩形 96"/>
                              <wps:cNvSpPr/>
                              <wps:spPr>
                                <a:xfrm>
                                  <a:off x="6320" y="303"/>
                                  <a:ext cx="1170" cy="495"/>
                                </a:xfrm>
                                <a:prstGeom prst="rect">
                                  <a:avLst/>
                                </a:prstGeom>
                                <a:noFill/>
                                <a:ln w="9525" cap="flat" cmpd="sng">
                                  <a:solidFill>
                                    <a:srgbClr val="000000"/>
                                  </a:solidFill>
                                  <a:prstDash val="solid"/>
                                  <a:miter/>
                                  <a:headEnd type="none" w="med" len="med"/>
                                  <a:tailEnd type="none" w="med" len="med"/>
                                </a:ln>
                              </wps:spPr>
                              <wps:txbx>
                                <w:txbxContent>
                                  <w:p w14:paraId="043842E7">
                                    <w:pPr>
                                      <w:rPr>
                                        <w:rFonts w:ascii="Times New Roman" w:hAnsi="Times New Roman" w:eastAsia="宋体" w:cs="Times New Roman"/>
                                      </w:rPr>
                                    </w:pPr>
                                    <w:r>
                                      <w:rPr>
                                        <w:rFonts w:ascii="Times New Roman" w:hAnsi="Times New Roman" w:eastAsia="宋体" w:cs="Times New Roman"/>
                                      </w:rPr>
                                      <w:t>投产使用</w:t>
                                    </w:r>
                                  </w:p>
                                </w:txbxContent>
                              </wps:txbx>
                              <wps:bodyPr upright="1"/>
                            </wps:wsp>
                            <wps:wsp>
                              <wps:cNvPr id="319" name="矩形 99"/>
                              <wps:cNvSpPr/>
                              <wps:spPr>
                                <a:xfrm>
                                  <a:off x="403" y="343"/>
                                  <a:ext cx="1160" cy="480"/>
                                </a:xfrm>
                                <a:prstGeom prst="rect">
                                  <a:avLst/>
                                </a:prstGeom>
                                <a:noFill/>
                                <a:ln w="9525" cap="flat" cmpd="sng">
                                  <a:solidFill>
                                    <a:srgbClr val="000000"/>
                                  </a:solidFill>
                                  <a:prstDash val="solid"/>
                                  <a:miter/>
                                  <a:headEnd type="none" w="med" len="med"/>
                                  <a:tailEnd type="none" w="med" len="med"/>
                                </a:ln>
                              </wps:spPr>
                              <wps:txbx>
                                <w:txbxContent>
                                  <w:p w14:paraId="5E7AD5F3">
                                    <w:pPr>
                                      <w:rPr>
                                        <w:rFonts w:ascii="Times New Roman" w:hAnsi="Times New Roman" w:eastAsia="宋体" w:cs="Times New Roman"/>
                                      </w:rPr>
                                    </w:pPr>
                                    <w:r>
                                      <w:rPr>
                                        <w:rFonts w:ascii="Times New Roman" w:hAnsi="Times New Roman" w:eastAsia="宋体" w:cs="Times New Roman"/>
                                      </w:rPr>
                                      <w:t>场地平整</w:t>
                                    </w:r>
                                  </w:p>
                                </w:txbxContent>
                              </wps:txbx>
                              <wps:bodyPr upright="1"/>
                            </wps:wsp>
                            <wps:wsp>
                              <wps:cNvPr id="320" name="矩形 102"/>
                              <wps:cNvSpPr/>
                              <wps:spPr>
                                <a:xfrm>
                                  <a:off x="4093" y="343"/>
                                  <a:ext cx="1160" cy="480"/>
                                </a:xfrm>
                                <a:prstGeom prst="rect">
                                  <a:avLst/>
                                </a:prstGeom>
                                <a:noFill/>
                                <a:ln w="9525" cap="flat" cmpd="sng">
                                  <a:solidFill>
                                    <a:srgbClr val="000000"/>
                                  </a:solidFill>
                                  <a:prstDash val="solid"/>
                                  <a:miter/>
                                  <a:headEnd type="none" w="med" len="med"/>
                                  <a:tailEnd type="none" w="med" len="med"/>
                                </a:ln>
                              </wps:spPr>
                              <wps:txbx>
                                <w:txbxContent>
                                  <w:p w14:paraId="67588D20">
                                    <w:pPr>
                                      <w:rPr>
                                        <w:rFonts w:ascii="Times New Roman" w:hAnsi="Times New Roman" w:eastAsia="宋体" w:cs="Times New Roman"/>
                                      </w:rPr>
                                    </w:pPr>
                                    <w:r>
                                      <w:rPr>
                                        <w:rFonts w:ascii="Times New Roman" w:hAnsi="Times New Roman" w:eastAsia="宋体" w:cs="Times New Roman"/>
                                      </w:rPr>
                                      <w:t>设备安装</w:t>
                                    </w:r>
                                  </w:p>
                                </w:txbxContent>
                              </wps:txbx>
                              <wps:bodyPr upright="1"/>
                            </wps:wsp>
                            <wps:wsp>
                              <wps:cNvPr id="321" name="矩形 107"/>
                              <wps:cNvSpPr/>
                              <wps:spPr>
                                <a:xfrm>
                                  <a:off x="2203" y="358"/>
                                  <a:ext cx="1160" cy="480"/>
                                </a:xfrm>
                                <a:prstGeom prst="rect">
                                  <a:avLst/>
                                </a:prstGeom>
                                <a:noFill/>
                                <a:ln w="9525" cap="flat" cmpd="sng">
                                  <a:solidFill>
                                    <a:srgbClr val="000000"/>
                                  </a:solidFill>
                                  <a:prstDash val="solid"/>
                                  <a:miter/>
                                  <a:headEnd type="none" w="med" len="med"/>
                                  <a:tailEnd type="none" w="med" len="med"/>
                                </a:ln>
                              </wps:spPr>
                              <wps:txbx>
                                <w:txbxContent>
                                  <w:p w14:paraId="5AE3AABE">
                                    <w:pPr>
                                      <w:rPr>
                                        <w:rFonts w:ascii="Times New Roman" w:hAnsi="Times New Roman" w:eastAsia="宋体" w:cs="Times New Roman"/>
                                      </w:rPr>
                                    </w:pPr>
                                    <w:r>
                                      <w:rPr>
                                        <w:rFonts w:ascii="Times New Roman" w:hAnsi="Times New Roman" w:eastAsia="宋体" w:cs="Times New Roman"/>
                                      </w:rPr>
                                      <w:t>基础建设</w:t>
                                    </w:r>
                                  </w:p>
                                </w:txbxContent>
                              </wps:txbx>
                              <wps:bodyPr upright="1"/>
                            </wps:wsp>
                            <wps:wsp>
                              <wps:cNvPr id="322" name="矩形 109"/>
                              <wps:cNvSpPr/>
                              <wps:spPr>
                                <a:xfrm>
                                  <a:off x="418" y="1798"/>
                                  <a:ext cx="4053" cy="582"/>
                                </a:xfrm>
                                <a:prstGeom prst="rect">
                                  <a:avLst/>
                                </a:prstGeom>
                                <a:noFill/>
                                <a:ln w="9525" cap="flat" cmpd="sng">
                                  <a:solidFill>
                                    <a:srgbClr val="000000"/>
                                  </a:solidFill>
                                  <a:prstDash val="dash"/>
                                  <a:miter/>
                                  <a:headEnd type="none" w="med" len="med"/>
                                  <a:tailEnd type="none" w="med" len="med"/>
                                </a:ln>
                              </wps:spPr>
                              <wps:txbx>
                                <w:txbxContent>
                                  <w:p w14:paraId="41D2E99A">
                                    <w:pPr>
                                      <w:jc w:val="center"/>
                                      <w:rPr>
                                        <w:rFonts w:ascii="Times New Roman" w:hAnsi="Times New Roman" w:eastAsia="宋体" w:cs="Times New Roman"/>
                                      </w:rPr>
                                    </w:pPr>
                                    <w:r>
                                      <w:rPr>
                                        <w:rFonts w:ascii="Times New Roman" w:hAnsi="Times New Roman" w:eastAsia="宋体" w:cs="Times New Roman"/>
                                      </w:rPr>
                                      <w:t>噪声、扬尘、施工机械燃油废气、生活污水、生活垃圾、建筑垃圾</w:t>
                                    </w:r>
                                  </w:p>
                                </w:txbxContent>
                              </wps:txbx>
                              <wps:bodyPr upright="1"/>
                            </wps:wsp>
                            <wps:wsp>
                              <wps:cNvPr id="323" name="直接连接符 114"/>
                              <wps:cNvCnPr/>
                              <wps:spPr>
                                <a:xfrm>
                                  <a:off x="3058" y="1078"/>
                                  <a:ext cx="1" cy="676"/>
                                </a:xfrm>
                                <a:prstGeom prst="line">
                                  <a:avLst/>
                                </a:prstGeom>
                                <a:ln w="9525" cap="flat" cmpd="sng">
                                  <a:solidFill>
                                    <a:srgbClr val="000000"/>
                                  </a:solidFill>
                                  <a:prstDash val="dash"/>
                                  <a:headEnd type="none" w="med" len="med"/>
                                  <a:tailEnd type="arrow" w="med" len="med"/>
                                </a:ln>
                              </wps:spPr>
                              <wps:bodyPr/>
                            </wps:wsp>
                            <wps:wsp>
                              <wps:cNvPr id="324" name="直接连接符 115"/>
                              <wps:cNvCnPr/>
                              <wps:spPr>
                                <a:xfrm flipV="1">
                                  <a:off x="5353" y="554"/>
                                  <a:ext cx="960" cy="14"/>
                                </a:xfrm>
                                <a:prstGeom prst="line">
                                  <a:avLst/>
                                </a:prstGeom>
                                <a:ln w="9525" cap="flat" cmpd="sng">
                                  <a:solidFill>
                                    <a:srgbClr val="000000"/>
                                  </a:solidFill>
                                  <a:prstDash val="solid"/>
                                  <a:headEnd type="none" w="med" len="med"/>
                                  <a:tailEnd type="arrow" w="med" len="med"/>
                                </a:ln>
                              </wps:spPr>
                              <wps:bodyPr/>
                            </wps:wsp>
                            <wps:wsp>
                              <wps:cNvPr id="325" name="直接连接符 116"/>
                              <wps:cNvCnPr/>
                              <wps:spPr>
                                <a:xfrm>
                                  <a:off x="3358" y="583"/>
                                  <a:ext cx="660" cy="0"/>
                                </a:xfrm>
                                <a:prstGeom prst="line">
                                  <a:avLst/>
                                </a:prstGeom>
                                <a:ln w="9525" cap="flat" cmpd="sng">
                                  <a:solidFill>
                                    <a:srgbClr val="000000"/>
                                  </a:solidFill>
                                  <a:prstDash val="solid"/>
                                  <a:headEnd type="none" w="med" len="med"/>
                                  <a:tailEnd type="arrow" w="med" len="med"/>
                                </a:ln>
                              </wps:spPr>
                              <wps:bodyPr/>
                            </wps:wsp>
                            <wps:wsp>
                              <wps:cNvPr id="326" name="直接连接符 145"/>
                              <wps:cNvCnPr/>
                              <wps:spPr>
                                <a:xfrm>
                                  <a:off x="1558" y="598"/>
                                  <a:ext cx="660" cy="0"/>
                                </a:xfrm>
                                <a:prstGeom prst="line">
                                  <a:avLst/>
                                </a:prstGeom>
                                <a:ln w="9525" cap="flat" cmpd="sng">
                                  <a:solidFill>
                                    <a:srgbClr val="000000"/>
                                  </a:solidFill>
                                  <a:prstDash val="solid"/>
                                  <a:headEnd type="none" w="med" len="med"/>
                                  <a:tailEnd type="arrow" w="med" len="med"/>
                                </a:ln>
                              </wps:spPr>
                              <wps:bodyPr/>
                            </wps:wsp>
                          </wpg:wgp>
                        </a:graphicData>
                      </a:graphic>
                    </wp:inline>
                  </w:drawing>
                </mc:Choice>
                <mc:Fallback>
                  <w:pict>
                    <v:group id="_x0000_s1026" o:spid="_x0000_s1026" o:spt="203" style="height:135.4pt;width:358.85pt;" coordorigin="313,118" coordsize="7177,2262" o:gfxdata="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hhA8ztYAAAAFAQAADwAAAAAAAAABACAAAAAiAAAAZHJzL2Rvd25yZXYueG1s&#10;UEsBAhQAFAAAAAgAh07iQGeFvAb7AwAA9hcAAA4AAAAAAAAAAQAgAAAAJQEAAGRycy9lMm9Eb2Mu&#10;eG1sUEsFBgAAAAAGAAYAWQEAAJIHAAAAAA==&#10;">
                      <o:lock v:ext="edit" aspectratio="f"/>
                      <v:rect id="矩形 95" o:spid="_x0000_s1026" o:spt="1" style="position:absolute;left:313;top:118;height:960;width:5580;" filled="f" stroked="t" coordsize="21600,21600" o:gfxdata="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CTC/&#10;AAAA3AAAAA8AAAAAAAAAAQAgAAAAIgAAAGRycy9kb3ducmV2LnhtbFBLAQIUABQAAAAIAIdO4kAz&#10;LwWeOwAAADkAAAAQAAAAAAAAAAEAIAAAAA4BAABkcnMvc2hhcGV4bWwueG1sUEsFBgAAAAAGAAYA&#10;WwEAALgDAAAAAA==&#10;">
                        <v:fill on="f" focussize="0,0"/>
                        <v:stroke color="#000000" joinstyle="miter" dashstyle="dashDot"/>
                        <v:imagedata o:title=""/>
                        <o:lock v:ext="edit" aspectratio="f"/>
                        <v:textbox>
                          <w:txbxContent>
                            <w:p w14:paraId="222BB445"/>
                          </w:txbxContent>
                        </v:textbox>
                      </v:rect>
                      <v:rect id="矩形 96" o:spid="_x0000_s1026" o:spt="1" style="position:absolute;left:6320;top:303;height:495;width:1170;" filled="f" stroked="t" coordsize="21600,21600" o:gfxdata="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ELyi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14:paraId="043842E7">
                              <w:pPr>
                                <w:rPr>
                                  <w:rFonts w:ascii="Times New Roman" w:hAnsi="Times New Roman" w:eastAsia="宋体" w:cs="Times New Roman"/>
                                </w:rPr>
                              </w:pPr>
                              <w:r>
                                <w:rPr>
                                  <w:rFonts w:ascii="Times New Roman" w:hAnsi="Times New Roman" w:eastAsia="宋体" w:cs="Times New Roman"/>
                                </w:rPr>
                                <w:t>投产使用</w:t>
                              </w:r>
                            </w:p>
                          </w:txbxContent>
                        </v:textbox>
                      </v:rect>
                      <v:rect id="矩形 99" o:spid="_x0000_s1026" o:spt="1" style="position:absolute;left:403;top:343;height:480;width:1160;" filled="f" stroked="t" coordsize="21600,21600" o:gfxdata="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iIqz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5E7AD5F3">
                              <w:pPr>
                                <w:rPr>
                                  <w:rFonts w:ascii="Times New Roman" w:hAnsi="Times New Roman" w:eastAsia="宋体" w:cs="Times New Roman"/>
                                </w:rPr>
                              </w:pPr>
                              <w:r>
                                <w:rPr>
                                  <w:rFonts w:ascii="Times New Roman" w:hAnsi="Times New Roman" w:eastAsia="宋体" w:cs="Times New Roman"/>
                                </w:rPr>
                                <w:t>场地平整</w:t>
                              </w:r>
                            </w:p>
                          </w:txbxContent>
                        </v:textbox>
                      </v:rect>
                      <v:rect id="矩形 102" o:spid="_x0000_s1026" o:spt="1" style="position:absolute;left:4093;top:343;height:480;width:1160;" filled="f" stroked="t" coordsize="21600,21600" o:gfxdata="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e6ZO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14:paraId="67588D20">
                              <w:pPr>
                                <w:rPr>
                                  <w:rFonts w:ascii="Times New Roman" w:hAnsi="Times New Roman" w:eastAsia="宋体" w:cs="Times New Roman"/>
                                </w:rPr>
                              </w:pPr>
                              <w:r>
                                <w:rPr>
                                  <w:rFonts w:ascii="Times New Roman" w:hAnsi="Times New Roman" w:eastAsia="宋体" w:cs="Times New Roman"/>
                                </w:rPr>
                                <w:t>设备安装</w:t>
                              </w:r>
                            </w:p>
                          </w:txbxContent>
                        </v:textbox>
                      </v:rect>
                      <v:rect id="矩形 107" o:spid="_x0000_s1026" o:spt="1" style="position:absolute;left:2203;top:358;height:480;width:1160;" filled="f" stroked="t" coordsize="21600,21600" o:gfxdata="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JMC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AE3AABE">
                              <w:pPr>
                                <w:rPr>
                                  <w:rFonts w:ascii="Times New Roman" w:hAnsi="Times New Roman" w:eastAsia="宋体" w:cs="Times New Roman"/>
                                </w:rPr>
                              </w:pPr>
                              <w:r>
                                <w:rPr>
                                  <w:rFonts w:ascii="Times New Roman" w:hAnsi="Times New Roman" w:eastAsia="宋体" w:cs="Times New Roman"/>
                                </w:rPr>
                                <w:t>基础建设</w:t>
                              </w:r>
                            </w:p>
                          </w:txbxContent>
                        </v:textbox>
                      </v:rect>
                      <v:rect id="矩形 109" o:spid="_x0000_s1026" o:spt="1" style="position:absolute;left:418;top:1798;height:582;width:4053;" filled="f" stroked="t" coordsize="21600,21600" o:gfxdata="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xQkr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textbox>
                          <w:txbxContent>
                            <w:p w14:paraId="41D2E99A">
                              <w:pPr>
                                <w:jc w:val="center"/>
                                <w:rPr>
                                  <w:rFonts w:ascii="Times New Roman" w:hAnsi="Times New Roman" w:eastAsia="宋体" w:cs="Times New Roman"/>
                                </w:rPr>
                              </w:pPr>
                              <w:r>
                                <w:rPr>
                                  <w:rFonts w:ascii="Times New Roman" w:hAnsi="Times New Roman" w:eastAsia="宋体" w:cs="Times New Roman"/>
                                </w:rPr>
                                <w:t>噪声、扬尘、施工机械燃油废气、生活污水、生活垃圾、建筑垃圾</w:t>
                              </w:r>
                            </w:p>
                          </w:txbxContent>
                        </v:textbox>
                      </v:rect>
                      <v:line id="直接连接符 114" o:spid="_x0000_s1026" o:spt="20" style="position:absolute;left:3058;top:1078;height:676;width:1;" filled="f" stroked="t" coordsize="21600,21600" o:gfxdata="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QNh4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接连接符 115" o:spid="_x0000_s1026" o:spt="20" style="position:absolute;left:5353;top:554;flip:y;height:14;width:960;" filled="f" stroked="t" coordsize="21600,21600" o:gfxdata="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dCU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16" o:spid="_x0000_s1026" o:spt="20" style="position:absolute;left:3358;top:583;height:0;width:660;" filled="f" stroked="t" coordsize="21600,21600" o:gfxdata="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CeV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45" o:spid="_x0000_s1026" o:spt="20" style="position:absolute;left:1558;top:598;height:0;width:660;" filled="f" stroked="t" coordsize="21600,21600" o:gfxdata="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Q5y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w10:wrap type="none"/>
                      <w10:anchorlock/>
                    </v:group>
                  </w:pict>
                </mc:Fallback>
              </mc:AlternateContent>
            </w:r>
          </w:p>
          <w:p w14:paraId="7A523E3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图2-1 变电站施工流程及产污节点示意图</w:t>
            </w:r>
          </w:p>
          <w:p w14:paraId="01396C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①场地平整</w:t>
            </w:r>
          </w:p>
          <w:p w14:paraId="19C32B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使用</w:t>
            </w:r>
            <w:r>
              <w:rPr>
                <w:rFonts w:hint="default" w:ascii="Times New Roman" w:hAnsi="Times New Roman" w:eastAsia="宋体" w:cs="Times New Roman"/>
                <w:color w:val="auto"/>
                <w:kern w:val="0"/>
                <w:sz w:val="24"/>
                <w:szCs w:val="24"/>
                <w:highlight w:val="none"/>
                <w:lang w:val="en-US" w:eastAsia="zh-CN"/>
              </w:rPr>
              <w:t>推土机、挖掘机等工程机械设备，对变电站规划用地进行全面的清理与整理。一方面，要清除场地内的杂草、树木</w:t>
            </w:r>
            <w:r>
              <w:rPr>
                <w:rFonts w:hint="eastAsia" w:ascii="Times New Roman" w:hAnsi="Times New Roman" w:eastAsia="宋体" w:cs="Times New Roman"/>
                <w:color w:val="auto"/>
                <w:kern w:val="0"/>
                <w:sz w:val="24"/>
                <w:szCs w:val="24"/>
                <w:highlight w:val="none"/>
                <w:lang w:val="en-US" w:eastAsia="zh-CN"/>
              </w:rPr>
              <w:t>等</w:t>
            </w:r>
            <w:r>
              <w:rPr>
                <w:rFonts w:hint="default" w:ascii="Times New Roman" w:hAnsi="Times New Roman" w:eastAsia="宋体" w:cs="Times New Roman"/>
                <w:color w:val="auto"/>
                <w:kern w:val="0"/>
                <w:sz w:val="24"/>
                <w:szCs w:val="24"/>
                <w:highlight w:val="none"/>
                <w:lang w:val="en-US" w:eastAsia="zh-CN"/>
              </w:rPr>
              <w:t>；另一方面，对地面进行挖填作业，使场地达到设计要求的平整度和坡度，为后续基础建设提供坚实且平整的作业面。在此过程中，机械设备的运转会产生噪声，土方的挖掘、搬运会引发扬尘，施工机械如挖掘机、推土机等使用燃油作为动力，会排放施工机械燃油废气。</w:t>
            </w:r>
          </w:p>
          <w:p w14:paraId="721C9D99">
            <w:pPr>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②</w:t>
            </w:r>
            <w:r>
              <w:rPr>
                <w:rFonts w:hint="eastAsia" w:ascii="Times New Roman" w:hAnsi="Times New Roman" w:eastAsia="宋体" w:cs="Times New Roman"/>
                <w:b w:val="0"/>
                <w:bCs w:val="0"/>
                <w:color w:val="auto"/>
                <w:kern w:val="0"/>
                <w:sz w:val="24"/>
                <w:szCs w:val="24"/>
                <w:highlight w:val="none"/>
                <w:lang w:val="en-US" w:eastAsia="zh-CN"/>
              </w:rPr>
              <w:t>基础建设</w:t>
            </w:r>
          </w:p>
          <w:p w14:paraId="4B44A1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在平整好的场地上，开展变电站各类设施的基础施工。首先进行基础定位放线，确定各设备基础、构支架基础等的位置。然后进行基坑开挖，根据基础类型（如独立基础、条形基础等），挖掘出符合尺寸要求的基坑。接着进行钢筋绑扎，按照设计图纸的要求，将钢筋进行合理的排布与绑扎，形成钢筋骨架。之后支设模板，模板起到成型和支撑混凝土的作用，需保证其位置准确、稳固。最后进行混凝土浇筑，将搅拌好的混凝土倒入模板内，通过振捣等工艺，使混凝土密实，形成坚实的基础结构。此阶段，混凝土搅拌、振捣设备的运行会产生噪声，混凝土运输、浇筑过程中可能会有扬尘产生，施工机械持续运转会排放燃油废气，同时施工人员的生活产生生活污水，以及施工过程中产生生活垃圾</w:t>
            </w:r>
            <w:r>
              <w:rPr>
                <w:rFonts w:hint="eastAsia" w:ascii="Times New Roman" w:hAnsi="Times New Roman" w:eastAsia="宋体" w:cs="Times New Roman"/>
                <w:color w:val="auto"/>
                <w:kern w:val="0"/>
                <w:sz w:val="24"/>
                <w:szCs w:val="24"/>
                <w:highlight w:val="none"/>
                <w:lang w:val="en-US" w:eastAsia="zh-CN"/>
              </w:rPr>
              <w:t>和建筑垃圾</w:t>
            </w:r>
            <w:r>
              <w:rPr>
                <w:rFonts w:hint="default" w:ascii="Times New Roman" w:hAnsi="Times New Roman" w:eastAsia="宋体" w:cs="Times New Roman"/>
                <w:color w:val="auto"/>
                <w:kern w:val="0"/>
                <w:sz w:val="24"/>
                <w:szCs w:val="24"/>
                <w:highlight w:val="none"/>
                <w:lang w:val="en-US" w:eastAsia="zh-CN"/>
              </w:rPr>
              <w:t>。</w:t>
            </w:r>
          </w:p>
          <w:p w14:paraId="15842E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w:t>
            </w:r>
            <w:r>
              <w:rPr>
                <w:rFonts w:hint="eastAsia" w:ascii="Times New Roman" w:hAnsi="Times New Roman" w:eastAsia="宋体" w:cs="Times New Roman"/>
                <w:color w:val="auto"/>
                <w:kern w:val="0"/>
                <w:sz w:val="24"/>
                <w:szCs w:val="24"/>
                <w:highlight w:val="none"/>
                <w:lang w:val="en-US" w:eastAsia="zh-CN"/>
              </w:rPr>
              <w:t>设备安装</w:t>
            </w:r>
          </w:p>
          <w:p w14:paraId="7B3D5A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待基础建设完成并达到设计强度后，开始进行变电站电气设备的安装工作。包括主变压器、断路器、隔离开关、互感器等核心设备的吊装、就位与调试。主变压器通常采用大型吊车进行吊装，需小心谨慎，避免碰撞损坏设备。断路器、隔离开关等设备要按照规范要求进行安装，确保其位置准确、连接牢固。设备安装过程中，各类安装工具的使用、设备的调试运行会产生噪声，设备包装材料、安装过程中产生的废料等构成建筑垃圾，同时施工人员的生活仍会产生生活污水和生活垃圾，施工机械也会持续排放燃油废气。</w:t>
            </w:r>
          </w:p>
          <w:p w14:paraId="29B258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④投产使用</w:t>
            </w:r>
          </w:p>
          <w:p w14:paraId="2A10D3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设备安装调试完毕，经过一系列的验收检测，确认变电站各项设备、系统运行正常，符合电力生产要求后，变电站正式投入使用，开始进行电力的输送与分配等工作。</w:t>
            </w:r>
          </w:p>
          <w:p w14:paraId="27AE18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w:t>
            </w:r>
            <w:r>
              <w:rPr>
                <w:rFonts w:hint="eastAsia"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w:t>
            </w:r>
            <w:r>
              <w:rPr>
                <w:rFonts w:hint="eastAsia" w:ascii="Times New Roman" w:hAnsi="Times New Roman" w:eastAsia="宋体" w:cs="Times New Roman"/>
                <w:b/>
                <w:bCs/>
                <w:color w:val="auto"/>
                <w:kern w:val="0"/>
                <w:sz w:val="24"/>
                <w:szCs w:val="24"/>
                <w:highlight w:val="none"/>
                <w:lang w:val="en-US" w:eastAsia="zh-CN"/>
              </w:rPr>
              <w:t>输电线路</w:t>
            </w:r>
            <w:r>
              <w:rPr>
                <w:rFonts w:hint="default" w:ascii="Times New Roman" w:hAnsi="Times New Roman" w:eastAsia="宋体" w:cs="Times New Roman"/>
                <w:b/>
                <w:bCs/>
                <w:color w:val="auto"/>
                <w:kern w:val="0"/>
                <w:sz w:val="24"/>
                <w:szCs w:val="24"/>
                <w:highlight w:val="none"/>
                <w:lang w:val="en-US" w:eastAsia="zh-CN"/>
              </w:rPr>
              <w:t>施工工艺</w:t>
            </w:r>
          </w:p>
          <w:p w14:paraId="50CB1C3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p>
          <w:p w14:paraId="010F87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mc:AlternateContent>
                <mc:Choice Requires="wpg">
                  <w:drawing>
                    <wp:inline distT="0" distB="0" distL="114300" distR="114300">
                      <wp:extent cx="4762500" cy="2257425"/>
                      <wp:effectExtent l="0" t="0" r="0" b="0"/>
                      <wp:docPr id="354" name="组合 354"/>
                      <wp:cNvGraphicFramePr/>
                      <a:graphic xmlns:a="http://schemas.openxmlformats.org/drawingml/2006/main">
                        <a:graphicData uri="http://schemas.microsoft.com/office/word/2010/wordprocessingGroup">
                          <wpg:wgp>
                            <wpg:cNvGrpSpPr/>
                            <wpg:grpSpPr>
                              <a:xfrm>
                                <a:off x="0" y="0"/>
                                <a:ext cx="4762500" cy="2257425"/>
                                <a:chOff x="553" y="3073"/>
                                <a:chExt cx="7500" cy="3555"/>
                              </a:xfrm>
                            </wpg:grpSpPr>
                            <wps:wsp>
                              <wps:cNvPr id="355" name="矩形 120"/>
                              <wps:cNvSpPr/>
                              <wps:spPr>
                                <a:xfrm>
                                  <a:off x="6743" y="4773"/>
                                  <a:ext cx="1160" cy="480"/>
                                </a:xfrm>
                                <a:prstGeom prst="rect">
                                  <a:avLst/>
                                </a:prstGeom>
                                <a:noFill/>
                                <a:ln w="9525" cap="flat" cmpd="sng">
                                  <a:solidFill>
                                    <a:srgbClr val="000000"/>
                                  </a:solidFill>
                                  <a:prstDash val="solid"/>
                                  <a:miter/>
                                  <a:headEnd type="none" w="med" len="med"/>
                                  <a:tailEnd type="none" w="med" len="med"/>
                                </a:ln>
                              </wps:spPr>
                              <wps:txbx>
                                <w:txbxContent>
                                  <w:p w14:paraId="3D660328">
                                    <w:pPr>
                                      <w:rPr>
                                        <w:rFonts w:ascii="Times New Roman" w:hAnsi="Times New Roman" w:eastAsia="宋体" w:cs="Times New Roman"/>
                                      </w:rPr>
                                    </w:pPr>
                                    <w:r>
                                      <w:rPr>
                                        <w:rFonts w:ascii="Times New Roman" w:hAnsi="Times New Roman" w:eastAsia="宋体" w:cs="Times New Roman"/>
                                      </w:rPr>
                                      <w:t>投产使用</w:t>
                                    </w:r>
                                  </w:p>
                                </w:txbxContent>
                              </wps:txbx>
                              <wps:bodyPr upright="1"/>
                            </wps:wsp>
                            <wps:wsp>
                              <wps:cNvPr id="356" name="矩形 122"/>
                              <wps:cNvSpPr/>
                              <wps:spPr>
                                <a:xfrm>
                                  <a:off x="703" y="4753"/>
                                  <a:ext cx="1160" cy="480"/>
                                </a:xfrm>
                                <a:prstGeom prst="rect">
                                  <a:avLst/>
                                </a:prstGeom>
                                <a:noFill/>
                                <a:ln w="9525" cap="flat" cmpd="sng">
                                  <a:solidFill>
                                    <a:srgbClr val="000000"/>
                                  </a:solidFill>
                                  <a:prstDash val="solid"/>
                                  <a:miter/>
                                  <a:headEnd type="none" w="med" len="med"/>
                                  <a:tailEnd type="none" w="med" len="med"/>
                                </a:ln>
                              </wps:spPr>
                              <wps:txbx>
                                <w:txbxContent>
                                  <w:p w14:paraId="29928F26">
                                    <w:pPr>
                                      <w:rPr>
                                        <w:rFonts w:ascii="Times New Roman" w:hAnsi="Times New Roman" w:eastAsia="宋体" w:cs="Times New Roman"/>
                                      </w:rPr>
                                    </w:pPr>
                                    <w:r>
                                      <w:rPr>
                                        <w:rFonts w:ascii="Times New Roman" w:hAnsi="Times New Roman" w:eastAsia="宋体" w:cs="Times New Roman"/>
                                      </w:rPr>
                                      <w:t>基础建设</w:t>
                                    </w:r>
                                  </w:p>
                                </w:txbxContent>
                              </wps:txbx>
                              <wps:bodyPr upright="1"/>
                            </wps:wsp>
                            <wps:wsp>
                              <wps:cNvPr id="357" name="矩形 123"/>
                              <wps:cNvSpPr/>
                              <wps:spPr>
                                <a:xfrm>
                                  <a:off x="4394" y="4773"/>
                                  <a:ext cx="1638" cy="480"/>
                                </a:xfrm>
                                <a:prstGeom prst="rect">
                                  <a:avLst/>
                                </a:prstGeom>
                                <a:noFill/>
                                <a:ln w="9525" cap="flat" cmpd="sng">
                                  <a:solidFill>
                                    <a:srgbClr val="000000"/>
                                  </a:solidFill>
                                  <a:prstDash val="solid"/>
                                  <a:miter/>
                                  <a:headEnd type="none" w="med" len="med"/>
                                  <a:tailEnd type="none" w="med" len="med"/>
                                </a:ln>
                              </wps:spPr>
                              <wps:txbx>
                                <w:txbxContent>
                                  <w:p w14:paraId="37859029">
                                    <w:pPr>
                                      <w:jc w:val="center"/>
                                      <w:rPr>
                                        <w:rFonts w:ascii="Times New Roman" w:hAnsi="Times New Roman" w:eastAsia="宋体" w:cs="Times New Roman"/>
                                      </w:rPr>
                                    </w:pPr>
                                    <w:r>
                                      <w:rPr>
                                        <w:rFonts w:ascii="Times New Roman" w:hAnsi="Times New Roman" w:eastAsia="宋体" w:cs="Times New Roman"/>
                                      </w:rPr>
                                      <w:t>输电线路架设</w:t>
                                    </w:r>
                                  </w:p>
                                </w:txbxContent>
                              </wps:txbx>
                              <wps:bodyPr upright="1"/>
                            </wps:wsp>
                            <wps:wsp>
                              <wps:cNvPr id="358" name="矩形 126"/>
                              <wps:cNvSpPr/>
                              <wps:spPr>
                                <a:xfrm>
                                  <a:off x="2503" y="4773"/>
                                  <a:ext cx="1160" cy="480"/>
                                </a:xfrm>
                                <a:prstGeom prst="rect">
                                  <a:avLst/>
                                </a:prstGeom>
                                <a:noFill/>
                                <a:ln w="9525" cap="flat" cmpd="sng">
                                  <a:solidFill>
                                    <a:srgbClr val="000000"/>
                                  </a:solidFill>
                                  <a:prstDash val="solid"/>
                                  <a:miter/>
                                  <a:headEnd type="none" w="med" len="med"/>
                                  <a:tailEnd type="none" w="med" len="med"/>
                                </a:ln>
                              </wps:spPr>
                              <wps:txbx>
                                <w:txbxContent>
                                  <w:p w14:paraId="09E98F1F">
                                    <w:pPr>
                                      <w:rPr>
                                        <w:rFonts w:ascii="Times New Roman" w:hAnsi="Times New Roman" w:eastAsia="宋体" w:cs="Times New Roman"/>
                                      </w:rPr>
                                    </w:pPr>
                                    <w:r>
                                      <w:rPr>
                                        <w:rFonts w:ascii="Times New Roman" w:hAnsi="Times New Roman" w:eastAsia="宋体" w:cs="Times New Roman"/>
                                      </w:rPr>
                                      <w:t>铁塔安装</w:t>
                                    </w:r>
                                  </w:p>
                                </w:txbxContent>
                              </wps:txbx>
                              <wps:bodyPr upright="1"/>
                            </wps:wsp>
                            <wps:wsp>
                              <wps:cNvPr id="359" name="直接连接符 127"/>
                              <wps:cNvCnPr/>
                              <wps:spPr>
                                <a:xfrm flipV="1">
                                  <a:off x="6043" y="5007"/>
                                  <a:ext cx="660" cy="1"/>
                                </a:xfrm>
                                <a:prstGeom prst="line">
                                  <a:avLst/>
                                </a:prstGeom>
                                <a:ln w="9525" cap="flat" cmpd="sng">
                                  <a:solidFill>
                                    <a:srgbClr val="000000"/>
                                  </a:solidFill>
                                  <a:prstDash val="solid"/>
                                  <a:headEnd type="none" w="med" len="med"/>
                                  <a:tailEnd type="arrow" w="med" len="med"/>
                                </a:ln>
                              </wps:spPr>
                              <wps:bodyPr/>
                            </wps:wsp>
                            <wps:wsp>
                              <wps:cNvPr id="360" name="直接连接符 128"/>
                              <wps:cNvCnPr/>
                              <wps:spPr>
                                <a:xfrm>
                                  <a:off x="1873" y="5008"/>
                                  <a:ext cx="660" cy="0"/>
                                </a:xfrm>
                                <a:prstGeom prst="line">
                                  <a:avLst/>
                                </a:prstGeom>
                                <a:ln w="9525" cap="flat" cmpd="sng">
                                  <a:solidFill>
                                    <a:srgbClr val="000000"/>
                                  </a:solidFill>
                                  <a:prstDash val="solid"/>
                                  <a:headEnd type="none" w="med" len="med"/>
                                  <a:tailEnd type="arrow" w="med" len="med"/>
                                </a:ln>
                              </wps:spPr>
                              <wps:bodyPr/>
                            </wps:wsp>
                            <wps:wsp>
                              <wps:cNvPr id="361" name="直接连接符 132"/>
                              <wps:cNvCnPr/>
                              <wps:spPr>
                                <a:xfrm>
                                  <a:off x="3718" y="5008"/>
                                  <a:ext cx="660" cy="0"/>
                                </a:xfrm>
                                <a:prstGeom prst="line">
                                  <a:avLst/>
                                </a:prstGeom>
                                <a:ln w="9525" cap="flat" cmpd="sng">
                                  <a:solidFill>
                                    <a:srgbClr val="000000"/>
                                  </a:solidFill>
                                  <a:prstDash val="solid"/>
                                  <a:headEnd type="none" w="med" len="med"/>
                                  <a:tailEnd type="arrow" w="med" len="med"/>
                                </a:ln>
                              </wps:spPr>
                              <wps:bodyPr/>
                            </wps:wsp>
                            <wps:wsp>
                              <wps:cNvPr id="362" name="矩形 133"/>
                              <wps:cNvSpPr/>
                              <wps:spPr>
                                <a:xfrm>
                                  <a:off x="553" y="4483"/>
                                  <a:ext cx="5580" cy="960"/>
                                </a:xfrm>
                                <a:prstGeom prst="rect">
                                  <a:avLst/>
                                </a:prstGeom>
                                <a:noFill/>
                                <a:ln w="9525" cap="flat" cmpd="sng">
                                  <a:solidFill>
                                    <a:srgbClr val="000000"/>
                                  </a:solidFill>
                                  <a:prstDash val="dashDot"/>
                                  <a:miter/>
                                  <a:headEnd type="none" w="med" len="med"/>
                                  <a:tailEnd type="none" w="med" len="med"/>
                                </a:ln>
                              </wps:spPr>
                              <wps:bodyPr upright="1"/>
                            </wps:wsp>
                            <wps:wsp>
                              <wps:cNvPr id="363" name="矩形 135"/>
                              <wps:cNvSpPr/>
                              <wps:spPr>
                                <a:xfrm>
                                  <a:off x="6942" y="6148"/>
                                  <a:ext cx="841" cy="480"/>
                                </a:xfrm>
                                <a:prstGeom prst="rect">
                                  <a:avLst/>
                                </a:prstGeom>
                                <a:noFill/>
                                <a:ln w="9525" cap="flat" cmpd="sng">
                                  <a:solidFill>
                                    <a:srgbClr val="000000"/>
                                  </a:solidFill>
                                  <a:prstDash val="dash"/>
                                  <a:miter/>
                                  <a:headEnd type="none" w="med" len="med"/>
                                  <a:tailEnd type="none" w="med" len="med"/>
                                </a:ln>
                              </wps:spPr>
                              <wps:txbx>
                                <w:txbxContent>
                                  <w:p w14:paraId="45E9E3D0">
                                    <w:pPr>
                                      <w:jc w:val="center"/>
                                      <w:rPr>
                                        <w:rFonts w:ascii="Times New Roman" w:hAnsi="Times New Roman" w:eastAsia="宋体" w:cs="Times New Roman"/>
                                      </w:rPr>
                                    </w:pPr>
                                    <w:r>
                                      <w:rPr>
                                        <w:rFonts w:ascii="Times New Roman" w:hAnsi="Times New Roman" w:eastAsia="宋体" w:cs="Times New Roman"/>
                                      </w:rPr>
                                      <w:t>噪声</w:t>
                                    </w:r>
                                  </w:p>
                                </w:txbxContent>
                              </wps:txbx>
                              <wps:bodyPr upright="1"/>
                            </wps:wsp>
                            <wps:wsp>
                              <wps:cNvPr id="364" name="矩形 137"/>
                              <wps:cNvSpPr/>
                              <wps:spPr>
                                <a:xfrm>
                                  <a:off x="2488" y="6148"/>
                                  <a:ext cx="1620" cy="480"/>
                                </a:xfrm>
                                <a:prstGeom prst="rect">
                                  <a:avLst/>
                                </a:prstGeom>
                                <a:noFill/>
                                <a:ln w="9525" cap="flat" cmpd="sng">
                                  <a:solidFill>
                                    <a:srgbClr val="000000"/>
                                  </a:solidFill>
                                  <a:prstDash val="dash"/>
                                  <a:miter/>
                                  <a:headEnd type="none" w="med" len="med"/>
                                  <a:tailEnd type="none" w="med" len="med"/>
                                </a:ln>
                              </wps:spPr>
                              <wps:txbx>
                                <w:txbxContent>
                                  <w:p w14:paraId="7FB1BCC3">
                                    <w:pPr>
                                      <w:jc w:val="center"/>
                                      <w:rPr>
                                        <w:rFonts w:ascii="Times New Roman" w:hAnsi="Times New Roman" w:eastAsia="宋体" w:cs="Times New Roman"/>
                                      </w:rPr>
                                    </w:pPr>
                                    <w:r>
                                      <w:rPr>
                                        <w:rFonts w:ascii="Times New Roman" w:hAnsi="Times New Roman" w:eastAsia="宋体" w:cs="Times New Roman"/>
                                      </w:rPr>
                                      <w:t>固体废物</w:t>
                                    </w:r>
                                  </w:p>
                                </w:txbxContent>
                              </wps:txbx>
                              <wps:bodyPr upright="1"/>
                            </wps:wsp>
                            <wps:wsp>
                              <wps:cNvPr id="365" name="矩形 138"/>
                              <wps:cNvSpPr/>
                              <wps:spPr>
                                <a:xfrm>
                                  <a:off x="6433" y="3088"/>
                                  <a:ext cx="1620" cy="480"/>
                                </a:xfrm>
                                <a:prstGeom prst="rect">
                                  <a:avLst/>
                                </a:prstGeom>
                                <a:noFill/>
                                <a:ln w="9525" cap="flat" cmpd="sng">
                                  <a:solidFill>
                                    <a:srgbClr val="000000"/>
                                  </a:solidFill>
                                  <a:prstDash val="dash"/>
                                  <a:miter/>
                                  <a:headEnd type="none" w="med" len="med"/>
                                  <a:tailEnd type="none" w="med" len="med"/>
                                </a:ln>
                              </wps:spPr>
                              <wps:txbx>
                                <w:txbxContent>
                                  <w:p w14:paraId="4FFD78C5">
                                    <w:pPr>
                                      <w:jc w:val="center"/>
                                      <w:rPr>
                                        <w:rFonts w:ascii="Times New Roman" w:hAnsi="Times New Roman" w:eastAsia="宋体" w:cs="Times New Roman"/>
                                      </w:rPr>
                                    </w:pPr>
                                    <w:r>
                                      <w:rPr>
                                        <w:rFonts w:ascii="Times New Roman" w:hAnsi="Times New Roman" w:eastAsia="宋体" w:cs="Times New Roman"/>
                                      </w:rPr>
                                      <w:t>工频电、磁场</w:t>
                                    </w:r>
                                  </w:p>
                                </w:txbxContent>
                              </wps:txbx>
                              <wps:bodyPr upright="1"/>
                            </wps:wsp>
                            <wps:wsp>
                              <wps:cNvPr id="366" name="矩形 139"/>
                              <wps:cNvSpPr/>
                              <wps:spPr>
                                <a:xfrm>
                                  <a:off x="2114" y="3073"/>
                                  <a:ext cx="2174" cy="480"/>
                                </a:xfrm>
                                <a:prstGeom prst="rect">
                                  <a:avLst/>
                                </a:prstGeom>
                                <a:noFill/>
                                <a:ln w="9525" cap="flat" cmpd="sng">
                                  <a:solidFill>
                                    <a:srgbClr val="000000"/>
                                  </a:solidFill>
                                  <a:prstDash val="dash"/>
                                  <a:miter/>
                                  <a:headEnd type="none" w="med" len="med"/>
                                  <a:tailEnd type="none" w="med" len="med"/>
                                </a:ln>
                              </wps:spPr>
                              <wps:txbx>
                                <w:txbxContent>
                                  <w:p w14:paraId="6F37F894">
                                    <w:pPr>
                                      <w:jc w:val="center"/>
                                      <w:rPr>
                                        <w:rFonts w:ascii="Times New Roman" w:hAnsi="Times New Roman" w:eastAsia="宋体" w:cs="Times New Roman"/>
                                      </w:rPr>
                                    </w:pPr>
                                    <w:r>
                                      <w:rPr>
                                        <w:rFonts w:ascii="Times New Roman" w:hAnsi="Times New Roman" w:eastAsia="宋体" w:cs="Times New Roman"/>
                                      </w:rPr>
                                      <w:t>噪声、粉尘、生态</w:t>
                                    </w:r>
                                  </w:p>
                                </w:txbxContent>
                              </wps:txbx>
                              <wps:bodyPr upright="1"/>
                            </wps:wsp>
                            <wps:wsp>
                              <wps:cNvPr id="367" name="直接连接符 140"/>
                              <wps:cNvCnPr/>
                              <wps:spPr>
                                <a:xfrm>
                                  <a:off x="3208" y="5488"/>
                                  <a:ext cx="0" cy="660"/>
                                </a:xfrm>
                                <a:prstGeom prst="line">
                                  <a:avLst/>
                                </a:prstGeom>
                                <a:ln w="9525" cap="flat" cmpd="sng">
                                  <a:solidFill>
                                    <a:srgbClr val="000000"/>
                                  </a:solidFill>
                                  <a:prstDash val="dash"/>
                                  <a:headEnd type="none" w="med" len="med"/>
                                  <a:tailEnd type="arrow" w="med" len="med"/>
                                </a:ln>
                              </wps:spPr>
                              <wps:bodyPr/>
                            </wps:wsp>
                            <wps:wsp>
                              <wps:cNvPr id="368" name="直接连接符 141"/>
                              <wps:cNvCnPr/>
                              <wps:spPr>
                                <a:xfrm flipV="1">
                                  <a:off x="3178" y="3569"/>
                                  <a:ext cx="1" cy="884"/>
                                </a:xfrm>
                                <a:prstGeom prst="line">
                                  <a:avLst/>
                                </a:prstGeom>
                                <a:ln w="9525" cap="flat" cmpd="sng">
                                  <a:solidFill>
                                    <a:srgbClr val="000000"/>
                                  </a:solidFill>
                                  <a:prstDash val="dash"/>
                                  <a:headEnd type="none" w="med" len="med"/>
                                  <a:tailEnd type="arrow" w="med" len="med"/>
                                </a:ln>
                              </wps:spPr>
                              <wps:bodyPr/>
                            </wps:wsp>
                            <wps:wsp>
                              <wps:cNvPr id="369" name="直接连接符 142"/>
                              <wps:cNvCnPr/>
                              <wps:spPr>
                                <a:xfrm flipV="1">
                                  <a:off x="7318" y="3628"/>
                                  <a:ext cx="1" cy="1110"/>
                                </a:xfrm>
                                <a:prstGeom prst="line">
                                  <a:avLst/>
                                </a:prstGeom>
                                <a:ln w="9525" cap="flat" cmpd="sng">
                                  <a:solidFill>
                                    <a:srgbClr val="000000"/>
                                  </a:solidFill>
                                  <a:prstDash val="dash"/>
                                  <a:headEnd type="none" w="med" len="med"/>
                                  <a:tailEnd type="arrow" w="med" len="med"/>
                                </a:ln>
                              </wps:spPr>
                              <wps:bodyPr/>
                            </wps:wsp>
                            <wps:wsp>
                              <wps:cNvPr id="371" name="直接连接符 143"/>
                              <wps:cNvCnPr/>
                              <wps:spPr>
                                <a:xfrm>
                                  <a:off x="7333" y="5293"/>
                                  <a:ext cx="1" cy="855"/>
                                </a:xfrm>
                                <a:prstGeom prst="line">
                                  <a:avLst/>
                                </a:prstGeom>
                                <a:ln w="9525" cap="flat" cmpd="sng">
                                  <a:solidFill>
                                    <a:srgbClr val="000000"/>
                                  </a:solidFill>
                                  <a:prstDash val="dash"/>
                                  <a:headEnd type="none" w="med" len="med"/>
                                  <a:tailEnd type="arrow" w="med" len="med"/>
                                </a:ln>
                              </wps:spPr>
                              <wps:bodyPr/>
                            </wps:wsp>
                          </wpg:wgp>
                        </a:graphicData>
                      </a:graphic>
                    </wp:inline>
                  </w:drawing>
                </mc:Choice>
                <mc:Fallback>
                  <w:pict>
                    <v:group id="_x0000_s1026" o:spid="_x0000_s1026" o:spt="203" style="height:177.75pt;width:375pt;" coordorigin="553,3073" coordsize="7500,3555" o:gfxdata="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1UOdJtUAAAAFAQAADwAAAAAAAAABACAAAAAiAAAAZHJzL2Rvd25yZXYueG1sUEsBAhQAFAAA&#10;AAgAh07iQDyUXw/XBAAAeiQAAA4AAAAAAAAAAQAgAAAAJAEAAGRycy9lMm9Eb2MueG1sUEsFBgAA&#10;AAAGAAYAWQEAAG0IAAAAAA==&#10;">
                      <o:lock v:ext="edit" aspectratio="f"/>
                      <v:rect id="矩形 120" o:spid="_x0000_s1026" o:spt="1" style="position:absolute;left:6743;top:4773;height:480;width:1160;" filled="f" stroked="t" coordsize="21600,21600" o:gfxdata="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85d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D660328">
                              <w:pPr>
                                <w:rPr>
                                  <w:rFonts w:ascii="Times New Roman" w:hAnsi="Times New Roman" w:eastAsia="宋体" w:cs="Times New Roman"/>
                                </w:rPr>
                              </w:pPr>
                              <w:r>
                                <w:rPr>
                                  <w:rFonts w:ascii="Times New Roman" w:hAnsi="Times New Roman" w:eastAsia="宋体" w:cs="Times New Roman"/>
                                </w:rPr>
                                <w:t>投产使用</w:t>
                              </w:r>
                            </w:p>
                          </w:txbxContent>
                        </v:textbox>
                      </v:rect>
                      <v:rect id="矩形 122" o:spid="_x0000_s1026" o:spt="1" style="position:absolute;left:703;top:4753;height:480;width:1160;" filled="f" stroked="t" coordsize="21600,21600" o:gfxdata="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acB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9928F26">
                              <w:pPr>
                                <w:rPr>
                                  <w:rFonts w:ascii="Times New Roman" w:hAnsi="Times New Roman" w:eastAsia="宋体" w:cs="Times New Roman"/>
                                </w:rPr>
                              </w:pPr>
                              <w:r>
                                <w:rPr>
                                  <w:rFonts w:ascii="Times New Roman" w:hAnsi="Times New Roman" w:eastAsia="宋体" w:cs="Times New Roman"/>
                                </w:rPr>
                                <w:t>基础建设</w:t>
                              </w:r>
                            </w:p>
                          </w:txbxContent>
                        </v:textbox>
                      </v:rect>
                      <v:rect id="矩形 123" o:spid="_x0000_s1026" o:spt="1" style="position:absolute;left:4394;top:4773;height:480;width:1638;" filled="f" stroked="t" coordsize="21600,21600" o:gfxdata="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Cm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7859029">
                              <w:pPr>
                                <w:jc w:val="center"/>
                                <w:rPr>
                                  <w:rFonts w:ascii="Times New Roman" w:hAnsi="Times New Roman" w:eastAsia="宋体" w:cs="Times New Roman"/>
                                </w:rPr>
                              </w:pPr>
                              <w:r>
                                <w:rPr>
                                  <w:rFonts w:ascii="Times New Roman" w:hAnsi="Times New Roman" w:eastAsia="宋体" w:cs="Times New Roman"/>
                                </w:rPr>
                                <w:t>输电线路架设</w:t>
                              </w:r>
                            </w:p>
                          </w:txbxContent>
                        </v:textbox>
                      </v:rect>
                      <v:rect id="矩形 126" o:spid="_x0000_s1026" o:spt="1" style="position:absolute;left:2503;top:4773;height:480;width:1160;" filled="f" stroked="t" coordsize="21600,21600" o:gfxdata="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6W6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09E98F1F">
                              <w:pPr>
                                <w:rPr>
                                  <w:rFonts w:ascii="Times New Roman" w:hAnsi="Times New Roman" w:eastAsia="宋体" w:cs="Times New Roman"/>
                                </w:rPr>
                              </w:pPr>
                              <w:r>
                                <w:rPr>
                                  <w:rFonts w:ascii="Times New Roman" w:hAnsi="Times New Roman" w:eastAsia="宋体" w:cs="Times New Roman"/>
                                </w:rPr>
                                <w:t>铁塔安装</w:t>
                              </w:r>
                            </w:p>
                          </w:txbxContent>
                        </v:textbox>
                      </v:rect>
                      <v:line id="直接连接符 127" o:spid="_x0000_s1026" o:spt="20" style="position:absolute;left:6043;top:5007;flip:y;height:1;width:660;" filled="f" stroked="t" coordsize="21600,21600" o:gfxdata="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a1a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接连接符 128" o:spid="_x0000_s1026" o:spt="20" style="position:absolute;left:1873;top:5008;height:0;width:660;" filled="f" stroked="t" coordsize="21600,21600" o:gfxdata="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9jC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接连接符 132" o:spid="_x0000_s1026" o:spt="20" style="position:absolute;left:3718;top:5008;height:0;width:660;" filled="f" stroked="t" coordsize="21600,21600" o:gfxdata="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Txp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矩形 133" o:spid="_x0000_s1026" o:spt="1" style="position:absolute;left:553;top:4483;height:960;width:5580;" filled="f" stroked="t" coordsize="21600,21600" o:gfxdata="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HZ1b4A&#10;AADcAAAADwAAAAAAAAABACAAAAAiAAAAZHJzL2Rvd25yZXYueG1sUEsBAhQAFAAAAAgAh07iQDMv&#10;BZ47AAAAOQAAABAAAAAAAAAAAQAgAAAADQEAAGRycy9zaGFwZXhtbC54bWxQSwUGAAAAAAYABgBb&#10;AQAAtwMAAAAA&#10;">
                        <v:fill on="f" focussize="0,0"/>
                        <v:stroke color="#000000" joinstyle="miter" dashstyle="dashDot"/>
                        <v:imagedata o:title=""/>
                        <o:lock v:ext="edit" aspectratio="f"/>
                      </v:rect>
                      <v:rect id="矩形 135" o:spid="_x0000_s1026" o:spt="1" style="position:absolute;left:6942;top:6148;height:480;width:841;" filled="f" stroked="t" coordsize="21600,21600" o:gfxdata="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pMyb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textbox>
                          <w:txbxContent>
                            <w:p w14:paraId="45E9E3D0">
                              <w:pPr>
                                <w:jc w:val="center"/>
                                <w:rPr>
                                  <w:rFonts w:ascii="Times New Roman" w:hAnsi="Times New Roman" w:eastAsia="宋体" w:cs="Times New Roman"/>
                                </w:rPr>
                              </w:pPr>
                              <w:r>
                                <w:rPr>
                                  <w:rFonts w:ascii="Times New Roman" w:hAnsi="Times New Roman" w:eastAsia="宋体" w:cs="Times New Roman"/>
                                </w:rPr>
                                <w:t>噪声</w:t>
                              </w:r>
                            </w:p>
                          </w:txbxContent>
                        </v:textbox>
                      </v:rect>
                      <v:rect id="矩形 137" o:spid="_x0000_s1026" o:spt="1" style="position:absolute;left:2488;top:6148;height:480;width:1620;" filled="f" stroked="t" coordsize="21600,21600" o:gfxdata="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PUvb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textbox>
                          <w:txbxContent>
                            <w:p w14:paraId="7FB1BCC3">
                              <w:pPr>
                                <w:jc w:val="center"/>
                                <w:rPr>
                                  <w:rFonts w:ascii="Times New Roman" w:hAnsi="Times New Roman" w:eastAsia="宋体" w:cs="Times New Roman"/>
                                </w:rPr>
                              </w:pPr>
                              <w:r>
                                <w:rPr>
                                  <w:rFonts w:ascii="Times New Roman" w:hAnsi="Times New Roman" w:eastAsia="宋体" w:cs="Times New Roman"/>
                                </w:rPr>
                                <w:t>固体废物</w:t>
                              </w:r>
                            </w:p>
                          </w:txbxContent>
                        </v:textbox>
                      </v:rect>
                      <v:rect id="矩形 138" o:spid="_x0000_s1026" o:spt="1" style="position:absolute;left:6433;top:3088;height:480;width:1620;" filled="f" stroked="t" coordsize="21600,21600" o:gfxdata="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9xJr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textbox>
                          <w:txbxContent>
                            <w:p w14:paraId="4FFD78C5">
                              <w:pPr>
                                <w:jc w:val="center"/>
                                <w:rPr>
                                  <w:rFonts w:ascii="Times New Roman" w:hAnsi="Times New Roman" w:eastAsia="宋体" w:cs="Times New Roman"/>
                                </w:rPr>
                              </w:pPr>
                              <w:r>
                                <w:rPr>
                                  <w:rFonts w:ascii="Times New Roman" w:hAnsi="Times New Roman" w:eastAsia="宋体" w:cs="Times New Roman"/>
                                </w:rPr>
                                <w:t>工频电、磁场</w:t>
                              </w:r>
                            </w:p>
                          </w:txbxContent>
                        </v:textbox>
                      </v:rect>
                      <v:rect id="矩形 139" o:spid="_x0000_s1026" o:spt="1" style="position:absolute;left:2114;top:3073;height:480;width:2174;" filled="f" stroked="t" coordsize="21600,21600" o:gfxdata="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3vUbsAAADc&#10;AAAADwAAAAAAAAABACAAAAAiAAAAZHJzL2Rvd25yZXYueG1sUEsBAhQAFAAAAAgAh07iQDMvBZ47&#10;AAAAOQAAABAAAAAAAAAAAQAgAAAACgEAAGRycy9zaGFwZXhtbC54bWxQSwUGAAAAAAYABgBbAQAA&#10;tAMAAAAA&#10;">
                        <v:fill on="f" focussize="0,0"/>
                        <v:stroke color="#000000" joinstyle="miter" dashstyle="dash"/>
                        <v:imagedata o:title=""/>
                        <o:lock v:ext="edit" aspectratio="f"/>
                        <v:textbox>
                          <w:txbxContent>
                            <w:p w14:paraId="6F37F894">
                              <w:pPr>
                                <w:jc w:val="center"/>
                                <w:rPr>
                                  <w:rFonts w:ascii="Times New Roman" w:hAnsi="Times New Roman" w:eastAsia="宋体" w:cs="Times New Roman"/>
                                </w:rPr>
                              </w:pPr>
                              <w:r>
                                <w:rPr>
                                  <w:rFonts w:ascii="Times New Roman" w:hAnsi="Times New Roman" w:eastAsia="宋体" w:cs="Times New Roman"/>
                                </w:rPr>
                                <w:t>噪声、粉尘、生态</w:t>
                              </w:r>
                            </w:p>
                          </w:txbxContent>
                        </v:textbox>
                      </v:rect>
                      <v:line id="直接连接符 140" o:spid="_x0000_s1026" o:spt="20" style="position:absolute;left:3208;top:5488;height:660;width:0;" filled="f" stroked="t" coordsize="21600,21600" o:gfxdata="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Fnu7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line id="直接连接符 141" o:spid="_x0000_s1026" o:spt="20" style="position:absolute;left:3178;top:3569;flip:y;height:884;width:1;" filled="f" stroked="t" coordsize="21600,21600" o:gfxdata="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nVtq5AAAA3AAA&#10;AA8AAAAAAAAAAQAgAAAAIgAAAGRycy9kb3ducmV2LnhtbFBLAQIUABQAAAAIAIdO4kAzLwWeOwAA&#10;ADkAAAAQAAAAAAAAAAEAIAAAAAgBAABkcnMvc2hhcGV4bWwueG1sUEsFBgAAAAAGAAYAWwEAALID&#10;AAAAAA==&#10;">
                        <v:fill on="f" focussize="0,0"/>
                        <v:stroke color="#000000" joinstyle="round" dashstyle="dash" endarrow="open"/>
                        <v:imagedata o:title=""/>
                        <o:lock v:ext="edit" aspectratio="f"/>
                      </v:line>
                      <v:line id="直接连接符 142" o:spid="_x0000_s1026" o:spt="20" style="position:absolute;left:7318;top:3628;flip:y;height:1110;width:1;" filled="f" stroked="t" coordsize="21600,21600" o:gfxdata="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NB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接连接符 143" o:spid="_x0000_s1026" o:spt="20" style="position:absolute;left:7333;top:5293;height:855;width:1;" filled="f" stroked="t" coordsize="21600,21600" o:gfxdata="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3Mib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w10:wrap type="none"/>
                      <w10:anchorlock/>
                    </v:group>
                  </w:pict>
                </mc:Fallback>
              </mc:AlternateContent>
            </w:r>
          </w:p>
          <w:p w14:paraId="7EDDF3A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rPr>
            </w:pPr>
          </w:p>
          <w:p w14:paraId="019F79B7">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图2-2 输电线路施工流程及产污节点示意</w:t>
            </w:r>
            <w:r>
              <w:rPr>
                <w:rFonts w:hint="default" w:ascii="Times New Roman" w:hAnsi="Times New Roman"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2747010</wp:posOffset>
                      </wp:positionH>
                      <wp:positionV relativeFrom="paragraph">
                        <wp:posOffset>9314815</wp:posOffset>
                      </wp:positionV>
                      <wp:extent cx="2933065" cy="3429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2933065" cy="342900"/>
                              </a:xfrm>
                              <a:prstGeom prst="rect">
                                <a:avLst/>
                              </a:prstGeom>
                              <a:noFill/>
                              <a:ln>
                                <a:noFill/>
                              </a:ln>
                            </wps:spPr>
                            <wps:txbx>
                              <w:txbxContent>
                                <w:p w14:paraId="66A6A157">
                                  <w:pPr>
                                    <w:jc w:val="center"/>
                                    <w:rPr>
                                      <w:b/>
                                      <w:bCs/>
                                    </w:rPr>
                                  </w:pPr>
                                  <w:r>
                                    <w:rPr>
                                      <w:rFonts w:hint="eastAsia"/>
                                      <w:b/>
                                      <w:bCs/>
                                    </w:rPr>
                                    <w:t>图2-3 扩建间隔施工流程及产污节点示意图</w:t>
                                  </w:r>
                                </w:p>
                              </w:txbxContent>
                            </wps:txbx>
                            <wps:bodyPr upright="1"/>
                          </wps:wsp>
                        </a:graphicData>
                      </a:graphic>
                    </wp:anchor>
                  </w:drawing>
                </mc:Choice>
                <mc:Fallback>
                  <w:pict>
                    <v:shape id="_x0000_s1026" o:spid="_x0000_s1026" o:spt="202" type="#_x0000_t202" style="position:absolute;left:0pt;margin-left:216.3pt;margin-top:733.45pt;height:27pt;width:230.95pt;z-index:251662336;mso-width-relative:page;mso-height-relative:page;" filled="f" stroked="f" coordsize="21600,21600" o:gfxdata="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JFqO2QAAAA0BAAAPAAAAAAAAAAEAIAAAACIAAABkcnMvZG93bnJldi54bWxQSwECFAAUAAAACACH&#10;TuJArVLX9rEBAABSAwAADgAAAAAAAAABACAAAAAoAQAAZHJzL2Uyb0RvYy54bWxQSwUGAAAAAAYA&#10;BgBZAQAASwUAAAAA&#10;">
                      <v:fill on="f" focussize="0,0"/>
                      <v:stroke on="f"/>
                      <v:imagedata o:title=""/>
                      <o:lock v:ext="edit" aspectratio="f"/>
                      <v:textbox>
                        <w:txbxContent>
                          <w:p w14:paraId="66A6A157">
                            <w:pPr>
                              <w:jc w:val="center"/>
                              <w:rPr>
                                <w:b/>
                                <w:bCs/>
                              </w:rPr>
                            </w:pPr>
                            <w:r>
                              <w:rPr>
                                <w:rFonts w:hint="eastAsia"/>
                                <w:b/>
                                <w:bCs/>
                              </w:rPr>
                              <w:t>图2-3 扩建间隔施工流程及产污节点示意图</w:t>
                            </w:r>
                          </w:p>
                        </w:txbxContent>
                      </v:textbox>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2594610</wp:posOffset>
                      </wp:positionH>
                      <wp:positionV relativeFrom="paragraph">
                        <wp:posOffset>9162415</wp:posOffset>
                      </wp:positionV>
                      <wp:extent cx="2933065" cy="3429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2933065" cy="342900"/>
                              </a:xfrm>
                              <a:prstGeom prst="rect">
                                <a:avLst/>
                              </a:prstGeom>
                              <a:noFill/>
                              <a:ln>
                                <a:noFill/>
                              </a:ln>
                            </wps:spPr>
                            <wps:txbx>
                              <w:txbxContent>
                                <w:p w14:paraId="3E98CDC2">
                                  <w:pPr>
                                    <w:jc w:val="center"/>
                                    <w:rPr>
                                      <w:b/>
                                      <w:bCs/>
                                    </w:rPr>
                                  </w:pPr>
                                  <w:r>
                                    <w:rPr>
                                      <w:rFonts w:hint="eastAsia"/>
                                      <w:b/>
                                      <w:bCs/>
                                    </w:rPr>
                                    <w:t>图2-3 扩建间隔施工流程及产污节点示意图</w:t>
                                  </w:r>
                                </w:p>
                              </w:txbxContent>
                            </wps:txbx>
                            <wps:bodyPr upright="1"/>
                          </wps:wsp>
                        </a:graphicData>
                      </a:graphic>
                    </wp:anchor>
                  </w:drawing>
                </mc:Choice>
                <mc:Fallback>
                  <w:pict>
                    <v:shape id="_x0000_s1026" o:spid="_x0000_s1026" o:spt="202" type="#_x0000_t202" style="position:absolute;left:0pt;margin-left:204.3pt;margin-top:721.45pt;height:27pt;width:230.95pt;z-index:251661312;mso-width-relative:page;mso-height-relative:page;" filled="f" stroked="f" coordsize="21600,21600" o:gfxdata="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P34&#10;tNgAAAANAQAADwAAAAAAAAABACAAAAAiAAAAZHJzL2Rvd25yZXYueG1sUEsBAhQAFAAAAAgAh07i&#10;QHFE98qwAQAAUgMAAA4AAAAAAAAAAQAgAAAAJwEAAGRycy9lMm9Eb2MueG1sUEsFBgAAAAAGAAYA&#10;WQEAAEkFAAAAAA==&#10;">
                      <v:fill on="f" focussize="0,0"/>
                      <v:stroke on="f"/>
                      <v:imagedata o:title=""/>
                      <o:lock v:ext="edit" aspectratio="f"/>
                      <v:textbox>
                        <w:txbxContent>
                          <w:p w14:paraId="3E98CDC2">
                            <w:pPr>
                              <w:jc w:val="center"/>
                              <w:rPr>
                                <w:b/>
                                <w:bCs/>
                              </w:rPr>
                            </w:pPr>
                            <w:r>
                              <w:rPr>
                                <w:rFonts w:hint="eastAsia"/>
                                <w:b/>
                                <w:bCs/>
                              </w:rPr>
                              <w:t>图2-3 扩建间隔施工流程及产污节点示意图</w:t>
                            </w:r>
                          </w:p>
                        </w:txbxContent>
                      </v:textbox>
                    </v:shape>
                  </w:pict>
                </mc:Fallback>
              </mc:AlternateContent>
            </w:r>
            <w:r>
              <w:rPr>
                <w:rFonts w:hint="eastAsia" w:ascii="Times New Roman" w:hAnsi="Times New Roman" w:eastAsia="宋体" w:cs="Times New Roman"/>
                <w:b/>
                <w:bCs/>
                <w:color w:val="auto"/>
                <w:highlight w:val="none"/>
                <w:lang w:val="en-US" w:eastAsia="zh-CN"/>
              </w:rPr>
              <w:t>图</w:t>
            </w:r>
          </w:p>
          <w:p w14:paraId="4216DA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w:t>
            </w:r>
            <w:r>
              <w:rPr>
                <w:rFonts w:hint="eastAsia" w:ascii="Times New Roman" w:hAnsi="Times New Roman" w:eastAsia="宋体" w:cs="Times New Roman"/>
                <w:color w:val="auto"/>
                <w:kern w:val="0"/>
                <w:sz w:val="24"/>
                <w:szCs w:val="24"/>
                <w:highlight w:val="none"/>
                <w:lang w:val="en-US" w:eastAsia="zh-CN"/>
              </w:rPr>
              <w:t>施工准备</w:t>
            </w:r>
          </w:p>
          <w:p w14:paraId="3088C5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施工准备阶段主要进行施工备料及施工道路的建设。材料运输将充分利用现有道路，如无道路可以利用时将新修施工便道。便道施工将对地表产生抚动、破坏植被。新修施工使道依据地形采用机械与人工相结合的施工方法，对临时堆土做好挡护和苦盖。</w:t>
            </w:r>
          </w:p>
          <w:p w14:paraId="798B32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w:t>
            </w:r>
            <w:r>
              <w:rPr>
                <w:rFonts w:hint="eastAsia" w:ascii="Times New Roman" w:hAnsi="Times New Roman" w:eastAsia="宋体" w:cs="Times New Roman"/>
                <w:color w:val="auto"/>
                <w:kern w:val="0"/>
                <w:sz w:val="24"/>
                <w:szCs w:val="24"/>
                <w:highlight w:val="none"/>
                <w:lang w:val="en-US" w:eastAsia="zh-CN"/>
              </w:rPr>
              <w:t>基础施工</w:t>
            </w:r>
          </w:p>
          <w:p w14:paraId="3F2064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基础施工主要有人工开挖、机械开挖两种，剥离的表土单独堆放，并采取相应防护措施。开挖的土右方就近堆放，并采取临时防护措施。塔基基础开挖完毕后，采用汽车、人力把塔基基础浇注所需的钢材、商砼、砂石等运到塔基施工区进行基础浇注、养护。输电线路施工要尽量减小开挖范围，减少破坏原地貌面积。地质比较稳定的塔位，基础底板尽量采用以土代模的施工方法，减少土石方的开挖量。基坑开挖尽量保持坑壁成型完好。根据铁塔配置情况，结合现场实际地形进行挖方作业。基础施工中应尽量缩短基坑暴露时间，及时浇注基础，同时做好基面及基坑的排水工作。基础拆模后，回填土按要求进行分层夯实，并清除掺杂的草等杂物。</w:t>
            </w:r>
          </w:p>
          <w:p w14:paraId="0DD515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w:t>
            </w:r>
            <w:r>
              <w:rPr>
                <w:rFonts w:hint="eastAsia" w:ascii="Times New Roman" w:hAnsi="Times New Roman" w:eastAsia="宋体" w:cs="Times New Roman"/>
                <w:color w:val="auto"/>
                <w:kern w:val="0"/>
                <w:sz w:val="24"/>
                <w:szCs w:val="24"/>
                <w:highlight w:val="none"/>
                <w:lang w:val="en-US" w:eastAsia="zh-CN"/>
              </w:rPr>
              <w:t>铁塔安装</w:t>
            </w:r>
          </w:p>
          <w:p w14:paraId="404C03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铁塔安装一般采用在现场与基础对接，分解组塔型式。在实际施工过程中，根据铁塔的形式、高度、重量以及施工场地、施工设备等施工现场情况。确定正装分解组塔或倒装分解组塔。利用支立抱杆，吊装铁塔构件，抱杆通过牵引绳的连接拉动，随铁塔高度的增高而上升，各个构件顶端和底部支脚采用螺栓连接。</w:t>
            </w:r>
          </w:p>
          <w:p w14:paraId="3F9091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④</w:t>
            </w:r>
            <w:r>
              <w:rPr>
                <w:rFonts w:hint="eastAsia" w:ascii="Times New Roman" w:hAnsi="Times New Roman" w:eastAsia="宋体" w:cs="Times New Roman"/>
                <w:color w:val="auto"/>
                <w:kern w:val="0"/>
                <w:sz w:val="24"/>
                <w:szCs w:val="24"/>
                <w:highlight w:val="none"/>
                <w:lang w:val="en-US" w:eastAsia="zh-CN"/>
              </w:rPr>
              <w:t>架线</w:t>
            </w:r>
          </w:p>
          <w:p w14:paraId="2FB8D1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线路架线采用张力架线方法施工。具体施工方法为：架空地线展放及收紧、展放导引绳、牵放牵引绳、牵放导线、锚固导线、紧线临锚、附件安装、压接升空、间隔棒安装、耐张塔平衡挂线和跳线安装等。线路沿线设置牵张场，采用张力机紧线，一般以张力放线施工段作为紧线段，以直线塔作为紧线操作塔。紧线完毕后进行附件、线夹、防振金具、间隔棒等安装。</w:t>
            </w:r>
          </w:p>
          <w:p w14:paraId="2D83F204">
            <w:pPr>
              <w:pStyle w:val="12"/>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szCs w:val="24"/>
                <w:highlight w:val="none"/>
              </w:rPr>
              <w:t>2</w:t>
            </w:r>
            <w:r>
              <w:rPr>
                <w:rFonts w:hint="eastAsia" w:ascii="Times New Roman" w:eastAsia="宋体" w:cs="Times New Roman"/>
                <w:b/>
                <w:bCs/>
                <w:color w:val="auto"/>
                <w:szCs w:val="24"/>
                <w:highlight w:val="none"/>
                <w:lang w:val="en-US" w:eastAsia="zh-CN"/>
              </w:rPr>
              <w:t xml:space="preserve"> </w:t>
            </w:r>
            <w:r>
              <w:rPr>
                <w:rFonts w:hint="default" w:ascii="Times New Roman" w:hAnsi="Times New Roman" w:eastAsia="宋体" w:cs="Times New Roman"/>
                <w:b/>
                <w:bCs/>
                <w:color w:val="auto"/>
                <w:szCs w:val="24"/>
                <w:highlight w:val="none"/>
                <w:lang w:val="en-US" w:eastAsia="zh-CN"/>
              </w:rPr>
              <w:t>施工</w:t>
            </w:r>
            <w:r>
              <w:rPr>
                <w:rFonts w:hint="eastAsia" w:ascii="Times New Roman" w:eastAsia="宋体" w:cs="Times New Roman"/>
                <w:b/>
                <w:bCs/>
                <w:color w:val="auto"/>
                <w:szCs w:val="24"/>
                <w:highlight w:val="none"/>
                <w:lang w:val="en-US" w:eastAsia="zh-CN"/>
              </w:rPr>
              <w:t>组织及建设周期</w:t>
            </w:r>
          </w:p>
          <w:p w14:paraId="4776BCB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施工组织 </w:t>
            </w:r>
          </w:p>
          <w:p w14:paraId="78E9483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施工条件 </w:t>
            </w:r>
          </w:p>
          <w:p w14:paraId="674D059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①施工供水、供电 </w:t>
            </w:r>
          </w:p>
          <w:p w14:paraId="7F2EF18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变电站建筑物、输电线路施工区用水，就近从附近村镇取水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施工用电主要为变电站施工及生活用电等</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输电线路较长，施工用电相对分散，施工用</w:t>
            </w:r>
            <w:r>
              <w:rPr>
                <w:rFonts w:hint="eastAsia" w:ascii="Times New Roman" w:hAnsi="Times New Roman" w:eastAsia="宋体" w:cs="Times New Roman"/>
                <w:color w:val="auto"/>
                <w:sz w:val="24"/>
                <w:szCs w:val="24"/>
                <w:highlight w:val="none"/>
                <w:lang w:val="en-US" w:eastAsia="zh-CN"/>
              </w:rPr>
              <w:t>电从附近就近接入。</w:t>
            </w:r>
          </w:p>
          <w:p w14:paraId="047B9EB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②建筑材料</w:t>
            </w:r>
          </w:p>
          <w:p w14:paraId="4B0EEBA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本工程所用木材、柴油和汽油从</w:t>
            </w:r>
            <w:r>
              <w:rPr>
                <w:rFonts w:hint="eastAsia" w:ascii="Times New Roman" w:hAnsi="Times New Roman" w:eastAsia="宋体" w:cs="Times New Roman"/>
                <w:color w:val="auto"/>
                <w:sz w:val="24"/>
                <w:szCs w:val="24"/>
                <w:highlight w:val="none"/>
                <w:lang w:val="en-US" w:eastAsia="zh-CN"/>
              </w:rPr>
              <w:t>广灵</w:t>
            </w:r>
            <w:r>
              <w:rPr>
                <w:rFonts w:hint="default" w:ascii="Times New Roman" w:hAnsi="Times New Roman" w:eastAsia="宋体" w:cs="Times New Roman"/>
                <w:color w:val="auto"/>
                <w:sz w:val="24"/>
                <w:szCs w:val="24"/>
                <w:highlight w:val="none"/>
                <w:lang w:val="en-US" w:eastAsia="zh-CN"/>
              </w:rPr>
              <w:t>县就近购买。工程所用碎石料全部采用人工骨料，从现有社会料场购买。施工过程全部采用商品混凝土。</w:t>
            </w:r>
          </w:p>
          <w:p w14:paraId="03B9617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施工交通及总体布置 </w:t>
            </w:r>
          </w:p>
          <w:p w14:paraId="5DF4261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①施工营地</w:t>
            </w:r>
          </w:p>
          <w:p w14:paraId="5C8FD63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输电线路塔基较分散，且单个塔基施工周期短，沿线分布有村庄，因此，输电线路临时施工生活采用租用民房的方式解决</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不需单独设置。变电站施工时间较长，</w:t>
            </w:r>
            <w:r>
              <w:rPr>
                <w:rFonts w:hint="eastAsia" w:ascii="Times New Roman" w:hAnsi="Times New Roman" w:eastAsia="宋体" w:cs="Times New Roman"/>
                <w:color w:val="auto"/>
                <w:sz w:val="24"/>
                <w:szCs w:val="24"/>
                <w:highlight w:val="none"/>
                <w:lang w:val="en-US" w:eastAsia="zh-CN"/>
              </w:rPr>
              <w:t>施工营地布置在变电站</w:t>
            </w:r>
            <w:r>
              <w:rPr>
                <w:rFonts w:hint="default" w:ascii="Times New Roman" w:hAnsi="Times New Roman" w:eastAsia="宋体" w:cs="Times New Roman"/>
                <w:color w:val="auto"/>
                <w:sz w:val="24"/>
                <w:szCs w:val="24"/>
                <w:highlight w:val="none"/>
                <w:lang w:val="en-US" w:eastAsia="zh-CN"/>
              </w:rPr>
              <w:t>永久占地内，</w:t>
            </w:r>
            <w:r>
              <w:rPr>
                <w:rFonts w:hint="eastAsia" w:ascii="Times New Roman" w:hAnsi="Times New Roman" w:eastAsia="宋体" w:cs="Times New Roman"/>
                <w:color w:val="auto"/>
                <w:sz w:val="24"/>
                <w:szCs w:val="24"/>
                <w:highlight w:val="none"/>
                <w:lang w:val="en-US" w:eastAsia="zh-CN"/>
              </w:rPr>
              <w:t>不新增占地</w:t>
            </w:r>
            <w:r>
              <w:rPr>
                <w:rFonts w:hint="default" w:ascii="Times New Roman" w:hAnsi="Times New Roman" w:eastAsia="宋体" w:cs="Times New Roman"/>
                <w:color w:val="auto"/>
                <w:sz w:val="24"/>
                <w:szCs w:val="24"/>
                <w:highlight w:val="none"/>
                <w:lang w:val="en-US" w:eastAsia="zh-CN"/>
              </w:rPr>
              <w:t>。</w:t>
            </w:r>
          </w:p>
          <w:p w14:paraId="54199C1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②塔基施工区</w:t>
            </w:r>
          </w:p>
          <w:p w14:paraId="595792D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塔基施工区以单个塔基为单位零星布置。除塔基基础作为永久征地范围外，需要外扩8~ 10m作为单个塔基的临时施工场地，用来临时堆置土方、砂石料、水、材料和工具等。施工过程全部采用商品混凝土。</w:t>
            </w:r>
          </w:p>
          <w:p w14:paraId="31FC543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③牵张场</w:t>
            </w:r>
          </w:p>
          <w:p w14:paraId="507F267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为了满足施工放线需要，线路工程沿线设置有牵张场地，用于布设牵引机、张力机等大型展放线设备，同时临时堆放各类施工线型材料。牵张场平面布置包括施工通道、机械布置区、导线集放区、工具集放区、工棚布置区和标志牌布置区等，场地内不进行土建施工作业。牵张场地设置避开生态保护红线等重要区域，同时要求场地相对平坦、空旷，满足施工作业要求。线路工程沿线根据实际情况，以每隔5km～8km设置1处牵张场地，共设置5处，其中每处牵张场50m×20m。</w:t>
            </w:r>
          </w:p>
          <w:p w14:paraId="4DF2D18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牵张场选择地形平缓的场地进行施工，避免占用林地，施工过程中不破坏原始地貌，牵张场均采取直接铺设苫布铺垫的方式，使用完毕后恢复原始功能。牵张场布置形式见图2-3。</w:t>
            </w:r>
          </w:p>
          <w:p w14:paraId="726979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drawing>
                <wp:inline distT="0" distB="0" distL="114300" distR="114300">
                  <wp:extent cx="4236720" cy="2106930"/>
                  <wp:effectExtent l="0" t="0" r="11430" b="7620"/>
                  <wp:docPr id="1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pic:cNvPicPr>
                            <a:picLocks noChangeAspect="1"/>
                          </pic:cNvPicPr>
                        </pic:nvPicPr>
                        <pic:blipFill>
                          <a:blip r:embed="rId18"/>
                          <a:stretch>
                            <a:fillRect/>
                          </a:stretch>
                        </pic:blipFill>
                        <pic:spPr>
                          <a:xfrm>
                            <a:off x="0" y="0"/>
                            <a:ext cx="4236720" cy="2106930"/>
                          </a:xfrm>
                          <a:prstGeom prst="rect">
                            <a:avLst/>
                          </a:prstGeom>
                          <a:noFill/>
                          <a:ln>
                            <a:noFill/>
                          </a:ln>
                        </pic:spPr>
                      </pic:pic>
                    </a:graphicData>
                  </a:graphic>
                </wp:inline>
              </w:drawing>
            </w:r>
          </w:p>
          <w:p w14:paraId="394554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图2-</w:t>
            </w:r>
            <w:r>
              <w:rPr>
                <w:rFonts w:hint="eastAsia" w:ascii="Times New Roman" w:hAnsi="Times New Roman" w:eastAsia="宋体" w:cs="Times New Roman"/>
                <w:b/>
                <w:bCs/>
                <w:color w:val="auto"/>
                <w:kern w:val="0"/>
                <w:szCs w:val="21"/>
                <w:highlight w:val="none"/>
                <w:lang w:val="en-US" w:eastAsia="zh-CN"/>
              </w:rPr>
              <w:t xml:space="preserve">3 </w:t>
            </w:r>
            <w:r>
              <w:rPr>
                <w:rFonts w:hint="default" w:ascii="Times New Roman" w:hAnsi="Times New Roman" w:eastAsia="宋体" w:cs="Times New Roman"/>
                <w:b/>
                <w:bCs/>
                <w:color w:val="auto"/>
                <w:kern w:val="0"/>
                <w:szCs w:val="21"/>
                <w:highlight w:val="none"/>
              </w:rPr>
              <w:t>牵张场布置形式示意图</w:t>
            </w:r>
          </w:p>
          <w:p w14:paraId="6BAF068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④施工道路</w:t>
            </w:r>
          </w:p>
          <w:p w14:paraId="4D78FB7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便道为简易道路，仅临时占用，施工结束后全部恢复、不保留。工程材料的运送尽量利用现有的各种道路，为了施工和运行检修的方便，设计选线的时候尽量将输电线路靠近现有道路。根据主体设计结合现场调查，本项目铁塔施工及其他施工布置点施工期间除利用周边已有道路外，另需新建施工道路以满足建设需求，经统计共需布设简易道路 8.0km，布设简易道路路面宽 4.0m，简易道路占地面积为3.2hm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，均属于临时占地</w:t>
            </w:r>
            <w:r>
              <w:rPr>
                <w:rFonts w:hint="eastAsia" w:ascii="Times New Roman" w:hAnsi="Times New Roman" w:eastAsia="宋体" w:cs="Times New Roman"/>
                <w:color w:val="auto"/>
                <w:sz w:val="24"/>
                <w:szCs w:val="24"/>
                <w:highlight w:val="none"/>
                <w:lang w:val="en-US" w:eastAsia="zh-CN"/>
              </w:rPr>
              <w:t>。</w:t>
            </w:r>
          </w:p>
          <w:p w14:paraId="3EDB0C7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施工时序</w:t>
            </w:r>
          </w:p>
          <w:p w14:paraId="044EE3DC">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施工组织设计暂按</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个月施工期作出主要工序进度安排。拟定于202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月开始建设，至202</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月建成，项目建设周期约</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个月。</w:t>
            </w:r>
          </w:p>
          <w:p w14:paraId="37443C4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20" w:firstLineChars="200"/>
              <w:jc w:val="left"/>
              <w:textAlignment w:val="auto"/>
              <w:rPr>
                <w:rFonts w:hint="default" w:ascii="Times New Roman" w:hAnsi="Times New Roman" w:eastAsia="宋体" w:cs="Times New Roman"/>
                <w:color w:val="auto"/>
                <w:kern w:val="0"/>
                <w:szCs w:val="21"/>
                <w:highlight w:val="none"/>
              </w:rPr>
            </w:pPr>
          </w:p>
          <w:p w14:paraId="2463F10C">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420" w:lineRule="exact"/>
              <w:ind w:left="0" w:right="0" w:firstLine="420" w:firstLineChars="200"/>
              <w:jc w:val="left"/>
              <w:textAlignment w:val="auto"/>
              <w:rPr>
                <w:rFonts w:hint="default" w:ascii="Times New Roman" w:hAnsi="Times New Roman" w:eastAsia="宋体" w:cs="Times New Roman"/>
                <w:color w:val="auto"/>
                <w:kern w:val="0"/>
                <w:szCs w:val="21"/>
                <w:highlight w:val="none"/>
              </w:rPr>
            </w:pPr>
          </w:p>
        </w:tc>
      </w:tr>
      <w:tr w14:paraId="26E695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0208" w:hRule="atLeast"/>
          <w:jc w:val="center"/>
        </w:trPr>
        <w:tc>
          <w:tcPr>
            <w:tcW w:w="987" w:type="dxa"/>
            <w:tcBorders>
              <w:top w:val="single" w:color="auto" w:sz="4" w:space="0"/>
              <w:bottom w:val="single" w:color="auto" w:sz="8" w:space="0"/>
              <w:right w:val="single" w:color="auto" w:sz="4" w:space="0"/>
            </w:tcBorders>
            <w:vAlign w:val="center"/>
          </w:tcPr>
          <w:p w14:paraId="10D28F48">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br w:type="page"/>
            </w:r>
            <w:r>
              <w:rPr>
                <w:rFonts w:hint="default" w:ascii="Times New Roman" w:hAnsi="Times New Roman" w:eastAsia="宋体" w:cs="Times New Roman"/>
                <w:bCs/>
                <w:color w:val="auto"/>
                <w:sz w:val="24"/>
                <w:szCs w:val="24"/>
                <w:highlight w:val="none"/>
              </w:rPr>
              <w:t>其他</w:t>
            </w:r>
          </w:p>
        </w:tc>
        <w:tc>
          <w:tcPr>
            <w:tcW w:w="8592" w:type="dxa"/>
            <w:tcBorders>
              <w:top w:val="single" w:color="auto" w:sz="4" w:space="0"/>
              <w:left w:val="single" w:color="auto" w:sz="4" w:space="0"/>
            </w:tcBorders>
            <w:vAlign w:val="center"/>
          </w:tcPr>
          <w:p w14:paraId="6DC27AB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1、变电站选址</w:t>
            </w:r>
          </w:p>
          <w:p w14:paraId="70C4EA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本工程变电站站址位于</w:t>
            </w:r>
            <w:r>
              <w:rPr>
                <w:rFonts w:hint="default" w:ascii="Times New Roman" w:hAnsi="Times New Roman" w:eastAsia="宋体" w:cs="Times New Roman"/>
                <w:color w:val="auto"/>
                <w:sz w:val="24"/>
                <w:szCs w:val="24"/>
                <w:highlight w:val="none"/>
                <w:lang w:val="en-US" w:eastAsia="zh-CN"/>
              </w:rPr>
              <w:t>山西省大同市</w:t>
            </w:r>
            <w:r>
              <w:rPr>
                <w:rFonts w:hint="default" w:ascii="Times New Roman" w:hAnsi="Times New Roman" w:eastAsia="宋体" w:cs="Times New Roman"/>
                <w:color w:val="auto"/>
                <w:sz w:val="24"/>
                <w:szCs w:val="24"/>
                <w:highlight w:val="none"/>
                <w:lang w:val="zh-CN" w:eastAsia="zh-CN"/>
              </w:rPr>
              <w:t>广灵县大同市广灵县作疃镇将官庄村东南侧770m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变电站位于二期扩容园区东北侧，变电站南侧为综合楼，北侧为二期项目的220kV变电站，西侧为 6-12 数据机房，东侧为园区外 S201 省道。该位置 220kV 进线便捷，交通方便，并为数据机房供电距离较短。</w:t>
            </w:r>
            <w:r>
              <w:rPr>
                <w:rFonts w:hint="eastAsia" w:ascii="Times New Roman" w:hAnsi="Times New Roman" w:eastAsia="宋体" w:cs="Times New Roman"/>
                <w:color w:val="auto"/>
                <w:sz w:val="24"/>
                <w:szCs w:val="24"/>
                <w:highlight w:val="none"/>
                <w:lang w:val="en-US" w:eastAsia="zh-CN"/>
              </w:rPr>
              <w:t>根据《大同数据中心扩展期国有建设用地使用权出让合同》，本变电站占地类型为工业用地。</w:t>
            </w:r>
          </w:p>
          <w:p w14:paraId="6AE033F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2、输电线路比选</w:t>
            </w:r>
          </w:p>
          <w:p w14:paraId="4C76493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本工程为火山云太行算力中心二期扩容项目，包含两期 220kV 线路工程方案。</w:t>
            </w:r>
          </w:p>
          <w:p w14:paraId="687783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（1）过渡方案</w:t>
            </w:r>
          </w:p>
          <w:p w14:paraId="5C3FC23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火山云太行算力中心二期扩容项目新建 220kV 变电站 1 座，“π”入火山云二期至壶泉站的 220kV 线路，新建线路全长 2×0.5km，全线单回路架设，曲折系数 1.25（航空距离0.4km），线路途经大同市广灵县，沿线海拔 1000-1300m，所经地区主要为平地和一般山地，交通条件相对便利。</w:t>
            </w:r>
          </w:p>
          <w:p w14:paraId="4117A7C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（2）终期方案</w:t>
            </w:r>
          </w:p>
          <w:p w14:paraId="3789ECA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1）比选方案</w:t>
            </w:r>
          </w:p>
          <w:p w14:paraId="0B2606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南方案：火山云太行算力中心二期扩容项目220kV外送线路工程，线路起于拟建大同东500kV变电站，止于拟建二期扩容220kV变电站与二期220kV变电站，新建线路全长2×21.5km，全线同塔双回路架设，曲折系数 1.27（航空距离 17km），线路途经大同市广灵县，沿线海拔 1000-1300mm，所经地区主要为平地和一般山地，交通条件相对便利。</w:t>
            </w:r>
          </w:p>
          <w:p w14:paraId="2A8D18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线路起于500kV大同东站西侧出线，然后向南跨越S36广源高速公路（S36+26\S36+27）后，继续向南架设，通过电缆钻越220kV甸泉线与220kV平泉Ⅰ、Ⅱ线后，并行至白庄村东侧，接着向南架设至北土岭村东南侧，接着向东转向绕行风电场区及跨越220kV线路，继续向东架设至憨崖洼村东北侧，通过电缆钻越壶泉站-火山云二期变电站线路及壶泉站-灵丘线路，然后向东架设沿S201道路东侧至火山云二期新扩建 220kV 变电站及火山云二期220kV 变电站。</w:t>
            </w:r>
          </w:p>
          <w:p w14:paraId="06F9C06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北方案：火山云太行算力中心二期扩容项目220kV外送线路工程，线路起于拟建大同东500kV 变电站，止于拟建二期扩容220kV变电站与二期220kV变电站，新建线路全长2×21.5km，全线同塔双回路架设，曲折系数1.23（航空距离17km），线路途经大同市广灵县，沿线海拔 1000-1300mm，所经地区主要为平地和一般山地，交通条件相对便利。</w:t>
            </w:r>
          </w:p>
          <w:p w14:paraId="4D5AE2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线路起于500kV大同东站西侧出线，沿梁庄西堡村南侧与广源高速廊道内向东架设，至风场处绕行风电场区，同时从广源高速隧道上方跨越高速；之后跨越新能源线路，接着向东架设至杨窑村西南侧，向南转向架设至国道 G239 南侧继续向东架设，至壶流河北岸西河洼村南侧；向南架设沿 S201 架设至火山云二期及二期扩容项目新建变电站。</w:t>
            </w:r>
          </w:p>
          <w:p w14:paraId="0213E6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2）方案对比</w:t>
            </w:r>
          </w:p>
          <w:p w14:paraId="040A98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南、北方案的技术指标对比如表2-10所示。</w:t>
            </w:r>
          </w:p>
          <w:p w14:paraId="53EE0D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Arial" w:hAnsi="Arial" w:cs="Arial"/>
                <w:color w:val="auto"/>
                <w:kern w:val="0"/>
                <w:sz w:val="21"/>
                <w:szCs w:val="21"/>
              </w:rPr>
            </w:pPr>
            <w:r>
              <w:rPr>
                <w:rFonts w:hint="eastAsia" w:ascii="Times New Roman" w:hAnsi="Times New Roman" w:eastAsia="宋体" w:cs="Times New Roman"/>
                <w:b/>
                <w:color w:val="auto"/>
                <w:kern w:val="0"/>
                <w:sz w:val="21"/>
                <w:szCs w:val="21"/>
                <w:highlight w:val="none"/>
                <w:lang w:val="en-US" w:eastAsia="zh-CN"/>
              </w:rPr>
              <w:t>表2-10 南、北方案技术对比表</w:t>
            </w:r>
            <w:r>
              <w:rPr>
                <w:rFonts w:hint="default" w:ascii="Arial" w:hAnsi="Arial" w:cs="Arial" w:eastAsiaTheme="minorEastAsia"/>
                <w:snapToGrid/>
                <w:color w:val="auto"/>
                <w:kern w:val="0"/>
                <w:sz w:val="21"/>
                <w:szCs w:val="21"/>
                <w:lang w:val="en-US" w:eastAsia="zh-CN" w:bidi="ar"/>
              </w:rPr>
              <w:t xml:space="preserve"> </w:t>
            </w:r>
          </w:p>
          <w:tbl>
            <w:tblPr>
              <w:tblStyle w:val="1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2481"/>
              <w:gridCol w:w="3097"/>
              <w:gridCol w:w="2831"/>
            </w:tblGrid>
            <w:tr w14:paraId="76BA7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1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7E9B5">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5"/>
                      <w:kern w:val="0"/>
                      <w:sz w:val="21"/>
                      <w:szCs w:val="21"/>
                      <w:lang w:val="en-US" w:eastAsia="zh-CN" w:bidi="ar"/>
                    </w:rPr>
                    <w:t>项</w:t>
                  </w:r>
                  <w:r>
                    <w:rPr>
                      <w:rFonts w:hint="default" w:ascii="Times New Roman" w:hAnsi="Times New Roman" w:eastAsia="宋体" w:cs="Times New Roman"/>
                      <w:snapToGrid/>
                      <w:color w:val="auto"/>
                      <w:spacing w:val="75"/>
                      <w:w w:val="101"/>
                      <w:kern w:val="0"/>
                      <w:sz w:val="21"/>
                      <w:szCs w:val="21"/>
                      <w:lang w:val="en-US" w:eastAsia="zh-CN" w:bidi="ar"/>
                    </w:rPr>
                    <w:t xml:space="preserve"> </w:t>
                  </w:r>
                  <w:r>
                    <w:rPr>
                      <w:rFonts w:hint="default" w:ascii="Times New Roman" w:hAnsi="Times New Roman" w:eastAsia="宋体" w:cs="Times New Roman"/>
                      <w:snapToGrid/>
                      <w:color w:val="auto"/>
                      <w:spacing w:val="-5"/>
                      <w:kern w:val="0"/>
                      <w:sz w:val="21"/>
                      <w:szCs w:val="21"/>
                      <w:lang w:val="en-US" w:eastAsia="zh-CN" w:bidi="ar"/>
                    </w:rPr>
                    <w:t>目</w:t>
                  </w:r>
                </w:p>
              </w:tc>
              <w:tc>
                <w:tcPr>
                  <w:tcW w:w="1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2B7E4">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3"/>
                      <w:kern w:val="0"/>
                      <w:sz w:val="21"/>
                      <w:szCs w:val="21"/>
                      <w:lang w:val="en-US" w:eastAsia="zh-CN" w:bidi="ar"/>
                    </w:rPr>
                    <w:t>北方案</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8CE7">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2"/>
                      <w:kern w:val="0"/>
                      <w:sz w:val="21"/>
                      <w:szCs w:val="21"/>
                      <w:lang w:val="en-US" w:eastAsia="zh-CN" w:bidi="ar"/>
                    </w:rPr>
                    <w:t>南方案</w:t>
                  </w:r>
                </w:p>
              </w:tc>
            </w:tr>
            <w:tr w14:paraId="3D227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61A1F">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9"/>
                      <w:kern w:val="0"/>
                      <w:sz w:val="21"/>
                      <w:szCs w:val="21"/>
                      <w:lang w:val="en-US" w:eastAsia="zh-CN" w:bidi="ar"/>
                    </w:rPr>
                    <w:t>长度(</w:t>
                  </w:r>
                  <w:r>
                    <w:rPr>
                      <w:rFonts w:hint="default" w:ascii="Times New Roman" w:hAnsi="Times New Roman" w:eastAsia="宋体" w:cs="Times New Roman"/>
                      <w:snapToGrid/>
                      <w:color w:val="auto"/>
                      <w:kern w:val="0"/>
                      <w:sz w:val="21"/>
                      <w:szCs w:val="21"/>
                      <w:lang w:val="en-US" w:eastAsia="zh-CN" w:bidi="ar"/>
                    </w:rPr>
                    <w:t>km</w:t>
                  </w:r>
                  <w:r>
                    <w:rPr>
                      <w:rFonts w:hint="default" w:ascii="Times New Roman" w:hAnsi="Times New Roman" w:eastAsia="宋体" w:cs="Times New Roman"/>
                      <w:snapToGrid/>
                      <w:color w:val="auto"/>
                      <w:spacing w:val="9"/>
                      <w:kern w:val="0"/>
                      <w:sz w:val="21"/>
                      <w:szCs w:val="21"/>
                      <w:lang w:val="en-US" w:eastAsia="zh-CN" w:bidi="ar"/>
                    </w:rPr>
                    <w:t>)</w:t>
                  </w:r>
                </w:p>
              </w:tc>
              <w:tc>
                <w:tcPr>
                  <w:tcW w:w="1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8D304">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2"/>
                      <w:kern w:val="0"/>
                      <w:sz w:val="21"/>
                      <w:szCs w:val="21"/>
                      <w:lang w:val="en-US" w:eastAsia="zh-CN" w:bidi="ar"/>
                    </w:rPr>
                    <w:t>21.5</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820D4">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2"/>
                      <w:kern w:val="0"/>
                      <w:sz w:val="21"/>
                      <w:szCs w:val="21"/>
                      <w:lang w:val="en-US" w:eastAsia="zh-CN" w:bidi="ar"/>
                    </w:rPr>
                    <w:t>21.5</w:t>
                  </w:r>
                </w:p>
              </w:tc>
            </w:tr>
            <w:tr w14:paraId="4CAF4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AB8F7">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1"/>
                      <w:kern w:val="0"/>
                      <w:sz w:val="21"/>
                      <w:szCs w:val="21"/>
                      <w:lang w:val="en-US" w:eastAsia="zh-CN" w:bidi="ar"/>
                    </w:rPr>
                    <w:t>曲折系数</w:t>
                  </w:r>
                </w:p>
              </w:tc>
              <w:tc>
                <w:tcPr>
                  <w:tcW w:w="1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06562">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4"/>
                      <w:kern w:val="0"/>
                      <w:sz w:val="21"/>
                      <w:szCs w:val="21"/>
                      <w:lang w:val="en-US" w:eastAsia="zh-CN" w:bidi="ar"/>
                    </w:rPr>
                    <w:t>1.23</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09461">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4"/>
                      <w:kern w:val="0"/>
                      <w:sz w:val="21"/>
                      <w:szCs w:val="21"/>
                      <w:lang w:val="en-US" w:eastAsia="zh-CN" w:bidi="ar"/>
                    </w:rPr>
                    <w:t>1.27</w:t>
                  </w:r>
                </w:p>
              </w:tc>
            </w:tr>
            <w:tr w14:paraId="30342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0F2A6">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2"/>
                      <w:kern w:val="0"/>
                      <w:sz w:val="21"/>
                      <w:szCs w:val="21"/>
                      <w:lang w:val="en-US" w:eastAsia="zh-CN" w:bidi="ar"/>
                    </w:rPr>
                    <w:t>主要电力线</w:t>
                  </w:r>
                </w:p>
              </w:tc>
              <w:tc>
                <w:tcPr>
                  <w:tcW w:w="1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A0AD4">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1"/>
                      <w:kern w:val="0"/>
                      <w:sz w:val="21"/>
                      <w:szCs w:val="21"/>
                      <w:lang w:val="en-US" w:eastAsia="zh-CN" w:bidi="ar"/>
                    </w:rPr>
                    <w:t>跨越220kV线路1次</w:t>
                  </w:r>
                </w:p>
                <w:p w14:paraId="77B8F8BC">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1"/>
                      <w:kern w:val="0"/>
                      <w:sz w:val="21"/>
                      <w:szCs w:val="21"/>
                      <w:lang w:val="en-US" w:eastAsia="zh-CN" w:bidi="ar"/>
                    </w:rPr>
                    <w:t>跨越110kV线路1次</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10E8A">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1"/>
                      <w:kern w:val="0"/>
                      <w:sz w:val="21"/>
                      <w:szCs w:val="21"/>
                      <w:lang w:val="en-US" w:eastAsia="zh-CN" w:bidi="ar"/>
                    </w:rPr>
                    <w:t>跨越220kV线路4次</w:t>
                  </w:r>
                </w:p>
              </w:tc>
            </w:tr>
            <w:tr w14:paraId="29DA3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690E">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1"/>
                      <w:kern w:val="0"/>
                      <w:sz w:val="21"/>
                      <w:szCs w:val="21"/>
                      <w:lang w:val="en-US" w:eastAsia="zh-CN" w:bidi="ar"/>
                    </w:rPr>
                    <w:t>跨越公路、铁路</w:t>
                  </w:r>
                </w:p>
              </w:tc>
              <w:tc>
                <w:tcPr>
                  <w:tcW w:w="1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E308C">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2"/>
                      <w:kern w:val="0"/>
                      <w:sz w:val="21"/>
                      <w:szCs w:val="21"/>
                      <w:lang w:val="en-US" w:eastAsia="zh-CN" w:bidi="ar"/>
                    </w:rPr>
                    <w:t>跨越神南线、黄南线、G239、北</w:t>
                  </w:r>
                  <w:r>
                    <w:rPr>
                      <w:rFonts w:hint="default" w:ascii="Times New Roman" w:hAnsi="Times New Roman" w:eastAsia="宋体" w:cs="Times New Roman"/>
                      <w:snapToGrid/>
                      <w:color w:val="auto"/>
                      <w:spacing w:val="14"/>
                      <w:kern w:val="0"/>
                      <w:sz w:val="21"/>
                      <w:szCs w:val="21"/>
                      <w:lang w:val="en-US" w:eastAsia="zh-CN" w:bidi="ar"/>
                    </w:rPr>
                    <w:t xml:space="preserve"> </w:t>
                  </w:r>
                  <w:r>
                    <w:rPr>
                      <w:rFonts w:hint="default" w:ascii="Times New Roman" w:hAnsi="Times New Roman" w:eastAsia="宋体" w:cs="Times New Roman"/>
                      <w:snapToGrid/>
                      <w:color w:val="auto"/>
                      <w:kern w:val="0"/>
                      <w:sz w:val="21"/>
                      <w:szCs w:val="21"/>
                      <w:lang w:val="en-US" w:eastAsia="zh-CN" w:bidi="ar"/>
                    </w:rPr>
                    <w:t>圣线、城关线、S201</w:t>
                  </w:r>
                </w:p>
              </w:tc>
              <w:tc>
                <w:tcPr>
                  <w:tcW w:w="1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07E8D">
                  <w:pPr>
                    <w:pStyle w:val="2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spacing w:val="-5"/>
                      <w:kern w:val="0"/>
                      <w:sz w:val="21"/>
                      <w:szCs w:val="21"/>
                      <w:lang w:val="en-US" w:eastAsia="zh-CN" w:bidi="ar"/>
                    </w:rPr>
                    <w:t>跨越广源高速、梁吕线、后南</w:t>
                  </w:r>
                  <w:r>
                    <w:rPr>
                      <w:rFonts w:hint="default" w:ascii="Times New Roman" w:hAnsi="Times New Roman" w:eastAsia="宋体" w:cs="Times New Roman"/>
                      <w:snapToGrid/>
                      <w:color w:val="auto"/>
                      <w:spacing w:val="8"/>
                      <w:kern w:val="0"/>
                      <w:sz w:val="21"/>
                      <w:szCs w:val="21"/>
                      <w:lang w:val="en-US" w:eastAsia="zh-CN" w:bidi="ar"/>
                    </w:rPr>
                    <w:t xml:space="preserve"> </w:t>
                  </w:r>
                  <w:r>
                    <w:rPr>
                      <w:rFonts w:hint="default" w:ascii="Times New Roman" w:hAnsi="Times New Roman" w:eastAsia="宋体" w:cs="Times New Roman"/>
                      <w:snapToGrid/>
                      <w:color w:val="auto"/>
                      <w:spacing w:val="2"/>
                      <w:kern w:val="0"/>
                      <w:sz w:val="21"/>
                      <w:szCs w:val="21"/>
                      <w:lang w:val="en-US" w:eastAsia="zh-CN" w:bidi="ar"/>
                    </w:rPr>
                    <w:t>线、马走线</w:t>
                  </w:r>
                </w:p>
              </w:tc>
            </w:tr>
          </w:tbl>
          <w:p w14:paraId="6F96307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从上表可以看出： </w:t>
            </w:r>
          </w:p>
          <w:p w14:paraId="444325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（1）从路径长度角度分析，南方案路径曲折系数较大，北方案优于南方案。</w:t>
            </w:r>
          </w:p>
          <w:p w14:paraId="46E79C8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（2）从交叉跨越情况分析，北方案跨越220kV电力线路较南方案少3次，跨越高速公路方案，北方案为隧道上方跨越较南方案路面跨越更容易取得路径协议。从交叉跨越情况分析，北方案优于南方案。</w:t>
            </w:r>
          </w:p>
          <w:p w14:paraId="50A14A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（3）从技术方面，北方案相较于南方案可减少电缆方面的投资，北方案优于南方案。</w:t>
            </w:r>
          </w:p>
          <w:p w14:paraId="6633009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（4）环境影响方面，南方案曲折系数较大，施工难度较大，施工周期长，对环境影响较大，北方案较南方案涉及的居民较少，受电磁辐射影响的敏感目标较少。</w:t>
            </w:r>
          </w:p>
          <w:p w14:paraId="3CFF35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综上所述，考虑线路建设技术经济合理、运行维护方便及协议取得情况，推荐采用北方案。</w:t>
            </w:r>
          </w:p>
          <w:p w14:paraId="25C26B17">
            <w:pPr>
              <w:pStyle w:val="26"/>
              <w:keepNext w:val="0"/>
              <w:keepLines w:val="0"/>
              <w:suppressLineNumbers w:val="0"/>
              <w:ind w:left="0" w:right="0"/>
              <w:rPr>
                <w:rFonts w:hint="default" w:ascii="Times New Roman" w:hAnsi="Times New Roman" w:eastAsia="宋体" w:cs="Times New Roman"/>
                <w:color w:val="auto"/>
                <w:sz w:val="24"/>
                <w:szCs w:val="24"/>
                <w:highlight w:val="none"/>
                <w:lang w:val="en-US" w:eastAsia="zh-CN"/>
              </w:rPr>
            </w:pPr>
          </w:p>
          <w:p w14:paraId="5EDB9A0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00C62A56">
            <w:pPr>
              <w:pStyle w:val="26"/>
              <w:keepNext w:val="0"/>
              <w:keepLines w:val="0"/>
              <w:suppressLineNumbers w:val="0"/>
              <w:ind w:left="0" w:right="0"/>
              <w:rPr>
                <w:rFonts w:hint="default" w:ascii="Times New Roman" w:hAnsi="Times New Roman" w:eastAsia="宋体" w:cs="Times New Roman"/>
                <w:color w:val="auto"/>
                <w:sz w:val="24"/>
                <w:szCs w:val="24"/>
                <w:highlight w:val="none"/>
                <w:lang w:val="en-US" w:eastAsia="zh-CN"/>
              </w:rPr>
            </w:pPr>
          </w:p>
          <w:p w14:paraId="1E740910">
            <w:pPr>
              <w:keepNext w:val="0"/>
              <w:keepLines w:val="0"/>
              <w:suppressLineNumbers w:val="0"/>
              <w:spacing w:before="0" w:beforeAutospacing="0" w:after="0" w:afterAutospacing="0"/>
              <w:ind w:left="0" w:right="0"/>
              <w:rPr>
                <w:rFonts w:hint="default"/>
                <w:color w:val="auto"/>
                <w:lang w:val="en-US" w:eastAsia="zh-CN"/>
              </w:rPr>
            </w:pPr>
          </w:p>
        </w:tc>
      </w:tr>
    </w:tbl>
    <w:p w14:paraId="6E47498A">
      <w:pPr>
        <w:wordWrap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br w:type="page"/>
      </w:r>
    </w:p>
    <w:p w14:paraId="480ADF61">
      <w:pPr>
        <w:wordWrap w:val="0"/>
        <w:jc w:val="center"/>
        <w:outlineLvl w:val="0"/>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三、生态环境现状、保护目标及评价标准</w:t>
      </w:r>
    </w:p>
    <w:tbl>
      <w:tblPr>
        <w:tblStyle w:val="28"/>
        <w:tblW w:w="93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28" w:type="dxa"/>
          <w:left w:w="85" w:type="dxa"/>
          <w:bottom w:w="28" w:type="dxa"/>
          <w:right w:w="85" w:type="dxa"/>
        </w:tblCellMar>
      </w:tblPr>
      <w:tblGrid>
        <w:gridCol w:w="704"/>
        <w:gridCol w:w="8652"/>
      </w:tblGrid>
      <w:tr w14:paraId="0C6356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4110" w:hRule="atLeast"/>
          <w:jc w:val="center"/>
        </w:trPr>
        <w:tc>
          <w:tcPr>
            <w:tcW w:w="704" w:type="dxa"/>
            <w:tcBorders>
              <w:top w:val="single" w:color="auto" w:sz="8" w:space="0"/>
              <w:bottom w:val="single" w:color="auto" w:sz="4" w:space="0"/>
              <w:right w:val="single" w:color="auto" w:sz="4" w:space="0"/>
            </w:tcBorders>
            <w:vAlign w:val="center"/>
          </w:tcPr>
          <w:p w14:paraId="43A0B264">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生态环境现状</w:t>
            </w:r>
          </w:p>
        </w:tc>
        <w:tc>
          <w:tcPr>
            <w:tcW w:w="8652" w:type="dxa"/>
            <w:tcBorders>
              <w:left w:val="single" w:color="auto" w:sz="4" w:space="0"/>
              <w:bottom w:val="single" w:color="auto" w:sz="4" w:space="0"/>
            </w:tcBorders>
            <w:vAlign w:val="top"/>
          </w:tcPr>
          <w:p w14:paraId="05F48D6D">
            <w:pPr>
              <w:keepNext w:val="0"/>
              <w:keepLines w:val="0"/>
              <w:pageBreakBefore w:val="0"/>
              <w:suppressLineNumbers w:val="0"/>
              <w:kinsoku/>
              <w:wordWrap/>
              <w:overflowPunct/>
              <w:topLinePunct w:val="0"/>
              <w:bidi w:val="0"/>
              <w:spacing w:before="0" w:beforeAutospacing="0" w:after="0" w:afterAutospacing="0" w:line="420" w:lineRule="exact"/>
              <w:ind w:left="0" w:right="0"/>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bCs w:val="0"/>
                <w:color w:val="auto"/>
                <w:kern w:val="0"/>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生态环境现状</w:t>
            </w:r>
          </w:p>
          <w:p w14:paraId="1A9EC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根据《环境影响评价技术导则 输变电》 (HJ24-2020)、《环境影响评价技术导则 生态影响》(HJ19-2022)及《生态环境状况评价技术规范(试行)》 (HJ192-2015)的要求，结合本工程生态环境现状特征及建设可能带来的生态环境影响特点，本次生态环境评价采用现场调查和图形叠置法。本次评价范围为①变电站站场边界外扩500m内的区域；②过渡方案：“π”入火山云二期至壶泉站的220kV输电线路边导线地面投影外两侧各300m内的带状区域；③终期方案：起于拟建大同东500kV汇集站，止于拟建二期扩容220kV变电站与二期220kV变电站输电线路边导线地面投影外两侧各300m内的带状区域。</w:t>
            </w:r>
          </w:p>
          <w:p w14:paraId="4D399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遥感解译使用的信息源主要为中巴地球资源卫星04星（CB04）遥感影像，全色波段影像的空间分辨率达5m，数据获取时间2025年4月，解译时间为2025年11月。利用卫星遥感图像和地理信息系统软件进行地类判读，并进行野外核实调查。影像各谱段具体用途见表3-1。</w:t>
            </w:r>
          </w:p>
          <w:p w14:paraId="3526D2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表3-1  中巴地球资源卫星04星主要技术参数</w:t>
            </w:r>
          </w:p>
          <w:tbl>
            <w:tblPr>
              <w:tblStyle w:val="27"/>
              <w:tblW w:w="83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42"/>
              <w:gridCol w:w="1985"/>
              <w:gridCol w:w="1842"/>
              <w:gridCol w:w="2634"/>
            </w:tblGrid>
            <w:tr w14:paraId="5C7D1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42" w:type="dxa"/>
                  <w:vAlign w:val="center"/>
                </w:tcPr>
                <w:p w14:paraId="2D586A7F">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传感器类型</w:t>
                  </w:r>
                </w:p>
              </w:tc>
              <w:tc>
                <w:tcPr>
                  <w:tcW w:w="1985" w:type="dxa"/>
                  <w:vAlign w:val="center"/>
                </w:tcPr>
                <w:p w14:paraId="33FA658D">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波 段（μm）</w:t>
                  </w:r>
                </w:p>
              </w:tc>
              <w:tc>
                <w:tcPr>
                  <w:tcW w:w="1842" w:type="dxa"/>
                  <w:vAlign w:val="center"/>
                </w:tcPr>
                <w:p w14:paraId="28169CC7">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分辨率</w:t>
                  </w:r>
                </w:p>
              </w:tc>
              <w:tc>
                <w:tcPr>
                  <w:tcW w:w="2634" w:type="dxa"/>
                  <w:vAlign w:val="center"/>
                </w:tcPr>
                <w:p w14:paraId="06894DDF">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幅宽</w:t>
                  </w:r>
                </w:p>
              </w:tc>
            </w:tr>
            <w:tr w14:paraId="1D063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42" w:type="dxa"/>
                  <w:vAlign w:val="center"/>
                </w:tcPr>
                <w:p w14:paraId="456B2E8C">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全色相机（PAN）</w:t>
                  </w:r>
                </w:p>
              </w:tc>
              <w:tc>
                <w:tcPr>
                  <w:tcW w:w="1985" w:type="dxa"/>
                  <w:vAlign w:val="center"/>
                </w:tcPr>
                <w:p w14:paraId="7217AEE7">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0.51-0.85</w:t>
                  </w:r>
                </w:p>
              </w:tc>
              <w:tc>
                <w:tcPr>
                  <w:tcW w:w="1842" w:type="dxa"/>
                  <w:vAlign w:val="center"/>
                </w:tcPr>
                <w:p w14:paraId="119DB64D">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5m</w:t>
                  </w:r>
                </w:p>
              </w:tc>
              <w:tc>
                <w:tcPr>
                  <w:tcW w:w="2634" w:type="dxa"/>
                  <w:vAlign w:val="center"/>
                </w:tcPr>
                <w:p w14:paraId="6A676E7A">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60km</w:t>
                  </w:r>
                </w:p>
              </w:tc>
            </w:tr>
          </w:tbl>
          <w:p w14:paraId="12E82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（1）土地利用现状调查与评价</w:t>
            </w:r>
          </w:p>
          <w:p w14:paraId="1D85B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本评价采用现场调查与GIS技术相结合的方法。在ARCGIS地理信息系统软件的支持下进行数据采集、编辑、分析，综合分析和概述评价区域内的土地利用状况。土地利用现状统计见表3-2和附图7。</w:t>
            </w:r>
          </w:p>
          <w:p w14:paraId="136364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表3-2评价范围土地利用类型统计表</w:t>
            </w:r>
          </w:p>
          <w:tbl>
            <w:tblPr>
              <w:tblStyle w:val="1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36"/>
              <w:gridCol w:w="2499"/>
              <w:gridCol w:w="2934"/>
            </w:tblGrid>
            <w:tr w14:paraId="47A5F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792" w:type="pct"/>
                  <w:vMerge w:val="restart"/>
                  <w:tcBorders>
                    <w:bottom w:val="nil"/>
                  </w:tcBorders>
                  <w:vAlign w:val="center"/>
                </w:tcPr>
                <w:p w14:paraId="7860E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土地利用类型</w:t>
                  </w:r>
                </w:p>
              </w:tc>
              <w:tc>
                <w:tcPr>
                  <w:tcW w:w="3207" w:type="pct"/>
                  <w:gridSpan w:val="2"/>
                  <w:vAlign w:val="center"/>
                </w:tcPr>
                <w:p w14:paraId="3F404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评价范围</w:t>
                  </w:r>
                </w:p>
              </w:tc>
            </w:tr>
            <w:tr w14:paraId="14E5E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792" w:type="pct"/>
                  <w:vMerge w:val="continue"/>
                  <w:tcBorders>
                    <w:top w:val="nil"/>
                  </w:tcBorders>
                  <w:vAlign w:val="center"/>
                </w:tcPr>
                <w:p w14:paraId="30208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475" w:type="pct"/>
                  <w:vAlign w:val="center"/>
                </w:tcPr>
                <w:p w14:paraId="77313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面积(hm²)</w:t>
                  </w:r>
                </w:p>
              </w:tc>
              <w:tc>
                <w:tcPr>
                  <w:tcW w:w="1731" w:type="pct"/>
                  <w:vAlign w:val="center"/>
                </w:tcPr>
                <w:p w14:paraId="5C142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比例(%)</w:t>
                  </w:r>
                </w:p>
              </w:tc>
            </w:tr>
            <w:tr w14:paraId="1E1F2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bottom"/>
                </w:tcPr>
                <w:p w14:paraId="1BBB5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采矿用地</w:t>
                  </w:r>
                </w:p>
              </w:tc>
              <w:tc>
                <w:tcPr>
                  <w:tcW w:w="2499" w:type="dxa"/>
                  <w:vAlign w:val="center"/>
                </w:tcPr>
                <w:p w14:paraId="07AEA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1.87</w:t>
                  </w:r>
                </w:p>
              </w:tc>
              <w:tc>
                <w:tcPr>
                  <w:tcW w:w="2934" w:type="dxa"/>
                  <w:vAlign w:val="center"/>
                </w:tcPr>
                <w:p w14:paraId="72CCA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0.13%</w:t>
                  </w:r>
                </w:p>
              </w:tc>
            </w:tr>
            <w:tr w14:paraId="32ED5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bottom"/>
                </w:tcPr>
                <w:p w14:paraId="4ADE1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工业用地</w:t>
                  </w:r>
                </w:p>
              </w:tc>
              <w:tc>
                <w:tcPr>
                  <w:tcW w:w="2499" w:type="dxa"/>
                  <w:vAlign w:val="center"/>
                </w:tcPr>
                <w:p w14:paraId="36F21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17.41</w:t>
                  </w:r>
                </w:p>
              </w:tc>
              <w:tc>
                <w:tcPr>
                  <w:tcW w:w="2934" w:type="dxa"/>
                  <w:vAlign w:val="center"/>
                </w:tcPr>
                <w:p w14:paraId="00A73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1.22%</w:t>
                  </w:r>
                </w:p>
              </w:tc>
            </w:tr>
            <w:tr w14:paraId="64171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3036" w:type="dxa"/>
                  <w:vAlign w:val="bottom"/>
                </w:tcPr>
                <w:p w14:paraId="51721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公路用地</w:t>
                  </w:r>
                </w:p>
              </w:tc>
              <w:tc>
                <w:tcPr>
                  <w:tcW w:w="2499" w:type="dxa"/>
                  <w:vAlign w:val="center"/>
                </w:tcPr>
                <w:p w14:paraId="77DDF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43.17</w:t>
                  </w:r>
                </w:p>
              </w:tc>
              <w:tc>
                <w:tcPr>
                  <w:tcW w:w="2934" w:type="dxa"/>
                  <w:vAlign w:val="center"/>
                </w:tcPr>
                <w:p w14:paraId="5252F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3.02%</w:t>
                  </w:r>
                </w:p>
              </w:tc>
            </w:tr>
            <w:tr w14:paraId="42394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bottom"/>
                </w:tcPr>
                <w:p w14:paraId="503E45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公用设施用地</w:t>
                  </w:r>
                </w:p>
              </w:tc>
              <w:tc>
                <w:tcPr>
                  <w:tcW w:w="2499" w:type="dxa"/>
                  <w:vAlign w:val="center"/>
                </w:tcPr>
                <w:p w14:paraId="58AB2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0.68</w:t>
                  </w:r>
                </w:p>
              </w:tc>
              <w:tc>
                <w:tcPr>
                  <w:tcW w:w="2934" w:type="dxa"/>
                  <w:vAlign w:val="center"/>
                </w:tcPr>
                <w:p w14:paraId="107E5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0.05%</w:t>
                  </w:r>
                </w:p>
              </w:tc>
            </w:tr>
            <w:tr w14:paraId="57809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036" w:type="dxa"/>
                  <w:vAlign w:val="bottom"/>
                </w:tcPr>
                <w:p w14:paraId="19F4E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沟渠</w:t>
                  </w:r>
                </w:p>
              </w:tc>
              <w:tc>
                <w:tcPr>
                  <w:tcW w:w="2499" w:type="dxa"/>
                  <w:vAlign w:val="center"/>
                </w:tcPr>
                <w:p w14:paraId="05668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24.23</w:t>
                  </w:r>
                </w:p>
              </w:tc>
              <w:tc>
                <w:tcPr>
                  <w:tcW w:w="2934" w:type="dxa"/>
                  <w:vAlign w:val="center"/>
                </w:tcPr>
                <w:p w14:paraId="416AE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1.70%</w:t>
                  </w:r>
                </w:p>
              </w:tc>
            </w:tr>
            <w:tr w14:paraId="1F8C3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3036" w:type="dxa"/>
                  <w:vAlign w:val="bottom"/>
                </w:tcPr>
                <w:p w14:paraId="656AE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灌木林地</w:t>
                  </w:r>
                </w:p>
              </w:tc>
              <w:tc>
                <w:tcPr>
                  <w:tcW w:w="2499" w:type="dxa"/>
                  <w:vAlign w:val="center"/>
                </w:tcPr>
                <w:p w14:paraId="243D8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1.16</w:t>
                  </w:r>
                </w:p>
              </w:tc>
              <w:tc>
                <w:tcPr>
                  <w:tcW w:w="2934" w:type="dxa"/>
                  <w:vAlign w:val="center"/>
                </w:tcPr>
                <w:p w14:paraId="45459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0.08%</w:t>
                  </w:r>
                </w:p>
              </w:tc>
            </w:tr>
            <w:tr w14:paraId="2CD14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3036" w:type="dxa"/>
                  <w:vAlign w:val="bottom"/>
                </w:tcPr>
                <w:p w14:paraId="17DED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果园</w:t>
                  </w:r>
                </w:p>
              </w:tc>
              <w:tc>
                <w:tcPr>
                  <w:tcW w:w="2499" w:type="dxa"/>
                  <w:vAlign w:val="center"/>
                </w:tcPr>
                <w:p w14:paraId="304C7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4.81</w:t>
                  </w:r>
                </w:p>
              </w:tc>
              <w:tc>
                <w:tcPr>
                  <w:tcW w:w="2934" w:type="dxa"/>
                  <w:vAlign w:val="center"/>
                </w:tcPr>
                <w:p w14:paraId="30D4C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0.34%</w:t>
                  </w:r>
                </w:p>
              </w:tc>
            </w:tr>
            <w:tr w14:paraId="07237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036" w:type="dxa"/>
                  <w:vAlign w:val="bottom"/>
                </w:tcPr>
                <w:p w14:paraId="04C3B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旱地</w:t>
                  </w:r>
                </w:p>
              </w:tc>
              <w:tc>
                <w:tcPr>
                  <w:tcW w:w="2499" w:type="dxa"/>
                  <w:vAlign w:val="center"/>
                </w:tcPr>
                <w:p w14:paraId="35E97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255.46</w:t>
                  </w:r>
                </w:p>
              </w:tc>
              <w:tc>
                <w:tcPr>
                  <w:tcW w:w="2934" w:type="dxa"/>
                  <w:vAlign w:val="center"/>
                </w:tcPr>
                <w:p w14:paraId="550DC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17.89%</w:t>
                  </w:r>
                </w:p>
              </w:tc>
            </w:tr>
            <w:tr w14:paraId="716A0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center"/>
                </w:tcPr>
                <w:p w14:paraId="79AF8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河流水面</w:t>
                  </w:r>
                </w:p>
              </w:tc>
              <w:tc>
                <w:tcPr>
                  <w:tcW w:w="2499" w:type="dxa"/>
                  <w:vAlign w:val="center"/>
                </w:tcPr>
                <w:p w14:paraId="65DCD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7.03</w:t>
                  </w:r>
                </w:p>
              </w:tc>
              <w:tc>
                <w:tcPr>
                  <w:tcW w:w="2934" w:type="dxa"/>
                  <w:vAlign w:val="center"/>
                </w:tcPr>
                <w:p w14:paraId="084A0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0.49%</w:t>
                  </w:r>
                </w:p>
              </w:tc>
            </w:tr>
            <w:tr w14:paraId="0D09D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3036" w:type="dxa"/>
                  <w:vAlign w:val="center"/>
                </w:tcPr>
                <w:p w14:paraId="5FA0D4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内陆滩涂</w:t>
                  </w:r>
                </w:p>
              </w:tc>
              <w:tc>
                <w:tcPr>
                  <w:tcW w:w="2499" w:type="dxa"/>
                  <w:vAlign w:val="center"/>
                </w:tcPr>
                <w:p w14:paraId="676B9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0.39</w:t>
                  </w:r>
                </w:p>
              </w:tc>
              <w:tc>
                <w:tcPr>
                  <w:tcW w:w="2934" w:type="dxa"/>
                  <w:vAlign w:val="center"/>
                </w:tcPr>
                <w:p w14:paraId="4FCE4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0.03%</w:t>
                  </w:r>
                </w:p>
              </w:tc>
            </w:tr>
            <w:tr w14:paraId="47E55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bottom"/>
                </w:tcPr>
                <w:p w14:paraId="7EA1C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农村宅基地</w:t>
                  </w:r>
                </w:p>
              </w:tc>
              <w:tc>
                <w:tcPr>
                  <w:tcW w:w="2499" w:type="dxa"/>
                  <w:vAlign w:val="center"/>
                </w:tcPr>
                <w:p w14:paraId="3E13F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30.83</w:t>
                  </w:r>
                </w:p>
              </w:tc>
              <w:tc>
                <w:tcPr>
                  <w:tcW w:w="2934" w:type="dxa"/>
                  <w:vAlign w:val="center"/>
                </w:tcPr>
                <w:p w14:paraId="6E106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2.16%</w:t>
                  </w:r>
                </w:p>
              </w:tc>
            </w:tr>
            <w:tr w14:paraId="20D1B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center"/>
                </w:tcPr>
                <w:p w14:paraId="30674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其他草地</w:t>
                  </w:r>
                </w:p>
              </w:tc>
              <w:tc>
                <w:tcPr>
                  <w:tcW w:w="2499" w:type="dxa"/>
                  <w:vAlign w:val="center"/>
                </w:tcPr>
                <w:p w14:paraId="3542B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153.81</w:t>
                  </w:r>
                </w:p>
              </w:tc>
              <w:tc>
                <w:tcPr>
                  <w:tcW w:w="2934" w:type="dxa"/>
                  <w:vAlign w:val="center"/>
                </w:tcPr>
                <w:p w14:paraId="2DB80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10.77%</w:t>
                  </w:r>
                </w:p>
              </w:tc>
            </w:tr>
            <w:tr w14:paraId="2931B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3036" w:type="dxa"/>
                  <w:vAlign w:val="center"/>
                </w:tcPr>
                <w:p w14:paraId="1A494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其他林地</w:t>
                  </w:r>
                </w:p>
              </w:tc>
              <w:tc>
                <w:tcPr>
                  <w:tcW w:w="2499" w:type="dxa"/>
                  <w:vAlign w:val="center"/>
                </w:tcPr>
                <w:p w14:paraId="425C8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22.99</w:t>
                  </w:r>
                </w:p>
              </w:tc>
              <w:tc>
                <w:tcPr>
                  <w:tcW w:w="2934" w:type="dxa"/>
                  <w:vAlign w:val="center"/>
                </w:tcPr>
                <w:p w14:paraId="52057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1.61%</w:t>
                  </w:r>
                </w:p>
              </w:tc>
            </w:tr>
            <w:tr w14:paraId="3C82B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3036" w:type="dxa"/>
                  <w:vAlign w:val="bottom"/>
                </w:tcPr>
                <w:p w14:paraId="230DD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乔木林地</w:t>
                  </w:r>
                </w:p>
              </w:tc>
              <w:tc>
                <w:tcPr>
                  <w:tcW w:w="2499" w:type="dxa"/>
                  <w:vAlign w:val="center"/>
                </w:tcPr>
                <w:p w14:paraId="69441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72.05</w:t>
                  </w:r>
                </w:p>
              </w:tc>
              <w:tc>
                <w:tcPr>
                  <w:tcW w:w="2934" w:type="dxa"/>
                  <w:vAlign w:val="center"/>
                </w:tcPr>
                <w:p w14:paraId="4C9ED9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5.04%</w:t>
                  </w:r>
                </w:p>
              </w:tc>
            </w:tr>
            <w:tr w14:paraId="05B29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center"/>
                </w:tcPr>
                <w:p w14:paraId="1E097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设施农用地</w:t>
                  </w:r>
                </w:p>
              </w:tc>
              <w:tc>
                <w:tcPr>
                  <w:tcW w:w="2499" w:type="dxa"/>
                  <w:vAlign w:val="center"/>
                </w:tcPr>
                <w:p w14:paraId="5FD2B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6.61</w:t>
                  </w:r>
                </w:p>
              </w:tc>
              <w:tc>
                <w:tcPr>
                  <w:tcW w:w="2934" w:type="dxa"/>
                  <w:vAlign w:val="center"/>
                </w:tcPr>
                <w:p w14:paraId="4FFD2C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0.46%</w:t>
                  </w:r>
                </w:p>
              </w:tc>
            </w:tr>
            <w:tr w14:paraId="4EC20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036" w:type="dxa"/>
                  <w:vAlign w:val="center"/>
                </w:tcPr>
                <w:p w14:paraId="096A2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水浇地</w:t>
                  </w:r>
                </w:p>
              </w:tc>
              <w:tc>
                <w:tcPr>
                  <w:tcW w:w="2499" w:type="dxa"/>
                  <w:vAlign w:val="center"/>
                </w:tcPr>
                <w:p w14:paraId="726F3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782.84</w:t>
                  </w:r>
                </w:p>
              </w:tc>
              <w:tc>
                <w:tcPr>
                  <w:tcW w:w="2934" w:type="dxa"/>
                  <w:vAlign w:val="center"/>
                </w:tcPr>
                <w:p w14:paraId="66FA0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54.81%</w:t>
                  </w:r>
                </w:p>
              </w:tc>
            </w:tr>
            <w:tr w14:paraId="6D9CD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3036" w:type="dxa"/>
                  <w:vAlign w:val="center"/>
                </w:tcPr>
                <w:p w14:paraId="49ABF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特殊用地</w:t>
                  </w:r>
                </w:p>
              </w:tc>
              <w:tc>
                <w:tcPr>
                  <w:tcW w:w="2499" w:type="dxa"/>
                  <w:vAlign w:val="center"/>
                </w:tcPr>
                <w:p w14:paraId="797BD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2.86</w:t>
                  </w:r>
                </w:p>
              </w:tc>
              <w:tc>
                <w:tcPr>
                  <w:tcW w:w="2934" w:type="dxa"/>
                  <w:vAlign w:val="center"/>
                </w:tcPr>
                <w:p w14:paraId="43F76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0.20%</w:t>
                  </w:r>
                </w:p>
              </w:tc>
            </w:tr>
            <w:tr w14:paraId="36D84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3036" w:type="dxa"/>
                  <w:vAlign w:val="center"/>
                </w:tcPr>
                <w:p w14:paraId="53FD7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总计</w:t>
                  </w:r>
                </w:p>
              </w:tc>
              <w:tc>
                <w:tcPr>
                  <w:tcW w:w="2499" w:type="dxa"/>
                  <w:vAlign w:val="center"/>
                </w:tcPr>
                <w:p w14:paraId="45EDD3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1428.21</w:t>
                  </w:r>
                </w:p>
              </w:tc>
              <w:tc>
                <w:tcPr>
                  <w:tcW w:w="2934" w:type="dxa"/>
                  <w:vAlign w:val="center"/>
                </w:tcPr>
                <w:p w14:paraId="228C5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100.00%</w:t>
                  </w:r>
                </w:p>
              </w:tc>
            </w:tr>
          </w:tbl>
          <w:p w14:paraId="0F497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由表3-2和附图7可知，评价范围内主要用地类型为水浇地，面积782.84hm</w:t>
            </w:r>
            <w:r>
              <w:rPr>
                <w:rFonts w:hint="eastAsia" w:ascii="Times New Roman" w:hAnsi="Times New Roman" w:eastAsia="宋体"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  占总面积的54.81%；旱地次之，面积255.46hm</w:t>
            </w:r>
            <w:r>
              <w:rPr>
                <w:rFonts w:hint="eastAsia" w:ascii="Times New Roman" w:hAnsi="Times New Roman" w:eastAsia="宋体"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，占总面积的17.89%；其他草地用地为第三位，面积153.81hm²，占总面积的10.77%；其它用地类型面积均很小，所占比例均10%以下。</w:t>
            </w:r>
          </w:p>
          <w:p w14:paraId="1DB9A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（2）植被现状调查与评价</w:t>
            </w:r>
          </w:p>
          <w:p w14:paraId="5AA22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利用卫星遥感及地理信息系统技术并结合地面实际调查，对评价范围区域的植被分布现状进行调查。评价区植被类型现状见表3-3和附图8。</w:t>
            </w:r>
          </w:p>
          <w:p w14:paraId="604AAE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表3-3植被类型现状表</w:t>
            </w:r>
          </w:p>
          <w:tbl>
            <w:tblPr>
              <w:tblStyle w:val="1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28"/>
              <w:gridCol w:w="3378"/>
              <w:gridCol w:w="2563"/>
            </w:tblGrid>
            <w:tr w14:paraId="67B8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492" w:type="pct"/>
                  <w:vMerge w:val="restart"/>
                  <w:tcBorders>
                    <w:bottom w:val="nil"/>
                  </w:tcBorders>
                  <w:vAlign w:val="center"/>
                </w:tcPr>
                <w:p w14:paraId="3B96F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植被类型</w:t>
                  </w:r>
                </w:p>
              </w:tc>
              <w:tc>
                <w:tcPr>
                  <w:tcW w:w="3507" w:type="pct"/>
                  <w:gridSpan w:val="2"/>
                  <w:vAlign w:val="center"/>
                </w:tcPr>
                <w:p w14:paraId="1D689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评价范围</w:t>
                  </w:r>
                </w:p>
              </w:tc>
            </w:tr>
            <w:tr w14:paraId="6F4EB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492" w:type="pct"/>
                  <w:vMerge w:val="continue"/>
                  <w:tcBorders>
                    <w:top w:val="nil"/>
                  </w:tcBorders>
                  <w:vAlign w:val="center"/>
                </w:tcPr>
                <w:p w14:paraId="41B23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994" w:type="pct"/>
                  <w:vAlign w:val="center"/>
                </w:tcPr>
                <w:p w14:paraId="05FF1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面积(hm</w:t>
                  </w:r>
                  <w:r>
                    <w:rPr>
                      <w:rFonts w:hint="eastAsia" w:ascii="Times New Roman" w:hAnsi="Times New Roman" w:eastAsia="宋体" w:cs="Times New Roman"/>
                      <w:color w:val="auto"/>
                      <w:kern w:val="0"/>
                      <w:sz w:val="21"/>
                      <w:szCs w:val="21"/>
                      <w:highlight w:val="none"/>
                      <w:vertAlign w:val="superscript"/>
                      <w:lang w:val="en-US" w:eastAsia="zh-CN"/>
                    </w:rPr>
                    <w:t>2</w:t>
                  </w:r>
                  <w:r>
                    <w:rPr>
                      <w:rFonts w:hint="eastAsia" w:ascii="Times New Roman" w:hAnsi="Times New Roman" w:eastAsia="宋体" w:cs="Times New Roman"/>
                      <w:color w:val="auto"/>
                      <w:kern w:val="0"/>
                      <w:sz w:val="21"/>
                      <w:szCs w:val="21"/>
                      <w:highlight w:val="none"/>
                      <w:lang w:val="en-US" w:eastAsia="zh-CN"/>
                    </w:rPr>
                    <w:t>)</w:t>
                  </w:r>
                </w:p>
              </w:tc>
              <w:tc>
                <w:tcPr>
                  <w:tcW w:w="1513" w:type="pct"/>
                  <w:vAlign w:val="center"/>
                </w:tcPr>
                <w:p w14:paraId="17357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比例(%)</w:t>
                  </w:r>
                </w:p>
              </w:tc>
            </w:tr>
            <w:tr w14:paraId="7E6F8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492" w:type="pct"/>
                  <w:vAlign w:val="center"/>
                </w:tcPr>
                <w:p w14:paraId="15D33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草丛</w:t>
                  </w:r>
                </w:p>
              </w:tc>
              <w:tc>
                <w:tcPr>
                  <w:tcW w:w="1994" w:type="pct"/>
                  <w:vAlign w:val="center"/>
                </w:tcPr>
                <w:p w14:paraId="0860C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153.81</w:t>
                  </w:r>
                </w:p>
              </w:tc>
              <w:tc>
                <w:tcPr>
                  <w:tcW w:w="1513" w:type="pct"/>
                  <w:vAlign w:val="center"/>
                </w:tcPr>
                <w:p w14:paraId="47F25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10.77%</w:t>
                  </w:r>
                </w:p>
              </w:tc>
            </w:tr>
            <w:tr w14:paraId="3F2FC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492" w:type="pct"/>
                  <w:vAlign w:val="center"/>
                </w:tcPr>
                <w:p w14:paraId="32D85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灌木林</w:t>
                  </w:r>
                </w:p>
              </w:tc>
              <w:tc>
                <w:tcPr>
                  <w:tcW w:w="1994" w:type="pct"/>
                  <w:vAlign w:val="center"/>
                </w:tcPr>
                <w:p w14:paraId="7F960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1.16</w:t>
                  </w:r>
                </w:p>
              </w:tc>
              <w:tc>
                <w:tcPr>
                  <w:tcW w:w="1513" w:type="pct"/>
                  <w:vAlign w:val="center"/>
                </w:tcPr>
                <w:p w14:paraId="29A4C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0.08%</w:t>
                  </w:r>
                </w:p>
              </w:tc>
            </w:tr>
            <w:tr w14:paraId="12167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492" w:type="pct"/>
                  <w:vAlign w:val="center"/>
                </w:tcPr>
                <w:p w14:paraId="6B8BD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果园</w:t>
                  </w:r>
                </w:p>
              </w:tc>
              <w:tc>
                <w:tcPr>
                  <w:tcW w:w="1994" w:type="pct"/>
                  <w:vAlign w:val="center"/>
                </w:tcPr>
                <w:p w14:paraId="46515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4.81</w:t>
                  </w:r>
                </w:p>
              </w:tc>
              <w:tc>
                <w:tcPr>
                  <w:tcW w:w="1513" w:type="pct"/>
                  <w:vAlign w:val="center"/>
                </w:tcPr>
                <w:p w14:paraId="5A823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0.34%</w:t>
                  </w:r>
                </w:p>
              </w:tc>
            </w:tr>
            <w:tr w14:paraId="6F7A2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492" w:type="pct"/>
                  <w:vAlign w:val="center"/>
                </w:tcPr>
                <w:p w14:paraId="562F3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落叶阔叶林</w:t>
                  </w:r>
                </w:p>
              </w:tc>
              <w:tc>
                <w:tcPr>
                  <w:tcW w:w="1994" w:type="pct"/>
                  <w:vAlign w:val="center"/>
                </w:tcPr>
                <w:p w14:paraId="1DDAA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22.99</w:t>
                  </w:r>
                </w:p>
              </w:tc>
              <w:tc>
                <w:tcPr>
                  <w:tcW w:w="1513" w:type="pct"/>
                  <w:vAlign w:val="center"/>
                </w:tcPr>
                <w:p w14:paraId="03C93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1.61%</w:t>
                  </w:r>
                </w:p>
              </w:tc>
            </w:tr>
            <w:tr w14:paraId="7049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492" w:type="pct"/>
                  <w:vAlign w:val="center"/>
                </w:tcPr>
                <w:p w14:paraId="0EB2E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农田植被</w:t>
                  </w:r>
                </w:p>
              </w:tc>
              <w:tc>
                <w:tcPr>
                  <w:tcW w:w="1994" w:type="pct"/>
                  <w:vAlign w:val="center"/>
                </w:tcPr>
                <w:p w14:paraId="5D13F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1044.92</w:t>
                  </w:r>
                </w:p>
              </w:tc>
              <w:tc>
                <w:tcPr>
                  <w:tcW w:w="1513" w:type="pct"/>
                  <w:vAlign w:val="center"/>
                </w:tcPr>
                <w:p w14:paraId="1AD54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73.16%</w:t>
                  </w:r>
                </w:p>
              </w:tc>
            </w:tr>
            <w:tr w14:paraId="38481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492" w:type="pct"/>
                  <w:vAlign w:val="center"/>
                </w:tcPr>
                <w:p w14:paraId="7F8C57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其他</w:t>
                  </w:r>
                </w:p>
              </w:tc>
              <w:tc>
                <w:tcPr>
                  <w:tcW w:w="1994" w:type="pct"/>
                  <w:vAlign w:val="center"/>
                </w:tcPr>
                <w:p w14:paraId="5F41C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128.48</w:t>
                  </w:r>
                </w:p>
              </w:tc>
              <w:tc>
                <w:tcPr>
                  <w:tcW w:w="1513" w:type="pct"/>
                  <w:vAlign w:val="center"/>
                </w:tcPr>
                <w:p w14:paraId="018F4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9.00%</w:t>
                  </w:r>
                </w:p>
              </w:tc>
            </w:tr>
            <w:tr w14:paraId="571C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492" w:type="pct"/>
                  <w:vAlign w:val="center"/>
                </w:tcPr>
                <w:p w14:paraId="26F6B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针叶林</w:t>
                  </w:r>
                </w:p>
              </w:tc>
              <w:tc>
                <w:tcPr>
                  <w:tcW w:w="1994" w:type="pct"/>
                  <w:vAlign w:val="center"/>
                </w:tcPr>
                <w:p w14:paraId="3C842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72.05</w:t>
                  </w:r>
                </w:p>
              </w:tc>
              <w:tc>
                <w:tcPr>
                  <w:tcW w:w="1513" w:type="pct"/>
                  <w:vAlign w:val="center"/>
                </w:tcPr>
                <w:p w14:paraId="29038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5.04%</w:t>
                  </w:r>
                </w:p>
              </w:tc>
            </w:tr>
            <w:tr w14:paraId="79915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492" w:type="pct"/>
                  <w:vAlign w:val="center"/>
                </w:tcPr>
                <w:p w14:paraId="48B52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总计</w:t>
                  </w:r>
                </w:p>
              </w:tc>
              <w:tc>
                <w:tcPr>
                  <w:tcW w:w="1994" w:type="pct"/>
                  <w:vAlign w:val="center"/>
                </w:tcPr>
                <w:p w14:paraId="29929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1428.21</w:t>
                  </w:r>
                </w:p>
              </w:tc>
              <w:tc>
                <w:tcPr>
                  <w:tcW w:w="1513" w:type="pct"/>
                  <w:vAlign w:val="center"/>
                </w:tcPr>
                <w:p w14:paraId="46A63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100.00%</w:t>
                  </w:r>
                </w:p>
              </w:tc>
            </w:tr>
          </w:tbl>
          <w:p w14:paraId="3B98E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由表3-3和附图8可知，本项目评价范围植被类型以农田栽培植被为主，面积1044.92hm</w:t>
            </w:r>
            <w:r>
              <w:rPr>
                <w:rFonts w:hint="eastAsia" w:ascii="Times New Roman" w:hAnsi="Times New Roman" w:eastAsia="宋体"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，占总面积的73.16%；草丛面积153.81hm²，占总面积的10.77%；其它植被类型面积均很小，所占比例均10%以下。</w:t>
            </w:r>
          </w:p>
          <w:p w14:paraId="555BB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（3）生态系统现状调查与评价</w:t>
            </w:r>
          </w:p>
          <w:p w14:paraId="25559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根据遥感解译结果，结合实地调查，评价范围共有6种生态系统类型，具体类型见表3-4和附图9。</w:t>
            </w:r>
          </w:p>
          <w:p w14:paraId="6F5AB8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表3-4生态系统类型现状表</w:t>
            </w:r>
          </w:p>
          <w:tbl>
            <w:tblPr>
              <w:tblStyle w:val="1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24"/>
              <w:gridCol w:w="2565"/>
              <w:gridCol w:w="2680"/>
            </w:tblGrid>
            <w:tr w14:paraId="00BA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903" w:type="pct"/>
                  <w:vMerge w:val="restart"/>
                  <w:tcBorders>
                    <w:bottom w:val="nil"/>
                  </w:tcBorders>
                  <w:vAlign w:val="center"/>
                </w:tcPr>
                <w:p w14:paraId="10B6F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生态系统类型</w:t>
                  </w:r>
                </w:p>
              </w:tc>
              <w:tc>
                <w:tcPr>
                  <w:tcW w:w="3096" w:type="pct"/>
                  <w:gridSpan w:val="2"/>
                  <w:vAlign w:val="center"/>
                </w:tcPr>
                <w:p w14:paraId="33497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评价范围</w:t>
                  </w:r>
                </w:p>
              </w:tc>
            </w:tr>
            <w:tr w14:paraId="4D9F1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903" w:type="pct"/>
                  <w:vMerge w:val="continue"/>
                  <w:tcBorders>
                    <w:top w:val="nil"/>
                  </w:tcBorders>
                  <w:vAlign w:val="center"/>
                </w:tcPr>
                <w:p w14:paraId="73EE1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514" w:type="pct"/>
                  <w:vAlign w:val="center"/>
                </w:tcPr>
                <w:p w14:paraId="52AE4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面积(hm</w:t>
                  </w:r>
                  <w:r>
                    <w:rPr>
                      <w:rFonts w:hint="eastAsia" w:ascii="Times New Roman" w:hAnsi="Times New Roman" w:eastAsia="宋体" w:cs="Times New Roman"/>
                      <w:color w:val="auto"/>
                      <w:kern w:val="0"/>
                      <w:sz w:val="21"/>
                      <w:szCs w:val="21"/>
                      <w:highlight w:val="none"/>
                      <w:vertAlign w:val="superscript"/>
                      <w:lang w:val="en-US" w:eastAsia="zh-CN"/>
                    </w:rPr>
                    <w:t>2</w:t>
                  </w:r>
                  <w:r>
                    <w:rPr>
                      <w:rFonts w:hint="eastAsia" w:ascii="Times New Roman" w:hAnsi="Times New Roman" w:eastAsia="宋体" w:cs="Times New Roman"/>
                      <w:color w:val="auto"/>
                      <w:kern w:val="0"/>
                      <w:sz w:val="21"/>
                      <w:szCs w:val="21"/>
                      <w:highlight w:val="none"/>
                      <w:lang w:val="en-US" w:eastAsia="zh-CN"/>
                    </w:rPr>
                    <w:t>)</w:t>
                  </w:r>
                </w:p>
              </w:tc>
              <w:tc>
                <w:tcPr>
                  <w:tcW w:w="1582" w:type="pct"/>
                  <w:vAlign w:val="center"/>
                </w:tcPr>
                <w:p w14:paraId="783A9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比例(%)</w:t>
                  </w:r>
                </w:p>
              </w:tc>
            </w:tr>
            <w:tr w14:paraId="670D2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903" w:type="pct"/>
                  <w:vAlign w:val="center"/>
                </w:tcPr>
                <w:p w14:paraId="25C53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草地生态系统</w:t>
                  </w:r>
                </w:p>
              </w:tc>
              <w:tc>
                <w:tcPr>
                  <w:tcW w:w="1514" w:type="pct"/>
                  <w:vAlign w:val="center"/>
                </w:tcPr>
                <w:p w14:paraId="2384C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153.81</w:t>
                  </w:r>
                </w:p>
              </w:tc>
              <w:tc>
                <w:tcPr>
                  <w:tcW w:w="1582" w:type="pct"/>
                  <w:vAlign w:val="center"/>
                </w:tcPr>
                <w:p w14:paraId="56733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10.77%</w:t>
                  </w:r>
                </w:p>
              </w:tc>
            </w:tr>
            <w:tr w14:paraId="0CB73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903" w:type="pct"/>
                  <w:vAlign w:val="center"/>
                </w:tcPr>
                <w:p w14:paraId="07BE1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城镇生态系统</w:t>
                  </w:r>
                </w:p>
              </w:tc>
              <w:tc>
                <w:tcPr>
                  <w:tcW w:w="1514" w:type="pct"/>
                  <w:vAlign w:val="center"/>
                </w:tcPr>
                <w:p w14:paraId="47C8A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96.83</w:t>
                  </w:r>
                </w:p>
              </w:tc>
              <w:tc>
                <w:tcPr>
                  <w:tcW w:w="1582" w:type="pct"/>
                  <w:vAlign w:val="center"/>
                </w:tcPr>
                <w:p w14:paraId="7D574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6.78%</w:t>
                  </w:r>
                </w:p>
              </w:tc>
            </w:tr>
            <w:tr w14:paraId="0C604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903" w:type="pct"/>
                  <w:vAlign w:val="center"/>
                </w:tcPr>
                <w:p w14:paraId="0B30A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灌丛生态系统</w:t>
                  </w:r>
                </w:p>
              </w:tc>
              <w:tc>
                <w:tcPr>
                  <w:tcW w:w="1514" w:type="pct"/>
                  <w:vAlign w:val="center"/>
                </w:tcPr>
                <w:p w14:paraId="497B7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1.16</w:t>
                  </w:r>
                </w:p>
              </w:tc>
              <w:tc>
                <w:tcPr>
                  <w:tcW w:w="1582" w:type="pct"/>
                  <w:vAlign w:val="center"/>
                </w:tcPr>
                <w:p w14:paraId="75505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0.08%</w:t>
                  </w:r>
                </w:p>
              </w:tc>
            </w:tr>
            <w:tr w14:paraId="5E623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903" w:type="pct"/>
                  <w:vAlign w:val="center"/>
                </w:tcPr>
                <w:p w14:paraId="37BFA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农田生态系统</w:t>
                  </w:r>
                </w:p>
              </w:tc>
              <w:tc>
                <w:tcPr>
                  <w:tcW w:w="1514" w:type="pct"/>
                  <w:vAlign w:val="center"/>
                </w:tcPr>
                <w:p w14:paraId="79518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1044.92</w:t>
                  </w:r>
                </w:p>
              </w:tc>
              <w:tc>
                <w:tcPr>
                  <w:tcW w:w="1582" w:type="pct"/>
                  <w:vAlign w:val="center"/>
                </w:tcPr>
                <w:p w14:paraId="53083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73.16%</w:t>
                  </w:r>
                </w:p>
              </w:tc>
            </w:tr>
            <w:tr w14:paraId="3D4C4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903" w:type="pct"/>
                  <w:vAlign w:val="center"/>
                </w:tcPr>
                <w:p w14:paraId="4BF0C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森林生态系统</w:t>
                  </w:r>
                </w:p>
              </w:tc>
              <w:tc>
                <w:tcPr>
                  <w:tcW w:w="1514" w:type="pct"/>
                  <w:vAlign w:val="center"/>
                </w:tcPr>
                <w:p w14:paraId="36EE8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99.85</w:t>
                  </w:r>
                </w:p>
              </w:tc>
              <w:tc>
                <w:tcPr>
                  <w:tcW w:w="1582" w:type="pct"/>
                  <w:vAlign w:val="center"/>
                </w:tcPr>
                <w:p w14:paraId="32F7C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6.99%</w:t>
                  </w:r>
                </w:p>
              </w:tc>
            </w:tr>
            <w:tr w14:paraId="116E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903" w:type="pct"/>
                  <w:vAlign w:val="center"/>
                </w:tcPr>
                <w:p w14:paraId="106CB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湿地生态系统</w:t>
                  </w:r>
                </w:p>
              </w:tc>
              <w:tc>
                <w:tcPr>
                  <w:tcW w:w="1514" w:type="pct"/>
                  <w:vAlign w:val="center"/>
                </w:tcPr>
                <w:p w14:paraId="3D70B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31.65</w:t>
                  </w:r>
                </w:p>
              </w:tc>
              <w:tc>
                <w:tcPr>
                  <w:tcW w:w="1582" w:type="pct"/>
                  <w:vAlign w:val="center"/>
                </w:tcPr>
                <w:p w14:paraId="6C977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2.22%</w:t>
                  </w:r>
                </w:p>
              </w:tc>
            </w:tr>
            <w:tr w14:paraId="0964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903" w:type="pct"/>
                  <w:vAlign w:val="center"/>
                </w:tcPr>
                <w:p w14:paraId="04B46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总计</w:t>
                  </w:r>
                </w:p>
              </w:tc>
              <w:tc>
                <w:tcPr>
                  <w:tcW w:w="1514" w:type="pct"/>
                  <w:vAlign w:val="center"/>
                </w:tcPr>
                <w:p w14:paraId="70464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1428.21</w:t>
                  </w:r>
                </w:p>
              </w:tc>
              <w:tc>
                <w:tcPr>
                  <w:tcW w:w="1582" w:type="pct"/>
                  <w:vAlign w:val="center"/>
                </w:tcPr>
                <w:p w14:paraId="3983F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100.00%</w:t>
                  </w:r>
                </w:p>
              </w:tc>
            </w:tr>
          </w:tbl>
          <w:p w14:paraId="6CA9E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由表3-4和附图9可知，本项目评价范围生态系统类型以农田生态系统为主，面积1044.92hm</w:t>
            </w:r>
            <w:r>
              <w:rPr>
                <w:rFonts w:hint="eastAsia" w:ascii="Times New Roman" w:hAnsi="Times New Roman" w:eastAsia="宋体"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，占总面积的73.16%；草地生态系统面积153.81hm</w:t>
            </w:r>
            <w:r>
              <w:rPr>
                <w:rFonts w:hint="eastAsia" w:ascii="Times New Roman" w:hAnsi="Times New Roman" w:eastAsia="宋体" w:cs="Times New Roman"/>
                <w:color w:val="auto"/>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，占总面积的10.77%；其它生态系统类型面积均很小，所占比例均10%以下。</w:t>
            </w:r>
          </w:p>
          <w:p w14:paraId="345BA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（4）评价区动物现状</w:t>
            </w:r>
          </w:p>
          <w:p w14:paraId="42429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次评价结合评价范围实际情况，动物调查采用查阅资料和现场调查相结合的方法。由于工程沿线所在区域人类活动较为频繁，农田的开垦及长期耕种，破坏了原生植被，野生动物分布较少。只有中小型哺乳动物和鸟类出没，尤以啮齿类及一些鸟类为优势。这些野生动物大多数为广布种，分布在项目区农田、草丛及林地内。均为区域常见物种，评价区未见珍贵、稀有的野生动物出没。</w:t>
            </w:r>
          </w:p>
          <w:p w14:paraId="2FACAA2F">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电磁环境</w:t>
            </w:r>
            <w:r>
              <w:rPr>
                <w:rFonts w:hint="default" w:ascii="Times New Roman" w:hAnsi="Times New Roman" w:eastAsia="宋体" w:cs="Times New Roman"/>
                <w:b/>
                <w:color w:val="auto"/>
                <w:sz w:val="24"/>
                <w:szCs w:val="24"/>
                <w:highlight w:val="none"/>
                <w:lang w:val="en-US" w:eastAsia="zh-CN"/>
              </w:rPr>
              <w:t>现状</w:t>
            </w:r>
          </w:p>
          <w:p w14:paraId="2DF031DA">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firstLine="480" w:firstLineChars="200"/>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山西志源生态环境科技有限公司进行的现状监测结果可知：拟建变电站及线路沿线各监测点位工频电场强度为（0.315~1039）V/m，工频磁感应强度为（0.0847~0.2520）μT，二期220kV变电站周围工频电场强度为（1.802～164.7）V/m，工频磁感应强度为（0.0928～0.2947）μT，均满足《电磁环境控制限值》（GB8702-2014）中规定的工频电场强度小于4kV/m、工频磁感应强度100μT，架空输电线路线下的旱地、果园、其他林地、住宅用地、水浇地等场所，其频率50Hz的电场强度控制限值为10kV/m的控制限值。具体见电磁环境影响专项评价。</w:t>
            </w:r>
          </w:p>
          <w:p w14:paraId="7BB513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both"/>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3.声环境现状</w:t>
            </w:r>
          </w:p>
          <w:p w14:paraId="05ED32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（1）监测布点原则</w:t>
            </w:r>
          </w:p>
          <w:p w14:paraId="11F39E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拟建输电线路沿线关注点处，距地面高1.2m以上。</w:t>
            </w:r>
          </w:p>
          <w:p w14:paraId="74AA18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SA"/>
              </w:rPr>
              <w:t>表3-</w:t>
            </w:r>
            <w:r>
              <w:rPr>
                <w:rFonts w:hint="eastAsia" w:ascii="Times New Roman" w:hAnsi="Times New Roman" w:eastAsia="宋体" w:cs="Times New Roman"/>
                <w:b/>
                <w:bCs w:val="0"/>
                <w:color w:val="auto"/>
                <w:kern w:val="2"/>
                <w:sz w:val="21"/>
                <w:szCs w:val="21"/>
                <w:highlight w:val="none"/>
                <w:lang w:val="en-US" w:eastAsia="zh-CN" w:bidi="ar-SA"/>
              </w:rPr>
              <w:t>5</w:t>
            </w:r>
            <w:r>
              <w:rPr>
                <w:rFonts w:hint="default" w:ascii="Times New Roman" w:hAnsi="Times New Roman" w:eastAsia="宋体" w:cs="Times New Roman"/>
                <w:b/>
                <w:bCs w:val="0"/>
                <w:color w:val="auto"/>
                <w:kern w:val="2"/>
                <w:sz w:val="21"/>
                <w:szCs w:val="21"/>
                <w:highlight w:val="none"/>
                <w:lang w:val="en-US" w:eastAsia="zh-CN" w:bidi="ar-SA"/>
              </w:rPr>
              <w:t xml:space="preserve">  项目监测布点一览表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20"/>
              <w:gridCol w:w="5468"/>
              <w:gridCol w:w="1857"/>
            </w:tblGrid>
            <w:tr w14:paraId="493DB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0" w:type="dxa"/>
                  <w:tcBorders>
                    <w:tl2br w:val="nil"/>
                    <w:tr2bl w:val="nil"/>
                  </w:tcBorders>
                  <w:noWrap w:val="0"/>
                  <w:vAlign w:val="center"/>
                </w:tcPr>
                <w:p w14:paraId="7346F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监测因子</w:t>
                  </w:r>
                </w:p>
              </w:tc>
              <w:tc>
                <w:tcPr>
                  <w:tcW w:w="5468" w:type="dxa"/>
                  <w:tcBorders>
                    <w:tl2br w:val="nil"/>
                    <w:tr2bl w:val="nil"/>
                  </w:tcBorders>
                  <w:noWrap w:val="0"/>
                  <w:vAlign w:val="center"/>
                </w:tcPr>
                <w:p w14:paraId="0C043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监测时间及气象条件</w:t>
                  </w:r>
                </w:p>
              </w:tc>
              <w:tc>
                <w:tcPr>
                  <w:tcW w:w="1857" w:type="dxa"/>
                  <w:tcBorders>
                    <w:tl2br w:val="nil"/>
                    <w:tr2bl w:val="nil"/>
                  </w:tcBorders>
                  <w:noWrap w:val="0"/>
                  <w:vAlign w:val="center"/>
                </w:tcPr>
                <w:p w14:paraId="3526D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r>
            <w:tr w14:paraId="4DE2E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1120" w:type="dxa"/>
                  <w:tcBorders>
                    <w:tl2br w:val="nil"/>
                    <w:tr2bl w:val="nil"/>
                  </w:tcBorders>
                  <w:noWrap w:val="0"/>
                  <w:vAlign w:val="center"/>
                </w:tcPr>
                <w:p w14:paraId="42495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环境噪声</w:t>
                  </w:r>
                </w:p>
              </w:tc>
              <w:tc>
                <w:tcPr>
                  <w:tcW w:w="5468" w:type="dxa"/>
                  <w:tcBorders>
                    <w:tl2br w:val="nil"/>
                    <w:tr2bl w:val="nil"/>
                  </w:tcBorders>
                  <w:noWrap w:val="0"/>
                  <w:vAlign w:val="center"/>
                </w:tcPr>
                <w:p w14:paraId="0EA19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日</w:t>
                  </w:r>
                </w:p>
                <w:p w14:paraId="2DED6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昼间：风速：</w:t>
                  </w:r>
                  <w:r>
                    <w:rPr>
                      <w:rFonts w:hint="eastAsia"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m/s；风向：N</w:t>
                  </w:r>
                </w:p>
                <w:p w14:paraId="0D157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夜间：风速：</w:t>
                  </w:r>
                  <w:r>
                    <w:rPr>
                      <w:rFonts w:hint="eastAsia"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m/s；风向：N</w:t>
                  </w:r>
                </w:p>
              </w:tc>
              <w:tc>
                <w:tcPr>
                  <w:tcW w:w="1857" w:type="dxa"/>
                  <w:tcBorders>
                    <w:tl2br w:val="nil"/>
                    <w:tr2bl w:val="nil"/>
                  </w:tcBorders>
                  <w:noWrap w:val="0"/>
                  <w:vAlign w:val="center"/>
                </w:tcPr>
                <w:p w14:paraId="430E6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距地面1.2m处</w:t>
                  </w:r>
                </w:p>
              </w:tc>
            </w:tr>
          </w:tbl>
          <w:p w14:paraId="70106AB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rPr>
              <w:t>（2）监测仪器</w:t>
            </w:r>
          </w:p>
          <w:p w14:paraId="5DB098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表3-</w:t>
            </w:r>
            <w:r>
              <w:rPr>
                <w:rFonts w:hint="eastAsia" w:ascii="Times New Roman" w:hAnsi="Times New Roman" w:eastAsia="宋体" w:cs="Times New Roman"/>
                <w:b/>
                <w:bCs w:val="0"/>
                <w:color w:val="auto"/>
                <w:kern w:val="2"/>
                <w:sz w:val="21"/>
                <w:szCs w:val="21"/>
                <w:highlight w:val="none"/>
                <w:lang w:val="en-US" w:eastAsia="zh-CN" w:bidi="ar-SA"/>
              </w:rPr>
              <w:t>6</w:t>
            </w:r>
            <w:r>
              <w:rPr>
                <w:rFonts w:hint="default" w:ascii="Times New Roman" w:hAnsi="Times New Roman" w:eastAsia="宋体" w:cs="Times New Roman"/>
                <w:b/>
                <w:bCs w:val="0"/>
                <w:color w:val="auto"/>
                <w:kern w:val="2"/>
                <w:sz w:val="21"/>
                <w:szCs w:val="21"/>
                <w:highlight w:val="none"/>
                <w:lang w:val="en-US" w:eastAsia="zh-CN" w:bidi="ar-SA"/>
              </w:rPr>
              <w:t xml:space="preserve"> 项目监测仪器一览表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64"/>
              <w:gridCol w:w="1393"/>
              <w:gridCol w:w="1935"/>
              <w:gridCol w:w="1960"/>
              <w:gridCol w:w="1501"/>
            </w:tblGrid>
            <w:tr w14:paraId="31FD1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99" w:hRule="atLeast"/>
                <w:jc w:val="center"/>
              </w:trPr>
              <w:tc>
                <w:tcPr>
                  <w:tcW w:w="1664" w:type="dxa"/>
                  <w:tcBorders>
                    <w:tl2br w:val="nil"/>
                    <w:tr2bl w:val="nil"/>
                  </w:tcBorders>
                  <w:noWrap w:val="0"/>
                  <w:vAlign w:val="center"/>
                </w:tcPr>
                <w:p w14:paraId="76A036A0">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监测仪器名称</w:t>
                  </w:r>
                </w:p>
              </w:tc>
              <w:tc>
                <w:tcPr>
                  <w:tcW w:w="1393" w:type="dxa"/>
                  <w:tcBorders>
                    <w:tl2br w:val="nil"/>
                    <w:tr2bl w:val="nil"/>
                  </w:tcBorders>
                  <w:noWrap w:val="0"/>
                  <w:vAlign w:val="center"/>
                </w:tcPr>
                <w:p w14:paraId="17D88D0B">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1935" w:type="dxa"/>
                  <w:tcBorders>
                    <w:right w:val="single" w:color="auto" w:sz="4" w:space="0"/>
                    <w:tl2br w:val="nil"/>
                    <w:tr2bl w:val="nil"/>
                  </w:tcBorders>
                  <w:noWrap w:val="0"/>
                  <w:vAlign w:val="center"/>
                </w:tcPr>
                <w:p w14:paraId="6BE87E8F">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仪器编号</w:t>
                  </w:r>
                </w:p>
              </w:tc>
              <w:tc>
                <w:tcPr>
                  <w:tcW w:w="1960" w:type="dxa"/>
                  <w:tcBorders>
                    <w:left w:val="single" w:color="auto" w:sz="4" w:space="0"/>
                    <w:tl2br w:val="nil"/>
                    <w:tr2bl w:val="nil"/>
                  </w:tcBorders>
                  <w:noWrap w:val="0"/>
                  <w:vAlign w:val="center"/>
                </w:tcPr>
                <w:p w14:paraId="700F30EB">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仪器性能</w:t>
                  </w:r>
                </w:p>
              </w:tc>
              <w:tc>
                <w:tcPr>
                  <w:tcW w:w="1501" w:type="dxa"/>
                  <w:tcBorders>
                    <w:tl2br w:val="nil"/>
                    <w:tr2bl w:val="nil"/>
                  </w:tcBorders>
                  <w:noWrap w:val="0"/>
                  <w:vAlign w:val="center"/>
                </w:tcPr>
                <w:p w14:paraId="0D11F4CD">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有效期</w:t>
                  </w:r>
                </w:p>
              </w:tc>
            </w:tr>
            <w:tr w14:paraId="43234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664" w:type="dxa"/>
                  <w:tcBorders>
                    <w:tl2br w:val="nil"/>
                    <w:tr2bl w:val="nil"/>
                  </w:tcBorders>
                  <w:noWrap w:val="0"/>
                  <w:vAlign w:val="center"/>
                </w:tcPr>
                <w:p w14:paraId="0550695C">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多功能声级仪</w:t>
                  </w:r>
                </w:p>
              </w:tc>
              <w:tc>
                <w:tcPr>
                  <w:tcW w:w="1393" w:type="dxa"/>
                  <w:tcBorders>
                    <w:tl2br w:val="nil"/>
                    <w:tr2bl w:val="nil"/>
                  </w:tcBorders>
                  <w:noWrap w:val="0"/>
                  <w:vAlign w:val="center"/>
                </w:tcPr>
                <w:p w14:paraId="263B28D8">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AWA5688</w:t>
                  </w:r>
                </w:p>
              </w:tc>
              <w:tc>
                <w:tcPr>
                  <w:tcW w:w="1935" w:type="dxa"/>
                  <w:tcBorders>
                    <w:right w:val="single" w:color="auto" w:sz="4" w:space="0"/>
                    <w:tl2br w:val="nil"/>
                    <w:tr2bl w:val="nil"/>
                  </w:tcBorders>
                  <w:noWrap w:val="0"/>
                  <w:vAlign w:val="center"/>
                </w:tcPr>
                <w:p w14:paraId="2CA227B6">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ZYYQ-JC-02</w:t>
                  </w:r>
                </w:p>
              </w:tc>
              <w:tc>
                <w:tcPr>
                  <w:tcW w:w="1960" w:type="dxa"/>
                  <w:tcBorders>
                    <w:left w:val="single" w:color="auto" w:sz="4" w:space="0"/>
                    <w:tl2br w:val="nil"/>
                    <w:tr2bl w:val="nil"/>
                  </w:tcBorders>
                  <w:noWrap w:val="0"/>
                  <w:vAlign w:val="center"/>
                </w:tcPr>
                <w:p w14:paraId="48E88F1A">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35dB~130dB（A</w:t>
                  </w:r>
                </w:p>
              </w:tc>
              <w:tc>
                <w:tcPr>
                  <w:tcW w:w="1501" w:type="dxa"/>
                  <w:tcBorders>
                    <w:tl2br w:val="nil"/>
                    <w:tr2bl w:val="nil"/>
                  </w:tcBorders>
                  <w:noWrap w:val="0"/>
                  <w:vAlign w:val="center"/>
                </w:tcPr>
                <w:p w14:paraId="6D94C3D4">
                  <w:pPr>
                    <w:keepNext w:val="0"/>
                    <w:keepLines w:val="0"/>
                    <w:pageBreakBefore w:val="0"/>
                    <w:suppressLineNumbers w:val="0"/>
                    <w:kinsoku/>
                    <w:wordWrap/>
                    <w:overflowPunct/>
                    <w:topLinePunct w:val="0"/>
                    <w:bidi w:val="0"/>
                    <w:spacing w:before="0" w:beforeAutospacing="0" w:after="0" w:afterAutospacing="0" w:line="4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24</w:t>
                  </w:r>
                </w:p>
              </w:tc>
            </w:tr>
          </w:tbl>
          <w:p w14:paraId="010756F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（3）噪声环境现状监测结果</w:t>
            </w:r>
          </w:p>
          <w:p w14:paraId="36BA75A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rPr>
                <w:rFonts w:hint="default" w:ascii="Times New Roman" w:hAnsi="Times New Roman" w:eastAsia="宋体" w:cs="Times New Roman"/>
                <w:b/>
                <w:bCs w:val="0"/>
                <w:color w:val="auto"/>
                <w:kern w:val="2"/>
                <w:sz w:val="21"/>
                <w:szCs w:val="21"/>
                <w:highlight w:val="none"/>
                <w:lang w:val="en-US" w:eastAsia="zh-CN" w:bidi="ar-SA"/>
              </w:rPr>
            </w:pPr>
          </w:p>
          <w:p w14:paraId="50647F0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22" w:firstLineChars="20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表3-</w:t>
            </w:r>
            <w:r>
              <w:rPr>
                <w:rFonts w:hint="eastAsia" w:ascii="Times New Roman" w:hAnsi="Times New Roman" w:eastAsia="宋体" w:cs="Times New Roman"/>
                <w:b/>
                <w:bCs w:val="0"/>
                <w:color w:val="auto"/>
                <w:kern w:val="2"/>
                <w:sz w:val="21"/>
                <w:szCs w:val="21"/>
                <w:highlight w:val="none"/>
                <w:lang w:val="en-US" w:eastAsia="zh-CN" w:bidi="ar-SA"/>
              </w:rPr>
              <w:t>7</w:t>
            </w:r>
            <w:r>
              <w:rPr>
                <w:rFonts w:hint="default" w:ascii="Times New Roman" w:hAnsi="Times New Roman" w:eastAsia="宋体" w:cs="Times New Roman"/>
                <w:b/>
                <w:bCs w:val="0"/>
                <w:color w:val="auto"/>
                <w:kern w:val="2"/>
                <w:sz w:val="21"/>
                <w:szCs w:val="21"/>
                <w:highlight w:val="none"/>
                <w:lang w:val="en-US" w:eastAsia="zh-CN" w:bidi="ar-SA"/>
              </w:rPr>
              <w:t xml:space="preserve"> 项目噪声监测结果</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9"/>
              <w:gridCol w:w="2240"/>
              <w:gridCol w:w="1745"/>
              <w:gridCol w:w="966"/>
              <w:gridCol w:w="734"/>
              <w:gridCol w:w="734"/>
              <w:gridCol w:w="734"/>
              <w:gridCol w:w="747"/>
            </w:tblGrid>
            <w:tr w14:paraId="1373D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36" w:type="pct"/>
                  <w:vMerge w:val="restart"/>
                  <w:tcBorders>
                    <w:top w:val="single" w:color="000000" w:sz="4" w:space="0"/>
                    <w:left w:val="single" w:color="000000" w:sz="4" w:space="0"/>
                    <w:bottom w:val="single" w:color="000000" w:sz="4" w:space="0"/>
                    <w:right w:val="single" w:color="000000" w:sz="4" w:space="0"/>
                  </w:tcBorders>
                  <w:noWrap w:val="0"/>
                  <w:vAlign w:val="center"/>
                </w:tcPr>
                <w:p w14:paraId="32DE9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1322" w:type="pct"/>
                  <w:vMerge w:val="restart"/>
                  <w:tcBorders>
                    <w:top w:val="single" w:color="000000" w:sz="4" w:space="0"/>
                    <w:left w:val="single" w:color="000000" w:sz="4" w:space="0"/>
                    <w:bottom w:val="single" w:color="000000" w:sz="4" w:space="0"/>
                    <w:right w:val="single" w:color="000000" w:sz="4" w:space="0"/>
                  </w:tcBorders>
                  <w:noWrap w:val="0"/>
                  <w:vAlign w:val="center"/>
                </w:tcPr>
                <w:p w14:paraId="4E6A3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检测点位</w:t>
                  </w:r>
                </w:p>
                <w:p w14:paraId="0DE86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描述</w:t>
                  </w:r>
                </w:p>
              </w:tc>
              <w:tc>
                <w:tcPr>
                  <w:tcW w:w="1030" w:type="pct"/>
                  <w:vMerge w:val="restart"/>
                  <w:tcBorders>
                    <w:top w:val="single" w:color="000000" w:sz="4" w:space="0"/>
                    <w:left w:val="single" w:color="000000" w:sz="4" w:space="0"/>
                    <w:bottom w:val="single" w:color="000000" w:sz="4" w:space="0"/>
                    <w:right w:val="single" w:color="auto" w:sz="4" w:space="0"/>
                  </w:tcBorders>
                  <w:noWrap w:val="0"/>
                  <w:vAlign w:val="center"/>
                </w:tcPr>
                <w:p w14:paraId="2274F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检测时间</w:t>
                  </w:r>
                </w:p>
              </w:tc>
              <w:tc>
                <w:tcPr>
                  <w:tcW w:w="570" w:type="pct"/>
                  <w:vMerge w:val="restart"/>
                  <w:tcBorders>
                    <w:top w:val="single" w:color="000000" w:sz="4" w:space="0"/>
                    <w:left w:val="single" w:color="auto" w:sz="4" w:space="0"/>
                    <w:bottom w:val="single" w:color="000000" w:sz="4" w:space="0"/>
                    <w:right w:val="single" w:color="000000" w:sz="4" w:space="0"/>
                  </w:tcBorders>
                  <w:noWrap w:val="0"/>
                  <w:vAlign w:val="center"/>
                </w:tcPr>
                <w:p w14:paraId="261DEA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单位</w:t>
                  </w:r>
                </w:p>
              </w:tc>
              <w:tc>
                <w:tcPr>
                  <w:tcW w:w="1740" w:type="pct"/>
                  <w:gridSpan w:val="4"/>
                  <w:tcBorders>
                    <w:top w:val="single" w:color="000000" w:sz="4" w:space="0"/>
                    <w:left w:val="single" w:color="auto" w:sz="4" w:space="0"/>
                    <w:bottom w:val="single" w:color="000000" w:sz="4" w:space="0"/>
                    <w:right w:val="single" w:color="000000" w:sz="4" w:space="0"/>
                  </w:tcBorders>
                  <w:noWrap w:val="0"/>
                  <w:vAlign w:val="center"/>
                </w:tcPr>
                <w:p w14:paraId="4F5EB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检测结果</w:t>
                  </w:r>
                </w:p>
              </w:tc>
            </w:tr>
            <w:tr w14:paraId="58CA5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3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D39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32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AB3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0" w:type="pct"/>
                  <w:vMerge w:val="continue"/>
                  <w:tcBorders>
                    <w:top w:val="single" w:color="000000" w:sz="4" w:space="0"/>
                    <w:left w:val="single" w:color="000000" w:sz="4" w:space="0"/>
                    <w:bottom w:val="single" w:color="000000" w:sz="4" w:space="0"/>
                    <w:right w:val="single" w:color="auto" w:sz="4" w:space="0"/>
                  </w:tcBorders>
                  <w:noWrap w:val="0"/>
                  <w:vAlign w:val="center"/>
                </w:tcPr>
                <w:p w14:paraId="26FF0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0" w:type="pct"/>
                  <w:vMerge w:val="continue"/>
                  <w:tcBorders>
                    <w:top w:val="single" w:color="000000" w:sz="4" w:space="0"/>
                    <w:left w:val="single" w:color="auto" w:sz="4" w:space="0"/>
                    <w:bottom w:val="single" w:color="000000" w:sz="4" w:space="0"/>
                    <w:right w:val="single" w:color="000000" w:sz="4" w:space="0"/>
                  </w:tcBorders>
                  <w:noWrap w:val="0"/>
                  <w:vAlign w:val="center"/>
                </w:tcPr>
                <w:p w14:paraId="64E25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4BB1E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79AB0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L10</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65B45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L50</w:t>
                  </w:r>
                </w:p>
              </w:tc>
              <w:tc>
                <w:tcPr>
                  <w:tcW w:w="440" w:type="pct"/>
                  <w:tcBorders>
                    <w:top w:val="single" w:color="000000" w:sz="4" w:space="0"/>
                    <w:left w:val="single" w:color="auto" w:sz="4" w:space="0"/>
                    <w:bottom w:val="single" w:color="000000" w:sz="4" w:space="0"/>
                    <w:right w:val="single" w:color="000000" w:sz="4" w:space="0"/>
                  </w:tcBorders>
                  <w:noWrap w:val="0"/>
                  <w:vAlign w:val="center"/>
                </w:tcPr>
                <w:p w14:paraId="0F934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L90</w:t>
                  </w:r>
                </w:p>
              </w:tc>
            </w:tr>
            <w:tr w14:paraId="11A66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336" w:type="pct"/>
                  <w:vMerge w:val="restart"/>
                  <w:tcBorders>
                    <w:top w:val="single" w:color="000000" w:sz="4" w:space="0"/>
                    <w:left w:val="single" w:color="000000" w:sz="4" w:space="0"/>
                    <w:right w:val="single" w:color="000000" w:sz="4" w:space="0"/>
                  </w:tcBorders>
                  <w:noWrap w:val="0"/>
                  <w:vAlign w:val="center"/>
                </w:tcPr>
                <w:p w14:paraId="18097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322" w:type="pct"/>
                  <w:vMerge w:val="restart"/>
                  <w:tcBorders>
                    <w:top w:val="single" w:color="000000" w:sz="4" w:space="0"/>
                    <w:left w:val="single" w:color="000000" w:sz="4" w:space="0"/>
                    <w:right w:val="single" w:color="000000" w:sz="4" w:space="0"/>
                  </w:tcBorders>
                  <w:noWrap w:val="0"/>
                  <w:vAlign w:val="center"/>
                </w:tcPr>
                <w:p w14:paraId="263AE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黄龙村</w:t>
                  </w:r>
                </w:p>
              </w:tc>
              <w:tc>
                <w:tcPr>
                  <w:tcW w:w="1030" w:type="pct"/>
                  <w:tcBorders>
                    <w:top w:val="single" w:color="000000" w:sz="4" w:space="0"/>
                    <w:left w:val="single" w:color="000000" w:sz="4" w:space="0"/>
                    <w:bottom w:val="single" w:color="000000" w:sz="4" w:space="0"/>
                    <w:right w:val="single" w:color="auto" w:sz="4" w:space="0"/>
                  </w:tcBorders>
                  <w:noWrap w:val="0"/>
                  <w:vAlign w:val="center"/>
                </w:tcPr>
                <w:p w14:paraId="10CED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r>
                    <w:rPr>
                      <w:rFonts w:hint="eastAsia" w:ascii="Times New Roman" w:hAnsi="Times New Roman" w:eastAsia="宋体" w:cs="Times New Roman"/>
                      <w:color w:val="auto"/>
                      <w:kern w:val="0"/>
                      <w:sz w:val="21"/>
                      <w:szCs w:val="21"/>
                      <w:highlight w:val="none"/>
                      <w:lang w:val="en-US" w:eastAsia="zh-CN"/>
                    </w:rPr>
                    <w:t>18:48</w:t>
                  </w:r>
                  <w:r>
                    <w:rPr>
                      <w:rFonts w:hint="default" w:ascii="Times New Roman" w:hAnsi="Times New Roman" w:eastAsia="宋体" w:cs="Times New Roman"/>
                      <w:color w:val="auto"/>
                      <w:kern w:val="0"/>
                      <w:sz w:val="21"/>
                      <w:szCs w:val="21"/>
                      <w:highlight w:val="none"/>
                      <w:lang w:val="en-US" w:eastAsia="zh-CN"/>
                    </w:rPr>
                    <w:t>）</w:t>
                  </w:r>
                </w:p>
              </w:tc>
              <w:tc>
                <w:tcPr>
                  <w:tcW w:w="570" w:type="pct"/>
                  <w:tcBorders>
                    <w:top w:val="single" w:color="000000" w:sz="4" w:space="0"/>
                    <w:left w:val="single" w:color="auto" w:sz="4" w:space="0"/>
                    <w:bottom w:val="single" w:color="000000" w:sz="4" w:space="0"/>
                    <w:right w:val="single" w:color="000000" w:sz="4" w:space="0"/>
                  </w:tcBorders>
                  <w:noWrap w:val="0"/>
                  <w:vAlign w:val="center"/>
                </w:tcPr>
                <w:p w14:paraId="57AB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dB(A)</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645B5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43.3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55235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44.8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007F5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43.0 </w:t>
                  </w:r>
                </w:p>
              </w:tc>
              <w:tc>
                <w:tcPr>
                  <w:tcW w:w="440" w:type="pct"/>
                  <w:tcBorders>
                    <w:top w:val="single" w:color="000000" w:sz="4" w:space="0"/>
                    <w:left w:val="single" w:color="auto" w:sz="4" w:space="0"/>
                    <w:bottom w:val="single" w:color="000000" w:sz="4" w:space="0"/>
                    <w:right w:val="single" w:color="000000" w:sz="4" w:space="0"/>
                  </w:tcBorders>
                  <w:noWrap w:val="0"/>
                  <w:vAlign w:val="center"/>
                </w:tcPr>
                <w:p w14:paraId="4B355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41.2 </w:t>
                  </w:r>
                </w:p>
              </w:tc>
            </w:tr>
            <w:tr w14:paraId="200C3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336" w:type="pct"/>
                  <w:vMerge w:val="continue"/>
                  <w:tcBorders>
                    <w:left w:val="single" w:color="000000" w:sz="4" w:space="0"/>
                    <w:bottom w:val="single" w:color="000000" w:sz="4" w:space="0"/>
                    <w:right w:val="single" w:color="000000" w:sz="4" w:space="0"/>
                  </w:tcBorders>
                  <w:noWrap w:val="0"/>
                  <w:vAlign w:val="center"/>
                </w:tcPr>
                <w:p w14:paraId="62B57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322" w:type="pct"/>
                  <w:vMerge w:val="continue"/>
                  <w:tcBorders>
                    <w:left w:val="single" w:color="000000" w:sz="4" w:space="0"/>
                    <w:bottom w:val="single" w:color="000000" w:sz="4" w:space="0"/>
                    <w:right w:val="single" w:color="000000" w:sz="4" w:space="0"/>
                  </w:tcBorders>
                  <w:noWrap w:val="0"/>
                  <w:vAlign w:val="center"/>
                </w:tcPr>
                <w:p w14:paraId="0EE7D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0" w:type="pct"/>
                  <w:tcBorders>
                    <w:top w:val="single" w:color="000000" w:sz="4" w:space="0"/>
                    <w:left w:val="single" w:color="000000" w:sz="4" w:space="0"/>
                    <w:bottom w:val="single" w:color="000000" w:sz="4" w:space="0"/>
                    <w:right w:val="single" w:color="auto" w:sz="4" w:space="0"/>
                  </w:tcBorders>
                  <w:noWrap w:val="0"/>
                  <w:vAlign w:val="center"/>
                </w:tcPr>
                <w:p w14:paraId="09E0A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夜间（</w:t>
                  </w:r>
                  <w:r>
                    <w:rPr>
                      <w:rFonts w:hint="eastAsia" w:ascii="Times New Roman" w:hAnsi="Times New Roman" w:eastAsia="宋体" w:cs="Times New Roman"/>
                      <w:color w:val="auto"/>
                      <w:kern w:val="0"/>
                      <w:sz w:val="21"/>
                      <w:szCs w:val="21"/>
                      <w:highlight w:val="none"/>
                      <w:lang w:val="en-US" w:eastAsia="zh-CN"/>
                    </w:rPr>
                    <w:t>22:06</w:t>
                  </w:r>
                  <w:r>
                    <w:rPr>
                      <w:rFonts w:hint="default" w:ascii="Times New Roman" w:hAnsi="Times New Roman" w:eastAsia="宋体" w:cs="Times New Roman"/>
                      <w:color w:val="auto"/>
                      <w:kern w:val="0"/>
                      <w:sz w:val="21"/>
                      <w:szCs w:val="21"/>
                      <w:highlight w:val="none"/>
                      <w:lang w:val="en-US" w:eastAsia="zh-CN"/>
                    </w:rPr>
                    <w:t>）</w:t>
                  </w:r>
                </w:p>
              </w:tc>
              <w:tc>
                <w:tcPr>
                  <w:tcW w:w="570" w:type="pct"/>
                  <w:tcBorders>
                    <w:top w:val="single" w:color="000000" w:sz="4" w:space="0"/>
                    <w:left w:val="single" w:color="auto" w:sz="4" w:space="0"/>
                    <w:bottom w:val="single" w:color="000000" w:sz="4" w:space="0"/>
                    <w:right w:val="single" w:color="000000" w:sz="4" w:space="0"/>
                  </w:tcBorders>
                  <w:noWrap w:val="0"/>
                  <w:vAlign w:val="center"/>
                </w:tcPr>
                <w:p w14:paraId="622E2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dB(A)</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36224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39.7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21DD7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41.2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2752B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39.0 </w:t>
                  </w:r>
                </w:p>
              </w:tc>
              <w:tc>
                <w:tcPr>
                  <w:tcW w:w="440" w:type="pct"/>
                  <w:tcBorders>
                    <w:top w:val="single" w:color="000000" w:sz="4" w:space="0"/>
                    <w:left w:val="single" w:color="auto" w:sz="4" w:space="0"/>
                    <w:bottom w:val="single" w:color="000000" w:sz="4" w:space="0"/>
                    <w:right w:val="single" w:color="000000" w:sz="4" w:space="0"/>
                  </w:tcBorders>
                  <w:noWrap w:val="0"/>
                  <w:vAlign w:val="center"/>
                </w:tcPr>
                <w:p w14:paraId="2409A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38.0 </w:t>
                  </w:r>
                </w:p>
              </w:tc>
            </w:tr>
            <w:tr w14:paraId="01D7C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336" w:type="pct"/>
                  <w:vMerge w:val="restart"/>
                  <w:tcBorders>
                    <w:left w:val="single" w:color="000000" w:sz="4" w:space="0"/>
                    <w:right w:val="single" w:color="000000" w:sz="4" w:space="0"/>
                  </w:tcBorders>
                  <w:noWrap w:val="0"/>
                  <w:vAlign w:val="center"/>
                </w:tcPr>
                <w:p w14:paraId="41A80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322" w:type="pct"/>
                  <w:vMerge w:val="restart"/>
                  <w:tcBorders>
                    <w:left w:val="single" w:color="000000" w:sz="4" w:space="0"/>
                    <w:right w:val="single" w:color="000000" w:sz="4" w:space="0"/>
                  </w:tcBorders>
                  <w:noWrap w:val="0"/>
                  <w:vAlign w:val="center"/>
                </w:tcPr>
                <w:p w14:paraId="169DA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黄龙新庄村</w:t>
                  </w:r>
                </w:p>
              </w:tc>
              <w:tc>
                <w:tcPr>
                  <w:tcW w:w="1030" w:type="pct"/>
                  <w:tcBorders>
                    <w:top w:val="single" w:color="000000" w:sz="4" w:space="0"/>
                    <w:left w:val="single" w:color="000000" w:sz="4" w:space="0"/>
                    <w:bottom w:val="single" w:color="000000" w:sz="4" w:space="0"/>
                    <w:right w:val="single" w:color="auto" w:sz="4" w:space="0"/>
                  </w:tcBorders>
                  <w:noWrap w:val="0"/>
                  <w:vAlign w:val="center"/>
                </w:tcPr>
                <w:p w14:paraId="353B8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r>
                    <w:rPr>
                      <w:rFonts w:hint="eastAsia" w:ascii="Times New Roman" w:hAnsi="Times New Roman" w:eastAsia="宋体" w:cs="Times New Roman"/>
                      <w:color w:val="auto"/>
                      <w:kern w:val="0"/>
                      <w:sz w:val="21"/>
                      <w:szCs w:val="21"/>
                      <w:highlight w:val="none"/>
                      <w:lang w:val="en-US" w:eastAsia="zh-CN"/>
                    </w:rPr>
                    <w:t>19:05</w:t>
                  </w:r>
                  <w:r>
                    <w:rPr>
                      <w:rFonts w:hint="default" w:ascii="Times New Roman" w:hAnsi="Times New Roman" w:eastAsia="宋体" w:cs="Times New Roman"/>
                      <w:color w:val="auto"/>
                      <w:kern w:val="0"/>
                      <w:sz w:val="21"/>
                      <w:szCs w:val="21"/>
                      <w:highlight w:val="none"/>
                      <w:lang w:val="en-US" w:eastAsia="zh-CN"/>
                    </w:rPr>
                    <w:t>）</w:t>
                  </w:r>
                </w:p>
              </w:tc>
              <w:tc>
                <w:tcPr>
                  <w:tcW w:w="570" w:type="pct"/>
                  <w:tcBorders>
                    <w:top w:val="single" w:color="000000" w:sz="4" w:space="0"/>
                    <w:left w:val="single" w:color="auto" w:sz="4" w:space="0"/>
                    <w:bottom w:val="single" w:color="000000" w:sz="4" w:space="0"/>
                    <w:right w:val="single" w:color="000000" w:sz="4" w:space="0"/>
                  </w:tcBorders>
                  <w:noWrap w:val="0"/>
                  <w:vAlign w:val="center"/>
                </w:tcPr>
                <w:p w14:paraId="152FF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dB(A)</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6BE6C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42.8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06A2A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44.4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301D3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42.6 </w:t>
                  </w:r>
                </w:p>
              </w:tc>
              <w:tc>
                <w:tcPr>
                  <w:tcW w:w="440" w:type="pct"/>
                  <w:tcBorders>
                    <w:top w:val="single" w:color="000000" w:sz="4" w:space="0"/>
                    <w:left w:val="single" w:color="auto" w:sz="4" w:space="0"/>
                    <w:bottom w:val="single" w:color="000000" w:sz="4" w:space="0"/>
                    <w:right w:val="single" w:color="000000" w:sz="4" w:space="0"/>
                  </w:tcBorders>
                  <w:noWrap w:val="0"/>
                  <w:vAlign w:val="center"/>
                </w:tcPr>
                <w:p w14:paraId="06966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39.6 </w:t>
                  </w:r>
                </w:p>
              </w:tc>
            </w:tr>
            <w:tr w14:paraId="638C8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336" w:type="pct"/>
                  <w:vMerge w:val="continue"/>
                  <w:tcBorders>
                    <w:left w:val="single" w:color="000000" w:sz="4" w:space="0"/>
                    <w:right w:val="single" w:color="000000" w:sz="4" w:space="0"/>
                  </w:tcBorders>
                  <w:noWrap w:val="0"/>
                  <w:vAlign w:val="center"/>
                </w:tcPr>
                <w:p w14:paraId="15417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322" w:type="pct"/>
                  <w:vMerge w:val="continue"/>
                  <w:tcBorders>
                    <w:left w:val="single" w:color="000000" w:sz="4" w:space="0"/>
                    <w:right w:val="single" w:color="000000" w:sz="4" w:space="0"/>
                  </w:tcBorders>
                  <w:noWrap w:val="0"/>
                  <w:vAlign w:val="center"/>
                </w:tcPr>
                <w:p w14:paraId="43DBA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0" w:type="pct"/>
                  <w:tcBorders>
                    <w:top w:val="single" w:color="000000" w:sz="4" w:space="0"/>
                    <w:left w:val="single" w:color="000000" w:sz="4" w:space="0"/>
                    <w:bottom w:val="single" w:color="000000" w:sz="4" w:space="0"/>
                    <w:right w:val="single" w:color="auto" w:sz="4" w:space="0"/>
                  </w:tcBorders>
                  <w:noWrap w:val="0"/>
                  <w:vAlign w:val="center"/>
                </w:tcPr>
                <w:p w14:paraId="24DA0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夜间（</w:t>
                  </w:r>
                  <w:r>
                    <w:rPr>
                      <w:rFonts w:hint="eastAsia" w:ascii="Times New Roman" w:hAnsi="Times New Roman" w:eastAsia="宋体" w:cs="Times New Roman"/>
                      <w:color w:val="auto"/>
                      <w:kern w:val="0"/>
                      <w:sz w:val="21"/>
                      <w:szCs w:val="21"/>
                      <w:highlight w:val="none"/>
                      <w:lang w:val="en-US" w:eastAsia="zh-CN"/>
                    </w:rPr>
                    <w:t>22:21</w:t>
                  </w:r>
                  <w:r>
                    <w:rPr>
                      <w:rFonts w:hint="default" w:ascii="Times New Roman" w:hAnsi="Times New Roman" w:eastAsia="宋体" w:cs="Times New Roman"/>
                      <w:color w:val="auto"/>
                      <w:kern w:val="0"/>
                      <w:sz w:val="21"/>
                      <w:szCs w:val="21"/>
                      <w:highlight w:val="none"/>
                      <w:lang w:val="en-US" w:eastAsia="zh-CN"/>
                    </w:rPr>
                    <w:t>）</w:t>
                  </w:r>
                </w:p>
              </w:tc>
              <w:tc>
                <w:tcPr>
                  <w:tcW w:w="570" w:type="pct"/>
                  <w:tcBorders>
                    <w:top w:val="single" w:color="000000" w:sz="4" w:space="0"/>
                    <w:left w:val="single" w:color="auto" w:sz="4" w:space="0"/>
                    <w:bottom w:val="single" w:color="000000" w:sz="4" w:space="0"/>
                    <w:right w:val="single" w:color="000000" w:sz="4" w:space="0"/>
                  </w:tcBorders>
                  <w:noWrap w:val="0"/>
                  <w:vAlign w:val="center"/>
                </w:tcPr>
                <w:p w14:paraId="779BB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dB(A)</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24286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40.2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14BD3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40.8 </w:t>
                  </w:r>
                </w:p>
              </w:tc>
              <w:tc>
                <w:tcPr>
                  <w:tcW w:w="433" w:type="pct"/>
                  <w:tcBorders>
                    <w:top w:val="single" w:color="000000" w:sz="4" w:space="0"/>
                    <w:left w:val="single" w:color="auto" w:sz="4" w:space="0"/>
                    <w:bottom w:val="single" w:color="000000" w:sz="4" w:space="0"/>
                    <w:right w:val="single" w:color="000000" w:sz="4" w:space="0"/>
                  </w:tcBorders>
                  <w:noWrap w:val="0"/>
                  <w:vAlign w:val="center"/>
                </w:tcPr>
                <w:p w14:paraId="67B5F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39.8 </w:t>
                  </w:r>
                </w:p>
              </w:tc>
              <w:tc>
                <w:tcPr>
                  <w:tcW w:w="440" w:type="pct"/>
                  <w:tcBorders>
                    <w:top w:val="single" w:color="000000" w:sz="4" w:space="0"/>
                    <w:left w:val="single" w:color="auto" w:sz="4" w:space="0"/>
                    <w:bottom w:val="single" w:color="000000" w:sz="4" w:space="0"/>
                    <w:right w:val="single" w:color="000000" w:sz="4" w:space="0"/>
                  </w:tcBorders>
                  <w:noWrap w:val="0"/>
                  <w:vAlign w:val="center"/>
                </w:tcPr>
                <w:p w14:paraId="0D8C0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39.2 </w:t>
                  </w:r>
                </w:p>
              </w:tc>
            </w:tr>
          </w:tbl>
          <w:p w14:paraId="2FAA6D8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（4）现状质量分析</w:t>
            </w:r>
          </w:p>
          <w:p w14:paraId="5BE787CA">
            <w:pPr>
              <w:keepNext w:val="0"/>
              <w:keepLines w:val="0"/>
              <w:pageBreakBefore w:val="0"/>
              <w:suppressLineNumbers w:val="0"/>
              <w:kinsoku/>
              <w:wordWrap/>
              <w:overflowPunct/>
              <w:topLinePunct w:val="0"/>
              <w:bidi w:val="0"/>
              <w:spacing w:before="0" w:beforeAutospacing="0" w:after="0" w:afterAutospacing="0" w:line="420" w:lineRule="exact"/>
              <w:ind w:left="0" w:right="0" w:firstLine="480" w:firstLineChars="200"/>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w:t>
            </w:r>
            <w:r>
              <w:rPr>
                <w:rFonts w:hint="default" w:ascii="Times New Roman" w:hAnsi="Times New Roman" w:eastAsia="宋体" w:cs="Times New Roman"/>
                <w:color w:val="auto"/>
                <w:kern w:val="0"/>
                <w:sz w:val="24"/>
                <w:szCs w:val="24"/>
                <w:highlight w:val="none"/>
                <w:lang w:val="en-US" w:eastAsia="zh-CN"/>
              </w:rPr>
              <w:t>山西志源生态环境科技有限公司</w:t>
            </w:r>
            <w:r>
              <w:rPr>
                <w:rFonts w:hint="default" w:ascii="Times New Roman" w:hAnsi="Times New Roman" w:eastAsia="宋体" w:cs="Times New Roman"/>
                <w:bCs/>
                <w:color w:val="auto"/>
                <w:sz w:val="24"/>
                <w:szCs w:val="24"/>
                <w:highlight w:val="none"/>
                <w:lang w:val="en-US" w:eastAsia="zh-CN"/>
              </w:rPr>
              <w:t>对本项目进行的现状监测结果可知：输送线路沿线</w:t>
            </w:r>
            <w:r>
              <w:rPr>
                <w:rFonts w:hint="eastAsia" w:ascii="Times New Roman" w:hAnsi="Times New Roman" w:eastAsia="宋体" w:cs="Times New Roman"/>
                <w:bCs/>
                <w:color w:val="auto"/>
                <w:sz w:val="24"/>
                <w:szCs w:val="24"/>
                <w:highlight w:val="none"/>
                <w:lang w:val="en-US" w:eastAsia="zh-CN"/>
              </w:rPr>
              <w:t>声环境保护目标</w:t>
            </w:r>
            <w:r>
              <w:rPr>
                <w:rFonts w:hint="default" w:ascii="Times New Roman" w:hAnsi="Times New Roman" w:eastAsia="宋体" w:cs="Times New Roman"/>
                <w:bCs/>
                <w:color w:val="auto"/>
                <w:sz w:val="24"/>
                <w:szCs w:val="24"/>
                <w:highlight w:val="none"/>
                <w:lang w:val="en-US" w:eastAsia="zh-CN"/>
              </w:rPr>
              <w:t>昼间噪声级为</w:t>
            </w:r>
            <w:r>
              <w:rPr>
                <w:rFonts w:hint="eastAsia" w:ascii="Times New Roman" w:hAnsi="Times New Roman" w:eastAsia="宋体" w:cs="Times New Roman"/>
                <w:bCs/>
                <w:color w:val="auto"/>
                <w:sz w:val="24"/>
                <w:szCs w:val="24"/>
                <w:highlight w:val="none"/>
                <w:lang w:val="en-US" w:eastAsia="zh-CN"/>
              </w:rPr>
              <w:t>42.8</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43.3</w:t>
            </w:r>
            <w:r>
              <w:rPr>
                <w:rFonts w:hint="default" w:ascii="Times New Roman" w:hAnsi="Times New Roman" w:eastAsia="宋体" w:cs="Times New Roman"/>
                <w:bCs/>
                <w:color w:val="auto"/>
                <w:sz w:val="24"/>
                <w:szCs w:val="24"/>
                <w:highlight w:val="none"/>
                <w:lang w:val="en-US" w:eastAsia="zh-CN"/>
              </w:rPr>
              <w:t>dB（A）之间，夜间噪声级为</w:t>
            </w:r>
            <w:r>
              <w:rPr>
                <w:rFonts w:hint="eastAsia" w:ascii="Times New Roman" w:hAnsi="Times New Roman" w:eastAsia="宋体" w:cs="Times New Roman"/>
                <w:bCs/>
                <w:color w:val="auto"/>
                <w:sz w:val="24"/>
                <w:szCs w:val="24"/>
                <w:highlight w:val="none"/>
                <w:lang w:val="en-US" w:eastAsia="zh-CN"/>
              </w:rPr>
              <w:t>39.7</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40.2</w:t>
            </w:r>
            <w:r>
              <w:rPr>
                <w:rFonts w:hint="default" w:ascii="Times New Roman" w:hAnsi="Times New Roman" w:eastAsia="宋体" w:cs="Times New Roman"/>
                <w:bCs/>
                <w:color w:val="auto"/>
                <w:sz w:val="24"/>
                <w:szCs w:val="24"/>
                <w:highlight w:val="none"/>
                <w:lang w:val="en-US" w:eastAsia="zh-CN"/>
              </w:rPr>
              <w:t>dB（A）之间（A），满足《声环境质量标准》（GB3096-2008）中1类标准要求。</w:t>
            </w:r>
          </w:p>
          <w:p w14:paraId="241D3617">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40E846A6">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57B088CE">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019EA259">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6F9A6371">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7CB30E8">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C726B8F">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75DD903">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47823E0">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676F6B4">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2047D56">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9D95419">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541782C5">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0CA7E0A">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CB9BE20">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5FEB80D">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36E16A0">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0E7FE4B5">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3C4B48B">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7941450">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101FA8FB">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519BC042">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77F53BC6">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2A715C7">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0CB8B3D8">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35F21996">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p w14:paraId="202831E6">
            <w:pPr>
              <w:pStyle w:val="36"/>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4"/>
                <w:szCs w:val="24"/>
                <w:highlight w:val="none"/>
                <w:lang w:val="en-US" w:eastAsia="zh-CN"/>
              </w:rPr>
            </w:pPr>
          </w:p>
        </w:tc>
      </w:tr>
      <w:tr w14:paraId="17C018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3168" w:hRule="atLeast"/>
          <w:jc w:val="center"/>
        </w:trPr>
        <w:tc>
          <w:tcPr>
            <w:tcW w:w="704" w:type="dxa"/>
            <w:tcBorders>
              <w:top w:val="single" w:color="auto" w:sz="4" w:space="0"/>
              <w:bottom w:val="single" w:color="auto" w:sz="4" w:space="0"/>
              <w:right w:val="single" w:color="auto" w:sz="4" w:space="0"/>
            </w:tcBorders>
            <w:vAlign w:val="center"/>
          </w:tcPr>
          <w:p w14:paraId="41A7106C">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与项目有关的原有环境污染和生态破坏问题</w:t>
            </w:r>
          </w:p>
        </w:tc>
        <w:tc>
          <w:tcPr>
            <w:tcW w:w="8652" w:type="dxa"/>
            <w:tcBorders>
              <w:top w:val="single" w:color="auto" w:sz="4" w:space="0"/>
              <w:left w:val="single" w:color="auto" w:sz="4" w:space="0"/>
              <w:bottom w:val="single" w:color="auto" w:sz="4" w:space="0"/>
            </w:tcBorders>
          </w:tcPr>
          <w:p w14:paraId="0DDC67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与项目有关的原有环境污染和生态破坏问题</w:t>
            </w:r>
          </w:p>
          <w:p w14:paraId="0887F6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本工程为新建项目，与项目有关的原有环境污染和生态破坏问题主要为依托工程运行产生的污染。本工程依托工程主要为火山云二期至壶泉站的220kV线路工程</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大同东500kV汇集站与火山云二期220kV变电站。</w:t>
            </w:r>
          </w:p>
          <w:p w14:paraId="29C5C9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lang w:val="en-US"/>
              </w:rPr>
            </w:pPr>
            <w:r>
              <w:rPr>
                <w:rFonts w:hint="default" w:ascii="Times New Roman" w:hAnsi="Times New Roman" w:eastAsia="宋体" w:cs="Times New Roman"/>
                <w:b/>
                <w:bCs/>
                <w:color w:val="auto"/>
                <w:kern w:val="0"/>
                <w:sz w:val="24"/>
                <w:szCs w:val="24"/>
                <w:highlight w:val="none"/>
                <w:lang w:val="en-US" w:eastAsia="zh-CN"/>
              </w:rPr>
              <w:t>（1）火山云二期至壶泉站的220kV线路工程</w:t>
            </w:r>
            <w:r>
              <w:rPr>
                <w:rFonts w:hint="eastAsia" w:ascii="Times New Roman" w:hAnsi="Times New Roman" w:eastAsia="宋体" w:cs="Times New Roman"/>
                <w:b/>
                <w:bCs/>
                <w:color w:val="auto"/>
                <w:kern w:val="0"/>
                <w:sz w:val="24"/>
                <w:szCs w:val="24"/>
                <w:highlight w:val="none"/>
                <w:lang w:val="en-US" w:eastAsia="zh-CN"/>
              </w:rPr>
              <w:t>和火山云二期220KV 变电站</w:t>
            </w:r>
          </w:p>
          <w:p w14:paraId="709178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highlight w:val="none"/>
                <w:lang w:val="en-US" w:eastAsia="zh-CN"/>
              </w:rPr>
              <w:t>火山云太行算力中心项目二期工程 220kV输变电工程主要包括三部分内容：火山云二期220KV变电站、火山云 220KV 变电站~壶泉站220kV线路工程、火山云 220KV 变电站~史庄站220kV线路工程。《火山云太行算力中心项目二期工程 220kV输变电工程环境影响报告表》于2025年4月山西新凯航环保科技公司编制完成，大同市生态环境局于2025年5月7日以“同环函（服务）辐</w:t>
            </w:r>
            <w:r>
              <w:rPr>
                <w:rFonts w:hint="eastAsia" w:ascii="微软雅黑" w:hAnsi="微软雅黑" w:eastAsia="微软雅黑" w:cs="微软雅黑"/>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2025</w:t>
            </w:r>
            <w:r>
              <w:rPr>
                <w:rFonts w:hint="eastAsia" w:ascii="微软雅黑" w:hAnsi="微软雅黑" w:eastAsia="微软雅黑" w:cs="微软雅黑"/>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14号”下发了《关于火山云太行算力中心项目二期工程220kV输变电工程环境影响报告表的批复》，该项目已建设完成且已投运。</w:t>
            </w:r>
          </w:p>
          <w:p w14:paraId="2D623AE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目前</w:t>
            </w:r>
            <w:r>
              <w:rPr>
                <w:rFonts w:hint="eastAsia" w:ascii="Times New Roman" w:hAnsi="Times New Roman" w:eastAsia="宋体" w:cs="Times New Roman"/>
                <w:color w:val="auto"/>
                <w:kern w:val="0"/>
                <w:sz w:val="24"/>
                <w:szCs w:val="24"/>
                <w:highlight w:val="none"/>
                <w:lang w:val="en-US" w:eastAsia="zh-CN"/>
              </w:rPr>
              <w:t>火山云二期220KV变电站</w:t>
            </w:r>
            <w:r>
              <w:rPr>
                <w:rFonts w:hint="default" w:ascii="Times New Roman" w:hAnsi="Times New Roman" w:eastAsia="宋体" w:cs="Times New Roman"/>
                <w:color w:val="auto"/>
                <w:kern w:val="0"/>
                <w:sz w:val="24"/>
                <w:szCs w:val="24"/>
                <w:highlight w:val="none"/>
              </w:rPr>
              <w:t>主变容量</w:t>
            </w:r>
            <w:r>
              <w:rPr>
                <w:rFonts w:hint="default" w:ascii="Times New Roman" w:hAnsi="Times New Roman" w:eastAsia="宋体" w:cs="Times New Roman"/>
                <w:color w:val="auto"/>
                <w:kern w:val="0"/>
                <w:sz w:val="24"/>
                <w:szCs w:val="24"/>
                <w:highlight w:val="none"/>
                <w:lang w:val="en-US" w:eastAsia="zh-CN"/>
              </w:rPr>
              <w:t>3×150MVA（2用1备）</w:t>
            </w:r>
            <w:r>
              <w:rPr>
                <w:rFonts w:hint="default" w:ascii="Times New Roman" w:hAnsi="Times New Roman" w:eastAsia="宋体" w:cs="Times New Roman"/>
                <w:color w:val="auto"/>
                <w:kern w:val="0"/>
                <w:sz w:val="24"/>
                <w:szCs w:val="24"/>
                <w:highlight w:val="none"/>
              </w:rPr>
              <w:t>，电压等级为</w:t>
            </w:r>
            <w:r>
              <w:rPr>
                <w:rFonts w:hint="default" w:ascii="Times New Roman" w:hAnsi="Times New Roman" w:eastAsia="宋体" w:cs="Times New Roman"/>
                <w:color w:val="auto"/>
                <w:kern w:val="0"/>
                <w:sz w:val="24"/>
                <w:szCs w:val="24"/>
                <w:highlight w:val="none"/>
                <w:lang w:val="en-US" w:eastAsia="zh-CN"/>
              </w:rPr>
              <w:t>220KV/10KV</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220kV出线远期3回，本期建设2回；10kV出线远期66回，本期建设66回</w:t>
            </w:r>
            <w:r>
              <w:rPr>
                <w:rFonts w:hint="default" w:ascii="Times New Roman" w:hAnsi="Times New Roman" w:eastAsia="宋体" w:cs="Times New Roman"/>
                <w:color w:val="auto"/>
                <w:kern w:val="0"/>
                <w:sz w:val="24"/>
                <w:szCs w:val="24"/>
                <w:highlight w:val="none"/>
              </w:rPr>
              <w:t>。根据现场踏勘，站内设有一座</w:t>
            </w:r>
            <w:r>
              <w:rPr>
                <w:rFonts w:hint="default" w:ascii="Times New Roman" w:hAnsi="Times New Roman" w:eastAsia="宋体" w:cs="Times New Roman"/>
                <w:color w:val="auto"/>
                <w:kern w:val="0"/>
                <w:sz w:val="24"/>
                <w:szCs w:val="24"/>
                <w:highlight w:val="none"/>
                <w:lang w:val="en-US" w:eastAsia="zh-CN"/>
              </w:rPr>
              <w:t>80.64m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的事故油池</w:t>
            </w:r>
            <w:r>
              <w:rPr>
                <w:rFonts w:hint="default" w:ascii="Times New Roman" w:hAnsi="Times New Roman" w:eastAsia="宋体" w:cs="Times New Roman"/>
                <w:color w:val="auto"/>
                <w:kern w:val="0"/>
                <w:sz w:val="24"/>
                <w:szCs w:val="24"/>
                <w:highlight w:val="none"/>
              </w:rPr>
              <w:t>，采用地下钢筋混凝土结构，现有事故油池防渗措施采用抗渗混凝土和粘土层结构，每层厚度约600mm。变压器事故状态下的废油进入排油槽，通过排油管道集中排至事故油池。</w:t>
            </w:r>
          </w:p>
          <w:p w14:paraId="28EE858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火山云二期至壶泉站的220kV线路工程</w:t>
            </w:r>
            <w:r>
              <w:rPr>
                <w:rFonts w:hint="eastAsia" w:ascii="Times New Roman" w:hAnsi="Times New Roman" w:eastAsia="宋体" w:cs="Times New Roman"/>
                <w:b w:val="0"/>
                <w:bCs w:val="0"/>
                <w:color w:val="auto"/>
                <w:kern w:val="0"/>
                <w:sz w:val="24"/>
                <w:szCs w:val="24"/>
                <w:highlight w:val="none"/>
                <w:lang w:val="en-US" w:eastAsia="zh-CN"/>
              </w:rPr>
              <w:t>线路长度10.4km，单回架空，导线采用JL/G1A-400/35 钢芯铝绞线，地线采用48芯OPGW通信光缆；全线共28基杆塔，其中单回路终端杆2基，单回路转角杆、塔6基，单回路直线塔20基。根据现场踏勘及资料收集，本项目涉及区域线路沿线已采取生态恢复措施，均无地表裸露情况。</w:t>
            </w:r>
          </w:p>
          <w:p w14:paraId="079950E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监测结果可知，火山云二期220KV变电站周围工频电场强度为（1.802～164.7）V/m，工频磁感应强度为（0.0928～0.2947）μT，满足《电磁环境控制限值》（GB8702-2014）中“公众曝露控制限值”规定的工频电场强度小于4kV/m、工频磁感应强度100μT的控制限值。</w:t>
            </w:r>
          </w:p>
          <w:p w14:paraId="7B80B0C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（2）大同东500kV汇集站</w:t>
            </w:r>
          </w:p>
          <w:p w14:paraId="1239426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大同东500kV变电站为大同地区规划变电站，主变规划容量2×1000MVA。采用单相自耦三绕组无励磁调压油浸风冷变压器。</w:t>
            </w:r>
          </w:p>
          <w:p w14:paraId="5C85D38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拟建大同东500kV汇集站另作评价，不在本次评价范围内。根据调查，拟建大同东500kV汇集站环评手续正在办理中。</w:t>
            </w:r>
          </w:p>
          <w:p w14:paraId="2D295A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p>
        </w:tc>
      </w:tr>
      <w:tr w14:paraId="472D6A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327" w:hRule="atLeast"/>
          <w:jc w:val="center"/>
        </w:trPr>
        <w:tc>
          <w:tcPr>
            <w:tcW w:w="704" w:type="dxa"/>
            <w:tcBorders>
              <w:top w:val="single" w:color="auto" w:sz="4" w:space="0"/>
              <w:bottom w:val="single" w:color="auto" w:sz="4" w:space="0"/>
              <w:right w:val="single" w:color="auto" w:sz="4" w:space="0"/>
            </w:tcBorders>
            <w:vAlign w:val="center"/>
          </w:tcPr>
          <w:p w14:paraId="6C6E3DCF">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br w:type="page"/>
            </w:r>
            <w:r>
              <w:rPr>
                <w:rFonts w:hint="default" w:ascii="Times New Roman" w:hAnsi="Times New Roman" w:eastAsia="宋体" w:cs="Times New Roman"/>
                <w:bCs/>
                <w:color w:val="auto"/>
                <w:sz w:val="24"/>
                <w:szCs w:val="24"/>
                <w:highlight w:val="none"/>
              </w:rPr>
              <w:t>生态环境保护目标</w:t>
            </w:r>
          </w:p>
        </w:tc>
        <w:tc>
          <w:tcPr>
            <w:tcW w:w="8652" w:type="dxa"/>
            <w:tcBorders>
              <w:top w:val="single" w:color="auto" w:sz="4" w:space="0"/>
              <w:left w:val="single" w:color="auto" w:sz="4" w:space="0"/>
              <w:bottom w:val="single" w:color="auto" w:sz="4" w:space="0"/>
            </w:tcBorders>
            <w:vAlign w:val="top"/>
          </w:tcPr>
          <w:p w14:paraId="32CBD9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1.声环境保护目标</w:t>
            </w:r>
          </w:p>
          <w:p w14:paraId="7F8385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根据现场实际勘察，输电线路两侧50m范围内的敏感目标</w:t>
            </w:r>
            <w:r>
              <w:rPr>
                <w:rFonts w:hint="eastAsia" w:ascii="Times New Roman" w:hAnsi="Times New Roman" w:eastAsia="宋体" w:cs="Times New Roman"/>
                <w:color w:val="auto"/>
                <w:kern w:val="0"/>
                <w:sz w:val="24"/>
                <w:szCs w:val="24"/>
                <w:highlight w:val="none"/>
                <w:lang w:val="en-US" w:eastAsia="zh-CN"/>
              </w:rPr>
              <w:t>见下表。</w:t>
            </w:r>
          </w:p>
          <w:p w14:paraId="0313F6F4">
            <w:pPr>
              <w:keepNext w:val="0"/>
              <w:keepLines w:val="0"/>
              <w:pageBreakBefore w:val="0"/>
              <w:widowControl w:val="0"/>
              <w:suppressLineNumbers w:val="0"/>
              <w:kinsoku/>
              <w:wordWrap/>
              <w:overflowPunct/>
              <w:topLinePunct w:val="0"/>
              <w:autoSpaceDE w:val="0"/>
              <w:autoSpaceDN w:val="0"/>
              <w:bidi w:val="0"/>
              <w:adjustRightInd w:val="0"/>
              <w:snapToGrid w:val="0"/>
              <w:spacing w:before="63" w:beforeLines="20" w:beforeAutospacing="0" w:after="0" w:afterAutospacing="0" w:line="320" w:lineRule="exact"/>
              <w:ind w:left="0" w:right="0"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w:t>
            </w:r>
            <w:r>
              <w:rPr>
                <w:rFonts w:hint="eastAsia" w:ascii="Times New Roman" w:hAnsi="Times New Roman" w:eastAsia="宋体" w:cs="Times New Roman"/>
                <w:b/>
                <w:bCs w:val="0"/>
                <w:color w:val="auto"/>
                <w:kern w:val="0"/>
                <w:sz w:val="21"/>
                <w:szCs w:val="21"/>
                <w:highlight w:val="none"/>
                <w:lang w:val="en-US" w:eastAsia="zh-CN"/>
              </w:rPr>
              <w:t>8</w:t>
            </w:r>
            <w:r>
              <w:rPr>
                <w:rFonts w:hint="default" w:ascii="Times New Roman" w:hAnsi="Times New Roman" w:eastAsia="宋体" w:cs="Times New Roman"/>
                <w:b/>
                <w:bCs w:val="0"/>
                <w:color w:val="auto"/>
                <w:kern w:val="0"/>
                <w:sz w:val="21"/>
                <w:szCs w:val="21"/>
                <w:highlight w:val="none"/>
                <w:lang w:val="en-US" w:eastAsia="zh-CN"/>
              </w:rPr>
              <w:t xml:space="preserve">  声环境保护目标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061"/>
              <w:gridCol w:w="1459"/>
              <w:gridCol w:w="2687"/>
              <w:gridCol w:w="1779"/>
            </w:tblGrid>
            <w:tr w14:paraId="26EC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atLeast"/>
                <w:jc w:val="center"/>
              </w:trPr>
              <w:tc>
                <w:tcPr>
                  <w:tcW w:w="1483" w:type="dxa"/>
                  <w:noWrap w:val="0"/>
                  <w:vAlign w:val="center"/>
                </w:tcPr>
                <w:p w14:paraId="7DC0B6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保护目标名称</w:t>
                  </w:r>
                </w:p>
              </w:tc>
              <w:tc>
                <w:tcPr>
                  <w:tcW w:w="1061" w:type="dxa"/>
                  <w:noWrap w:val="0"/>
                  <w:vAlign w:val="center"/>
                </w:tcPr>
                <w:p w14:paraId="462453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功能、数量</w:t>
                  </w:r>
                </w:p>
              </w:tc>
              <w:tc>
                <w:tcPr>
                  <w:tcW w:w="1459" w:type="dxa"/>
                  <w:noWrap w:val="0"/>
                  <w:vAlign w:val="center"/>
                </w:tcPr>
                <w:p w14:paraId="76312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建筑物楼层、高度等特征</w:t>
                  </w:r>
                </w:p>
              </w:tc>
              <w:tc>
                <w:tcPr>
                  <w:tcW w:w="2687" w:type="dxa"/>
                  <w:noWrap w:val="0"/>
                  <w:vAlign w:val="center"/>
                </w:tcPr>
                <w:p w14:paraId="593B4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与工程相对位置关系（水平/垂直）（m）</w:t>
                  </w:r>
                </w:p>
              </w:tc>
              <w:tc>
                <w:tcPr>
                  <w:tcW w:w="1779" w:type="dxa"/>
                  <w:noWrap w:val="0"/>
                  <w:vAlign w:val="center"/>
                </w:tcPr>
                <w:p w14:paraId="73A31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保护要求</w:t>
                  </w:r>
                </w:p>
              </w:tc>
            </w:tr>
            <w:tr w14:paraId="06EB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483" w:type="dxa"/>
                  <w:noWrap w:val="0"/>
                  <w:vAlign w:val="center"/>
                </w:tcPr>
                <w:p w14:paraId="6FE6C3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黄龙新庄村</w:t>
                  </w:r>
                </w:p>
              </w:tc>
              <w:tc>
                <w:tcPr>
                  <w:tcW w:w="1061" w:type="dxa"/>
                  <w:noWrap w:val="0"/>
                  <w:vAlign w:val="center"/>
                </w:tcPr>
                <w:p w14:paraId="6CDFA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居住，438人</w:t>
                  </w:r>
                </w:p>
              </w:tc>
              <w:tc>
                <w:tcPr>
                  <w:tcW w:w="1459" w:type="dxa"/>
                  <w:noWrap w:val="0"/>
                  <w:vAlign w:val="center"/>
                </w:tcPr>
                <w:p w14:paraId="4CE3C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1层平顶3m</w:t>
                  </w:r>
                </w:p>
              </w:tc>
              <w:tc>
                <w:tcPr>
                  <w:tcW w:w="2687" w:type="dxa"/>
                  <w:noWrap w:val="0"/>
                  <w:vAlign w:val="center"/>
                </w:tcPr>
                <w:p w14:paraId="5C4080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终期方案</w:t>
                  </w:r>
                  <w:r>
                    <w:rPr>
                      <w:rFonts w:hint="default" w:ascii="Times New Roman" w:hAnsi="Times New Roman" w:eastAsia="宋体" w:cs="Times New Roman"/>
                      <w:color w:val="auto"/>
                      <w:sz w:val="21"/>
                      <w:szCs w:val="21"/>
                      <w:highlight w:val="none"/>
                      <w:lang w:val="en-US" w:eastAsia="zh-CN"/>
                    </w:rPr>
                    <w:t>线路</w:t>
                  </w:r>
                  <w:r>
                    <w:rPr>
                      <w:rFonts w:hint="eastAsia"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r>
                    <w:rPr>
                      <w:rFonts w:hint="eastAsia"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m</w:t>
                  </w:r>
                </w:p>
              </w:tc>
              <w:tc>
                <w:tcPr>
                  <w:tcW w:w="1779" w:type="dxa"/>
                  <w:vMerge w:val="restart"/>
                  <w:noWrap w:val="0"/>
                  <w:vAlign w:val="center"/>
                </w:tcPr>
                <w:p w14:paraId="01B083E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执行《声环境质量标准》（GB3096-2008）1类标准</w:t>
                  </w:r>
                </w:p>
              </w:tc>
            </w:tr>
            <w:tr w14:paraId="49CB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483" w:type="dxa"/>
                  <w:noWrap w:val="0"/>
                  <w:vAlign w:val="center"/>
                </w:tcPr>
                <w:p w14:paraId="6CFE6C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黄龙村</w:t>
                  </w:r>
                </w:p>
              </w:tc>
              <w:tc>
                <w:tcPr>
                  <w:tcW w:w="1061" w:type="dxa"/>
                  <w:noWrap w:val="0"/>
                  <w:vAlign w:val="center"/>
                </w:tcPr>
                <w:p w14:paraId="1C8A23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居住，</w:t>
                  </w:r>
                  <w:r>
                    <w:rPr>
                      <w:rFonts w:hint="eastAsia" w:ascii="Times New Roman" w:hAnsi="Times New Roman" w:eastAsia="宋体" w:cs="Times New Roman"/>
                      <w:color w:val="auto"/>
                      <w:sz w:val="21"/>
                      <w:szCs w:val="21"/>
                      <w:highlight w:val="none"/>
                      <w:lang w:val="en-US" w:eastAsia="zh-CN"/>
                    </w:rPr>
                    <w:t>1043人</w:t>
                  </w:r>
                </w:p>
              </w:tc>
              <w:tc>
                <w:tcPr>
                  <w:tcW w:w="1459" w:type="dxa"/>
                  <w:noWrap w:val="0"/>
                  <w:vAlign w:val="center"/>
                </w:tcPr>
                <w:p w14:paraId="2E7B1A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1层平顶3m</w:t>
                  </w:r>
                </w:p>
              </w:tc>
              <w:tc>
                <w:tcPr>
                  <w:tcW w:w="2687" w:type="dxa"/>
                  <w:noWrap w:val="0"/>
                  <w:vAlign w:val="center"/>
                </w:tcPr>
                <w:p w14:paraId="28D2D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终期方案线路东侧</w:t>
                  </w:r>
                  <w:r>
                    <w:rPr>
                      <w:rFonts w:hint="eastAsia"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val="en-US" w:eastAsia="zh-CN"/>
                    </w:rPr>
                    <w:t>m</w:t>
                  </w:r>
                </w:p>
              </w:tc>
              <w:tc>
                <w:tcPr>
                  <w:tcW w:w="1779" w:type="dxa"/>
                  <w:vMerge w:val="continue"/>
                  <w:noWrap w:val="0"/>
                  <w:vAlign w:val="center"/>
                </w:tcPr>
                <w:p w14:paraId="28B98C6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r>
          </w:tbl>
          <w:p w14:paraId="2EE087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left"/>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2.电磁环境保护目标</w:t>
            </w:r>
          </w:p>
          <w:p w14:paraId="1018FD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根据《环境影响评价技术导则 输变电》（HJ24-2020），调查新建</w:t>
            </w:r>
            <w:r>
              <w:rPr>
                <w:rFonts w:hint="eastAsia" w:ascii="Times New Roman" w:hAnsi="Times New Roman" w:eastAsia="宋体" w:cs="Times New Roman"/>
                <w:color w:val="auto"/>
                <w:kern w:val="0"/>
                <w:sz w:val="24"/>
                <w:szCs w:val="24"/>
                <w:highlight w:val="none"/>
                <w:lang w:val="en-US" w:eastAsia="zh-CN"/>
              </w:rPr>
              <w:t>火山云二期扩容22</w:t>
            </w:r>
            <w:r>
              <w:rPr>
                <w:rFonts w:hint="default" w:ascii="Times New Roman" w:hAnsi="Times New Roman" w:eastAsia="宋体" w:cs="Times New Roman"/>
                <w:color w:val="auto"/>
                <w:kern w:val="0"/>
                <w:sz w:val="24"/>
                <w:szCs w:val="24"/>
                <w:highlight w:val="none"/>
                <w:lang w:val="en-US" w:eastAsia="zh-CN"/>
              </w:rPr>
              <w:t>0kV变电站厂界外</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0m范围和架空输电线路两侧</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0m范围的电磁环境保护目标，电磁环境影响评价需重点关注的对象包括住宅、学校、医院、办公楼、工厂等有公众居住、工作或学习的建筑物。经调查，本项目电磁环境保护目标情况见下表。</w:t>
            </w:r>
          </w:p>
          <w:p w14:paraId="1C1583DF">
            <w:pPr>
              <w:keepNext w:val="0"/>
              <w:keepLines w:val="0"/>
              <w:pageBreakBefore w:val="0"/>
              <w:widowControl w:val="0"/>
              <w:suppressLineNumbers w:val="0"/>
              <w:kinsoku/>
              <w:wordWrap/>
              <w:overflowPunct/>
              <w:topLinePunct w:val="0"/>
              <w:autoSpaceDE w:val="0"/>
              <w:autoSpaceDN w:val="0"/>
              <w:bidi w:val="0"/>
              <w:adjustRightInd w:val="0"/>
              <w:snapToGrid w:val="0"/>
              <w:spacing w:before="63" w:beforeLines="20" w:beforeAutospacing="0" w:after="0" w:afterAutospacing="0" w:line="320" w:lineRule="exact"/>
              <w:ind w:left="0" w:right="0"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w:t>
            </w:r>
            <w:r>
              <w:rPr>
                <w:rFonts w:hint="eastAsia" w:ascii="Times New Roman" w:hAnsi="Times New Roman" w:eastAsia="宋体" w:cs="Times New Roman"/>
                <w:b/>
                <w:bCs w:val="0"/>
                <w:color w:val="auto"/>
                <w:kern w:val="0"/>
                <w:sz w:val="21"/>
                <w:szCs w:val="21"/>
                <w:highlight w:val="none"/>
                <w:lang w:val="en-US" w:eastAsia="zh-CN"/>
              </w:rPr>
              <w:t>9</w:t>
            </w:r>
            <w:r>
              <w:rPr>
                <w:rFonts w:hint="default" w:ascii="Times New Roman" w:hAnsi="Times New Roman" w:eastAsia="宋体" w:cs="Times New Roman"/>
                <w:b/>
                <w:bCs w:val="0"/>
                <w:color w:val="auto"/>
                <w:kern w:val="0"/>
                <w:sz w:val="21"/>
                <w:szCs w:val="21"/>
                <w:highlight w:val="none"/>
                <w:lang w:val="en-US" w:eastAsia="zh-CN"/>
              </w:rPr>
              <w:t xml:space="preserve">  电磁环境保护目标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921"/>
              <w:gridCol w:w="1479"/>
              <w:gridCol w:w="2185"/>
              <w:gridCol w:w="2821"/>
            </w:tblGrid>
            <w:tr w14:paraId="0465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noWrap w:val="0"/>
                  <w:vAlign w:val="center"/>
                </w:tcPr>
                <w:p w14:paraId="4B3ACD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保护目标名称</w:t>
                  </w:r>
                </w:p>
              </w:tc>
              <w:tc>
                <w:tcPr>
                  <w:tcW w:w="921" w:type="dxa"/>
                  <w:noWrap w:val="0"/>
                  <w:vAlign w:val="center"/>
                </w:tcPr>
                <w:p w14:paraId="1E1C5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功能、数量</w:t>
                  </w:r>
                </w:p>
              </w:tc>
              <w:tc>
                <w:tcPr>
                  <w:tcW w:w="1479" w:type="dxa"/>
                  <w:noWrap w:val="0"/>
                  <w:vAlign w:val="center"/>
                </w:tcPr>
                <w:p w14:paraId="2F4C53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建筑物楼层、高度等特征</w:t>
                  </w:r>
                </w:p>
              </w:tc>
              <w:tc>
                <w:tcPr>
                  <w:tcW w:w="2185" w:type="dxa"/>
                  <w:noWrap w:val="0"/>
                  <w:vAlign w:val="center"/>
                </w:tcPr>
                <w:p w14:paraId="24513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与工程相对位置关系（水平/垂直）（m）</w:t>
                  </w:r>
                </w:p>
              </w:tc>
              <w:tc>
                <w:tcPr>
                  <w:tcW w:w="2821" w:type="dxa"/>
                  <w:noWrap w:val="0"/>
                  <w:vAlign w:val="center"/>
                </w:tcPr>
                <w:p w14:paraId="72DE91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保护要求</w:t>
                  </w:r>
                </w:p>
              </w:tc>
            </w:tr>
            <w:tr w14:paraId="6CE7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63" w:type="dxa"/>
                  <w:noWrap w:val="0"/>
                  <w:vAlign w:val="center"/>
                </w:tcPr>
                <w:p w14:paraId="73D3C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黄龙村</w:t>
                  </w:r>
                </w:p>
              </w:tc>
              <w:tc>
                <w:tcPr>
                  <w:tcW w:w="921" w:type="dxa"/>
                  <w:noWrap w:val="0"/>
                  <w:vAlign w:val="center"/>
                </w:tcPr>
                <w:p w14:paraId="73789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居住，1043人</w:t>
                  </w:r>
                </w:p>
              </w:tc>
              <w:tc>
                <w:tcPr>
                  <w:tcW w:w="1479" w:type="dxa"/>
                  <w:noWrap w:val="0"/>
                  <w:vAlign w:val="center"/>
                </w:tcPr>
                <w:p w14:paraId="4BB24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1层平顶3m</w:t>
                  </w:r>
                </w:p>
              </w:tc>
              <w:tc>
                <w:tcPr>
                  <w:tcW w:w="2185" w:type="dxa"/>
                  <w:noWrap w:val="0"/>
                  <w:vAlign w:val="center"/>
                </w:tcPr>
                <w:p w14:paraId="127B4E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终期方案线路东侧</w:t>
                  </w:r>
                  <w:r>
                    <w:rPr>
                      <w:rFonts w:hint="eastAsia"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val="en-US" w:eastAsia="zh-CN"/>
                    </w:rPr>
                    <w:t>m</w:t>
                  </w:r>
                </w:p>
              </w:tc>
              <w:tc>
                <w:tcPr>
                  <w:tcW w:w="2821" w:type="dxa"/>
                  <w:vMerge w:val="restart"/>
                  <w:noWrap w:val="0"/>
                  <w:vAlign w:val="center"/>
                </w:tcPr>
                <w:p w14:paraId="6B234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执行《电磁环境控制限值》（GB8702-20 14）电场强度控制限值为4kV/m，磁感应强度控制限值为100μT。架空输电线路线下的灌木林地、果园、草地等场所，其频率50Hz的电场强度控制限值为10kV/m，且应给出警示和防护指示标志。</w:t>
                  </w:r>
                </w:p>
              </w:tc>
            </w:tr>
            <w:tr w14:paraId="1819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063" w:type="dxa"/>
                  <w:noWrap w:val="0"/>
                  <w:vAlign w:val="center"/>
                </w:tcPr>
                <w:p w14:paraId="54283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黄龙新庄村</w:t>
                  </w:r>
                </w:p>
              </w:tc>
              <w:tc>
                <w:tcPr>
                  <w:tcW w:w="921" w:type="dxa"/>
                  <w:noWrap w:val="0"/>
                  <w:vAlign w:val="center"/>
                </w:tcPr>
                <w:p w14:paraId="4A66A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居住，</w:t>
                  </w:r>
                  <w:r>
                    <w:rPr>
                      <w:rFonts w:hint="eastAsia" w:ascii="Times New Roman" w:hAnsi="Times New Roman" w:eastAsia="宋体" w:cs="Times New Roman"/>
                      <w:color w:val="auto"/>
                      <w:sz w:val="21"/>
                      <w:szCs w:val="21"/>
                      <w:highlight w:val="none"/>
                      <w:lang w:val="en-US" w:eastAsia="zh-CN"/>
                    </w:rPr>
                    <w:t>438人</w:t>
                  </w:r>
                </w:p>
              </w:tc>
              <w:tc>
                <w:tcPr>
                  <w:tcW w:w="1479" w:type="dxa"/>
                  <w:noWrap w:val="0"/>
                  <w:vAlign w:val="center"/>
                </w:tcPr>
                <w:p w14:paraId="3C2CA7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1层平顶3m</w:t>
                  </w:r>
                </w:p>
              </w:tc>
              <w:tc>
                <w:tcPr>
                  <w:tcW w:w="2185" w:type="dxa"/>
                  <w:noWrap w:val="0"/>
                  <w:vAlign w:val="center"/>
                </w:tcPr>
                <w:p w14:paraId="3FBC8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终期方案线路东侧40m</w:t>
                  </w:r>
                </w:p>
              </w:tc>
              <w:tc>
                <w:tcPr>
                  <w:tcW w:w="2821" w:type="dxa"/>
                  <w:vMerge w:val="continue"/>
                  <w:noWrap w:val="0"/>
                  <w:vAlign w:val="center"/>
                </w:tcPr>
                <w:p w14:paraId="7C93D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p>
              </w:tc>
            </w:tr>
            <w:tr w14:paraId="614B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063" w:type="dxa"/>
                  <w:noWrap w:val="0"/>
                  <w:vAlign w:val="center"/>
                </w:tcPr>
                <w:p w14:paraId="13D1C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塔基G51南侧的工厂1</w:t>
                  </w:r>
                </w:p>
              </w:tc>
              <w:tc>
                <w:tcPr>
                  <w:tcW w:w="921" w:type="dxa"/>
                  <w:noWrap w:val="0"/>
                  <w:vAlign w:val="center"/>
                </w:tcPr>
                <w:p w14:paraId="2A5B29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厂房</w:t>
                  </w:r>
                </w:p>
              </w:tc>
              <w:tc>
                <w:tcPr>
                  <w:tcW w:w="1479" w:type="dxa"/>
                  <w:noWrap w:val="0"/>
                  <w:vAlign w:val="center"/>
                </w:tcPr>
                <w:p w14:paraId="420971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1层平顶</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w:t>
                  </w:r>
                </w:p>
              </w:tc>
              <w:tc>
                <w:tcPr>
                  <w:tcW w:w="2185" w:type="dxa"/>
                  <w:noWrap w:val="0"/>
                  <w:vAlign w:val="center"/>
                </w:tcPr>
                <w:p w14:paraId="7088E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终期方案线路</w:t>
                  </w:r>
                  <w:r>
                    <w:rPr>
                      <w:rFonts w:hint="eastAsia"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侧3</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w:t>
                  </w:r>
                </w:p>
              </w:tc>
              <w:tc>
                <w:tcPr>
                  <w:tcW w:w="2821" w:type="dxa"/>
                  <w:vMerge w:val="continue"/>
                  <w:noWrap w:val="0"/>
                  <w:vAlign w:val="center"/>
                </w:tcPr>
                <w:p w14:paraId="6BB359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p>
              </w:tc>
            </w:tr>
            <w:tr w14:paraId="2A66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063" w:type="dxa"/>
                  <w:noWrap w:val="0"/>
                  <w:vAlign w:val="center"/>
                </w:tcPr>
                <w:p w14:paraId="083793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塔基G45南侧的工厂2</w:t>
                  </w:r>
                </w:p>
              </w:tc>
              <w:tc>
                <w:tcPr>
                  <w:tcW w:w="921" w:type="dxa"/>
                  <w:noWrap w:val="0"/>
                  <w:vAlign w:val="center"/>
                </w:tcPr>
                <w:p w14:paraId="2538B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w:t>
                  </w:r>
                </w:p>
              </w:tc>
              <w:tc>
                <w:tcPr>
                  <w:tcW w:w="1479" w:type="dxa"/>
                  <w:noWrap w:val="0"/>
                  <w:vAlign w:val="center"/>
                </w:tcPr>
                <w:p w14:paraId="420DBC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1层平顶</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m</w:t>
                  </w:r>
                </w:p>
              </w:tc>
              <w:tc>
                <w:tcPr>
                  <w:tcW w:w="2185" w:type="dxa"/>
                  <w:noWrap w:val="0"/>
                  <w:vAlign w:val="center"/>
                </w:tcPr>
                <w:p w14:paraId="1BAC0F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终期方案线路南侧</w:t>
                  </w:r>
                  <w:r>
                    <w:rPr>
                      <w:rFonts w:hint="eastAsia"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val="en-US" w:eastAsia="zh-CN"/>
                    </w:rPr>
                    <w:t>m</w:t>
                  </w:r>
                </w:p>
              </w:tc>
              <w:tc>
                <w:tcPr>
                  <w:tcW w:w="2821" w:type="dxa"/>
                  <w:vMerge w:val="continue"/>
                  <w:noWrap w:val="0"/>
                  <w:vAlign w:val="center"/>
                </w:tcPr>
                <w:p w14:paraId="04C19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lang w:val="en-US" w:eastAsia="zh-CN"/>
                    </w:rPr>
                  </w:pPr>
                </w:p>
              </w:tc>
            </w:tr>
          </w:tbl>
          <w:p w14:paraId="478404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left"/>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3.水环境保护目标</w:t>
            </w:r>
          </w:p>
          <w:p w14:paraId="4D10A5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根据项目情况，本工程线路涉及跨越洰河，本项目水环境保护目标见下表。</w:t>
            </w:r>
          </w:p>
          <w:p w14:paraId="59E8E826">
            <w:pPr>
              <w:keepNext w:val="0"/>
              <w:keepLines w:val="0"/>
              <w:pageBreakBefore w:val="0"/>
              <w:widowControl w:val="0"/>
              <w:suppressLineNumbers w:val="0"/>
              <w:kinsoku/>
              <w:wordWrap/>
              <w:overflowPunct/>
              <w:topLinePunct w:val="0"/>
              <w:autoSpaceDE w:val="0"/>
              <w:autoSpaceDN w:val="0"/>
              <w:bidi w:val="0"/>
              <w:adjustRightInd w:val="0"/>
              <w:snapToGrid w:val="0"/>
              <w:spacing w:before="63" w:beforeLines="20" w:beforeAutospacing="0" w:after="0" w:afterAutospacing="0" w:line="320" w:lineRule="exact"/>
              <w:ind w:left="0" w:right="0"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w:t>
            </w:r>
            <w:r>
              <w:rPr>
                <w:rFonts w:hint="eastAsia" w:ascii="Times New Roman" w:hAnsi="Times New Roman" w:eastAsia="宋体" w:cs="Times New Roman"/>
                <w:b/>
                <w:bCs w:val="0"/>
                <w:color w:val="auto"/>
                <w:kern w:val="0"/>
                <w:sz w:val="21"/>
                <w:szCs w:val="21"/>
                <w:highlight w:val="none"/>
                <w:lang w:val="en-US" w:eastAsia="zh-CN"/>
              </w:rPr>
              <w:t>10</w:t>
            </w:r>
            <w:r>
              <w:rPr>
                <w:rFonts w:hint="default" w:ascii="Times New Roman" w:hAnsi="Times New Roman" w:eastAsia="宋体" w:cs="Times New Roman"/>
                <w:b/>
                <w:bCs w:val="0"/>
                <w:color w:val="auto"/>
                <w:kern w:val="0"/>
                <w:sz w:val="21"/>
                <w:szCs w:val="21"/>
                <w:highlight w:val="none"/>
                <w:lang w:val="en-US" w:eastAsia="zh-CN"/>
              </w:rPr>
              <w:t xml:space="preserve">  水环境保护目标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2472"/>
              <w:gridCol w:w="4247"/>
            </w:tblGrid>
            <w:tr w14:paraId="6D3A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noWrap w:val="0"/>
                  <w:vAlign w:val="center"/>
                </w:tcPr>
                <w:p w14:paraId="7E812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保护目标名称</w:t>
                  </w:r>
                </w:p>
              </w:tc>
              <w:tc>
                <w:tcPr>
                  <w:tcW w:w="2472" w:type="dxa"/>
                  <w:noWrap w:val="0"/>
                  <w:vAlign w:val="center"/>
                </w:tcPr>
                <w:p w14:paraId="6A31B0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位置关系</w:t>
                  </w:r>
                </w:p>
              </w:tc>
              <w:tc>
                <w:tcPr>
                  <w:tcW w:w="4247" w:type="dxa"/>
                  <w:noWrap w:val="0"/>
                  <w:vAlign w:val="center"/>
                </w:tcPr>
                <w:p w14:paraId="68461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保护要求</w:t>
                  </w:r>
                </w:p>
              </w:tc>
            </w:tr>
            <w:tr w14:paraId="3BDE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750" w:type="dxa"/>
                  <w:noWrap w:val="0"/>
                  <w:vAlign w:val="center"/>
                </w:tcPr>
                <w:p w14:paraId="03DA85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壶流河</w:t>
                  </w:r>
                </w:p>
              </w:tc>
              <w:tc>
                <w:tcPr>
                  <w:tcW w:w="2472" w:type="dxa"/>
                  <w:noWrap w:val="0"/>
                  <w:vAlign w:val="center"/>
                </w:tcPr>
                <w:p w14:paraId="6545D6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终期方案线路跨越</w:t>
                  </w:r>
                </w:p>
              </w:tc>
              <w:tc>
                <w:tcPr>
                  <w:tcW w:w="4247" w:type="dxa"/>
                  <w:noWrap w:val="0"/>
                  <w:vAlign w:val="center"/>
                </w:tcPr>
                <w:p w14:paraId="01D88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《地表水环境质量标准》（GB3838-2002）Ⅲ类标准。严格控制施工范围，不对河流水质、水量造成影响。</w:t>
                  </w:r>
                </w:p>
              </w:tc>
            </w:tr>
          </w:tbl>
          <w:p w14:paraId="341AB1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left"/>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4.生态环境保护目标</w:t>
            </w:r>
          </w:p>
          <w:p w14:paraId="42224A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2" w:firstLineChars="20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w:t>
            </w:r>
            <w:r>
              <w:rPr>
                <w:rFonts w:hint="eastAsia" w:ascii="Times New Roman" w:hAnsi="Times New Roman" w:eastAsia="宋体" w:cs="Times New Roman"/>
                <w:b/>
                <w:bCs w:val="0"/>
                <w:color w:val="auto"/>
                <w:kern w:val="0"/>
                <w:sz w:val="21"/>
                <w:szCs w:val="21"/>
                <w:highlight w:val="none"/>
                <w:lang w:val="en-US" w:eastAsia="zh-CN"/>
              </w:rPr>
              <w:t>11</w:t>
            </w:r>
            <w:r>
              <w:rPr>
                <w:rFonts w:hint="default" w:ascii="Times New Roman" w:hAnsi="Times New Roman" w:eastAsia="宋体" w:cs="Times New Roman"/>
                <w:b/>
                <w:bCs w:val="0"/>
                <w:color w:val="auto"/>
                <w:kern w:val="0"/>
                <w:sz w:val="21"/>
                <w:szCs w:val="21"/>
                <w:highlight w:val="none"/>
                <w:lang w:val="en-US" w:eastAsia="zh-CN"/>
              </w:rPr>
              <w:t xml:space="preserve">  生态环境保护目标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950"/>
              <w:gridCol w:w="4265"/>
            </w:tblGrid>
            <w:tr w14:paraId="54ED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4" w:type="dxa"/>
                  <w:noWrap w:val="0"/>
                  <w:vAlign w:val="center"/>
                </w:tcPr>
                <w:p w14:paraId="0B1FA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保护目标名称</w:t>
                  </w:r>
                </w:p>
              </w:tc>
              <w:tc>
                <w:tcPr>
                  <w:tcW w:w="1950" w:type="dxa"/>
                  <w:noWrap w:val="0"/>
                  <w:vAlign w:val="center"/>
                </w:tcPr>
                <w:p w14:paraId="7E159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位置关系</w:t>
                  </w:r>
                </w:p>
              </w:tc>
              <w:tc>
                <w:tcPr>
                  <w:tcW w:w="4265" w:type="dxa"/>
                  <w:noWrap w:val="0"/>
                  <w:vAlign w:val="center"/>
                </w:tcPr>
                <w:p w14:paraId="259CC8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保护要求</w:t>
                  </w:r>
                </w:p>
              </w:tc>
            </w:tr>
            <w:tr w14:paraId="6705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4" w:type="dxa"/>
                  <w:noWrap w:val="0"/>
                  <w:vAlign w:val="center"/>
                </w:tcPr>
                <w:p w14:paraId="63A01F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基本农田</w:t>
                  </w:r>
                </w:p>
              </w:tc>
              <w:tc>
                <w:tcPr>
                  <w:tcW w:w="1950" w:type="dxa"/>
                  <w:noWrap w:val="0"/>
                  <w:vAlign w:val="center"/>
                </w:tcPr>
                <w:p w14:paraId="6BBC8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部分塔基</w:t>
                  </w:r>
                  <w:r>
                    <w:rPr>
                      <w:rFonts w:hint="default" w:ascii="Times New Roman" w:hAnsi="Times New Roman" w:eastAsia="宋体" w:cs="Times New Roman"/>
                      <w:color w:val="auto"/>
                      <w:sz w:val="21"/>
                      <w:szCs w:val="21"/>
                      <w:highlight w:val="none"/>
                      <w:lang w:val="en-US" w:eastAsia="zh-CN"/>
                    </w:rPr>
                    <w:t>占用</w:t>
                  </w:r>
                </w:p>
              </w:tc>
              <w:tc>
                <w:tcPr>
                  <w:tcW w:w="4265" w:type="dxa"/>
                  <w:noWrap w:val="0"/>
                  <w:vAlign w:val="center"/>
                </w:tcPr>
                <w:p w14:paraId="6D5145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对永久占地进行一次性经济补偿，临时占地在施工结束后进行土地复垦。</w:t>
                  </w:r>
                </w:p>
              </w:tc>
            </w:tr>
            <w:tr w14:paraId="52FA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4" w:type="dxa"/>
                  <w:noWrap w:val="0"/>
                  <w:vAlign w:val="center"/>
                </w:tcPr>
                <w:p w14:paraId="798513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区域植被、土壤</w:t>
                  </w:r>
                </w:p>
              </w:tc>
              <w:tc>
                <w:tcPr>
                  <w:tcW w:w="1950" w:type="dxa"/>
                  <w:noWrap w:val="0"/>
                  <w:vAlign w:val="center"/>
                </w:tcPr>
                <w:p w14:paraId="4C069B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塔基占用</w:t>
                  </w:r>
                </w:p>
              </w:tc>
              <w:tc>
                <w:tcPr>
                  <w:tcW w:w="4265" w:type="dxa"/>
                  <w:noWrap w:val="0"/>
                  <w:vAlign w:val="center"/>
                </w:tcPr>
                <w:p w14:paraId="019AE6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对临时占地进行生态恢复，减少和防治水土流失。</w:t>
                  </w:r>
                </w:p>
              </w:tc>
            </w:tr>
          </w:tbl>
          <w:p w14:paraId="1257954B">
            <w:pPr>
              <w:keepNext w:val="0"/>
              <w:keepLines w:val="0"/>
              <w:pageBreakBefore w:val="0"/>
              <w:widowControl w:val="0"/>
              <w:suppressLineNumbers w:val="0"/>
              <w:kinsoku/>
              <w:wordWrap/>
              <w:overflowPunct/>
              <w:topLinePunct w:val="0"/>
              <w:bidi w:val="0"/>
              <w:spacing w:before="0" w:beforeAutospacing="0" w:after="0" w:afterAutospacing="0" w:line="420" w:lineRule="exact"/>
              <w:ind w:left="0" w:right="0"/>
              <w:textAlignment w:val="auto"/>
              <w:rPr>
                <w:rFonts w:hint="default" w:ascii="Times New Roman" w:hAnsi="Times New Roman" w:eastAsia="宋体" w:cs="Times New Roman"/>
                <w:bCs/>
                <w:color w:val="auto"/>
                <w:sz w:val="24"/>
                <w:szCs w:val="24"/>
                <w:highlight w:val="none"/>
                <w:lang w:val="en-US" w:eastAsia="zh-CN"/>
              </w:rPr>
            </w:pPr>
          </w:p>
        </w:tc>
      </w:tr>
      <w:tr w14:paraId="6A1565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4496" w:hRule="atLeast"/>
          <w:jc w:val="center"/>
        </w:trPr>
        <w:tc>
          <w:tcPr>
            <w:tcW w:w="704" w:type="dxa"/>
            <w:tcBorders>
              <w:top w:val="single" w:color="auto" w:sz="4" w:space="0"/>
              <w:bottom w:val="single" w:color="auto" w:sz="4" w:space="0"/>
              <w:right w:val="single" w:color="auto" w:sz="4" w:space="0"/>
            </w:tcBorders>
            <w:vAlign w:val="center"/>
          </w:tcPr>
          <w:p w14:paraId="4DCA818D">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评价标准</w:t>
            </w:r>
          </w:p>
        </w:tc>
        <w:tc>
          <w:tcPr>
            <w:tcW w:w="8652" w:type="dxa"/>
            <w:tcBorders>
              <w:top w:val="single" w:color="auto" w:sz="4" w:space="0"/>
              <w:left w:val="single" w:color="auto" w:sz="4" w:space="0"/>
              <w:bottom w:val="single" w:color="auto" w:sz="4" w:space="0"/>
            </w:tcBorders>
            <w:vAlign w:val="center"/>
          </w:tcPr>
          <w:p w14:paraId="28CC35C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textAlignment w:val="auto"/>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1.</w:t>
            </w:r>
            <w:r>
              <w:rPr>
                <w:rFonts w:hint="eastAsia" w:ascii="Times New Roman" w:hAnsi="Times New Roman" w:eastAsia="宋体" w:cs="Times New Roman"/>
                <w:b/>
                <w:bCs/>
                <w:color w:val="auto"/>
                <w:kern w:val="0"/>
                <w:sz w:val="24"/>
                <w:szCs w:val="24"/>
                <w:highlight w:val="none"/>
                <w:lang w:val="en-US" w:eastAsia="zh-CN"/>
              </w:rPr>
              <w:t>噪声评价</w:t>
            </w:r>
            <w:r>
              <w:rPr>
                <w:rFonts w:hint="default" w:ascii="Times New Roman" w:hAnsi="Times New Roman" w:eastAsia="宋体" w:cs="Times New Roman"/>
                <w:b/>
                <w:bCs/>
                <w:color w:val="auto"/>
                <w:kern w:val="0"/>
                <w:sz w:val="24"/>
                <w:szCs w:val="24"/>
                <w:highlight w:val="none"/>
              </w:rPr>
              <w:t>标准</w:t>
            </w:r>
          </w:p>
          <w:p w14:paraId="4965DAAF">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（1）施工期</w:t>
            </w:r>
          </w:p>
          <w:p w14:paraId="7CFF62CD">
            <w:pPr>
              <w:keepNext w:val="0"/>
              <w:keepLines w:val="0"/>
              <w:pageBreakBefore w:val="0"/>
              <w:widowControl w:val="0"/>
              <w:suppressLineNumbers w:val="0"/>
              <w:kinsoku/>
              <w:overflowPunct/>
              <w:topLinePunct w:val="0"/>
              <w:bidi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施工期施工噪声执行《建筑施工噪声排放标准》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GB12523 -20</w:t>
            </w:r>
            <w:r>
              <w:rPr>
                <w:rFonts w:hint="eastAsia" w:ascii="Times New Roman" w:hAnsi="Times New Roman" w:eastAsia="宋体" w:cs="Times New Roman"/>
                <w:color w:val="auto"/>
                <w:sz w:val="24"/>
                <w:highlight w:val="none"/>
                <w:lang w:val="en-US" w:eastAsia="zh-CN"/>
              </w:rPr>
              <w:t>25</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，规定限值见下表3-</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w:t>
            </w:r>
          </w:p>
          <w:p w14:paraId="28234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 xml:space="preserve"> 建筑施工场界环境噪声排放标准</w:t>
            </w:r>
          </w:p>
          <w:tbl>
            <w:tblPr>
              <w:tblStyle w:val="27"/>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6"/>
              <w:gridCol w:w="2531"/>
              <w:gridCol w:w="2532"/>
            </w:tblGrid>
            <w:tr w14:paraId="1F48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0" w:type="pct"/>
                  <w:vAlign w:val="center"/>
                </w:tcPr>
                <w:p w14:paraId="7EE56F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c>
                <w:tcPr>
                  <w:tcW w:w="1494" w:type="pct"/>
                  <w:vAlign w:val="center"/>
                </w:tcPr>
                <w:p w14:paraId="1C070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94" w:type="pct"/>
                  <w:vAlign w:val="center"/>
                </w:tcPr>
                <w:p w14:paraId="19B47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4023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10" w:type="pct"/>
                  <w:vAlign w:val="center"/>
                </w:tcPr>
                <w:p w14:paraId="5386E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w:t>
                  </w:r>
                </w:p>
              </w:tc>
              <w:tc>
                <w:tcPr>
                  <w:tcW w:w="1494" w:type="pct"/>
                  <w:vAlign w:val="center"/>
                </w:tcPr>
                <w:p w14:paraId="5E7E46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70dB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c>
                <w:tcPr>
                  <w:tcW w:w="1494" w:type="pct"/>
                  <w:vAlign w:val="center"/>
                </w:tcPr>
                <w:p w14:paraId="5E85A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55dB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r>
          </w:tbl>
          <w:p w14:paraId="6B0DEB2B">
            <w:pPr>
              <w:pStyle w:val="13"/>
              <w:keepNext w:val="0"/>
              <w:keepLines w:val="0"/>
              <w:pageBreakBefore w:val="0"/>
              <w:widowControl w:val="0"/>
              <w:suppressLineNumbers w:val="0"/>
              <w:kinsoku/>
              <w:wordWrap w:val="0"/>
              <w:overflowPunct/>
              <w:topLinePunct w:val="0"/>
              <w:bidi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sz w:val="24"/>
                <w:szCs w:val="24"/>
                <w:highlight w:val="none"/>
              </w:rPr>
              <w:t>运营期</w:t>
            </w:r>
          </w:p>
          <w:p w14:paraId="340FC61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营运期火山云</w:t>
            </w:r>
            <w:r>
              <w:rPr>
                <w:rFonts w:hint="eastAsia" w:ascii="Times New Roman" w:hAnsi="Times New Roman" w:eastAsia="宋体" w:cs="Times New Roman"/>
                <w:color w:val="auto"/>
                <w:kern w:val="0"/>
                <w:sz w:val="24"/>
                <w:szCs w:val="24"/>
                <w:highlight w:val="none"/>
                <w:lang w:val="en-US" w:eastAsia="zh-CN"/>
              </w:rPr>
              <w:t>二期扩容220kV</w:t>
            </w:r>
            <w:r>
              <w:rPr>
                <w:rFonts w:hint="default" w:ascii="Times New Roman" w:hAnsi="Times New Roman" w:eastAsia="宋体" w:cs="Times New Roman"/>
                <w:color w:val="auto"/>
                <w:kern w:val="0"/>
                <w:sz w:val="24"/>
                <w:szCs w:val="24"/>
                <w:highlight w:val="none"/>
              </w:rPr>
              <w:t>变电站厂界噪声执行《工业企业厂界环境噪声排放标准》（GB12348-2008）中2类标准，昼间60dB（A）、夜间50dB（A）。</w:t>
            </w:r>
          </w:p>
          <w:p w14:paraId="4E330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rPr>
              <w:t xml:space="preserve"> 工业企业厂界环境噪声排放标准</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725"/>
              <w:gridCol w:w="3409"/>
            </w:tblGrid>
            <w:tr w14:paraId="5EB4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9" w:type="pct"/>
                  <w:vAlign w:val="center"/>
                </w:tcPr>
                <w:p w14:paraId="1208F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608" w:type="pct"/>
                  <w:vAlign w:val="center"/>
                </w:tcPr>
                <w:p w14:paraId="3A761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12" w:type="pct"/>
                  <w:vAlign w:val="center"/>
                </w:tcPr>
                <w:p w14:paraId="02005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4D55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9" w:type="pct"/>
                  <w:vAlign w:val="center"/>
                </w:tcPr>
                <w:p w14:paraId="6C85D8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w:t>
                  </w:r>
                </w:p>
              </w:tc>
              <w:tc>
                <w:tcPr>
                  <w:tcW w:w="1608" w:type="pct"/>
                  <w:vAlign w:val="center"/>
                </w:tcPr>
                <w:p w14:paraId="27536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60dB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c>
                <w:tcPr>
                  <w:tcW w:w="2012" w:type="pct"/>
                  <w:vAlign w:val="center"/>
                </w:tcPr>
                <w:p w14:paraId="6F374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50dB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r>
          </w:tbl>
          <w:p w14:paraId="0CFC3C4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szCs w:val="24"/>
                <w:highlight w:val="none"/>
              </w:rPr>
              <w:t>输电线路</w:t>
            </w:r>
            <w:r>
              <w:rPr>
                <w:rFonts w:hint="default" w:ascii="Times New Roman" w:hAnsi="Times New Roman" w:eastAsia="宋体" w:cs="Times New Roman"/>
                <w:color w:val="auto"/>
                <w:kern w:val="0"/>
                <w:sz w:val="24"/>
                <w:szCs w:val="24"/>
                <w:highlight w:val="none"/>
                <w:lang w:val="en-US" w:eastAsia="zh-CN"/>
              </w:rPr>
              <w:t>沿线敏感点</w:t>
            </w:r>
            <w:r>
              <w:rPr>
                <w:rFonts w:hint="default" w:ascii="Times New Roman" w:hAnsi="Times New Roman" w:eastAsia="宋体" w:cs="Times New Roman"/>
                <w:color w:val="auto"/>
                <w:kern w:val="0"/>
                <w:sz w:val="24"/>
                <w:szCs w:val="24"/>
                <w:highlight w:val="none"/>
              </w:rPr>
              <w:t>执行《声环境质量标准》（GB3096-2008）中1类标准，昼间55dB（A）、夜间45dB（A）。</w:t>
            </w:r>
          </w:p>
          <w:p w14:paraId="2772E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14</w:t>
            </w:r>
            <w:r>
              <w:rPr>
                <w:rFonts w:hint="default" w:ascii="Times New Roman" w:hAnsi="Times New Roman" w:eastAsia="宋体" w:cs="Times New Roman"/>
                <w:b/>
                <w:bCs/>
                <w:color w:val="auto"/>
                <w:sz w:val="21"/>
                <w:szCs w:val="21"/>
                <w:highlight w:val="none"/>
              </w:rPr>
              <w:t xml:space="preserve"> 声环境质量标准</w:t>
            </w:r>
          </w:p>
          <w:tbl>
            <w:tblPr>
              <w:tblStyle w:val="27"/>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2825"/>
              <w:gridCol w:w="2825"/>
            </w:tblGrid>
            <w:tr w14:paraId="01ED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5" w:type="pct"/>
                  <w:vAlign w:val="center"/>
                </w:tcPr>
                <w:p w14:paraId="429ED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667" w:type="pct"/>
                  <w:vAlign w:val="center"/>
                </w:tcPr>
                <w:p w14:paraId="0360A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667" w:type="pct"/>
                  <w:vAlign w:val="center"/>
                </w:tcPr>
                <w:p w14:paraId="14630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2C88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5" w:type="pct"/>
                  <w:vAlign w:val="center"/>
                </w:tcPr>
                <w:p w14:paraId="2D593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1类</w:t>
                  </w:r>
                </w:p>
              </w:tc>
              <w:tc>
                <w:tcPr>
                  <w:tcW w:w="1667" w:type="pct"/>
                  <w:vAlign w:val="center"/>
                </w:tcPr>
                <w:p w14:paraId="7B949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55dB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c>
                <w:tcPr>
                  <w:tcW w:w="1667" w:type="pct"/>
                  <w:vAlign w:val="center"/>
                </w:tcPr>
                <w:p w14:paraId="55ED3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45dB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p>
              </w:tc>
            </w:tr>
          </w:tbl>
          <w:p w14:paraId="7B22739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rPr>
              <w:t>工频电场、磁感应强度</w:t>
            </w:r>
          </w:p>
          <w:p w14:paraId="3E74E20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电磁环境控制限值》（GB8702-2014），环境中电场强度控制限值为4kV/m，环境中磁感应强度控制限值为100μT。架空输电线路线下的耕地、园地、牧草地、畜禽饲养地、养殖水面、道路等场所，其频率50Hz的电场强度控制限值为10kV/m，且应给出警示和防护指示标志。</w:t>
            </w:r>
          </w:p>
          <w:p w14:paraId="0346C43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2" w:firstLineChars="200"/>
              <w:jc w:val="left"/>
              <w:textAlignment w:val="auto"/>
              <w:rPr>
                <w:rFonts w:hint="default" w:ascii="Times New Roman" w:hAnsi="Times New Roman" w:eastAsia="宋体" w:cs="Times New Roman"/>
                <w:b/>
                <w:color w:val="auto"/>
                <w:kern w:val="0"/>
                <w:sz w:val="24"/>
                <w:szCs w:val="24"/>
                <w:highlight w:val="none"/>
                <w:lang w:val="en-US" w:eastAsia="zh-CN"/>
              </w:rPr>
            </w:pPr>
            <w:r>
              <w:rPr>
                <w:rFonts w:hint="default" w:ascii="Times New Roman" w:hAnsi="Times New Roman" w:eastAsia="宋体" w:cs="Times New Roman"/>
                <w:b/>
                <w:color w:val="auto"/>
                <w:kern w:val="0"/>
                <w:sz w:val="24"/>
                <w:szCs w:val="24"/>
                <w:highlight w:val="none"/>
              </w:rPr>
              <w:t>3.固</w:t>
            </w:r>
            <w:r>
              <w:rPr>
                <w:rFonts w:hint="eastAsia" w:ascii="Times New Roman" w:hAnsi="Times New Roman" w:eastAsia="宋体" w:cs="Times New Roman"/>
                <w:b/>
                <w:color w:val="auto"/>
                <w:kern w:val="0"/>
                <w:sz w:val="24"/>
                <w:szCs w:val="24"/>
                <w:highlight w:val="none"/>
                <w:lang w:val="en-US" w:eastAsia="zh-CN"/>
              </w:rPr>
              <w:t>体废物</w:t>
            </w:r>
          </w:p>
          <w:p w14:paraId="3C5FD5F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一般工业</w:t>
            </w:r>
            <w:r>
              <w:rPr>
                <w:rFonts w:hint="default" w:ascii="Times New Roman" w:hAnsi="Times New Roman" w:eastAsia="宋体" w:cs="Times New Roman"/>
                <w:bCs/>
                <w:color w:val="auto"/>
                <w:sz w:val="24"/>
                <w:szCs w:val="24"/>
                <w:highlight w:val="none"/>
                <w:lang w:val="en-US" w:eastAsia="zh-CN"/>
              </w:rPr>
              <w:t>固体废物处理执行《一般工业固体废物贮存和填埋污染控制标准》（GB18599-2020）相关要求。危险废物执行《危险废物贮存污染控制标准》（GB18597-2023）相关要求。</w:t>
            </w:r>
          </w:p>
        </w:tc>
      </w:tr>
      <w:tr w14:paraId="65D46B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558" w:hRule="atLeast"/>
          <w:jc w:val="center"/>
        </w:trPr>
        <w:tc>
          <w:tcPr>
            <w:tcW w:w="704" w:type="dxa"/>
            <w:tcBorders>
              <w:top w:val="single" w:color="auto" w:sz="4" w:space="0"/>
              <w:bottom w:val="single" w:color="auto" w:sz="8" w:space="0"/>
              <w:right w:val="single" w:color="auto" w:sz="4" w:space="0"/>
            </w:tcBorders>
            <w:vAlign w:val="center"/>
          </w:tcPr>
          <w:p w14:paraId="6D3C31E6">
            <w:pPr>
              <w:pStyle w:val="46"/>
              <w:keepNext w:val="0"/>
              <w:keepLines w:val="0"/>
              <w:suppressLineNumbers w:val="0"/>
              <w:wordWrap w:val="0"/>
              <w:spacing w:before="0" w:beforeAutospacing="0" w:after="0" w:afterAutospacing="0"/>
              <w:ind w:left="0" w:right="0" w:firstLine="0" w:firstLineChars="0"/>
              <w:jc w:val="center"/>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其他</w:t>
            </w:r>
          </w:p>
        </w:tc>
        <w:tc>
          <w:tcPr>
            <w:tcW w:w="8652" w:type="dxa"/>
            <w:tcBorders>
              <w:top w:val="single" w:color="auto" w:sz="4" w:space="0"/>
              <w:left w:val="single" w:color="auto" w:sz="4" w:space="0"/>
            </w:tcBorders>
            <w:vAlign w:val="center"/>
          </w:tcPr>
          <w:p w14:paraId="3688E72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jc w:val="left"/>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本项目为输变电工程，本项目无废气、废水产生；项目建成后仅有工频电磁场、噪声的排放。因此，本项目无需设置总量控制指标。</w:t>
            </w:r>
          </w:p>
        </w:tc>
      </w:tr>
    </w:tbl>
    <w:p w14:paraId="0A2FAEAF">
      <w:pPr>
        <w:wordWrap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6D9E20C7">
      <w:pPr>
        <w:wordWrap w:val="0"/>
        <w:jc w:val="center"/>
        <w:outlineLvl w:val="0"/>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四、生态环境影响分析</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28" w:type="dxa"/>
          <w:left w:w="85" w:type="dxa"/>
          <w:bottom w:w="28" w:type="dxa"/>
          <w:right w:w="85" w:type="dxa"/>
        </w:tblCellMar>
      </w:tblPr>
      <w:tblGrid>
        <w:gridCol w:w="850"/>
        <w:gridCol w:w="8504"/>
      </w:tblGrid>
      <w:tr w14:paraId="47CD68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2939" w:hRule="atLeast"/>
          <w:jc w:val="center"/>
        </w:trPr>
        <w:tc>
          <w:tcPr>
            <w:tcW w:w="850" w:type="dxa"/>
            <w:tcBorders>
              <w:top w:val="single" w:color="auto" w:sz="8" w:space="0"/>
              <w:bottom w:val="single" w:color="auto" w:sz="8" w:space="0"/>
              <w:right w:val="single" w:color="auto" w:sz="4" w:space="0"/>
            </w:tcBorders>
            <w:vAlign w:val="center"/>
          </w:tcPr>
          <w:p w14:paraId="2E2151EF">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施工期生态环境影响分析</w:t>
            </w:r>
          </w:p>
        </w:tc>
        <w:tc>
          <w:tcPr>
            <w:tcW w:w="8504" w:type="dxa"/>
            <w:tcBorders>
              <w:left w:val="single" w:color="auto" w:sz="4" w:space="0"/>
            </w:tcBorders>
            <w:vAlign w:val="top"/>
          </w:tcPr>
          <w:p w14:paraId="6721A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1、施工期大气环境影响分析</w:t>
            </w:r>
          </w:p>
          <w:p w14:paraId="2F9D6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施工期产生的施工废气主要来自施工便道、塔基和变电站施工和运输车辆行驶产生的扬尘、施工车辆机械(柴油机)排放的尾气。扬尘中的主要污染物为颗粒物，燃油废气中的主要污染物为颗粒物、HC、CO和NOx,上述污染物均呈无组织排放。</w:t>
            </w:r>
          </w:p>
          <w:p w14:paraId="0AC41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eastAsia="zh-CN"/>
              </w:rPr>
              <w:t>施工扬尘影响分析</w:t>
            </w:r>
          </w:p>
          <w:p w14:paraId="21BD9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变电站施工扬尘主要来自土方开挖，土石方开挖主要在露天进行，临时堆土及建筑材料需要露天堆放，在气候干燥且有风的情况下，可能会产生扬尘。由于扬尘源多且分散，源高一般在15m以下，属于无组织、间歇式排放。同时，受施工方式、设备、气候等因素制约，产生的随机性和波动性较大。起尘风速与粒径和含水量有关，因此，减少露天堆放、保证一定含水量 及减少地面裸露是抑制风力起尘的有效手段。</w:t>
            </w:r>
          </w:p>
          <w:p w14:paraId="45795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输电线路施工扬尘主要来自土石方的开挖等。在项目的施工阶段，尤其是施工初期，土石方的开挖将产生一定量的扬尘，特别是久旱无雨的大风天气，扬尘污染更为突出。施工开挖产生的粉尘短期内将使局部区域空气中的TSP明显增加。因此，施工过程中须对临时堆土及建筑材料进行遮盖，尤其是在干燥有风的天气情况下，并配合进行适当的洒水，能有效减少起尘量，增大尘粒的含水量，对附近环境空气的影响较小，对附近居民影响较小。</w:t>
            </w:r>
          </w:p>
          <w:p w14:paraId="67829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施工运输扬尘及汽车尾气影响分析</w:t>
            </w:r>
          </w:p>
          <w:p w14:paraId="4FF08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工程施工期交通对环境空气的影响主要包括车辆运输过程中产生的扬尘和尾气排放的影响。目前国家已经对出厂及正在投入行驶的各类机动车辆制定了严格的检测、限制要求，施工期使用的运输将要求选择达到相应国家标准的车辆，其尾气排放中的主要污染物CO、NO₂等对沿线环境的影响很小。由于施工交通主要是大型车辆运输施工物料、建筑垃圾、弃渣等，运输过程中产生的TSP等对沿线的环境将产生一定影响。施工运输扬尘及汽车尾气主要影响对象为运输道路临近的村庄，同时会对道路两侧的树木、植物等产生影响。本工程土石方、建筑材料运输量大，运输扬尘污染将是污染环境空气的重要因素，特别是在干燥有风时段，产生扬尘的情况将更加严重。运输车辆产生的尾气也会对环境空气产生影响，尾气产生的主要污染物为CO、NOx,为无组织排放。</w:t>
            </w:r>
          </w:p>
          <w:p w14:paraId="05DD9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综上，施工期排放的车辆机械尾气伴随着施工活动的结束即行消失，在落实环评要求的</w:t>
            </w:r>
            <w:r>
              <w:rPr>
                <w:rFonts w:hint="eastAsia" w:ascii="Times New Roman" w:hAnsi="Times New Roman" w:eastAsia="宋体" w:cs="Times New Roman"/>
                <w:bCs/>
                <w:color w:val="auto"/>
                <w:sz w:val="24"/>
                <w:szCs w:val="24"/>
                <w:highlight w:val="none"/>
                <w:lang w:val="en-US" w:eastAsia="zh-CN"/>
              </w:rPr>
              <w:t>保</w:t>
            </w:r>
            <w:r>
              <w:rPr>
                <w:rFonts w:hint="default" w:ascii="Times New Roman" w:hAnsi="Times New Roman" w:eastAsia="宋体" w:cs="Times New Roman"/>
                <w:bCs/>
                <w:color w:val="auto"/>
                <w:sz w:val="24"/>
                <w:szCs w:val="24"/>
                <w:highlight w:val="none"/>
                <w:lang w:eastAsia="zh-CN"/>
              </w:rPr>
              <w:t>护措施后，在一定程度上有效降低施工期大气污染物对大气环境的影响，对周围大气环境质量影响较小。</w:t>
            </w:r>
          </w:p>
          <w:p w14:paraId="15986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2、施工期水环境影响分析</w:t>
            </w:r>
          </w:p>
          <w:p w14:paraId="48022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本工程施工过程中产生的施工废水主要为生产废水和生活污水。根据对本工程施工内容的分析，生产废水为施工机械车辆机械冲洗废水；生活污水主要来源于施工人员的生活营地。施 工期间废污水产生的污染物以SS为主，兼有石油类、COD和BOD₅等污染物。</w:t>
            </w:r>
          </w:p>
          <w:p w14:paraId="24ABF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施工人员生活污水影响分析</w:t>
            </w:r>
          </w:p>
          <w:p w14:paraId="47292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施工期施工营地不设生活区，生活区租用附近的民房。施工营地不产生食堂废水和洗浴废水，产生的生活污水主要是施工人员在施工营地产生的洗漱废水、粪便污水等，为间歇式排放。为保证废水达标排放，结合工程施工营地布置及工程施工特点，施工营地设环保旱厕。租用民房产生的生活污水依托所在村庄的生活污水，定期清理用于耕地施肥。环保旱厕委托当地村民定期清运，用于周边耕地施肥。</w:t>
            </w:r>
          </w:p>
          <w:p w14:paraId="1B477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施工生产废水影响分析</w:t>
            </w:r>
          </w:p>
          <w:p w14:paraId="30CEB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工程施工期营地不进行机械修理，施工机械到附近城镇修理，但由于施工用的机械较多，施工营地设置有机械停放场，会产生车辆机械冲洗废水。废水中主要污染物为石油类和悬浮物，石油类污染物浓度约为10mg/L～50mg/L</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为间歇排放。类比同类工程此类废水处理经验，评价建议各施工营地采取隔油池+沉淀池对机械冲洗废水进行处理，处理后冲洗废水石油类浓度可降至5mg/L以下，可作为机械冲洗水重复使用或场地洒水抑尘。综上，施工生产管理及生活区不涉及地表水水体，车辆机械冲洗水不会进入附近地表水水体，而且又重复利用。因此，施工废水对地表水环境的影响较小。</w:t>
            </w:r>
          </w:p>
          <w:p w14:paraId="341D3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综上，本工程施工期水污染源主要为施工人员生活污水、车辆机械冲洗废水。其中，车辆机械冲洗废水经处理后回用，废水不外排；各施工营地设环保旱厕，生活污水经化粪池收集后，定期清掏，用于周围农田施肥。施工期产生的废水对地表水环境影响较小。</w:t>
            </w:r>
          </w:p>
          <w:p w14:paraId="1C469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终期方案塔基G53-G54</w:t>
            </w:r>
            <w:r>
              <w:rPr>
                <w:rFonts w:hint="default" w:ascii="Times New Roman" w:hAnsi="Times New Roman" w:eastAsia="宋体" w:cs="Times New Roman"/>
                <w:bCs/>
                <w:color w:val="auto"/>
                <w:sz w:val="24"/>
                <w:szCs w:val="24"/>
                <w:highlight w:val="none"/>
                <w:lang w:val="en-US" w:eastAsia="zh-CN"/>
              </w:rPr>
              <w:t>线路跨越壶流河，G</w:t>
            </w:r>
            <w:r>
              <w:rPr>
                <w:rFonts w:hint="eastAsia" w:ascii="Times New Roman" w:hAnsi="Times New Roman" w:eastAsia="宋体" w:cs="Times New Roman"/>
                <w:bCs/>
                <w:color w:val="auto"/>
                <w:sz w:val="24"/>
                <w:szCs w:val="24"/>
                <w:highlight w:val="none"/>
                <w:lang w:val="en-US" w:eastAsia="zh-CN"/>
              </w:rPr>
              <w:t>54</w:t>
            </w:r>
            <w:r>
              <w:rPr>
                <w:rFonts w:hint="default" w:ascii="Times New Roman" w:hAnsi="Times New Roman" w:eastAsia="宋体" w:cs="Times New Roman"/>
                <w:bCs/>
                <w:color w:val="auto"/>
                <w:sz w:val="24"/>
                <w:szCs w:val="24"/>
                <w:highlight w:val="none"/>
                <w:lang w:val="en-US" w:eastAsia="zh-CN"/>
              </w:rPr>
              <w:t>号塔基距离河道管理范围外侧最近的距离</w:t>
            </w:r>
            <w:r>
              <w:rPr>
                <w:rFonts w:hint="eastAsia" w:ascii="Times New Roman" w:hAnsi="Times New Roman" w:eastAsia="宋体" w:cs="Times New Roman"/>
                <w:bCs/>
                <w:color w:val="auto"/>
                <w:sz w:val="24"/>
                <w:szCs w:val="24"/>
                <w:highlight w:val="none"/>
                <w:lang w:val="en-US" w:eastAsia="zh-CN"/>
              </w:rPr>
              <w:t>55</w:t>
            </w:r>
            <w:r>
              <w:rPr>
                <w:rFonts w:hint="default" w:ascii="Times New Roman" w:hAnsi="Times New Roman" w:eastAsia="宋体" w:cs="Times New Roman"/>
                <w:bCs/>
                <w:color w:val="auto"/>
                <w:sz w:val="24"/>
                <w:szCs w:val="24"/>
                <w:highlight w:val="none"/>
                <w:lang w:val="en-US" w:eastAsia="zh-CN"/>
              </w:rPr>
              <w:t>m，不在河道范围施工，施工期对施工物料进行覆盖，防止雨水冲刷进入壶流河，在严格控制施工范围的情况下，本项目施工不会对沿线地表水造成环境影响。</w:t>
            </w:r>
          </w:p>
          <w:p w14:paraId="4592C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3、施工期声环境影响分析</w:t>
            </w:r>
          </w:p>
          <w:p w14:paraId="69A68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本项目施工噪声主要来源于土方作业、车辆运输等，噪声源主要为挖掘机、钻机、混凝土输送泵、牵引机、张力机、绞磨机等，其中流动噪声源为自卸汽车。</w:t>
            </w:r>
          </w:p>
          <w:p w14:paraId="05961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械噪声源强</w:t>
            </w:r>
          </w:p>
          <w:p w14:paraId="5CEE8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交通噪声</w:t>
            </w:r>
          </w:p>
          <w:p w14:paraId="01397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交通噪声源强与运输车辆载重类型、汽车流量和行驶速度密切相关。本工程场内交通公路等级为三级，采用自卸汽车，运行速度20km/h</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噪声级一般在85～87dB(A)之间。车辆运输噪声具有流动性特点，噪声污染与经过的交通道路路况，以及经过地区的噪声背景值等密切相关。</w:t>
            </w:r>
          </w:p>
          <w:p w14:paraId="06B56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施工机械</w:t>
            </w:r>
          </w:p>
          <w:p w14:paraId="57F55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施工期施工机械设备一般为露天作业，噪声经几何扩散衰减后到达预测点。施工机械设备均为室外声源，且可等效为点声源，参考《环境噪声与振动控制工程技术导则》(HJ2034- 2013)附录A.2“常见施工设备噪声源不同距离声压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本项目施工期噪声源强见表4-1。</w:t>
            </w:r>
          </w:p>
          <w:p w14:paraId="5780129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20" w:lineRule="exact"/>
              <w:ind w:left="0" w:right="0"/>
              <w:jc w:val="center"/>
              <w:textAlignment w:val="auto"/>
              <w:outlineLvl w:val="0"/>
              <w:rPr>
                <w:rFonts w:hint="default" w:ascii="Times New Roman" w:hAnsi="Times New Roman" w:eastAsia="宋体" w:cs="Times New Roman"/>
                <w:b/>
                <w:color w:val="auto"/>
                <w:spacing w:val="-3"/>
                <w:sz w:val="21"/>
                <w:szCs w:val="21"/>
                <w:lang w:eastAsia="zh-CN"/>
              </w:rPr>
            </w:pPr>
            <w:r>
              <w:rPr>
                <w:rFonts w:hint="default" w:ascii="Times New Roman" w:hAnsi="Times New Roman" w:eastAsia="宋体" w:cs="Times New Roman"/>
                <w:b/>
                <w:color w:val="auto"/>
                <w:spacing w:val="-3"/>
                <w:sz w:val="21"/>
                <w:szCs w:val="21"/>
                <w:lang w:eastAsia="zh-CN"/>
              </w:rPr>
              <w:t>表4-1施工期主要施工机械噪声源汇总结果</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01"/>
              <w:gridCol w:w="1528"/>
              <w:gridCol w:w="1387"/>
              <w:gridCol w:w="1387"/>
              <w:gridCol w:w="1387"/>
              <w:gridCol w:w="1388"/>
            </w:tblGrid>
            <w:tr w14:paraId="7655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restart"/>
                  <w:vAlign w:val="center"/>
                </w:tcPr>
                <w:p w14:paraId="49A05E8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施工区</w:t>
                  </w:r>
                </w:p>
              </w:tc>
              <w:tc>
                <w:tcPr>
                  <w:tcW w:w="5689" w:type="dxa"/>
                  <w:gridSpan w:val="4"/>
                  <w:vAlign w:val="center"/>
                </w:tcPr>
                <w:p w14:paraId="144E29B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噪声源</w:t>
                  </w:r>
                </w:p>
              </w:tc>
              <w:tc>
                <w:tcPr>
                  <w:tcW w:w="1388" w:type="dxa"/>
                  <w:vMerge w:val="restart"/>
                  <w:vAlign w:val="center"/>
                </w:tcPr>
                <w:p w14:paraId="330A6DE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作业时间</w:t>
                  </w:r>
                </w:p>
                <w:p w14:paraId="751BE33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w:t>
                  </w:r>
                  <w:r>
                    <w:rPr>
                      <w:rFonts w:hint="default" w:ascii="Times New Roman" w:hAnsi="Times New Roman" w:eastAsia="宋体" w:cs="Times New Roman"/>
                      <w:b w:val="0"/>
                      <w:bCs/>
                      <w:color w:val="auto"/>
                      <w:spacing w:val="-3"/>
                      <w:sz w:val="21"/>
                      <w:szCs w:val="21"/>
                      <w:vertAlign w:val="baseline"/>
                      <w:lang w:val="en-US" w:eastAsia="zh-CN"/>
                    </w:rPr>
                    <w:t>h/d</w:t>
                  </w:r>
                  <w:r>
                    <w:rPr>
                      <w:rFonts w:hint="eastAsia" w:ascii="Times New Roman" w:hAnsi="Times New Roman" w:eastAsia="宋体" w:cs="Times New Roman"/>
                      <w:b w:val="0"/>
                      <w:bCs/>
                      <w:color w:val="auto"/>
                      <w:spacing w:val="-3"/>
                      <w:sz w:val="21"/>
                      <w:szCs w:val="21"/>
                      <w:vertAlign w:val="baseline"/>
                      <w:lang w:val="en-US" w:eastAsia="zh-CN"/>
                    </w:rPr>
                    <w:t>）</w:t>
                  </w:r>
                </w:p>
              </w:tc>
            </w:tr>
            <w:tr w14:paraId="49B4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5A1C38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Merge w:val="restart"/>
                  <w:vAlign w:val="center"/>
                </w:tcPr>
                <w:p w14:paraId="6D86234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eastAsia" w:ascii="Times New Roman" w:hAnsi="Times New Roman" w:eastAsia="宋体" w:cs="Times New Roman"/>
                      <w:b w:val="0"/>
                      <w:bCs/>
                      <w:color w:val="auto"/>
                      <w:spacing w:val="-3"/>
                      <w:sz w:val="21"/>
                      <w:szCs w:val="21"/>
                      <w:vertAlign w:val="baseline"/>
                      <w:lang w:val="en-US" w:eastAsia="zh-CN"/>
                    </w:rPr>
                    <w:t>名称</w:t>
                  </w:r>
                </w:p>
              </w:tc>
              <w:tc>
                <w:tcPr>
                  <w:tcW w:w="1387" w:type="dxa"/>
                  <w:vMerge w:val="restart"/>
                  <w:vAlign w:val="center"/>
                </w:tcPr>
                <w:p w14:paraId="5C1A48D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eastAsia" w:ascii="Times New Roman" w:hAnsi="Times New Roman" w:eastAsia="宋体" w:cs="Times New Roman"/>
                      <w:b w:val="0"/>
                      <w:bCs/>
                      <w:color w:val="auto"/>
                      <w:spacing w:val="-3"/>
                      <w:sz w:val="21"/>
                      <w:szCs w:val="21"/>
                      <w:vertAlign w:val="baseline"/>
                      <w:lang w:val="en-US" w:eastAsia="zh-CN"/>
                    </w:rPr>
                    <w:t>数量</w:t>
                  </w:r>
                </w:p>
              </w:tc>
              <w:tc>
                <w:tcPr>
                  <w:tcW w:w="2774" w:type="dxa"/>
                  <w:gridSpan w:val="2"/>
                  <w:vAlign w:val="center"/>
                </w:tcPr>
                <w:p w14:paraId="0E016D6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强度</w:t>
                  </w:r>
                </w:p>
              </w:tc>
              <w:tc>
                <w:tcPr>
                  <w:tcW w:w="1388" w:type="dxa"/>
                  <w:vMerge w:val="continue"/>
                  <w:vAlign w:val="center"/>
                </w:tcPr>
                <w:p w14:paraId="370E771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r>
            <w:tr w14:paraId="4CDF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0CC2F6A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Merge w:val="continue"/>
                  <w:vAlign w:val="center"/>
                </w:tcPr>
                <w:p w14:paraId="03C7F6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387" w:type="dxa"/>
                  <w:vMerge w:val="continue"/>
                  <w:vAlign w:val="center"/>
                </w:tcPr>
                <w:p w14:paraId="3B70E4A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387" w:type="dxa"/>
                  <w:vAlign w:val="center"/>
                </w:tcPr>
                <w:p w14:paraId="7E332D3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eastAsia="宋体" w:cs="Times New Roman"/>
                      <w:b w:val="0"/>
                      <w:bCs/>
                      <w:color w:val="auto"/>
                      <w:spacing w:val="-3"/>
                      <w:sz w:val="21"/>
                      <w:szCs w:val="21"/>
                      <w:vertAlign w:val="baseline"/>
                      <w:lang w:val="en-US" w:eastAsia="zh-CN"/>
                    </w:rPr>
                    <w:t>测点位置/m</w:t>
                  </w:r>
                </w:p>
              </w:tc>
              <w:tc>
                <w:tcPr>
                  <w:tcW w:w="1387" w:type="dxa"/>
                  <w:vAlign w:val="center"/>
                </w:tcPr>
                <w:p w14:paraId="3362790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eastAsia="宋体" w:cs="Times New Roman"/>
                      <w:b w:val="0"/>
                      <w:bCs/>
                      <w:color w:val="auto"/>
                      <w:spacing w:val="-3"/>
                      <w:sz w:val="21"/>
                      <w:szCs w:val="21"/>
                      <w:vertAlign w:val="baseline"/>
                      <w:lang w:val="en-US" w:eastAsia="zh-CN"/>
                    </w:rPr>
                    <w:t>噪声级/dB</w:t>
                  </w:r>
                  <w:r>
                    <w:rPr>
                      <w:rFonts w:hint="eastAsia" w:ascii="Times New Roman" w:hAnsi="Times New Roman" w:eastAsia="宋体" w:cs="Times New Roman"/>
                      <w:b w:val="0"/>
                      <w:bCs/>
                      <w:color w:val="auto"/>
                      <w:spacing w:val="-3"/>
                      <w:sz w:val="21"/>
                      <w:szCs w:val="21"/>
                      <w:vertAlign w:val="baseline"/>
                      <w:lang w:val="en-US" w:eastAsia="zh-CN"/>
                    </w:rPr>
                    <w:t>（A）</w:t>
                  </w:r>
                </w:p>
              </w:tc>
              <w:tc>
                <w:tcPr>
                  <w:tcW w:w="1388" w:type="dxa"/>
                  <w:vMerge w:val="continue"/>
                  <w:vAlign w:val="center"/>
                </w:tcPr>
                <w:p w14:paraId="466517C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r>
            <w:tr w14:paraId="7A3A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restart"/>
                  <w:vAlign w:val="center"/>
                </w:tcPr>
                <w:p w14:paraId="060E21A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变电站</w:t>
                  </w:r>
                </w:p>
              </w:tc>
              <w:tc>
                <w:tcPr>
                  <w:tcW w:w="1528" w:type="dxa"/>
                  <w:vAlign w:val="top"/>
                </w:tcPr>
                <w:p w14:paraId="6545E72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2"/>
                      <w:sz w:val="21"/>
                      <w:szCs w:val="21"/>
                    </w:rPr>
                    <w:t>挖掘机</w:t>
                  </w:r>
                </w:p>
              </w:tc>
              <w:tc>
                <w:tcPr>
                  <w:tcW w:w="1387" w:type="dxa"/>
                  <w:vAlign w:val="center"/>
                </w:tcPr>
                <w:p w14:paraId="093EFEA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29D4B49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7B29E12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84.0</w:t>
                  </w:r>
                </w:p>
              </w:tc>
              <w:tc>
                <w:tcPr>
                  <w:tcW w:w="1388" w:type="dxa"/>
                  <w:vAlign w:val="center"/>
                </w:tcPr>
                <w:p w14:paraId="3C70B36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8</w:t>
                  </w:r>
                </w:p>
              </w:tc>
            </w:tr>
            <w:tr w14:paraId="6F25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015A4F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63D9775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2"/>
                      <w:sz w:val="21"/>
                      <w:szCs w:val="21"/>
                    </w:rPr>
                    <w:t>推土机</w:t>
                  </w:r>
                </w:p>
              </w:tc>
              <w:tc>
                <w:tcPr>
                  <w:tcW w:w="1387" w:type="dxa"/>
                  <w:vAlign w:val="center"/>
                </w:tcPr>
                <w:p w14:paraId="345335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68B5EB4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699FE0C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86.0</w:t>
                  </w:r>
                </w:p>
              </w:tc>
              <w:tc>
                <w:tcPr>
                  <w:tcW w:w="1388" w:type="dxa"/>
                  <w:vAlign w:val="center"/>
                </w:tcPr>
                <w:p w14:paraId="186AB5E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8</w:t>
                  </w:r>
                </w:p>
              </w:tc>
            </w:tr>
            <w:tr w14:paraId="3F4C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7A4CFEC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29B23E1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2"/>
                      <w:sz w:val="21"/>
                      <w:szCs w:val="21"/>
                    </w:rPr>
                    <w:t>装载机</w:t>
                  </w:r>
                </w:p>
              </w:tc>
              <w:tc>
                <w:tcPr>
                  <w:tcW w:w="1387" w:type="dxa"/>
                  <w:vAlign w:val="center"/>
                </w:tcPr>
                <w:p w14:paraId="787A1ED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3D3FB36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524E321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90.0</w:t>
                  </w:r>
                </w:p>
              </w:tc>
              <w:tc>
                <w:tcPr>
                  <w:tcW w:w="1388" w:type="dxa"/>
                  <w:vAlign w:val="center"/>
                </w:tcPr>
                <w:p w14:paraId="2E3774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4</w:t>
                  </w:r>
                </w:p>
              </w:tc>
            </w:tr>
            <w:tr w14:paraId="2BAE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2A88E2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3D9707E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3"/>
                      <w:sz w:val="21"/>
                      <w:szCs w:val="21"/>
                    </w:rPr>
                    <w:t>卷扬机</w:t>
                  </w:r>
                </w:p>
              </w:tc>
              <w:tc>
                <w:tcPr>
                  <w:tcW w:w="1387" w:type="dxa"/>
                  <w:vAlign w:val="center"/>
                </w:tcPr>
                <w:p w14:paraId="66C1D97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6953F84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0C058CC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85.0</w:t>
                  </w:r>
                </w:p>
              </w:tc>
              <w:tc>
                <w:tcPr>
                  <w:tcW w:w="1388" w:type="dxa"/>
                  <w:vAlign w:val="center"/>
                </w:tcPr>
                <w:p w14:paraId="7E0CF4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3</w:t>
                  </w:r>
                </w:p>
              </w:tc>
            </w:tr>
            <w:tr w14:paraId="04F5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628EFF7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6A8DC7E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2"/>
                      <w:sz w:val="21"/>
                      <w:szCs w:val="21"/>
                    </w:rPr>
                    <w:t>履带式起重机</w:t>
                  </w:r>
                </w:p>
              </w:tc>
              <w:tc>
                <w:tcPr>
                  <w:tcW w:w="1387" w:type="dxa"/>
                  <w:vAlign w:val="center"/>
                </w:tcPr>
                <w:p w14:paraId="6DA9630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09061C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095A1EA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88.0</w:t>
                  </w:r>
                </w:p>
              </w:tc>
              <w:tc>
                <w:tcPr>
                  <w:tcW w:w="1388" w:type="dxa"/>
                  <w:vAlign w:val="center"/>
                </w:tcPr>
                <w:p w14:paraId="260021B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3</w:t>
                  </w:r>
                </w:p>
              </w:tc>
            </w:tr>
            <w:tr w14:paraId="193E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30F514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029461D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2"/>
                      <w:sz w:val="21"/>
                      <w:szCs w:val="21"/>
                    </w:rPr>
                    <w:t>汽车起重机</w:t>
                  </w:r>
                </w:p>
              </w:tc>
              <w:tc>
                <w:tcPr>
                  <w:tcW w:w="1387" w:type="dxa"/>
                  <w:vAlign w:val="center"/>
                </w:tcPr>
                <w:p w14:paraId="5E00CD4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center"/>
                </w:tcPr>
                <w:p w14:paraId="7E65D46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10DB9D7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89.0</w:t>
                  </w:r>
                </w:p>
              </w:tc>
              <w:tc>
                <w:tcPr>
                  <w:tcW w:w="1388" w:type="dxa"/>
                  <w:vAlign w:val="center"/>
                </w:tcPr>
                <w:p w14:paraId="500A52E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r>
            <w:tr w14:paraId="6F99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4FA57E0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0250C5D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color w:val="auto"/>
                      <w:spacing w:val="-2"/>
                      <w:sz w:val="21"/>
                      <w:szCs w:val="21"/>
                    </w:rPr>
                    <w:t>振动碾</w:t>
                  </w:r>
                </w:p>
              </w:tc>
              <w:tc>
                <w:tcPr>
                  <w:tcW w:w="1387" w:type="dxa"/>
                  <w:vAlign w:val="center"/>
                </w:tcPr>
                <w:p w14:paraId="2E0F406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0A3C9B2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67A9F48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1"/>
                      <w:szCs w:val="21"/>
                    </w:rPr>
                    <w:t>86.0</w:t>
                  </w:r>
                </w:p>
              </w:tc>
              <w:tc>
                <w:tcPr>
                  <w:tcW w:w="1388" w:type="dxa"/>
                  <w:vAlign w:val="center"/>
                </w:tcPr>
                <w:p w14:paraId="2FCFDE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4</w:t>
                  </w:r>
                </w:p>
              </w:tc>
            </w:tr>
            <w:tr w14:paraId="2F0F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2AE355D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4EFFFC0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1"/>
                      <w:szCs w:val="21"/>
                    </w:rPr>
                  </w:pPr>
                  <w:r>
                    <w:rPr>
                      <w:rFonts w:hint="default"/>
                      <w:color w:val="auto"/>
                      <w:spacing w:val="-2"/>
                      <w:sz w:val="20"/>
                      <w:szCs w:val="20"/>
                    </w:rPr>
                    <w:t>蛙式打夯机</w:t>
                  </w:r>
                </w:p>
              </w:tc>
              <w:tc>
                <w:tcPr>
                  <w:tcW w:w="1387" w:type="dxa"/>
                  <w:vAlign w:val="center"/>
                </w:tcPr>
                <w:p w14:paraId="5416278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4FCC58F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0F828CA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93.0</w:t>
                  </w:r>
                </w:p>
              </w:tc>
              <w:tc>
                <w:tcPr>
                  <w:tcW w:w="1388" w:type="dxa"/>
                  <w:vAlign w:val="center"/>
                </w:tcPr>
                <w:p w14:paraId="3FF69E5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4</w:t>
                  </w:r>
                </w:p>
              </w:tc>
            </w:tr>
            <w:tr w14:paraId="632E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7030B0E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71565D3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1"/>
                      <w:szCs w:val="21"/>
                    </w:rPr>
                  </w:pPr>
                  <w:r>
                    <w:rPr>
                      <w:rFonts w:hint="default"/>
                      <w:color w:val="auto"/>
                      <w:spacing w:val="-2"/>
                      <w:sz w:val="20"/>
                      <w:szCs w:val="20"/>
                    </w:rPr>
                    <w:t>混凝土振捣器</w:t>
                  </w:r>
                </w:p>
              </w:tc>
              <w:tc>
                <w:tcPr>
                  <w:tcW w:w="1387" w:type="dxa"/>
                  <w:vAlign w:val="center"/>
                </w:tcPr>
                <w:p w14:paraId="20BBC97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61D19E7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3FEC757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92.0</w:t>
                  </w:r>
                </w:p>
              </w:tc>
              <w:tc>
                <w:tcPr>
                  <w:tcW w:w="1388" w:type="dxa"/>
                  <w:vAlign w:val="center"/>
                </w:tcPr>
                <w:p w14:paraId="10E6A40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4</w:t>
                  </w:r>
                </w:p>
              </w:tc>
            </w:tr>
            <w:tr w14:paraId="4368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gridSpan w:val="2"/>
                  <w:vMerge w:val="continue"/>
                  <w:vAlign w:val="center"/>
                </w:tcPr>
                <w:p w14:paraId="7AFEE04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1663D83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1"/>
                      <w:szCs w:val="21"/>
                    </w:rPr>
                  </w:pPr>
                  <w:r>
                    <w:rPr>
                      <w:rFonts w:hint="default"/>
                      <w:color w:val="auto"/>
                      <w:spacing w:val="2"/>
                      <w:sz w:val="20"/>
                      <w:szCs w:val="20"/>
                    </w:rPr>
                    <w:t>空压机</w:t>
                  </w:r>
                </w:p>
              </w:tc>
              <w:tc>
                <w:tcPr>
                  <w:tcW w:w="1387" w:type="dxa"/>
                  <w:vAlign w:val="center"/>
                </w:tcPr>
                <w:p w14:paraId="5BFDEE5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center"/>
                </w:tcPr>
                <w:p w14:paraId="15AD2E1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0464A48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95.0</w:t>
                  </w:r>
                </w:p>
              </w:tc>
              <w:tc>
                <w:tcPr>
                  <w:tcW w:w="1388" w:type="dxa"/>
                  <w:vAlign w:val="center"/>
                </w:tcPr>
                <w:p w14:paraId="248AF0B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8</w:t>
                  </w:r>
                </w:p>
              </w:tc>
            </w:tr>
            <w:tr w14:paraId="13F9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Merge w:val="restart"/>
                  <w:vAlign w:val="center"/>
                </w:tcPr>
                <w:p w14:paraId="29E8536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eastAsia="宋体" w:cs="Times New Roman"/>
                      <w:b w:val="0"/>
                      <w:bCs/>
                      <w:color w:val="auto"/>
                      <w:spacing w:val="-3"/>
                      <w:sz w:val="21"/>
                      <w:szCs w:val="21"/>
                      <w:vertAlign w:val="baseline"/>
                    </w:rPr>
                    <w:t>输电</w:t>
                  </w:r>
                </w:p>
                <w:p w14:paraId="6400243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eastAsia="宋体" w:cs="Times New Roman"/>
                      <w:b w:val="0"/>
                      <w:bCs/>
                      <w:color w:val="auto"/>
                      <w:spacing w:val="-3"/>
                      <w:sz w:val="21"/>
                      <w:szCs w:val="21"/>
                      <w:vertAlign w:val="baseline"/>
                    </w:rPr>
                    <w:t>线路</w:t>
                  </w:r>
                </w:p>
              </w:tc>
              <w:tc>
                <w:tcPr>
                  <w:tcW w:w="801" w:type="dxa"/>
                  <w:vMerge w:val="restart"/>
                  <w:vAlign w:val="center"/>
                </w:tcPr>
                <w:p w14:paraId="7CBEFD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eastAsia="宋体" w:cs="Times New Roman"/>
                      <w:b w:val="0"/>
                      <w:bCs/>
                      <w:color w:val="auto"/>
                      <w:spacing w:val="-3"/>
                      <w:sz w:val="21"/>
                      <w:szCs w:val="21"/>
                      <w:vertAlign w:val="baseline"/>
                    </w:rPr>
                    <w:t>塔基施工区</w:t>
                  </w:r>
                </w:p>
              </w:tc>
              <w:tc>
                <w:tcPr>
                  <w:tcW w:w="1528" w:type="dxa"/>
                  <w:vAlign w:val="top"/>
                </w:tcPr>
                <w:p w14:paraId="4442BFF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0"/>
                      <w:szCs w:val="20"/>
                    </w:rPr>
                  </w:pPr>
                  <w:r>
                    <w:rPr>
                      <w:rFonts w:hint="default"/>
                      <w:color w:val="auto"/>
                      <w:spacing w:val="-2"/>
                      <w:sz w:val="20"/>
                      <w:szCs w:val="20"/>
                    </w:rPr>
                    <w:t>挖掘机</w:t>
                  </w:r>
                </w:p>
              </w:tc>
              <w:tc>
                <w:tcPr>
                  <w:tcW w:w="1387" w:type="dxa"/>
                  <w:vAlign w:val="center"/>
                </w:tcPr>
                <w:p w14:paraId="0DBF3E7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center"/>
                </w:tcPr>
                <w:p w14:paraId="7FE672B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1A71767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84.0</w:t>
                  </w:r>
                </w:p>
              </w:tc>
              <w:tc>
                <w:tcPr>
                  <w:tcW w:w="1388" w:type="dxa"/>
                  <w:vAlign w:val="center"/>
                </w:tcPr>
                <w:p w14:paraId="1A5BFD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8</w:t>
                  </w:r>
                </w:p>
              </w:tc>
            </w:tr>
            <w:tr w14:paraId="2B6A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Merge w:val="continue"/>
                  <w:vAlign w:val="center"/>
                </w:tcPr>
                <w:p w14:paraId="749B4C8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801" w:type="dxa"/>
                  <w:vMerge w:val="continue"/>
                  <w:vAlign w:val="center"/>
                </w:tcPr>
                <w:p w14:paraId="620F0CD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44D74DB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0"/>
                      <w:szCs w:val="20"/>
                    </w:rPr>
                  </w:pPr>
                  <w:r>
                    <w:rPr>
                      <w:rFonts w:hint="default"/>
                      <w:color w:val="auto"/>
                      <w:spacing w:val="-2"/>
                      <w:sz w:val="20"/>
                      <w:szCs w:val="20"/>
                    </w:rPr>
                    <w:t>旋挖钻机</w:t>
                  </w:r>
                </w:p>
              </w:tc>
              <w:tc>
                <w:tcPr>
                  <w:tcW w:w="1387" w:type="dxa"/>
                  <w:vAlign w:val="center"/>
                </w:tcPr>
                <w:p w14:paraId="71B2AC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center"/>
                </w:tcPr>
                <w:p w14:paraId="59A4838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0C5D9F6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84.0</w:t>
                  </w:r>
                </w:p>
              </w:tc>
              <w:tc>
                <w:tcPr>
                  <w:tcW w:w="1388" w:type="dxa"/>
                  <w:vAlign w:val="center"/>
                </w:tcPr>
                <w:p w14:paraId="418BD5C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8</w:t>
                  </w:r>
                </w:p>
              </w:tc>
            </w:tr>
            <w:tr w14:paraId="2ADF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Merge w:val="continue"/>
                  <w:vAlign w:val="center"/>
                </w:tcPr>
                <w:p w14:paraId="1782B89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801" w:type="dxa"/>
                  <w:vMerge w:val="continue"/>
                  <w:vAlign w:val="center"/>
                </w:tcPr>
                <w:p w14:paraId="76EE16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0B71115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0"/>
                      <w:szCs w:val="20"/>
                    </w:rPr>
                  </w:pPr>
                  <w:r>
                    <w:rPr>
                      <w:rFonts w:hint="default"/>
                      <w:color w:val="auto"/>
                      <w:spacing w:val="-2"/>
                      <w:sz w:val="20"/>
                      <w:szCs w:val="20"/>
                    </w:rPr>
                    <w:t>推土机</w:t>
                  </w:r>
                </w:p>
              </w:tc>
              <w:tc>
                <w:tcPr>
                  <w:tcW w:w="1387" w:type="dxa"/>
                  <w:vAlign w:val="center"/>
                </w:tcPr>
                <w:p w14:paraId="7F9F8D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center"/>
                </w:tcPr>
                <w:p w14:paraId="3D4250D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5</w:t>
                  </w:r>
                </w:p>
              </w:tc>
              <w:tc>
                <w:tcPr>
                  <w:tcW w:w="1387" w:type="dxa"/>
                  <w:vAlign w:val="top"/>
                </w:tcPr>
                <w:p w14:paraId="683932B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86.0</w:t>
                  </w:r>
                </w:p>
              </w:tc>
              <w:tc>
                <w:tcPr>
                  <w:tcW w:w="1388" w:type="dxa"/>
                  <w:vAlign w:val="center"/>
                </w:tcPr>
                <w:p w14:paraId="04604ED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8</w:t>
                  </w:r>
                </w:p>
              </w:tc>
            </w:tr>
            <w:tr w14:paraId="359D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Merge w:val="continue"/>
                  <w:vAlign w:val="center"/>
                </w:tcPr>
                <w:p w14:paraId="30D611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801" w:type="dxa"/>
                  <w:vMerge w:val="continue"/>
                  <w:vAlign w:val="center"/>
                </w:tcPr>
                <w:p w14:paraId="6105B56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7EB4E6B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0"/>
                      <w:szCs w:val="20"/>
                    </w:rPr>
                  </w:pPr>
                  <w:r>
                    <w:rPr>
                      <w:rFonts w:hint="default"/>
                      <w:color w:val="auto"/>
                      <w:spacing w:val="-2"/>
                      <w:sz w:val="20"/>
                      <w:szCs w:val="20"/>
                    </w:rPr>
                    <w:t>混凝土振捣器</w:t>
                  </w:r>
                </w:p>
              </w:tc>
              <w:tc>
                <w:tcPr>
                  <w:tcW w:w="1387" w:type="dxa"/>
                  <w:vAlign w:val="center"/>
                </w:tcPr>
                <w:p w14:paraId="4411980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1E226A0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146D026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92.0</w:t>
                  </w:r>
                </w:p>
              </w:tc>
              <w:tc>
                <w:tcPr>
                  <w:tcW w:w="1388" w:type="dxa"/>
                  <w:vAlign w:val="center"/>
                </w:tcPr>
                <w:p w14:paraId="25FB950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4</w:t>
                  </w:r>
                </w:p>
              </w:tc>
            </w:tr>
            <w:tr w14:paraId="67E0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Merge w:val="continue"/>
                  <w:vAlign w:val="center"/>
                </w:tcPr>
                <w:p w14:paraId="44E7BE5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801" w:type="dxa"/>
                  <w:vMerge w:val="restart"/>
                  <w:vAlign w:val="center"/>
                </w:tcPr>
                <w:p w14:paraId="5680964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eastAsia="宋体" w:cs="Times New Roman"/>
                      <w:b w:val="0"/>
                      <w:bCs/>
                      <w:color w:val="auto"/>
                      <w:spacing w:val="-3"/>
                      <w:sz w:val="21"/>
                      <w:szCs w:val="21"/>
                      <w:vertAlign w:val="baseline"/>
                    </w:rPr>
                    <w:t>牵张场</w:t>
                  </w:r>
                </w:p>
              </w:tc>
              <w:tc>
                <w:tcPr>
                  <w:tcW w:w="1528" w:type="dxa"/>
                  <w:vAlign w:val="top"/>
                </w:tcPr>
                <w:p w14:paraId="00C43E8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0"/>
                      <w:szCs w:val="20"/>
                    </w:rPr>
                  </w:pPr>
                  <w:r>
                    <w:rPr>
                      <w:rFonts w:hint="default"/>
                      <w:color w:val="auto"/>
                      <w:spacing w:val="-2"/>
                      <w:sz w:val="20"/>
                      <w:szCs w:val="20"/>
                    </w:rPr>
                    <w:t>牵引张力机</w:t>
                  </w:r>
                </w:p>
              </w:tc>
              <w:tc>
                <w:tcPr>
                  <w:tcW w:w="1387" w:type="dxa"/>
                  <w:vAlign w:val="center"/>
                </w:tcPr>
                <w:p w14:paraId="6E20AEE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center"/>
                </w:tcPr>
                <w:p w14:paraId="43E204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09AE355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85.0</w:t>
                  </w:r>
                </w:p>
              </w:tc>
              <w:tc>
                <w:tcPr>
                  <w:tcW w:w="1388" w:type="dxa"/>
                  <w:vAlign w:val="center"/>
                </w:tcPr>
                <w:p w14:paraId="48C986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3</w:t>
                  </w:r>
                </w:p>
              </w:tc>
            </w:tr>
            <w:tr w14:paraId="7C80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Merge w:val="continue"/>
                  <w:vAlign w:val="center"/>
                </w:tcPr>
                <w:p w14:paraId="3F690BE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801" w:type="dxa"/>
                  <w:vMerge w:val="continue"/>
                  <w:vAlign w:val="center"/>
                </w:tcPr>
                <w:p w14:paraId="60C2B03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default" w:ascii="Times New Roman" w:hAnsi="Times New Roman" w:eastAsia="宋体" w:cs="Times New Roman"/>
                      <w:b w:val="0"/>
                      <w:bCs/>
                      <w:color w:val="auto"/>
                      <w:spacing w:val="-3"/>
                      <w:sz w:val="21"/>
                      <w:szCs w:val="21"/>
                      <w:vertAlign w:val="baseline"/>
                    </w:rPr>
                  </w:pPr>
                </w:p>
              </w:tc>
              <w:tc>
                <w:tcPr>
                  <w:tcW w:w="1528" w:type="dxa"/>
                  <w:vAlign w:val="top"/>
                </w:tcPr>
                <w:p w14:paraId="7F8D0A4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olor w:val="auto"/>
                      <w:spacing w:val="-2"/>
                      <w:sz w:val="20"/>
                      <w:szCs w:val="20"/>
                    </w:rPr>
                  </w:pPr>
                  <w:r>
                    <w:rPr>
                      <w:rFonts w:hint="default"/>
                      <w:color w:val="auto"/>
                      <w:spacing w:val="-2"/>
                      <w:sz w:val="20"/>
                      <w:szCs w:val="20"/>
                    </w:rPr>
                    <w:t>绞磨机</w:t>
                  </w:r>
                </w:p>
              </w:tc>
              <w:tc>
                <w:tcPr>
                  <w:tcW w:w="1387" w:type="dxa"/>
                  <w:vAlign w:val="center"/>
                </w:tcPr>
                <w:p w14:paraId="710DD2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2</w:t>
                  </w:r>
                </w:p>
              </w:tc>
              <w:tc>
                <w:tcPr>
                  <w:tcW w:w="1387" w:type="dxa"/>
                  <w:vAlign w:val="center"/>
                </w:tcPr>
                <w:p w14:paraId="3FFC0E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1</w:t>
                  </w:r>
                </w:p>
              </w:tc>
              <w:tc>
                <w:tcPr>
                  <w:tcW w:w="1387" w:type="dxa"/>
                  <w:vAlign w:val="top"/>
                </w:tcPr>
                <w:p w14:paraId="6D101314">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color w:val="auto"/>
                      <w:spacing w:val="-3"/>
                      <w:sz w:val="21"/>
                      <w:szCs w:val="21"/>
                      <w:vertAlign w:val="baseline"/>
                    </w:rPr>
                  </w:pPr>
                  <w:r>
                    <w:rPr>
                      <w:rFonts w:hint="default" w:ascii="Times New Roman" w:hAnsi="Times New Roman" w:cs="Times New Roman"/>
                      <w:color w:val="auto"/>
                      <w:spacing w:val="-2"/>
                      <w:sz w:val="20"/>
                      <w:szCs w:val="20"/>
                    </w:rPr>
                    <w:t>85.0</w:t>
                  </w:r>
                </w:p>
              </w:tc>
              <w:tc>
                <w:tcPr>
                  <w:tcW w:w="1388" w:type="dxa"/>
                  <w:vAlign w:val="center"/>
                </w:tcPr>
                <w:p w14:paraId="2A30A7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0"/>
                    <w:rPr>
                      <w:rFonts w:hint="eastAsia" w:ascii="Times New Roman" w:hAnsi="Times New Roman" w:eastAsia="宋体" w:cs="Times New Roman"/>
                      <w:b w:val="0"/>
                      <w:bCs/>
                      <w:color w:val="auto"/>
                      <w:spacing w:val="-3"/>
                      <w:sz w:val="21"/>
                      <w:szCs w:val="21"/>
                      <w:vertAlign w:val="baseline"/>
                      <w:lang w:val="en-US" w:eastAsia="zh-CN"/>
                    </w:rPr>
                  </w:pPr>
                  <w:r>
                    <w:rPr>
                      <w:rFonts w:hint="eastAsia" w:ascii="Times New Roman" w:hAnsi="Times New Roman" w:eastAsia="宋体" w:cs="Times New Roman"/>
                      <w:b w:val="0"/>
                      <w:bCs/>
                      <w:color w:val="auto"/>
                      <w:spacing w:val="-3"/>
                      <w:sz w:val="21"/>
                      <w:szCs w:val="21"/>
                      <w:vertAlign w:val="baseline"/>
                      <w:lang w:val="en-US" w:eastAsia="zh-CN"/>
                    </w:rPr>
                    <w:t>3</w:t>
                  </w:r>
                </w:p>
              </w:tc>
            </w:tr>
          </w:tbl>
          <w:p w14:paraId="4BB90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噪声影响预测与评价</w:t>
            </w:r>
          </w:p>
          <w:p w14:paraId="6B263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预测模式</w:t>
            </w:r>
          </w:p>
          <w:p w14:paraId="1A1B7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施工机械噪声具有分散性、间歇性等特点，不同机械噪声源强相互叠加影响并不明显，因此，本次评价采用《环境影响评价技术导则  声环境》(HJ2.4-2021) 中推荐的无指向性点源户外声传播衰减模式。预测模式如下：</w:t>
            </w:r>
          </w:p>
          <w:p w14:paraId="72ECDE41">
            <w:pPr>
              <w:keepNext w:val="0"/>
              <w:keepLines w:val="0"/>
              <w:suppressLineNumbers w:val="0"/>
              <w:spacing w:before="42" w:beforeLines="0" w:beforeAutospacing="0" w:after="0" w:afterLines="0" w:afterAutospacing="0" w:line="208" w:lineRule="auto"/>
              <w:ind w:left="1697" w:right="0"/>
              <w:outlineLvl w:val="0"/>
              <w:rPr>
                <w:rFonts w:hint="default" w:ascii="Times New Roman" w:hAnsi="Times New Roman" w:eastAsia="宋体" w:cs="Times New Roman"/>
                <w:b/>
                <w:color w:val="auto"/>
                <w:spacing w:val="-3"/>
                <w:sz w:val="21"/>
                <w:szCs w:val="21"/>
              </w:rPr>
            </w:pPr>
            <w:r>
              <w:rPr>
                <w:rFonts w:hint="default" w:ascii="Times New Roman" w:hAnsi="Times New Roman" w:eastAsia="宋体" w:cs="Times New Roman"/>
                <w:b/>
                <w:color w:val="auto"/>
                <w:spacing w:val="-3"/>
                <w:sz w:val="21"/>
                <w:szCs w:val="21"/>
              </w:rPr>
              <w:drawing>
                <wp:inline distT="0" distB="0" distL="0" distR="0">
                  <wp:extent cx="1054100" cy="331470"/>
                  <wp:effectExtent l="0" t="0" r="12700" b="11430"/>
                  <wp:docPr id="138" name="IM 68"/>
                  <wp:cNvGraphicFramePr/>
                  <a:graphic xmlns:a="http://schemas.openxmlformats.org/drawingml/2006/main">
                    <a:graphicData uri="http://schemas.openxmlformats.org/drawingml/2006/picture">
                      <pic:pic xmlns:pic="http://schemas.openxmlformats.org/drawingml/2006/picture">
                        <pic:nvPicPr>
                          <pic:cNvPr id="138" name="IM 68"/>
                          <pic:cNvPicPr/>
                        </pic:nvPicPr>
                        <pic:blipFill>
                          <a:blip r:embed="rId19"/>
                          <a:stretch>
                            <a:fillRect/>
                          </a:stretch>
                        </pic:blipFill>
                        <pic:spPr>
                          <a:xfrm>
                            <a:off x="0" y="0"/>
                            <a:ext cx="1054416" cy="331844"/>
                          </a:xfrm>
                          <a:prstGeom prst="rect">
                            <a:avLst/>
                          </a:prstGeom>
                        </pic:spPr>
                      </pic:pic>
                    </a:graphicData>
                  </a:graphic>
                </wp:inline>
              </w:drawing>
            </w:r>
          </w:p>
          <w:p w14:paraId="64BC4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式中：Lr——距噪声源距离为r 处声级值，dB(A);</w:t>
            </w:r>
          </w:p>
          <w:p w14:paraId="37308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Lro——距噪声源距离为ro 处声级值，dB(A);</w:t>
            </w:r>
          </w:p>
          <w:p w14:paraId="5ED72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r——关心点距噪声源距离，m;</w:t>
            </w:r>
          </w:p>
          <w:p w14:paraId="27D70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ro——距噪声源距离，m。</w:t>
            </w:r>
          </w:p>
          <w:p w14:paraId="2BAA0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预测与评价</w:t>
            </w:r>
          </w:p>
          <w:p w14:paraId="5487D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①施工机械噪声影响</w:t>
            </w:r>
          </w:p>
          <w:p w14:paraId="7B6FC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机械噪声具有分散性、间断性的特点，不同机械噪声源强相互叠加影响并不明显；所以施工机械噪声预测均采用点源衰减模式。在噪声预测过程中，不考虑噪声在传播过程中的几何发散、遮挡、空气吸收和地面效应作用下产生的衰减量。施工机械噪声预测结果见表4-2。</w:t>
            </w:r>
          </w:p>
          <w:p w14:paraId="08CA679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20" w:lineRule="exact"/>
              <w:ind w:left="0" w:right="0"/>
              <w:jc w:val="center"/>
              <w:textAlignment w:val="auto"/>
              <w:outlineLvl w:val="0"/>
              <w:rPr>
                <w:rFonts w:hint="default" w:ascii="Times New Roman" w:hAnsi="Times New Roman" w:eastAsia="宋体" w:cs="Times New Roman"/>
                <w:b/>
                <w:color w:val="auto"/>
                <w:spacing w:val="-3"/>
                <w:sz w:val="21"/>
                <w:szCs w:val="21"/>
                <w:lang w:eastAsia="zh-CN"/>
              </w:rPr>
            </w:pPr>
            <w:r>
              <w:rPr>
                <w:rFonts w:hint="default" w:ascii="Times New Roman" w:hAnsi="Times New Roman" w:eastAsia="宋体" w:cs="Times New Roman"/>
                <w:b/>
                <w:color w:val="auto"/>
                <w:spacing w:val="-3"/>
                <w:sz w:val="21"/>
                <w:szCs w:val="21"/>
                <w:lang w:eastAsia="zh-CN"/>
              </w:rPr>
              <w:t>表4-2施工机械噪声源在不同距离处的预测值</w:t>
            </w:r>
          </w:p>
          <w:tbl>
            <w:tblPr>
              <w:tblStyle w:val="2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34"/>
              <w:gridCol w:w="818"/>
              <w:gridCol w:w="968"/>
              <w:gridCol w:w="721"/>
              <w:gridCol w:w="708"/>
              <w:gridCol w:w="721"/>
              <w:gridCol w:w="708"/>
              <w:gridCol w:w="708"/>
              <w:gridCol w:w="708"/>
              <w:gridCol w:w="728"/>
            </w:tblGrid>
            <w:tr w14:paraId="6C710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199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CD73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噪声源</w:t>
                  </w:r>
                </w:p>
              </w:tc>
              <w:tc>
                <w:tcPr>
                  <w:tcW w:w="3003" w:type="pct"/>
                  <w:gridSpan w:val="7"/>
                  <w:vMerge w:val="restart"/>
                  <w:tcBorders>
                    <w:top w:val="single" w:color="000000" w:sz="4" w:space="0"/>
                    <w:left w:val="single" w:color="000000" w:sz="4" w:space="0"/>
                    <w:bottom w:val="nil"/>
                    <w:right w:val="single" w:color="000000" w:sz="4" w:space="0"/>
                    <w:tl2br w:val="nil"/>
                    <w:tr2bl w:val="nil"/>
                  </w:tcBorders>
                  <w:noWrap w:val="0"/>
                  <w:vAlign w:val="center"/>
                </w:tcPr>
                <w:p w14:paraId="45F8F4A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预测结果/</w:t>
                  </w:r>
                  <w:r>
                    <w:rPr>
                      <w:rFonts w:hint="default" w:ascii="Times New Roman" w:hAnsi="Times New Roman" w:cs="Times New Roman"/>
                      <w:color w:val="auto"/>
                      <w:sz w:val="21"/>
                      <w:szCs w:val="21"/>
                    </w:rPr>
                    <w:t>dB</w:t>
                  </w:r>
                  <w:r>
                    <w:rPr>
                      <w:rFonts w:hint="default" w:ascii="Times New Roman" w:hAnsi="Times New Roman" w:cs="Times New Roman"/>
                      <w:color w:val="auto"/>
                      <w:spacing w:val="4"/>
                      <w:sz w:val="21"/>
                      <w:szCs w:val="21"/>
                    </w:rPr>
                    <w:t>(A)</w:t>
                  </w:r>
                </w:p>
              </w:tc>
            </w:tr>
            <w:tr w14:paraId="41B66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922" w:type="pct"/>
                  <w:vMerge w:val="restart"/>
                  <w:tcBorders>
                    <w:top w:val="single" w:color="000000" w:sz="4" w:space="0"/>
                    <w:left w:val="single" w:color="000000" w:sz="4" w:space="0"/>
                    <w:bottom w:val="nil"/>
                    <w:right w:val="single" w:color="000000" w:sz="4" w:space="0"/>
                    <w:tl2br w:val="nil"/>
                    <w:tr2bl w:val="nil"/>
                  </w:tcBorders>
                  <w:noWrap w:val="0"/>
                  <w:vAlign w:val="center"/>
                </w:tcPr>
                <w:p w14:paraId="06AA7B4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名称</w:t>
                  </w:r>
                </w:p>
              </w:tc>
              <w:tc>
                <w:tcPr>
                  <w:tcW w:w="107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4577F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强度</w:t>
                  </w:r>
                </w:p>
              </w:tc>
              <w:tc>
                <w:tcPr>
                  <w:tcW w:w="3003" w:type="pct"/>
                  <w:gridSpan w:val="7"/>
                  <w:vMerge w:val="continue"/>
                  <w:tcBorders>
                    <w:top w:val="nil"/>
                    <w:left w:val="single" w:color="000000" w:sz="4" w:space="0"/>
                    <w:bottom w:val="single" w:color="000000" w:sz="4" w:space="0"/>
                    <w:right w:val="single" w:color="000000" w:sz="4" w:space="0"/>
                    <w:tl2br w:val="nil"/>
                    <w:tr2bl w:val="nil"/>
                  </w:tcBorders>
                  <w:noWrap w:val="0"/>
                  <w:vAlign w:val="center"/>
                </w:tcPr>
                <w:p w14:paraId="3384D7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p>
              </w:tc>
            </w:tr>
            <w:tr w14:paraId="46031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22" w:type="pct"/>
                  <w:vMerge w:val="continue"/>
                  <w:tcBorders>
                    <w:top w:val="nil"/>
                    <w:left w:val="single" w:color="000000" w:sz="4" w:space="0"/>
                    <w:bottom w:val="single" w:color="000000" w:sz="4" w:space="0"/>
                    <w:right w:val="single" w:color="000000" w:sz="4" w:space="0"/>
                    <w:tl2br w:val="nil"/>
                    <w:tr2bl w:val="nil"/>
                  </w:tcBorders>
                  <w:noWrap w:val="0"/>
                  <w:vAlign w:val="center"/>
                </w:tcPr>
                <w:p w14:paraId="29DD084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FE36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测点位</w:t>
                  </w:r>
                </w:p>
                <w:p w14:paraId="20EED57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置/m</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DF34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噪声级</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1"/>
                      <w:sz w:val="21"/>
                      <w:szCs w:val="21"/>
                    </w:rPr>
                    <w:t>/dB(A)</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4981B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10m</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E321D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30m</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82287">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50m</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BFF3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126m</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9D3A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150m</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72298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280m</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68181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500m</w:t>
                  </w:r>
                </w:p>
              </w:tc>
            </w:tr>
            <w:tr w14:paraId="0600C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3C2DE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挖掘机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6155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39158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84.0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6A8CE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9D96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68.4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617D7">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64.0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F129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E329E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54.5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3ABF8C">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49.0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249A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44.0</w:t>
                  </w:r>
                </w:p>
              </w:tc>
            </w:tr>
            <w:tr w14:paraId="1F591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3224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推土机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88DB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40E8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86.0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0B795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80.0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BE04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70.4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F8AAE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98F2C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8733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13B4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51.0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FA4A3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46.0</w:t>
                  </w:r>
                </w:p>
              </w:tc>
            </w:tr>
            <w:tr w14:paraId="3FDFE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6BFC3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装载机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C9A04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484BB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90.0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919C5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84.0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B910C">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74.4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32CB0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70.0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EA957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62.0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79F8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60.5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33ACD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55.0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EB4C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50.0</w:t>
                  </w:r>
                </w:p>
              </w:tc>
            </w:tr>
            <w:tr w14:paraId="0B69D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1F95E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卷扬机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4003B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81D0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85.0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3D6AE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65.0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A5B9A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55.5</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02576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51.0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93B2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43.0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4A5A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41.5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6ADAE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36.1</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A7ADC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31.0</w:t>
                  </w:r>
                </w:p>
              </w:tc>
            </w:tr>
            <w:tr w14:paraId="6B962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F86D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履带式起重机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AAB45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E3E5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88.0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A206F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07E53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58.5</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2D68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54.0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1F6E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C579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A402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39.1</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9098C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34.0</w:t>
                  </w:r>
                </w:p>
              </w:tc>
            </w:tr>
            <w:tr w14:paraId="37A86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13AF0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汽车起重机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7D4B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81BF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89.0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D0CD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69.0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5E50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59.5</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26A6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55.0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D795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47.0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9C5A4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45.5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E8392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40.1</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18B0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35.0</w:t>
                  </w:r>
                </w:p>
              </w:tc>
            </w:tr>
            <w:tr w14:paraId="5D2F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0A8C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振动碾</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20D6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9316F7">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86.0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5D87C">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80.0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CBD6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70.4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96C74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491A3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D906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99034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51.0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DEA8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46.0</w:t>
                  </w:r>
                </w:p>
              </w:tc>
            </w:tr>
            <w:tr w14:paraId="4210C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02168C">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蛙式打夯机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47FDE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99C69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93.0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C710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73.0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0B5FE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63.5</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43E30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59.0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F60A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51.0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D900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49.5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81CD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44.1</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DBB97">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39.0</w:t>
                  </w:r>
                </w:p>
              </w:tc>
            </w:tr>
            <w:tr w14:paraId="69A8C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F34E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混凝土振捣器</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21FFE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701F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92.0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2106E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72.0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CB17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62.5</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376AE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408ED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50.0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ACDDF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48.5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A375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43.1</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99327">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38.0</w:t>
                  </w:r>
                </w:p>
              </w:tc>
            </w:tr>
            <w:tr w14:paraId="5F465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B000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空压机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F2385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E6B7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95.0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E521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75.0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77544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65.5</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71B5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61.0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8D890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53.0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38F4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51.5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3911F4">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46.1</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FF1255">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41.0</w:t>
                  </w:r>
                </w:p>
              </w:tc>
            </w:tr>
            <w:tr w14:paraId="6406A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AD5C7">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挖掘机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2C868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5B32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84.0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0F67D">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9529B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68.4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7191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64.0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7AED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EEB4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54.5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27C9C">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49.0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6C77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44.0</w:t>
                  </w:r>
                </w:p>
              </w:tc>
            </w:tr>
            <w:tr w14:paraId="2F8D4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6A3C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旋挖钻机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8AC6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83F193">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84.0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5EA5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26EE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68.4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1685A">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64.0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B0C1FE">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50669">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54.5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12B4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49.0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B1BA0">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44.0</w:t>
                  </w:r>
                </w:p>
              </w:tc>
            </w:tr>
            <w:tr w14:paraId="1FF35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9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6F85B">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推土机</w:t>
                  </w:r>
                </w:p>
              </w:tc>
              <w:tc>
                <w:tcPr>
                  <w:tcW w:w="49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BF737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54ADD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86.0</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9F74C">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80.0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435801">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70.4</w:t>
                  </w:r>
                </w:p>
              </w:tc>
              <w:tc>
                <w:tcPr>
                  <w:tcW w:w="4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FF030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66.0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4B2A82">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58.0</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944F58">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56.5</w:t>
                  </w:r>
                </w:p>
              </w:tc>
              <w:tc>
                <w:tcPr>
                  <w:tcW w:w="42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1B85F">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51.0</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C57636">
                  <w:pPr>
                    <w:pStyle w:val="11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46.0</w:t>
                  </w:r>
                </w:p>
              </w:tc>
            </w:tr>
            <w:tr w14:paraId="356D1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153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5B98BD7">
                  <w:pPr>
                    <w:pStyle w:val="114"/>
                    <w:keepNext w:val="0"/>
                    <w:keepLines w:val="0"/>
                    <w:suppressLineNumbers w:val="0"/>
                    <w:spacing w:before="42" w:beforeAutospacing="0" w:after="0" w:afterAutospacing="0" w:line="204" w:lineRule="auto"/>
                    <w:ind w:left="139"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混凝土振捣器</w:t>
                  </w:r>
                </w:p>
              </w:tc>
              <w:tc>
                <w:tcPr>
                  <w:tcW w:w="81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BC82D94">
                  <w:pPr>
                    <w:pStyle w:val="114"/>
                    <w:keepNext w:val="0"/>
                    <w:keepLines w:val="0"/>
                    <w:suppressLineNumbers w:val="0"/>
                    <w:spacing w:before="64" w:beforeAutospacing="0" w:after="0" w:afterAutospacing="0" w:line="185" w:lineRule="auto"/>
                    <w:ind w:left="341" w:leftChars="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6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3504526">
                  <w:pPr>
                    <w:pStyle w:val="114"/>
                    <w:keepNext w:val="0"/>
                    <w:keepLines w:val="0"/>
                    <w:suppressLineNumbers w:val="0"/>
                    <w:spacing w:before="64" w:beforeAutospacing="0" w:after="0" w:afterAutospacing="0" w:line="185" w:lineRule="auto"/>
                    <w:ind w:left="232"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92.0</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771929FA">
                  <w:pPr>
                    <w:pStyle w:val="114"/>
                    <w:keepNext w:val="0"/>
                    <w:keepLines w:val="0"/>
                    <w:suppressLineNumbers w:val="0"/>
                    <w:spacing w:before="64" w:beforeAutospacing="0" w:after="0" w:afterAutospacing="0" w:line="185" w:lineRule="auto"/>
                    <w:ind w:left="123"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72.0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526F651">
                  <w:pPr>
                    <w:pStyle w:val="114"/>
                    <w:keepNext w:val="0"/>
                    <w:keepLines w:val="0"/>
                    <w:suppressLineNumbers w:val="0"/>
                    <w:spacing w:before="64" w:beforeAutospacing="0" w:after="0" w:afterAutospacing="0" w:line="185" w:lineRule="auto"/>
                    <w:ind w:left="144"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62.5</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482037F">
                  <w:pPr>
                    <w:pStyle w:val="114"/>
                    <w:keepNext w:val="0"/>
                    <w:keepLines w:val="0"/>
                    <w:suppressLineNumbers w:val="0"/>
                    <w:spacing w:before="64" w:beforeAutospacing="0" w:after="0" w:afterAutospacing="0" w:line="185" w:lineRule="auto"/>
                    <w:ind w:left="125"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58.0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FCDB112">
                  <w:pPr>
                    <w:pStyle w:val="114"/>
                    <w:keepNext w:val="0"/>
                    <w:keepLines w:val="0"/>
                    <w:suppressLineNumbers w:val="0"/>
                    <w:spacing w:before="64" w:beforeAutospacing="0" w:after="0" w:afterAutospacing="0" w:line="185" w:lineRule="auto"/>
                    <w:ind w:left="137"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50.0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86B178">
                  <w:pPr>
                    <w:pStyle w:val="114"/>
                    <w:keepNext w:val="0"/>
                    <w:keepLines w:val="0"/>
                    <w:suppressLineNumbers w:val="0"/>
                    <w:spacing w:before="64" w:beforeAutospacing="0" w:after="0" w:afterAutospacing="0" w:line="185" w:lineRule="auto"/>
                    <w:ind w:left="87"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48.5</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30CFD71">
                  <w:pPr>
                    <w:pStyle w:val="114"/>
                    <w:keepNext w:val="0"/>
                    <w:keepLines w:val="0"/>
                    <w:suppressLineNumbers w:val="0"/>
                    <w:spacing w:before="64" w:beforeAutospacing="0" w:after="0" w:afterAutospacing="0" w:line="185" w:lineRule="auto"/>
                    <w:ind w:left="148"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43.1</w:t>
                  </w:r>
                </w:p>
              </w:tc>
              <w:tc>
                <w:tcPr>
                  <w:tcW w:w="72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1A6C8D0">
                  <w:pPr>
                    <w:pStyle w:val="114"/>
                    <w:keepNext w:val="0"/>
                    <w:keepLines w:val="0"/>
                    <w:suppressLineNumbers w:val="0"/>
                    <w:spacing w:before="64" w:beforeAutospacing="0" w:after="0" w:afterAutospacing="0" w:line="185" w:lineRule="auto"/>
                    <w:ind w:left="139"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38.0</w:t>
                  </w:r>
                </w:p>
              </w:tc>
            </w:tr>
            <w:tr w14:paraId="28873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153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4620F72">
                  <w:pPr>
                    <w:pStyle w:val="114"/>
                    <w:keepNext w:val="0"/>
                    <w:keepLines w:val="0"/>
                    <w:suppressLineNumbers w:val="0"/>
                    <w:spacing w:before="18" w:beforeAutospacing="0" w:after="0" w:afterAutospacing="0" w:line="195" w:lineRule="auto"/>
                    <w:ind w:left="249"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牵引张力机</w:t>
                  </w:r>
                </w:p>
              </w:tc>
              <w:tc>
                <w:tcPr>
                  <w:tcW w:w="81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11B0E52D">
                  <w:pPr>
                    <w:pStyle w:val="114"/>
                    <w:keepNext w:val="0"/>
                    <w:keepLines w:val="0"/>
                    <w:suppressLineNumbers w:val="0"/>
                    <w:spacing w:before="39" w:beforeAutospacing="0" w:after="0" w:afterAutospacing="0" w:line="176" w:lineRule="auto"/>
                    <w:ind w:left="341" w:leftChars="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6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B97AC2">
                  <w:pPr>
                    <w:pStyle w:val="114"/>
                    <w:keepNext w:val="0"/>
                    <w:keepLines w:val="0"/>
                    <w:suppressLineNumbers w:val="0"/>
                    <w:spacing w:before="39" w:beforeAutospacing="0" w:after="0" w:afterAutospacing="0" w:line="176" w:lineRule="auto"/>
                    <w:ind w:left="232"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85.0</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075CD003">
                  <w:pPr>
                    <w:pStyle w:val="114"/>
                    <w:keepNext w:val="0"/>
                    <w:keepLines w:val="0"/>
                    <w:suppressLineNumbers w:val="0"/>
                    <w:spacing w:before="39" w:beforeAutospacing="0" w:after="0" w:afterAutospacing="0" w:line="176" w:lineRule="auto"/>
                    <w:ind w:left="123"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65.0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6DBD6D4">
                  <w:pPr>
                    <w:pStyle w:val="114"/>
                    <w:keepNext w:val="0"/>
                    <w:keepLines w:val="0"/>
                    <w:suppressLineNumbers w:val="0"/>
                    <w:spacing w:before="39" w:beforeAutospacing="0" w:after="0" w:afterAutospacing="0" w:line="176" w:lineRule="auto"/>
                    <w:ind w:left="144"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55.5</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F0F6D5">
                  <w:pPr>
                    <w:pStyle w:val="114"/>
                    <w:keepNext w:val="0"/>
                    <w:keepLines w:val="0"/>
                    <w:suppressLineNumbers w:val="0"/>
                    <w:spacing w:before="39" w:beforeAutospacing="0" w:after="0" w:afterAutospacing="0" w:line="176" w:lineRule="auto"/>
                    <w:ind w:left="125"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51.0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2135F64B">
                  <w:pPr>
                    <w:pStyle w:val="114"/>
                    <w:keepNext w:val="0"/>
                    <w:keepLines w:val="0"/>
                    <w:suppressLineNumbers w:val="0"/>
                    <w:spacing w:before="39" w:beforeAutospacing="0" w:after="0" w:afterAutospacing="0" w:line="176" w:lineRule="auto"/>
                    <w:ind w:left="137"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43.0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8BC1177">
                  <w:pPr>
                    <w:pStyle w:val="114"/>
                    <w:keepNext w:val="0"/>
                    <w:keepLines w:val="0"/>
                    <w:suppressLineNumbers w:val="0"/>
                    <w:spacing w:before="39" w:beforeAutospacing="0" w:after="0" w:afterAutospacing="0" w:line="176" w:lineRule="auto"/>
                    <w:ind w:left="87"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41.5</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C429BB2">
                  <w:pPr>
                    <w:pStyle w:val="114"/>
                    <w:keepNext w:val="0"/>
                    <w:keepLines w:val="0"/>
                    <w:suppressLineNumbers w:val="0"/>
                    <w:spacing w:before="39" w:beforeAutospacing="0" w:after="0" w:afterAutospacing="0" w:line="176" w:lineRule="auto"/>
                    <w:ind w:left="148"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36.1</w:t>
                  </w:r>
                </w:p>
              </w:tc>
              <w:tc>
                <w:tcPr>
                  <w:tcW w:w="72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59E9460">
                  <w:pPr>
                    <w:pStyle w:val="114"/>
                    <w:keepNext w:val="0"/>
                    <w:keepLines w:val="0"/>
                    <w:suppressLineNumbers w:val="0"/>
                    <w:spacing w:before="39" w:beforeAutospacing="0" w:after="0" w:afterAutospacing="0" w:line="176" w:lineRule="auto"/>
                    <w:ind w:left="139"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31.0</w:t>
                  </w:r>
                </w:p>
              </w:tc>
            </w:tr>
            <w:tr w14:paraId="10CFC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1534"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620877F5">
                  <w:pPr>
                    <w:pStyle w:val="114"/>
                    <w:keepNext w:val="0"/>
                    <w:keepLines w:val="0"/>
                    <w:suppressLineNumbers w:val="0"/>
                    <w:spacing w:before="18" w:beforeAutospacing="0" w:after="0" w:afterAutospacing="0" w:line="195" w:lineRule="auto"/>
                    <w:ind w:left="459"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绞磨机</w:t>
                  </w:r>
                </w:p>
              </w:tc>
              <w:tc>
                <w:tcPr>
                  <w:tcW w:w="81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4E53C8BC">
                  <w:pPr>
                    <w:pStyle w:val="114"/>
                    <w:keepNext w:val="0"/>
                    <w:keepLines w:val="0"/>
                    <w:suppressLineNumbers w:val="0"/>
                    <w:spacing w:before="39" w:beforeAutospacing="0" w:after="0" w:afterAutospacing="0" w:line="176" w:lineRule="auto"/>
                    <w:ind w:left="341" w:leftChars="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6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96059A4">
                  <w:pPr>
                    <w:pStyle w:val="114"/>
                    <w:keepNext w:val="0"/>
                    <w:keepLines w:val="0"/>
                    <w:suppressLineNumbers w:val="0"/>
                    <w:spacing w:before="39" w:beforeAutospacing="0" w:after="0" w:afterAutospacing="0" w:line="176" w:lineRule="auto"/>
                    <w:ind w:left="232"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85.0</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845BE14">
                  <w:pPr>
                    <w:pStyle w:val="114"/>
                    <w:keepNext w:val="0"/>
                    <w:keepLines w:val="0"/>
                    <w:suppressLineNumbers w:val="0"/>
                    <w:spacing w:before="39" w:beforeAutospacing="0" w:after="0" w:afterAutospacing="0" w:line="176" w:lineRule="auto"/>
                    <w:ind w:left="123"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65.0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E80B424">
                  <w:pPr>
                    <w:pStyle w:val="114"/>
                    <w:keepNext w:val="0"/>
                    <w:keepLines w:val="0"/>
                    <w:suppressLineNumbers w:val="0"/>
                    <w:spacing w:before="39" w:beforeAutospacing="0" w:after="0" w:afterAutospacing="0" w:line="176" w:lineRule="auto"/>
                    <w:ind w:left="144"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55.5</w:t>
                  </w:r>
                </w:p>
              </w:tc>
              <w:tc>
                <w:tcPr>
                  <w:tcW w:w="721"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AB65E22">
                  <w:pPr>
                    <w:pStyle w:val="114"/>
                    <w:keepNext w:val="0"/>
                    <w:keepLines w:val="0"/>
                    <w:suppressLineNumbers w:val="0"/>
                    <w:spacing w:before="39" w:beforeAutospacing="0" w:after="0" w:afterAutospacing="0" w:line="176" w:lineRule="auto"/>
                    <w:ind w:left="125"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51.0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CD00AD9">
                  <w:pPr>
                    <w:pStyle w:val="114"/>
                    <w:keepNext w:val="0"/>
                    <w:keepLines w:val="0"/>
                    <w:suppressLineNumbers w:val="0"/>
                    <w:spacing w:before="39" w:beforeAutospacing="0" w:after="0" w:afterAutospacing="0" w:line="176" w:lineRule="auto"/>
                    <w:ind w:left="137"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43.0</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30B688E6">
                  <w:pPr>
                    <w:pStyle w:val="114"/>
                    <w:keepNext w:val="0"/>
                    <w:keepLines w:val="0"/>
                    <w:suppressLineNumbers w:val="0"/>
                    <w:spacing w:before="39" w:beforeAutospacing="0" w:after="0" w:afterAutospacing="0" w:line="176" w:lineRule="auto"/>
                    <w:ind w:left="87"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41.5</w:t>
                  </w:r>
                </w:p>
              </w:tc>
              <w:tc>
                <w:tcPr>
                  <w:tcW w:w="70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0829AD7">
                  <w:pPr>
                    <w:pStyle w:val="114"/>
                    <w:keepNext w:val="0"/>
                    <w:keepLines w:val="0"/>
                    <w:suppressLineNumbers w:val="0"/>
                    <w:spacing w:before="39" w:beforeAutospacing="0" w:after="0" w:afterAutospacing="0" w:line="176" w:lineRule="auto"/>
                    <w:ind w:left="148"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36.1</w:t>
                  </w:r>
                </w:p>
              </w:tc>
              <w:tc>
                <w:tcPr>
                  <w:tcW w:w="728" w:type="dxa"/>
                  <w:tcBorders>
                    <w:top w:val="single" w:color="000000" w:sz="4" w:space="0"/>
                    <w:left w:val="single" w:color="000000" w:sz="4" w:space="0"/>
                    <w:bottom w:val="single" w:color="000000" w:sz="4" w:space="0"/>
                    <w:right w:val="single" w:color="000000" w:sz="4" w:space="0"/>
                    <w:tl2br w:val="nil"/>
                    <w:tr2bl w:val="nil"/>
                  </w:tcBorders>
                  <w:noWrap w:val="0"/>
                  <w:vAlign w:val="top"/>
                </w:tcPr>
                <w:p w14:paraId="528FFD18">
                  <w:pPr>
                    <w:pStyle w:val="114"/>
                    <w:keepNext w:val="0"/>
                    <w:keepLines w:val="0"/>
                    <w:suppressLineNumbers w:val="0"/>
                    <w:spacing w:before="39" w:beforeAutospacing="0" w:after="0" w:afterAutospacing="0" w:line="176" w:lineRule="auto"/>
                    <w:ind w:left="139" w:leftChars="0" w:right="0"/>
                    <w:rPr>
                      <w:rFonts w:hint="default" w:ascii="Times New Roman" w:hAnsi="Times New Roman" w:cs="Times New Roman"/>
                      <w:color w:val="auto"/>
                      <w:spacing w:val="-2"/>
                      <w:sz w:val="21"/>
                      <w:szCs w:val="21"/>
                    </w:rPr>
                  </w:pPr>
                  <w:r>
                    <w:rPr>
                      <w:rFonts w:hint="default" w:ascii="Times New Roman" w:hAnsi="Times New Roman" w:cs="Times New Roman"/>
                      <w:color w:val="auto"/>
                      <w:spacing w:val="-3"/>
                      <w:sz w:val="21"/>
                      <w:szCs w:val="21"/>
                    </w:rPr>
                    <w:t>31.0</w:t>
                  </w:r>
                </w:p>
              </w:tc>
            </w:tr>
          </w:tbl>
          <w:p w14:paraId="6DE3A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由表4-2可知，昼间施工50m范围内均可满足《建筑施工场界环境噪声排放标准》</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eastAsia="zh-CN"/>
              </w:rPr>
              <w:t>GB12523-2011</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eastAsia="zh-CN"/>
              </w:rPr>
              <w:t>昼间70dB(A)的要求，夜间55dB(A)的最远达标距离为280m</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eastAsia="zh-CN"/>
              </w:rPr>
              <w:t>夜间施工对周围环境的影响较大。因此，为降低夜间施工对周边声环境的影响，应合理安排施工时间，禁止夜间施工作业。</w:t>
            </w:r>
          </w:p>
          <w:p w14:paraId="358F2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本次评价要求施工过程中固定声源应尽量远离边界，高噪声设备处应设置围挡，以建设施 工活动对周围声环境的影响。</w:t>
            </w:r>
          </w:p>
          <w:p w14:paraId="03414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交通运输噪声影响</w:t>
            </w:r>
          </w:p>
          <w:p w14:paraId="277E6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本项目的交通运输重点在施工物料的运输。交通运输噪声主要来自于自卸汽车等运输车辆，发生在施工区、料场之间的道路上。</w:t>
            </w:r>
          </w:p>
          <w:p w14:paraId="63EB7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本工程车辆运输过程的噪声主要表现为汽车运输对沿途声环境的影响，如发动机声、鸣笛声。工程采用自卸汽车运输，预计自卸汽车的噪声级(源强1m处)约88.8dB(A)</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eastAsia="zh-CN"/>
              </w:rPr>
              <w:t>不同距离处接受的噪声量见表4-3。</w:t>
            </w:r>
          </w:p>
          <w:p w14:paraId="6DA3CDB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20" w:lineRule="exact"/>
              <w:ind w:left="0" w:right="0"/>
              <w:jc w:val="center"/>
              <w:textAlignment w:val="auto"/>
              <w:outlineLvl w:val="0"/>
              <w:rPr>
                <w:rFonts w:hint="default" w:ascii="Times New Roman" w:hAnsi="Times New Roman" w:eastAsia="宋体" w:cs="Times New Roman"/>
                <w:b/>
                <w:color w:val="auto"/>
                <w:spacing w:val="-3"/>
                <w:sz w:val="21"/>
                <w:szCs w:val="21"/>
                <w:lang w:eastAsia="zh-CN"/>
              </w:rPr>
            </w:pPr>
            <w:r>
              <w:rPr>
                <w:rFonts w:hint="default" w:ascii="Times New Roman" w:hAnsi="Times New Roman" w:eastAsia="宋体" w:cs="Times New Roman"/>
                <w:b/>
                <w:color w:val="auto"/>
                <w:spacing w:val="-3"/>
                <w:sz w:val="21"/>
                <w:szCs w:val="21"/>
                <w:lang w:eastAsia="zh-CN"/>
              </w:rPr>
              <w:t>表4-3单台运输车辆噪声贡献值</w:t>
            </w:r>
          </w:p>
          <w:tbl>
            <w:tblPr>
              <w:tblStyle w:val="115"/>
              <w:tblW w:w="8140"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73"/>
              <w:gridCol w:w="809"/>
              <w:gridCol w:w="899"/>
              <w:gridCol w:w="819"/>
              <w:gridCol w:w="849"/>
              <w:gridCol w:w="849"/>
              <w:gridCol w:w="899"/>
              <w:gridCol w:w="729"/>
              <w:gridCol w:w="714"/>
            </w:tblGrid>
            <w:tr w14:paraId="2E751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573" w:type="dxa"/>
                  <w:vMerge w:val="restart"/>
                  <w:tcBorders>
                    <w:bottom w:val="nil"/>
                  </w:tcBorders>
                  <w:vAlign w:val="center"/>
                </w:tcPr>
                <w:p w14:paraId="4B93E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路面类型</w:t>
                  </w:r>
                </w:p>
              </w:tc>
              <w:tc>
                <w:tcPr>
                  <w:tcW w:w="6567" w:type="dxa"/>
                  <w:gridSpan w:val="8"/>
                  <w:vAlign w:val="center"/>
                </w:tcPr>
                <w:p w14:paraId="2A6DD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预测结果/dB(A)</w:t>
                  </w:r>
                </w:p>
              </w:tc>
            </w:tr>
            <w:tr w14:paraId="36F0C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trPr>
              <w:tc>
                <w:tcPr>
                  <w:tcW w:w="1573" w:type="dxa"/>
                  <w:vMerge w:val="continue"/>
                  <w:tcBorders>
                    <w:top w:val="nil"/>
                  </w:tcBorders>
                  <w:vAlign w:val="center"/>
                </w:tcPr>
                <w:p w14:paraId="17B49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p>
              </w:tc>
              <w:tc>
                <w:tcPr>
                  <w:tcW w:w="809" w:type="dxa"/>
                  <w:vAlign w:val="center"/>
                </w:tcPr>
                <w:p w14:paraId="02AD66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10m</w:t>
                  </w:r>
                </w:p>
              </w:tc>
              <w:tc>
                <w:tcPr>
                  <w:tcW w:w="899" w:type="dxa"/>
                  <w:vAlign w:val="center"/>
                </w:tcPr>
                <w:p w14:paraId="72947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20m</w:t>
                  </w:r>
                </w:p>
              </w:tc>
              <w:tc>
                <w:tcPr>
                  <w:tcW w:w="819" w:type="dxa"/>
                  <w:vAlign w:val="center"/>
                </w:tcPr>
                <w:p w14:paraId="1558D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40m</w:t>
                  </w:r>
                </w:p>
              </w:tc>
              <w:tc>
                <w:tcPr>
                  <w:tcW w:w="849" w:type="dxa"/>
                  <w:vAlign w:val="center"/>
                </w:tcPr>
                <w:p w14:paraId="3877D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60m</w:t>
                  </w:r>
                </w:p>
              </w:tc>
              <w:tc>
                <w:tcPr>
                  <w:tcW w:w="849" w:type="dxa"/>
                  <w:vAlign w:val="center"/>
                </w:tcPr>
                <w:p w14:paraId="77822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80m</w:t>
                  </w:r>
                </w:p>
              </w:tc>
              <w:tc>
                <w:tcPr>
                  <w:tcW w:w="899" w:type="dxa"/>
                  <w:vAlign w:val="center"/>
                </w:tcPr>
                <w:p w14:paraId="68770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100m</w:t>
                  </w:r>
                </w:p>
              </w:tc>
              <w:tc>
                <w:tcPr>
                  <w:tcW w:w="729" w:type="dxa"/>
                  <w:vAlign w:val="center"/>
                </w:tcPr>
                <w:p w14:paraId="32244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150m</w:t>
                  </w:r>
                </w:p>
              </w:tc>
              <w:tc>
                <w:tcPr>
                  <w:tcW w:w="714" w:type="dxa"/>
                  <w:vAlign w:val="center"/>
                </w:tcPr>
                <w:p w14:paraId="0AC86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200m</w:t>
                  </w:r>
                </w:p>
              </w:tc>
            </w:tr>
            <w:tr w14:paraId="28FE8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1573" w:type="dxa"/>
                  <w:vAlign w:val="center"/>
                </w:tcPr>
                <w:p w14:paraId="69674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土路</w:t>
                  </w:r>
                </w:p>
              </w:tc>
              <w:tc>
                <w:tcPr>
                  <w:tcW w:w="809" w:type="dxa"/>
                  <w:vAlign w:val="center"/>
                </w:tcPr>
                <w:p w14:paraId="35D27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69.1</w:t>
                  </w:r>
                </w:p>
              </w:tc>
              <w:tc>
                <w:tcPr>
                  <w:tcW w:w="899" w:type="dxa"/>
                  <w:vAlign w:val="center"/>
                </w:tcPr>
                <w:p w14:paraId="4B208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66.1</w:t>
                  </w:r>
                </w:p>
              </w:tc>
              <w:tc>
                <w:tcPr>
                  <w:tcW w:w="819" w:type="dxa"/>
                  <w:vAlign w:val="center"/>
                </w:tcPr>
                <w:p w14:paraId="466C2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63.1</w:t>
                  </w:r>
                </w:p>
              </w:tc>
              <w:tc>
                <w:tcPr>
                  <w:tcW w:w="849" w:type="dxa"/>
                  <w:vAlign w:val="center"/>
                </w:tcPr>
                <w:p w14:paraId="6E6DB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61.3</w:t>
                  </w:r>
                </w:p>
              </w:tc>
              <w:tc>
                <w:tcPr>
                  <w:tcW w:w="849" w:type="dxa"/>
                  <w:vAlign w:val="center"/>
                </w:tcPr>
                <w:p w14:paraId="2B70D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60.1</w:t>
                  </w:r>
                </w:p>
              </w:tc>
              <w:tc>
                <w:tcPr>
                  <w:tcW w:w="899" w:type="dxa"/>
                  <w:vAlign w:val="center"/>
                </w:tcPr>
                <w:p w14:paraId="24F98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59.1</w:t>
                  </w:r>
                </w:p>
              </w:tc>
              <w:tc>
                <w:tcPr>
                  <w:tcW w:w="729" w:type="dxa"/>
                  <w:vAlign w:val="center"/>
                </w:tcPr>
                <w:p w14:paraId="55D58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57.3</w:t>
                  </w:r>
                </w:p>
              </w:tc>
              <w:tc>
                <w:tcPr>
                  <w:tcW w:w="714" w:type="dxa"/>
                  <w:vAlign w:val="center"/>
                </w:tcPr>
                <w:p w14:paraId="340EA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56.1</w:t>
                  </w:r>
                </w:p>
              </w:tc>
            </w:tr>
            <w:tr w14:paraId="51A06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573" w:type="dxa"/>
                  <w:vAlign w:val="center"/>
                </w:tcPr>
                <w:p w14:paraId="57072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混凝土路面</w:t>
                  </w:r>
                </w:p>
              </w:tc>
              <w:tc>
                <w:tcPr>
                  <w:tcW w:w="809" w:type="dxa"/>
                  <w:vAlign w:val="center"/>
                </w:tcPr>
                <w:p w14:paraId="10F1A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58.5</w:t>
                  </w:r>
                </w:p>
              </w:tc>
              <w:tc>
                <w:tcPr>
                  <w:tcW w:w="899" w:type="dxa"/>
                  <w:vAlign w:val="center"/>
                </w:tcPr>
                <w:p w14:paraId="4F5FB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58.7</w:t>
                  </w:r>
                </w:p>
              </w:tc>
              <w:tc>
                <w:tcPr>
                  <w:tcW w:w="819" w:type="dxa"/>
                  <w:vAlign w:val="center"/>
                </w:tcPr>
                <w:p w14:paraId="47885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58.9</w:t>
                  </w:r>
                </w:p>
              </w:tc>
              <w:tc>
                <w:tcPr>
                  <w:tcW w:w="849" w:type="dxa"/>
                  <w:vAlign w:val="center"/>
                </w:tcPr>
                <w:p w14:paraId="1A692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59.0</w:t>
                  </w:r>
                </w:p>
              </w:tc>
              <w:tc>
                <w:tcPr>
                  <w:tcW w:w="849" w:type="dxa"/>
                  <w:vAlign w:val="center"/>
                </w:tcPr>
                <w:p w14:paraId="46D06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59.1</w:t>
                  </w:r>
                </w:p>
              </w:tc>
              <w:tc>
                <w:tcPr>
                  <w:tcW w:w="899" w:type="dxa"/>
                  <w:vAlign w:val="center"/>
                </w:tcPr>
                <w:p w14:paraId="36D8A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59.2</w:t>
                  </w:r>
                </w:p>
              </w:tc>
              <w:tc>
                <w:tcPr>
                  <w:tcW w:w="729" w:type="dxa"/>
                  <w:vAlign w:val="center"/>
                </w:tcPr>
                <w:p w14:paraId="18E8E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59.3</w:t>
                  </w:r>
                </w:p>
              </w:tc>
              <w:tc>
                <w:tcPr>
                  <w:tcW w:w="714" w:type="dxa"/>
                  <w:vAlign w:val="center"/>
                </w:tcPr>
                <w:p w14:paraId="77BAB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59.4</w:t>
                  </w:r>
                </w:p>
              </w:tc>
            </w:tr>
          </w:tbl>
          <w:p w14:paraId="1A684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由表4-3可知，自卸汽车运输过程中对道路沿线80m范围内声环境有一定影响。环评要求施工期物料运输采用车况良好的车辆，并注意定期维修、养护；运输过程中应降低车速，禁止在鸣笛；合理安排运输时间。采取上述措施后运输噪声对沿线声环境的影响较小。</w:t>
            </w:r>
          </w:p>
          <w:p w14:paraId="5E164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4、施工期固体废物影响分析</w:t>
            </w:r>
          </w:p>
          <w:p w14:paraId="39168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①固体废物</w:t>
            </w:r>
          </w:p>
          <w:p w14:paraId="67623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施工期的固体废物主要为施工垃圾和施工人员的生活垃圾，其中施工垃圾主要为建筑材料边角料、设备包装废弃物，</w:t>
            </w:r>
            <w:r>
              <w:rPr>
                <w:rFonts w:hint="default" w:ascii="Times New Roman" w:hAnsi="Times New Roman" w:eastAsia="宋体" w:cs="Times New Roman"/>
                <w:bCs/>
                <w:color w:val="auto"/>
                <w:sz w:val="24"/>
                <w:szCs w:val="24"/>
                <w:highlight w:val="none"/>
                <w:lang w:eastAsia="zh-CN"/>
              </w:rPr>
              <w:t>属于一般固体废物</w:t>
            </w:r>
            <w:r>
              <w:rPr>
                <w:rFonts w:hint="default" w:ascii="Times New Roman" w:hAnsi="Times New Roman" w:eastAsia="宋体" w:cs="Times New Roman"/>
                <w:bCs/>
                <w:color w:val="auto"/>
                <w:kern w:val="2"/>
                <w:sz w:val="24"/>
                <w:szCs w:val="24"/>
                <w:highlight w:val="none"/>
                <w:lang w:val="en-US" w:eastAsia="zh-CN" w:bidi="ar-SA"/>
              </w:rPr>
              <w:t>，按环卫部门指定地点统一倾倒，</w:t>
            </w:r>
            <w:r>
              <w:rPr>
                <w:rFonts w:hint="default" w:ascii="Times New Roman" w:hAnsi="Times New Roman" w:eastAsia="宋体" w:cs="Times New Roman"/>
                <w:bCs/>
                <w:color w:val="auto"/>
                <w:sz w:val="24"/>
                <w:szCs w:val="24"/>
                <w:highlight w:val="none"/>
                <w:lang w:val="en-US" w:eastAsia="zh-CN"/>
              </w:rPr>
              <w:t>施工人员的生活垃圾以人均垃圾产生量0.5kg/d计算，最大量为15kg/d。建筑材料边角料、设备包装废弃物多可回收利用，不可利用部分运至环卫部门指定地点倾倒。</w:t>
            </w:r>
          </w:p>
          <w:p w14:paraId="28CA3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②</w:t>
            </w:r>
            <w:r>
              <w:rPr>
                <w:rFonts w:hint="default" w:ascii="Times New Roman" w:hAnsi="Times New Roman" w:eastAsia="宋体" w:cs="Times New Roman"/>
                <w:bCs/>
                <w:color w:val="auto"/>
                <w:sz w:val="24"/>
                <w:szCs w:val="24"/>
                <w:highlight w:val="none"/>
                <w:lang w:eastAsia="zh-CN"/>
              </w:rPr>
              <w:t>土石方</w:t>
            </w:r>
          </w:p>
          <w:p w14:paraId="63009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yellow"/>
              </w:rPr>
            </w:pPr>
            <w:r>
              <w:rPr>
                <w:rFonts w:hint="default" w:ascii="Times New Roman" w:hAnsi="Times New Roman" w:eastAsia="宋体" w:cs="Times New Roman"/>
                <w:bCs/>
                <w:color w:val="auto"/>
                <w:sz w:val="24"/>
                <w:szCs w:val="24"/>
                <w:highlight w:val="none"/>
              </w:rPr>
              <w:t>本项目土石方主要来自于土建工程，主要包括基础开挖、场地平整等。本工程全场土方开挖量为</w:t>
            </w:r>
            <w:r>
              <w:rPr>
                <w:rFonts w:hint="eastAsia" w:ascii="Times New Roman" w:hAnsi="Times New Roman" w:eastAsia="宋体" w:cs="Times New Roman"/>
                <w:bCs/>
                <w:color w:val="auto"/>
                <w:sz w:val="24"/>
                <w:szCs w:val="24"/>
                <w:highlight w:val="none"/>
                <w:lang w:val="en-US" w:eastAsia="zh-CN"/>
              </w:rPr>
              <w:t>3.63万</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，填方量</w:t>
            </w:r>
            <w:r>
              <w:rPr>
                <w:rFonts w:hint="eastAsia" w:ascii="Times New Roman" w:hAnsi="Times New Roman" w:eastAsia="宋体" w:cs="Times New Roman"/>
                <w:bCs/>
                <w:color w:val="auto"/>
                <w:sz w:val="24"/>
                <w:szCs w:val="24"/>
                <w:highlight w:val="none"/>
                <w:lang w:val="en-US" w:eastAsia="zh-CN"/>
              </w:rPr>
              <w:t>3.63万</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，施工过程中将多余的土方用于</w:t>
            </w:r>
            <w:r>
              <w:rPr>
                <w:rFonts w:hint="default" w:ascii="Times New Roman" w:hAnsi="Times New Roman" w:eastAsia="宋体" w:cs="Times New Roman"/>
                <w:bCs/>
                <w:color w:val="auto"/>
                <w:sz w:val="24"/>
                <w:szCs w:val="24"/>
                <w:highlight w:val="none"/>
                <w:lang w:val="en-US" w:eastAsia="zh-CN"/>
              </w:rPr>
              <w:t>施工便道</w:t>
            </w:r>
            <w:r>
              <w:rPr>
                <w:rFonts w:hint="default" w:ascii="Times New Roman" w:hAnsi="Times New Roman" w:eastAsia="宋体" w:cs="Times New Roman"/>
                <w:bCs/>
                <w:color w:val="auto"/>
                <w:sz w:val="24"/>
                <w:szCs w:val="24"/>
                <w:highlight w:val="none"/>
              </w:rPr>
              <w:t>，可做到挖填平衡。土方情况详见表</w:t>
            </w:r>
            <w:r>
              <w:rPr>
                <w:rFonts w:hint="default"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rPr>
              <w:t>。</w:t>
            </w:r>
          </w:p>
          <w:p w14:paraId="05426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5、生态环境影响</w:t>
            </w:r>
          </w:p>
          <w:p w14:paraId="42DE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本工程为输变电工程，项目在施工期生态环境的影响主要表现在以下几个方面：</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土地利用类型发生改变；</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降低植被覆盖度，影响树木蓄积量；</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引发水土流失，导致土壤贫瘠；</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破坏生境，生物活动受到限制。项目建成后，对原有景观及周边影响不大。</w:t>
            </w:r>
          </w:p>
          <w:p w14:paraId="5BB99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对土地利用类型的影响</w:t>
            </w:r>
          </w:p>
          <w:p w14:paraId="52E62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临时占地影响分析</w:t>
            </w:r>
          </w:p>
          <w:p w14:paraId="12703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在工程建设过程中，临时占地只发生在工程施工期间。这些临时占地如发生在作物和植被生长期，则可能会破坏一部分农作物、林地和</w:t>
            </w:r>
            <w:r>
              <w:rPr>
                <w:rFonts w:hint="eastAsia" w:ascii="Times New Roman" w:hAnsi="Times New Roman" w:eastAsia="宋体" w:cs="Times New Roman"/>
                <w:bCs/>
                <w:color w:val="auto"/>
                <w:sz w:val="24"/>
                <w:szCs w:val="24"/>
                <w:highlight w:val="none"/>
                <w:lang w:val="en-US" w:eastAsia="zh-CN"/>
              </w:rPr>
              <w:t>草丛</w:t>
            </w:r>
            <w:r>
              <w:rPr>
                <w:rFonts w:hint="default" w:ascii="Times New Roman" w:hAnsi="Times New Roman" w:eastAsia="宋体" w:cs="Times New Roman"/>
                <w:bCs/>
                <w:color w:val="auto"/>
                <w:sz w:val="24"/>
                <w:szCs w:val="24"/>
                <w:highlight w:val="none"/>
              </w:rPr>
              <w:t>，对农、林业生产带来一定损失，也会使其他自然植被遭到一定程度的损伤。但工程结束后，临时占地均可恢复原有土地利用功能，土地利用类型不会发生改变。</w:t>
            </w:r>
          </w:p>
          <w:p w14:paraId="49470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永久工程占地影响分析</w:t>
            </w:r>
          </w:p>
          <w:p w14:paraId="6A023B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本工程建设完成后，永久占地土地将变为塔基等建设用地，土地利用类型发生变化。本工程建成后，塔基等建设用地面积增加约</w:t>
            </w:r>
            <w:r>
              <w:rPr>
                <w:rFonts w:hint="eastAsia" w:ascii="Times New Roman" w:hAnsi="Times New Roman" w:eastAsia="宋体" w:cs="Times New Roman"/>
                <w:bCs/>
                <w:color w:val="auto"/>
                <w:sz w:val="24"/>
                <w:szCs w:val="24"/>
                <w:highlight w:val="none"/>
                <w:lang w:val="en-US" w:eastAsia="zh-CN"/>
              </w:rPr>
              <w:t>1.5156</w:t>
            </w:r>
            <w:r>
              <w:rPr>
                <w:rFonts w:hint="default" w:ascii="Times New Roman" w:hAnsi="Times New Roman" w:eastAsia="宋体" w:cs="Times New Roman"/>
                <w:bCs/>
                <w:color w:val="auto"/>
                <w:sz w:val="24"/>
                <w:szCs w:val="24"/>
                <w:highlight w:val="none"/>
              </w:rPr>
              <w:t>hm²</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土地利用类型变化占到评价范围0.</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1%</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占比较少，对区域土地利用影响有限。</w:t>
            </w:r>
          </w:p>
          <w:p w14:paraId="13CD9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对植物的影响</w:t>
            </w:r>
          </w:p>
          <w:p w14:paraId="3539A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本工程对植物及植被的影响主要来源于塔基施工点、牵张场等方面。</w:t>
            </w:r>
          </w:p>
          <w:p w14:paraId="6841B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工程占地的影响</w:t>
            </w:r>
          </w:p>
          <w:p w14:paraId="1740F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本项目工程占地不可避免地会破坏占地区植物及植被。根据项目工程布置，所在区域内植物群落主要为</w:t>
            </w:r>
            <w:r>
              <w:rPr>
                <w:rFonts w:hint="eastAsia" w:ascii="Times New Roman" w:hAnsi="Times New Roman" w:eastAsia="宋体" w:cs="Times New Roman"/>
                <w:bCs/>
                <w:color w:val="auto"/>
                <w:sz w:val="24"/>
                <w:szCs w:val="24"/>
                <w:highlight w:val="none"/>
                <w:lang w:val="en-US" w:eastAsia="zh-CN"/>
              </w:rPr>
              <w:t>草丛</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林地</w:t>
            </w:r>
            <w:r>
              <w:rPr>
                <w:rFonts w:hint="default" w:ascii="Times New Roman" w:hAnsi="Times New Roman" w:eastAsia="宋体" w:cs="Times New Roman"/>
                <w:bCs/>
                <w:color w:val="auto"/>
                <w:sz w:val="24"/>
                <w:szCs w:val="24"/>
                <w:highlight w:val="none"/>
              </w:rPr>
              <w:t>、经济农作物，无国家重点保护的珍稀植物集中分布。</w:t>
            </w:r>
          </w:p>
          <w:p w14:paraId="63068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①永久占地的影响</w:t>
            </w:r>
          </w:p>
          <w:p w14:paraId="310A6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根据工程布置，工程永久占地区域植被类型主要为农作物和</w:t>
            </w:r>
            <w:r>
              <w:rPr>
                <w:rFonts w:hint="eastAsia" w:ascii="Times New Roman" w:hAnsi="Times New Roman" w:eastAsia="宋体" w:cs="Times New Roman"/>
                <w:bCs/>
                <w:color w:val="auto"/>
                <w:sz w:val="24"/>
                <w:szCs w:val="24"/>
                <w:highlight w:val="none"/>
                <w:lang w:val="en-US" w:eastAsia="zh-CN"/>
              </w:rPr>
              <w:t>草</w:t>
            </w:r>
            <w:r>
              <w:rPr>
                <w:rFonts w:hint="default" w:ascii="Times New Roman" w:hAnsi="Times New Roman" w:eastAsia="宋体" w:cs="Times New Roman"/>
                <w:bCs/>
                <w:color w:val="auto"/>
                <w:sz w:val="24"/>
                <w:szCs w:val="24"/>
                <w:highlight w:val="none"/>
              </w:rPr>
              <w:t>丛等。永久占地对评价区内植物及植被的影响主要表现为个体损失、植被生物量减少。施工结束后，补偿等植被恢复措施会在一定程度上缓解其影响。因此，永久占地对占地区植物种类、植被类型及生物量的影响较小。</w:t>
            </w:r>
          </w:p>
          <w:p w14:paraId="40634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②临时占地的影响</w:t>
            </w:r>
          </w:p>
          <w:p w14:paraId="33469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根据项目塔基布置，工程临时征地包括塔基施工区、</w:t>
            </w:r>
            <w:r>
              <w:rPr>
                <w:rFonts w:hint="eastAsia" w:ascii="Times New Roman" w:hAnsi="Times New Roman" w:eastAsia="宋体" w:cs="Times New Roman"/>
                <w:bCs/>
                <w:color w:val="auto"/>
                <w:sz w:val="24"/>
                <w:szCs w:val="24"/>
                <w:highlight w:val="none"/>
                <w:lang w:val="en-US" w:eastAsia="zh-CN"/>
              </w:rPr>
              <w:t>临时道路</w:t>
            </w:r>
            <w:r>
              <w:rPr>
                <w:rFonts w:hint="default" w:ascii="Times New Roman" w:hAnsi="Times New Roman" w:eastAsia="宋体" w:cs="Times New Roman"/>
                <w:bCs/>
                <w:color w:val="auto"/>
                <w:sz w:val="24"/>
                <w:szCs w:val="24"/>
                <w:highlight w:val="none"/>
              </w:rPr>
              <w:t>、牵张场等占地。</w:t>
            </w:r>
          </w:p>
          <w:p w14:paraId="24566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临时占地影响的植被及群系均为常见类型，植物均为适应性强、抗逆性强、分布范围广的种类，施工占地对工程沿线植物及群系的影响主要为植物个体损失和植被生物量减少，临时占地区生物量的损失主要体现在农作物上，且随着施工结束对临时占地区土地平整、土地复耕、植被恢复等，可使临时占地区域植物及植被在适宜条件下迅速得到恢复。因此，工程临时占地对工程沿线植物及植被的影响较小。</w:t>
            </w:r>
          </w:p>
          <w:p w14:paraId="0AC2C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工程施工对植物的影响</w:t>
            </w:r>
          </w:p>
          <w:p w14:paraId="6C051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塔基等施工将对其上方植被造成直接破坏。各施工区及沿线植被主要为耕地、草地。沿线常见为人工种植的玉米，工程开挖影响的植被多为人工植被，受影响的自然植被多为分布较广、适应性较强的草本植物。施工结束后，各站场及管渠开挖作业带将进行覆土回填，并进行植被恢复或耕地复垦，可种植和生长根系较浅的草本植物。因此，施工对植物和植被的影响较小。</w:t>
            </w:r>
          </w:p>
          <w:p w14:paraId="61A76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施工人员活动的影响</w:t>
            </w:r>
          </w:p>
          <w:p w14:paraId="530C6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建设期，施工活动对区域植物及植被的影响主要为人为干扰及施工废水、扬尘等污染物影响。</w:t>
            </w:r>
          </w:p>
          <w:p w14:paraId="2EAE4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①人为干扰的影响</w:t>
            </w:r>
          </w:p>
          <w:p w14:paraId="287DF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期，施工区人员及机械增多，施工人员越界施工，随意砍伐、生火等不文明行为等可能会破坏项目沿线植物及其生境。虽然本项目建设规模较大，施工期人员及机械相对较多，施工期较长，但施工场地较分散，施工期成阶段性。因此，施工期人为干扰的影响范围及程度有限。同时施工期人为干扰的影响可通过加强宣传教育活动，加强施工监理工作等进行缓解，在 相关措施得到落实后，人为干扰对区域植物及植被的影响较小。</w:t>
            </w:r>
          </w:p>
          <w:p w14:paraId="4C900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②废水的影响</w:t>
            </w:r>
          </w:p>
          <w:p w14:paraId="671A5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期施工活动产生的废水可分为生产废水和生活污水，生产废水主要来源于砂石料冲洗废水等，废水对植物的影响主要是废水的随意排放会改变土壤理化性质，改变植物生长及生存环境。但这种影响可通过对废水进行收集、处理、回用等措施进行缓解。</w:t>
            </w:r>
          </w:p>
          <w:p w14:paraId="5F1F9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③扬尘的影响</w:t>
            </w:r>
          </w:p>
          <w:p w14:paraId="4EC1F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期扬尘主要来源于开辟施工便道、塔基基础等施工，直至工程竣工后场地清理、恢复等诸多工程，其中以运输车辆引起的二次扬尘影响时间最长，对周围植物及植被影响最严重。扬尘粗颗粒随风飘落到附近地面或植物体表面，将对其生长及生存产生不利影响。随着施工期结束，施工期扬尘对植被的影响将逐渐消失。</w:t>
            </w:r>
          </w:p>
          <w:p w14:paraId="1B3E7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对动物的影响</w:t>
            </w:r>
          </w:p>
          <w:p w14:paraId="341E4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对爬行类动物的影响</w:t>
            </w:r>
          </w:p>
          <w:p w14:paraId="1DB0D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施工期间对其影响主要有：施工占地破坏其生境，施工废水及生活污水对其生境的污染，生活垃圾对其觅食的影响，人类活动对其的干扰等，同时施工噪声、震动、扬尘对其也有一定影响。工程永久及临时占地将占用这些爬行类动物的生境，将其驱赶到远离工程区域的其他生境中生活。由于工程影响区域附近相似生境较多，爬行类可以顺利迁移，且施工结束后临时占地区植被恢复，其可重新回到原来的栖息地生活。由于部分爬行类对水也有一定依赖性，施工过程中施工机械等产生的施工废水、生活污水及机械车辆油污等若未经处理直接排入水体，也会对其生境产生一定影响，但这种影响会随着施工的结束逐渐消失。施工过程中，施工人员的生活垃圾若随意丢弃，将对爬行类动物产生一定影响生活垃圾的丢弃将吸引昆虫和鼠类的聚集，以昆虫和鼠类为食物的爬行类较多，会使这些爬行类聚集在这些区域，对其分布格局产生一定影响，同时可能会造成传染病的传播。这种影响可以通过对施工人员进行宣传教育、对生活垃圾及时处理等方式加以避免。在工程实施期间要加强对施工人员动物保护的宣力度，并制定相应的处罚措施，避免施工人员对这些爬行类动物造成伤害。总体而言，工程施工会使爬行类转移到施工区域以外的相似生境中，将一定程度改变爬行类在施工区及其范围外的分布格局，但是不会导致爬行类动物物种消失。</w:t>
            </w:r>
          </w:p>
          <w:p w14:paraId="74846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对鸟类的影响</w:t>
            </w:r>
          </w:p>
          <w:p w14:paraId="54839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鸟类善于飞翔，行动灵敏、迁移能力强，其生活类型及生活环境也多种多样。项目实施期间对鸟类的影响主要有：人类活动、工程占地对其生境的干扰和破坏，扬尘、生活垃圾、施工废水及生活污水对湿地环境的污染，施工噪声、施工震动对其的驱赶等。工程沿线区主要为农田和</w:t>
            </w:r>
            <w:r>
              <w:rPr>
                <w:rFonts w:hint="eastAsia" w:ascii="Times New Roman" w:hAnsi="Times New Roman" w:eastAsia="宋体" w:cs="Times New Roman"/>
                <w:bCs/>
                <w:color w:val="auto"/>
                <w:sz w:val="24"/>
                <w:szCs w:val="24"/>
                <w:highlight w:val="none"/>
                <w:lang w:val="en-US" w:eastAsia="zh-CN"/>
              </w:rPr>
              <w:t>草</w:t>
            </w:r>
            <w:r>
              <w:rPr>
                <w:rFonts w:hint="default" w:ascii="Times New Roman" w:hAnsi="Times New Roman" w:eastAsia="宋体" w:cs="Times New Roman"/>
                <w:bCs/>
                <w:color w:val="auto"/>
                <w:sz w:val="24"/>
                <w:szCs w:val="24"/>
                <w:highlight w:val="none"/>
              </w:rPr>
              <w:t>地，分布的鸟类以生活于</w:t>
            </w:r>
            <w:r>
              <w:rPr>
                <w:rFonts w:hint="eastAsia" w:ascii="Times New Roman" w:hAnsi="Times New Roman" w:eastAsia="宋体" w:cs="Times New Roman"/>
                <w:bCs/>
                <w:color w:val="auto"/>
                <w:sz w:val="24"/>
                <w:szCs w:val="24"/>
                <w:highlight w:val="none"/>
                <w:lang w:val="en-US" w:eastAsia="zh-CN"/>
              </w:rPr>
              <w:t>草地</w:t>
            </w:r>
            <w:r>
              <w:rPr>
                <w:rFonts w:hint="default" w:ascii="Times New Roman" w:hAnsi="Times New Roman" w:eastAsia="宋体" w:cs="Times New Roman"/>
                <w:bCs/>
                <w:color w:val="auto"/>
                <w:sz w:val="24"/>
                <w:szCs w:val="24"/>
                <w:highlight w:val="none"/>
              </w:rPr>
              <w:t>及农田的鸣禽为主，评价范围内广泛分布。项目占地会直接占用其生境，区域内相似生境较多，鸟类活动能力较强，项目实施期间很容易找到替代生境。施工结束后，临时占地区植被会及时恢复，因此总体上工程占地对其栖息地破坏影响不大。鸟类的感官非常灵敏，对噪声和震动反应较为敏感，工程实施期间挖掘机、推土机和混凝土搅拌机等的机械噪声，运输车辆产生的噪声、土石方开挖施工等的噪声将对附近栖息的鸟类产生较大干扰，使鸟类远离施工区域。由于鸟类的活动能力强，评价区内鸟类适宜生境较多，且噪声影响是暂时的，随着施工的结束而消失。因此，在做好科学合理的施工进度安排，采取适当的保护措施的前提下，噪声对鸟类的影响基本可控。除此之外，工程施工期间，施工人员的活动将对鸟类造成一定驱赶作用，与噪声影响类似，评价区内除施工区外鸟类适宜生境较多，工程施工期间鸟类可迁移至附近相似生境生活，因此人为活动对鸟类的影响不大。</w:t>
            </w:r>
          </w:p>
          <w:p w14:paraId="6E911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对兽类的影响</w:t>
            </w:r>
          </w:p>
          <w:p w14:paraId="70500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本项目施工对哺乳类动物的影响主要是由工程占地占用其生境，施工噪声、震动及人为活动等引起。</w:t>
            </w:r>
          </w:p>
          <w:p w14:paraId="7FF75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工程占地对树栖型和地面生活型的兽类影响较大，它们一般在评价区内的林地或灌丛活动。工程占用这些动物的生境，而迫使其向周围地区迁移，由于输电线路影响区域为塔基点状分布，影响范围较小，在直接影响区周围具有类似生境，可以保证这些动物顺利迁移，因此评价区施工对其影响不大。本工程对地下生活型和半地下生活型的动物影响也较大，尤其是工程施工会影响这些动物的洞穴及繁殖，这种影响仅局限于工程扰动区生活的动物，不会对动物种群产生大的影响。此外，半地下生活的啮齿类动物与人类关系密切，喜欢在人类活动范围如村落、菜地活动，施工人员的进驻、生活垃圾的堆放，会使这些啮齿类动物的数量增加，这可能导致疾病的传播，因此工程实施期间需加强卫生管理，防止疾病的传播。总体说来，项目施工由于人为活动增多、施工噪声增加与废水废气污染增多等，将造成评价区兽类生存环境面积有所缩减，兽类会迁移到附近相似的生境栖息。但是由于施工范围小，各段施工时间有限，这种影响不会长时间持续。随着工程的结束和当地植被的恢复，它们仍可回到原来的领地生活。</w:t>
            </w:r>
          </w:p>
          <w:p w14:paraId="56C0E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对生态系统的影响</w:t>
            </w:r>
          </w:p>
          <w:p w14:paraId="1AE1D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对生态系统组成和结构的影响</w:t>
            </w:r>
          </w:p>
          <w:p w14:paraId="2FF09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根据生态解译结果，本工程占地区域多为</w:t>
            </w:r>
            <w:r>
              <w:rPr>
                <w:rFonts w:hint="eastAsia" w:ascii="Times New Roman" w:hAnsi="Times New Roman" w:eastAsia="宋体" w:cs="Times New Roman"/>
                <w:bCs/>
                <w:color w:val="auto"/>
                <w:sz w:val="24"/>
                <w:szCs w:val="24"/>
                <w:highlight w:val="none"/>
                <w:lang w:val="en-US" w:eastAsia="zh-CN"/>
              </w:rPr>
              <w:t>耕地农田生态系统和草地生态系统</w:t>
            </w:r>
            <w:r>
              <w:rPr>
                <w:rFonts w:hint="default" w:ascii="Times New Roman" w:hAnsi="Times New Roman" w:eastAsia="宋体" w:cs="Times New Roman"/>
                <w:bCs/>
                <w:color w:val="auto"/>
                <w:sz w:val="24"/>
                <w:szCs w:val="24"/>
                <w:highlight w:val="none"/>
              </w:rPr>
              <w:t>。工程占地将一定程度上减少</w:t>
            </w:r>
            <w:r>
              <w:rPr>
                <w:rFonts w:hint="eastAsia" w:ascii="Times New Roman" w:hAnsi="Times New Roman" w:eastAsia="宋体" w:cs="Times New Roman"/>
                <w:bCs/>
                <w:color w:val="auto"/>
                <w:sz w:val="24"/>
                <w:szCs w:val="24"/>
                <w:highlight w:val="none"/>
                <w:lang w:val="en-US" w:eastAsia="zh-CN"/>
              </w:rPr>
              <w:t>农田和草地</w:t>
            </w:r>
            <w:r>
              <w:rPr>
                <w:rFonts w:hint="default" w:ascii="Times New Roman" w:hAnsi="Times New Roman" w:eastAsia="宋体" w:cs="Times New Roman"/>
                <w:bCs/>
                <w:color w:val="auto"/>
                <w:sz w:val="24"/>
                <w:szCs w:val="24"/>
                <w:highlight w:val="none"/>
              </w:rPr>
              <w:t>生态系统</w:t>
            </w:r>
            <w:r>
              <w:rPr>
                <w:rFonts w:hint="eastAsia" w:ascii="Times New Roman" w:hAnsi="Times New Roman" w:eastAsia="宋体" w:cs="Times New Roman"/>
                <w:bCs/>
                <w:color w:val="auto"/>
                <w:sz w:val="24"/>
                <w:szCs w:val="24"/>
                <w:highlight w:val="none"/>
                <w:lang w:val="en-US" w:eastAsia="zh-CN"/>
              </w:rPr>
              <w:t>的</w:t>
            </w:r>
            <w:r>
              <w:rPr>
                <w:rFonts w:hint="default" w:ascii="Times New Roman" w:hAnsi="Times New Roman" w:eastAsia="宋体" w:cs="Times New Roman"/>
                <w:bCs/>
                <w:color w:val="auto"/>
                <w:sz w:val="24"/>
                <w:szCs w:val="24"/>
                <w:highlight w:val="none"/>
              </w:rPr>
              <w:t>面积，造成植被生物量和生产力的下降；植被的破坏也会使野生动物的栖息生境面积减少，导致工程及周边生境的野生动物种类和数量下降。由于占地面积相对较小，占工程沿线</w:t>
            </w:r>
            <w:r>
              <w:rPr>
                <w:rFonts w:hint="eastAsia" w:ascii="Times New Roman" w:hAnsi="Times New Roman" w:eastAsia="宋体" w:cs="Times New Roman"/>
                <w:bCs/>
                <w:color w:val="auto"/>
                <w:sz w:val="24"/>
                <w:szCs w:val="24"/>
                <w:highlight w:val="none"/>
                <w:lang w:val="en-US" w:eastAsia="zh-CN"/>
              </w:rPr>
              <w:t>农田和草地</w:t>
            </w:r>
            <w:r>
              <w:rPr>
                <w:rFonts w:hint="default" w:ascii="Times New Roman" w:hAnsi="Times New Roman" w:eastAsia="宋体" w:cs="Times New Roman"/>
                <w:bCs/>
                <w:color w:val="auto"/>
                <w:sz w:val="24"/>
                <w:szCs w:val="24"/>
                <w:highlight w:val="none"/>
              </w:rPr>
              <w:t>生态系统比例很小，对</w:t>
            </w:r>
            <w:r>
              <w:rPr>
                <w:rFonts w:hint="eastAsia" w:ascii="Times New Roman" w:hAnsi="Times New Roman" w:eastAsia="宋体" w:cs="Times New Roman"/>
                <w:bCs/>
                <w:color w:val="auto"/>
                <w:sz w:val="24"/>
                <w:szCs w:val="24"/>
                <w:highlight w:val="none"/>
                <w:lang w:val="en-US" w:eastAsia="zh-CN"/>
              </w:rPr>
              <w:t>其</w:t>
            </w:r>
            <w:r>
              <w:rPr>
                <w:rFonts w:hint="default" w:ascii="Times New Roman" w:hAnsi="Times New Roman" w:eastAsia="宋体" w:cs="Times New Roman"/>
                <w:bCs/>
                <w:color w:val="auto"/>
                <w:sz w:val="24"/>
                <w:szCs w:val="24"/>
                <w:highlight w:val="none"/>
              </w:rPr>
              <w:t>的影响也相对较小。</w:t>
            </w:r>
          </w:p>
          <w:p w14:paraId="6C797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对生态系统服务功能的影响</w:t>
            </w:r>
          </w:p>
          <w:p w14:paraId="13D9C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①对生物多样性保护服务功能的影响</w:t>
            </w:r>
          </w:p>
          <w:p w14:paraId="4F5AB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工程永久占地不涉及自然保护区内重点保护动植物集中分布区、风景名胜区重要景点等。因此，工程建设不会对沿线动植物生物多样性产生较大影响。</w:t>
            </w:r>
          </w:p>
          <w:p w14:paraId="2728C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②对农产品提供功能的影响</w:t>
            </w:r>
          </w:p>
          <w:p w14:paraId="2D7DD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w:t>
            </w:r>
            <w:r>
              <w:rPr>
                <w:rFonts w:hint="eastAsia" w:ascii="Times New Roman" w:hAnsi="Times New Roman" w:eastAsia="宋体" w:cs="Times New Roman"/>
                <w:bCs/>
                <w:color w:val="auto"/>
                <w:sz w:val="24"/>
                <w:szCs w:val="24"/>
                <w:highlight w:val="none"/>
                <w:lang w:val="en-US" w:eastAsia="zh-CN"/>
              </w:rPr>
              <w:t>塔基</w:t>
            </w:r>
            <w:r>
              <w:rPr>
                <w:rFonts w:hint="default" w:ascii="Times New Roman" w:hAnsi="Times New Roman" w:eastAsia="宋体" w:cs="Times New Roman"/>
                <w:bCs/>
                <w:color w:val="auto"/>
                <w:sz w:val="24"/>
                <w:szCs w:val="24"/>
                <w:highlight w:val="none"/>
              </w:rPr>
              <w:t>永久占地面积为1.5</w:t>
            </w:r>
            <w:r>
              <w:rPr>
                <w:rFonts w:hint="eastAsia" w:ascii="Times New Roman" w:hAnsi="Times New Roman" w:eastAsia="宋体" w:cs="Times New Roman"/>
                <w:bCs/>
                <w:color w:val="auto"/>
                <w:sz w:val="24"/>
                <w:szCs w:val="24"/>
                <w:highlight w:val="none"/>
                <w:lang w:val="en-US" w:eastAsia="zh-CN"/>
              </w:rPr>
              <w:t>156</w:t>
            </w:r>
            <w:r>
              <w:rPr>
                <w:rFonts w:hint="default" w:ascii="Times New Roman" w:hAnsi="Times New Roman" w:eastAsia="宋体" w:cs="Times New Roman"/>
                <w:bCs/>
                <w:color w:val="auto"/>
                <w:sz w:val="24"/>
                <w:szCs w:val="24"/>
                <w:highlight w:val="none"/>
              </w:rPr>
              <w:t>hm²</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临时占地面积为</w:t>
            </w:r>
            <w:r>
              <w:rPr>
                <w:rFonts w:hint="eastAsia" w:ascii="Times New Roman" w:hAnsi="Times New Roman" w:eastAsia="宋体" w:cs="Times New Roman"/>
                <w:bCs/>
                <w:color w:val="auto"/>
                <w:sz w:val="24"/>
                <w:szCs w:val="24"/>
                <w:highlight w:val="none"/>
                <w:lang w:val="en-US" w:eastAsia="zh-CN"/>
              </w:rPr>
              <w:t>3.6505</w:t>
            </w:r>
            <w:r>
              <w:rPr>
                <w:rFonts w:hint="default" w:ascii="Times New Roman" w:hAnsi="Times New Roman" w:eastAsia="宋体" w:cs="Times New Roman"/>
                <w:bCs/>
                <w:color w:val="auto"/>
                <w:sz w:val="24"/>
                <w:szCs w:val="24"/>
                <w:highlight w:val="none"/>
              </w:rPr>
              <w:t>hm²</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工程永久占用了一定的耕地资源，会根据不同地区的采取不同的补助措施，耕地占补平衡可采用村内开垦或异地开垦的方式。临时占用的耕地在征地结束后，可通过复耕恢复原有耕地类型。因此，工程建设对沿线耕地发挥其农产品提供功能影响很小。</w:t>
            </w:r>
          </w:p>
          <w:p w14:paraId="1B42D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对于景观的影响</w:t>
            </w:r>
          </w:p>
          <w:p w14:paraId="15467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建设涉及的农田景观类型最多，这类景观和生态系统在周围区域多见，并非特有，除去本工程的修建为永久占地外，耕地仍然是该地区的模地，对生态环境质量仍将具有较强的调控能力，表明景观生态体系的生产能力和受干扰以后的恢复能力仍较强。因此，工程建设不会改变区域的模地地位，对区域自然体系的景观生态体系质量影响不大。</w:t>
            </w:r>
          </w:p>
          <w:p w14:paraId="5876C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对生态系统完整性的影响</w:t>
            </w:r>
          </w:p>
          <w:p w14:paraId="6A85F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生态系统完整性是在生物完整性概念基础上发展起来的，且因“系统”的特性，其内涵更加丰富。从系统的角度考察完整性，包括三个层次：一是组成系统的成分是否完整，即系统是否具有本生的全部物种，二是系统的组织结构是否完整，三是系统的功能是否健康。</w:t>
            </w:r>
          </w:p>
          <w:p w14:paraId="1E4EA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从第一个层次来看，本工程建设主要占地为塔基和变电站。其他占地范围均为点状的塔基和变电站占地，占地范围较小，对周边环境的侵占和干扰较弱，生态系统内的物种组成不会发生改变，因此，建设前后生态系统组成成分具有完整性。</w:t>
            </w:r>
          </w:p>
          <w:p w14:paraId="6761E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从第二个层次来看，本工程建设后，除塔基永久占地内的植物群落环境发生改变外，生态系统的绝大部分区域原有生境不变，以这一生境为依托的动植物关系、生物与非生物环境关系、食物链及能流渠道都没有发生变化，因此生态系统总体的组织结构仍然完整。</w:t>
            </w:r>
          </w:p>
          <w:p w14:paraId="1A923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从第三个层次来看，本工程建设仅对评价区生态系统的局部区域带来侵占和干扰影响，输电线路直接侵占区域面积占生态系统面积的占比很小。因此，输电线路建设的侵占和干扰不会导致整个生态系统功能崩溃，且生态系统仍然具有良好的自我调控能力。</w:t>
            </w:r>
          </w:p>
          <w:p w14:paraId="168E2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综上所述，本工程建设不会破坏生态系统的完整性。</w:t>
            </w:r>
          </w:p>
          <w:p w14:paraId="005D5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对生物多样性的影响</w:t>
            </w:r>
          </w:p>
          <w:p w14:paraId="68A2A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本工程对生物多样性的影响难以定量化分析，下面针对生物多样性的6个指标进行定性分析，具体见表4-4。</w:t>
            </w:r>
          </w:p>
          <w:p w14:paraId="08C2F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bCs w:val="0"/>
                <w:color w:val="auto"/>
                <w:sz w:val="21"/>
                <w:szCs w:val="21"/>
                <w:highlight w:val="none"/>
              </w:rPr>
              <w:t>表4-4生物多样性指标影响分析</w:t>
            </w:r>
          </w:p>
          <w:tbl>
            <w:tblPr>
              <w:tblStyle w:val="1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03"/>
              <w:gridCol w:w="6321"/>
            </w:tblGrid>
            <w:tr w14:paraId="0E450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1203" w:type="pct"/>
                  <w:vAlign w:val="center"/>
                </w:tcPr>
                <w:p w14:paraId="1110E11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指标</w:t>
                  </w:r>
                </w:p>
              </w:tc>
              <w:tc>
                <w:tcPr>
                  <w:tcW w:w="3796" w:type="pct"/>
                  <w:vAlign w:val="center"/>
                </w:tcPr>
                <w:p w14:paraId="06C711F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影响程度</w:t>
                  </w:r>
                </w:p>
              </w:tc>
            </w:tr>
            <w:tr w14:paraId="1B837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203" w:type="pct"/>
                  <w:vAlign w:val="center"/>
                </w:tcPr>
                <w:p w14:paraId="07368C8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野生维管束植物丰富度</w:t>
                  </w:r>
                </w:p>
              </w:tc>
              <w:tc>
                <w:tcPr>
                  <w:tcW w:w="3796" w:type="pct"/>
                  <w:vAlign w:val="center"/>
                </w:tcPr>
                <w:p w14:paraId="4EA6C0A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工程建设运行不会导致工程区微管植物种类减少，影响较小</w:t>
                  </w:r>
                </w:p>
              </w:tc>
            </w:tr>
            <w:tr w14:paraId="7199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203" w:type="pct"/>
                  <w:vAlign w:val="center"/>
                </w:tcPr>
                <w:p w14:paraId="74D02344">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野生动物丰富度</w:t>
                  </w:r>
                </w:p>
              </w:tc>
              <w:tc>
                <w:tcPr>
                  <w:tcW w:w="3796" w:type="pct"/>
                  <w:vAlign w:val="center"/>
                </w:tcPr>
                <w:p w14:paraId="16CD3A6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建设期，施工噪声和人员活动会降低工程区附近野生动物数量和种类。因</w:t>
                  </w:r>
                  <w:r>
                    <w:rPr>
                      <w:rFonts w:hint="default" w:ascii="Times New Roman" w:hAnsi="Times New Roman" w:cs="Times New Roman"/>
                      <w:color w:val="auto"/>
                      <w:sz w:val="21"/>
                      <w:szCs w:val="21"/>
                    </w:rPr>
                    <w:t xml:space="preserve"> 此，会导致野生动物丰富度降低</w:t>
                  </w:r>
                </w:p>
              </w:tc>
            </w:tr>
            <w:tr w14:paraId="50C59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203" w:type="pct"/>
                  <w:vAlign w:val="center"/>
                </w:tcPr>
                <w:p w14:paraId="17BE703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生态系统类型多样性</w:t>
                  </w:r>
                </w:p>
              </w:tc>
              <w:tc>
                <w:tcPr>
                  <w:tcW w:w="3796" w:type="pct"/>
                  <w:vAlign w:val="center"/>
                </w:tcPr>
                <w:p w14:paraId="7834716A">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与评价范围相比，工程占地面积不大，不会导致生态系统类型多样性降低</w:t>
                  </w:r>
                </w:p>
              </w:tc>
            </w:tr>
            <w:tr w14:paraId="2CE77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03" w:type="pct"/>
                  <w:vAlign w:val="center"/>
                </w:tcPr>
                <w:p w14:paraId="29C79A8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物种特有性</w:t>
                  </w:r>
                </w:p>
              </w:tc>
              <w:tc>
                <w:tcPr>
                  <w:tcW w:w="3796" w:type="pct"/>
                  <w:vAlign w:val="center"/>
                </w:tcPr>
                <w:p w14:paraId="1331783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评价范围无中国特有物种，不会导致特有物种减少</w:t>
                  </w:r>
                </w:p>
              </w:tc>
            </w:tr>
            <w:tr w14:paraId="2ADCC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203" w:type="pct"/>
                  <w:vAlign w:val="center"/>
                </w:tcPr>
                <w:p w14:paraId="5290D5B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受威胁物种的丰富度</w:t>
                  </w:r>
                </w:p>
              </w:tc>
              <w:tc>
                <w:tcPr>
                  <w:tcW w:w="3796" w:type="pct"/>
                  <w:vAlign w:val="center"/>
                </w:tcPr>
                <w:p w14:paraId="51C4334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本工程不会导致评价范围某个动植物物种数量大</w:t>
                  </w:r>
                  <w:r>
                    <w:rPr>
                      <w:rFonts w:hint="default" w:ascii="Times New Roman" w:hAnsi="Times New Roman" w:cs="Times New Roman"/>
                      <w:color w:val="auto"/>
                      <w:spacing w:val="-4"/>
                      <w:sz w:val="21"/>
                      <w:szCs w:val="21"/>
                    </w:rPr>
                    <w:t>幅降低进而变成受威胁</w:t>
                  </w:r>
                  <w:r>
                    <w:rPr>
                      <w:rFonts w:hint="default" w:ascii="Times New Roman" w:hAnsi="Times New Roman" w:cs="Times New Roman"/>
                      <w:color w:val="auto"/>
                      <w:sz w:val="21"/>
                      <w:szCs w:val="21"/>
                    </w:rPr>
                    <w:t xml:space="preserve"> 的物种。因此，对受威胁物种的丰富度影响较小</w:t>
                  </w:r>
                </w:p>
              </w:tc>
            </w:tr>
            <w:tr w14:paraId="75126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203" w:type="pct"/>
                  <w:vAlign w:val="center"/>
                </w:tcPr>
                <w:p w14:paraId="45677E3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外来物种入侵度</w:t>
                  </w:r>
                </w:p>
              </w:tc>
              <w:tc>
                <w:tcPr>
                  <w:tcW w:w="3796" w:type="pct"/>
                  <w:vAlign w:val="center"/>
                </w:tcPr>
                <w:p w14:paraId="4D47572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本工程生态恢复时，只要不使用外来物种，就不会涉及外来物种</w:t>
                  </w:r>
                  <w:r>
                    <w:rPr>
                      <w:rFonts w:hint="default" w:ascii="Times New Roman" w:hAnsi="Times New Roman" w:cs="Times New Roman"/>
                      <w:color w:val="auto"/>
                      <w:spacing w:val="14"/>
                      <w:sz w:val="21"/>
                      <w:szCs w:val="21"/>
                    </w:rPr>
                    <w:t xml:space="preserve"> </w:t>
                  </w:r>
                  <w:r>
                    <w:rPr>
                      <w:rFonts w:hint="default" w:ascii="Times New Roman" w:hAnsi="Times New Roman" w:cs="Times New Roman"/>
                      <w:color w:val="auto"/>
                      <w:sz w:val="21"/>
                      <w:szCs w:val="21"/>
                    </w:rPr>
                    <w:t>入侵问题。因此，对外来物种入侵度影响很小</w:t>
                  </w:r>
                </w:p>
              </w:tc>
            </w:tr>
          </w:tbl>
          <w:p w14:paraId="7A06C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由表4-4可知，本工程对评价范围野生维管束植物丰富度、野生动物丰富度、生态系统类型多样性、受威胁物种的丰富度、外来物种入侵度影响均较小，因此，工程建设对评价范围生物多样性影响较小。</w:t>
            </w:r>
          </w:p>
          <w:p w14:paraId="36B65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综上所述，本工程在施工期的生态环境影响是短暂的、可逆的，随着施工期的结束而消失。在采取相关环境保护措施后，工程施工期对周围生态环境的影响可以接受。</w:t>
            </w:r>
          </w:p>
          <w:p w14:paraId="47BCD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由上述可知，本工程属于输变电工程，工程的建设不会改变现有生态系统的格局，对区域生态完整性影响很小，对当地动植物的生存环境影响较小。在采取相应的生态防护和恢复措施后，本工程对生态环境的影响较小。</w:t>
            </w:r>
          </w:p>
          <w:p w14:paraId="25BAE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此外，工程在施工期的环境影响是短暂的、可逆的，随着施工期的结束而消失，在采取相关环境保护措施后，工程施工期对周围环境的影响可以接受。建设单位及施工单位应严格按照有关规定落实环评中要求的环境保护措施，并加强监管，将工程施工期对周围环境的影响降低到最低。</w:t>
            </w:r>
          </w:p>
        </w:tc>
      </w:tr>
      <w:tr w14:paraId="701CB3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2269" w:hRule="atLeast"/>
          <w:jc w:val="center"/>
        </w:trPr>
        <w:tc>
          <w:tcPr>
            <w:tcW w:w="850" w:type="dxa"/>
            <w:tcBorders>
              <w:top w:val="single" w:color="auto" w:sz="8" w:space="0"/>
              <w:bottom w:val="single" w:color="auto" w:sz="8" w:space="0"/>
              <w:right w:val="single" w:color="auto" w:sz="4" w:space="0"/>
            </w:tcBorders>
            <w:vAlign w:val="center"/>
          </w:tcPr>
          <w:p w14:paraId="7907688E">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运营期生态环境影响分析</w:t>
            </w:r>
          </w:p>
        </w:tc>
        <w:tc>
          <w:tcPr>
            <w:tcW w:w="8504" w:type="dxa"/>
            <w:tcBorders>
              <w:left w:val="single" w:color="auto" w:sz="4" w:space="0"/>
            </w:tcBorders>
            <w:vAlign w:val="top"/>
          </w:tcPr>
          <w:p w14:paraId="4A7D58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1.电磁环境影响分析</w:t>
            </w:r>
          </w:p>
          <w:p w14:paraId="47F604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（1）变电站</w:t>
            </w:r>
          </w:p>
          <w:p w14:paraId="05B9A7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火山云二期扩容220kV变电站电磁环境影响评价采用类比评价法进行评价。类比监测对象选用与本工程的建设规模、电压等级、容量、架线型式、使用条件及周围环境等均类似的已运行的火山云二期220kV变电站。</w:t>
            </w:r>
          </w:p>
          <w:p w14:paraId="76A4CB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由监测数据可知，火山云二期220kV变电站正常运行情况下，站界四周工频电场强度为1.802~164.7V/m，工频磁感应强度为0.0928~0.2947uT，均满足《电磁环境控制限值》（GB8702-2014）中公众曝露控制限值要求。由此可预测，本项目220kV变电站建成后，对变电站站界的电磁辐射影响均满足公众曝露控制限值要求，不会对周围环境造成明显不良影响。</w:t>
            </w:r>
          </w:p>
          <w:p w14:paraId="7C2C2E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（2）线路工程</w:t>
            </w:r>
          </w:p>
          <w:p w14:paraId="78EC8F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w:t>
            </w:r>
            <w:r>
              <w:rPr>
                <w:rFonts w:hint="eastAsia" w:ascii="Times New Roman" w:hAnsi="Times New Roman" w:eastAsia="宋体" w:cs="Times New Roman"/>
                <w:b w:val="0"/>
                <w:bCs w:val="0"/>
                <w:color w:val="auto"/>
                <w:kern w:val="0"/>
                <w:sz w:val="24"/>
                <w:szCs w:val="24"/>
                <w:highlight w:val="none"/>
                <w:lang w:val="en-US" w:eastAsia="zh-CN"/>
              </w:rPr>
              <w:t>220</w:t>
            </w:r>
            <w:r>
              <w:rPr>
                <w:rFonts w:hint="default" w:ascii="Times New Roman" w:hAnsi="Times New Roman" w:eastAsia="宋体" w:cs="Times New Roman"/>
                <w:b w:val="0"/>
                <w:bCs w:val="0"/>
                <w:color w:val="auto"/>
                <w:kern w:val="0"/>
                <w:sz w:val="24"/>
                <w:szCs w:val="24"/>
                <w:highlight w:val="none"/>
                <w:lang w:val="en-US" w:eastAsia="zh-CN"/>
              </w:rPr>
              <w:t>kV架空输电线路电磁环境评价采用模式计算预测输电线路运行后对周围环境的影响。本项目输电线路架设为单回架设和双回架设。根据电磁环境影响专项评价结论，通过预测分析，本项目运行后，项目输电线路评价范围内的电磁环境水平均能满足《电磁环境控制限值》（GB8702-2014）中的标准限值要求，本项目的建设对电磁环境保护目标电磁辐射影响可接受。</w:t>
            </w:r>
          </w:p>
          <w:p w14:paraId="1061D8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电磁环境影响分析见电磁环境影响专题评价。</w:t>
            </w:r>
          </w:p>
          <w:p w14:paraId="2C2C18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2.声环境影响分析</w:t>
            </w:r>
          </w:p>
          <w:p w14:paraId="15D01D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（1）线路工程</w:t>
            </w:r>
          </w:p>
          <w:p w14:paraId="46BEF8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本项目输电线路架设方式为单回架空线路、双回架空线路，本工程220kV架空线路噪声主要为电晕放电而引起的无规则噪音，但噪声级很小。</w:t>
            </w:r>
          </w:p>
          <w:p w14:paraId="1B68B9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1）类比分析</w:t>
            </w:r>
          </w:p>
          <w:p w14:paraId="5087AB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本次评价采用类比的方法对架空线路的噪声影响进行分析，</w:t>
            </w:r>
            <w:r>
              <w:rPr>
                <w:rFonts w:hint="eastAsia" w:ascii="Times New Roman" w:hAnsi="Times New Roman" w:eastAsia="宋体" w:cs="Times New Roman"/>
                <w:b w:val="0"/>
                <w:bCs w:val="0"/>
                <w:color w:val="auto"/>
                <w:kern w:val="0"/>
                <w:sz w:val="24"/>
                <w:szCs w:val="24"/>
                <w:highlight w:val="none"/>
                <w:lang w:val="en-US" w:eastAsia="zh-CN"/>
              </w:rPr>
              <w:t>过渡方案单回</w:t>
            </w:r>
            <w:r>
              <w:rPr>
                <w:rFonts w:hint="default" w:ascii="Times New Roman" w:hAnsi="Times New Roman" w:eastAsia="宋体" w:cs="Times New Roman"/>
                <w:b w:val="0"/>
                <w:bCs w:val="0"/>
                <w:color w:val="auto"/>
                <w:kern w:val="0"/>
                <w:sz w:val="24"/>
                <w:szCs w:val="24"/>
                <w:highlight w:val="none"/>
                <w:lang w:val="en-US" w:eastAsia="zh-CN"/>
              </w:rPr>
              <w:t>线路</w:t>
            </w:r>
            <w:r>
              <w:rPr>
                <w:rFonts w:hint="eastAsia" w:ascii="Times New Roman" w:hAnsi="Times New Roman" w:eastAsia="宋体" w:cs="Times New Roman"/>
                <w:b w:val="0"/>
                <w:bCs w:val="0"/>
                <w:color w:val="auto"/>
                <w:kern w:val="0"/>
                <w:sz w:val="24"/>
                <w:szCs w:val="24"/>
                <w:highlight w:val="none"/>
                <w:lang w:val="en-US" w:eastAsia="zh-CN"/>
              </w:rPr>
              <w:t>类比选取忻州忻南（匡长220kV单回线路），终期方案双回线路</w:t>
            </w:r>
            <w:r>
              <w:rPr>
                <w:rFonts w:hint="default" w:ascii="Times New Roman" w:hAnsi="Times New Roman" w:eastAsia="宋体" w:cs="Times New Roman"/>
                <w:b w:val="0"/>
                <w:bCs w:val="0"/>
                <w:color w:val="auto"/>
                <w:kern w:val="0"/>
                <w:sz w:val="24"/>
                <w:szCs w:val="24"/>
                <w:highlight w:val="none"/>
                <w:lang w:val="en-US" w:eastAsia="zh-CN"/>
              </w:rPr>
              <w:t>选取已投运的运城夏县夏桐 I、II 回 220kV 双回线路进行了噪声的类比监测。双回输电线路以及单回输电线路的类比可比性分析及类比结果见下表。</w:t>
            </w:r>
          </w:p>
          <w:p w14:paraId="51D61617">
            <w:pPr>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right="0" w:firstLine="480"/>
              <w:jc w:val="center"/>
              <w:textAlignment w:val="auto"/>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表4-</w:t>
            </w:r>
            <w:r>
              <w:rPr>
                <w:rFonts w:hint="eastAsia" w:ascii="Times New Roman" w:hAnsi="Times New Roman" w:eastAsia="宋体" w:cs="Times New Roman"/>
                <w:b/>
                <w:snapToGrid w:val="0"/>
                <w:color w:val="auto"/>
                <w:sz w:val="21"/>
                <w:szCs w:val="21"/>
                <w:lang w:val="en-US" w:eastAsia="zh-CN"/>
              </w:rPr>
              <w:t>5</w:t>
            </w:r>
            <w:r>
              <w:rPr>
                <w:rFonts w:hint="default" w:ascii="Times New Roman" w:hAnsi="Times New Roman" w:eastAsia="宋体" w:cs="Times New Roman"/>
                <w:b/>
                <w:snapToGrid w:val="0"/>
                <w:color w:val="auto"/>
                <w:sz w:val="21"/>
                <w:szCs w:val="21"/>
              </w:rPr>
              <w:t xml:space="preserve"> </w:t>
            </w:r>
            <w:r>
              <w:rPr>
                <w:rFonts w:hint="eastAsia" w:ascii="Times New Roman" w:hAnsi="Times New Roman" w:eastAsia="宋体" w:cs="Times New Roman"/>
                <w:b/>
                <w:snapToGrid w:val="0"/>
                <w:color w:val="auto"/>
                <w:sz w:val="21"/>
                <w:szCs w:val="21"/>
                <w:lang w:val="en-US" w:eastAsia="zh-CN"/>
              </w:rPr>
              <w:t>过渡方案</w:t>
            </w:r>
            <w:r>
              <w:rPr>
                <w:rFonts w:hint="default" w:ascii="Times New Roman" w:hAnsi="Times New Roman" w:eastAsia="宋体" w:cs="Times New Roman"/>
                <w:b/>
                <w:snapToGrid w:val="0"/>
                <w:color w:val="auto"/>
                <w:sz w:val="21"/>
                <w:szCs w:val="21"/>
              </w:rPr>
              <w:t>类比的220kV 线路情况一览表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3273"/>
              <w:gridCol w:w="3514"/>
            </w:tblGrid>
            <w:tr w14:paraId="3578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4FA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项目参数</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C7D8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类比线路</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E395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本项目线路</w:t>
                  </w:r>
                </w:p>
              </w:tc>
            </w:tr>
            <w:tr w14:paraId="19F8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A61C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97DF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忻州忻南（匡长 220kV 单回线路）</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50E4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2"/>
                    </w:rPr>
                  </w:pPr>
                  <w:r>
                    <w:rPr>
                      <w:rFonts w:hint="default" w:ascii="Times New Roman" w:hAnsi="Times New Roman" w:eastAsia="宋体" w:cs="Times New Roman"/>
                      <w:color w:val="auto"/>
                      <w:kern w:val="0"/>
                      <w:sz w:val="21"/>
                      <w:szCs w:val="21"/>
                    </w:rPr>
                    <w:t>火山云太行算力中心项目二期扩容220kV输变电工程</w:t>
                  </w:r>
                </w:p>
              </w:tc>
            </w:tr>
            <w:tr w14:paraId="499C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3B49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地理位置</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B3CA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山西省</w:t>
                  </w:r>
                  <w:r>
                    <w:rPr>
                      <w:rFonts w:hint="eastAsia" w:ascii="Times New Roman" w:hAnsi="Times New Roman" w:eastAsia="宋体" w:cs="Times New Roman"/>
                      <w:color w:val="auto"/>
                      <w:kern w:val="0"/>
                      <w:sz w:val="21"/>
                      <w:szCs w:val="21"/>
                      <w:lang w:val="en-US" w:eastAsia="zh-CN"/>
                    </w:rPr>
                    <w:t>忻州市</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72DE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山西省大同市</w:t>
                  </w:r>
                  <w:r>
                    <w:rPr>
                      <w:rFonts w:hint="eastAsia" w:ascii="Times New Roman" w:hAnsi="Times New Roman" w:eastAsia="宋体" w:cs="Times New Roman"/>
                      <w:color w:val="auto"/>
                      <w:kern w:val="0"/>
                      <w:sz w:val="21"/>
                      <w:szCs w:val="21"/>
                      <w:lang w:val="en-US" w:eastAsia="zh-CN"/>
                    </w:rPr>
                    <w:t>广灵</w:t>
                  </w:r>
                  <w:r>
                    <w:rPr>
                      <w:rFonts w:hint="default" w:ascii="Times New Roman" w:hAnsi="Times New Roman" w:eastAsia="宋体" w:cs="Times New Roman"/>
                      <w:color w:val="auto"/>
                      <w:kern w:val="0"/>
                      <w:sz w:val="21"/>
                      <w:szCs w:val="21"/>
                    </w:rPr>
                    <w:t>县境内</w:t>
                  </w:r>
                </w:p>
              </w:tc>
            </w:tr>
            <w:tr w14:paraId="475A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D20A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线路电压</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8076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220kV</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96C3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220kV</w:t>
                  </w:r>
                </w:p>
              </w:tc>
            </w:tr>
            <w:tr w14:paraId="08D5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3A6D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线路最低弧垂</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766A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15m</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0F78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18m</w:t>
                  </w:r>
                </w:p>
              </w:tc>
            </w:tr>
            <w:tr w14:paraId="6471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32B9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线路回数</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7D10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单</w:t>
                  </w:r>
                  <w:r>
                    <w:rPr>
                      <w:rFonts w:hint="default" w:ascii="Times New Roman" w:hAnsi="Times New Roman" w:eastAsia="宋体" w:cs="Times New Roman"/>
                      <w:color w:val="auto"/>
                      <w:kern w:val="0"/>
                      <w:sz w:val="21"/>
                      <w:szCs w:val="21"/>
                    </w:rPr>
                    <w:t>回路</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4C09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单</w:t>
                  </w:r>
                  <w:r>
                    <w:rPr>
                      <w:rFonts w:hint="default" w:ascii="Times New Roman" w:hAnsi="Times New Roman" w:eastAsia="宋体" w:cs="Times New Roman"/>
                      <w:color w:val="auto"/>
                      <w:kern w:val="0"/>
                      <w:sz w:val="21"/>
                      <w:szCs w:val="21"/>
                    </w:rPr>
                    <w:t>回路</w:t>
                  </w:r>
                </w:p>
              </w:tc>
            </w:tr>
            <w:tr w14:paraId="6AC3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5E88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架设方式</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2181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三角排列</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DC3F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三角排列</w:t>
                  </w:r>
                </w:p>
              </w:tc>
            </w:tr>
            <w:tr w14:paraId="1F61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0889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运行工况</w:t>
                  </w:r>
                </w:p>
              </w:tc>
              <w:tc>
                <w:tcPr>
                  <w:tcW w:w="32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DFAB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 xml:space="preserve">监测时距地面高度 1.2m </w:t>
                  </w:r>
                  <w:r>
                    <w:rPr>
                      <w:rFonts w:hint="eastAsia" w:ascii="Times New Roman" w:hAnsi="Times New Roman" w:eastAsia="宋体" w:cs="Times New Roman"/>
                      <w:color w:val="auto"/>
                      <w:kern w:val="0"/>
                      <w:sz w:val="21"/>
                      <w:szCs w:val="21"/>
                      <w:lang w:val="en-US" w:eastAsia="zh-CN"/>
                    </w:rPr>
                    <w:t>，</w:t>
                  </w:r>
                </w:p>
                <w:p w14:paraId="083759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监测工况为：Ua：133.6kV；Ub：133.9kV；Uc：133.1kV；Ia：137.8A；Ib：137.0A；Ic：136.9A。</w:t>
                  </w:r>
                </w:p>
              </w:tc>
              <w:tc>
                <w:tcPr>
                  <w:tcW w:w="35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4096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kern w:val="0"/>
                      <w:sz w:val="21"/>
                      <w:szCs w:val="21"/>
                    </w:rPr>
                  </w:pPr>
                </w:p>
              </w:tc>
            </w:tr>
          </w:tbl>
          <w:p w14:paraId="3A88669D">
            <w:pPr>
              <w:keepNext w:val="0"/>
              <w:keepLines w:val="0"/>
              <w:widowControl w:val="0"/>
              <w:suppressLineNumbers w:val="0"/>
              <w:autoSpaceDE w:val="0"/>
              <w:autoSpaceDN/>
              <w:spacing w:before="0" w:beforeAutospacing="0" w:after="0" w:afterAutospacing="0" w:line="320" w:lineRule="exact"/>
              <w:ind w:left="0" w:right="0" w:firstLine="48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表</w:t>
            </w:r>
            <w:r>
              <w:rPr>
                <w:rFonts w:hint="default" w:ascii="Times New Roman" w:hAnsi="Times New Roman" w:eastAsia="宋体" w:cs="Times New Roman"/>
                <w:b/>
                <w:bCs/>
                <w:color w:val="auto"/>
                <w:kern w:val="2"/>
                <w:sz w:val="21"/>
                <w:szCs w:val="21"/>
                <w:lang w:val="en-US" w:eastAsia="zh-CN" w:bidi="ar"/>
              </w:rPr>
              <w:t>4-</w:t>
            </w:r>
            <w:r>
              <w:rPr>
                <w:rFonts w:hint="eastAsia" w:ascii="Times New Roman" w:hAnsi="Times New Roman" w:eastAsia="宋体" w:cs="Times New Roman"/>
                <w:b/>
                <w:bCs/>
                <w:color w:val="auto"/>
                <w:kern w:val="2"/>
                <w:sz w:val="21"/>
                <w:szCs w:val="21"/>
                <w:lang w:val="en-US" w:eastAsia="zh-CN" w:bidi="ar"/>
              </w:rPr>
              <w:t>6</w:t>
            </w:r>
            <w:r>
              <w:rPr>
                <w:rFonts w:hint="default" w:ascii="Times New Roman" w:hAnsi="Times New Roman" w:eastAsia="宋体" w:cs="Times New Roman"/>
                <w:b/>
                <w:bCs/>
                <w:color w:val="auto"/>
                <w:kern w:val="2"/>
                <w:sz w:val="21"/>
                <w:szCs w:val="21"/>
                <w:lang w:val="en-US" w:eastAsia="zh-CN" w:bidi="ar"/>
              </w:rPr>
              <w:t xml:space="preserve"> </w:t>
            </w:r>
            <w:r>
              <w:rPr>
                <w:rFonts w:hint="eastAsia" w:ascii="Times New Roman" w:hAnsi="Times New Roman" w:eastAsia="宋体" w:cs="Times New Roman"/>
                <w:b/>
                <w:bCs/>
                <w:color w:val="auto"/>
                <w:kern w:val="2"/>
                <w:sz w:val="21"/>
                <w:szCs w:val="21"/>
                <w:lang w:val="en-US" w:eastAsia="zh-CN" w:bidi="ar"/>
              </w:rPr>
              <w:t>终期方案</w:t>
            </w:r>
            <w:r>
              <w:rPr>
                <w:rFonts w:hint="eastAsia" w:ascii="宋体" w:hAnsi="宋体" w:eastAsia="宋体" w:cs="宋体"/>
                <w:b/>
                <w:bCs/>
                <w:color w:val="auto"/>
                <w:kern w:val="2"/>
                <w:sz w:val="21"/>
                <w:szCs w:val="21"/>
                <w:lang w:val="en-US" w:eastAsia="zh-CN" w:bidi="ar"/>
              </w:rPr>
              <w:t>类比的</w:t>
            </w:r>
            <w:r>
              <w:rPr>
                <w:rFonts w:hint="default" w:ascii="Times New Roman" w:hAnsi="Times New Roman" w:eastAsia="宋体" w:cs="Times New Roman"/>
                <w:b/>
                <w:bCs/>
                <w:color w:val="auto"/>
                <w:kern w:val="2"/>
                <w:sz w:val="21"/>
                <w:szCs w:val="21"/>
                <w:lang w:val="en-US" w:eastAsia="zh-CN" w:bidi="ar"/>
              </w:rPr>
              <w:t xml:space="preserve">220kV </w:t>
            </w:r>
            <w:r>
              <w:rPr>
                <w:rFonts w:hint="eastAsia" w:ascii="宋体" w:hAnsi="宋体" w:eastAsia="宋体" w:cs="宋体"/>
                <w:b/>
                <w:bCs/>
                <w:color w:val="auto"/>
                <w:kern w:val="2"/>
                <w:sz w:val="21"/>
                <w:szCs w:val="21"/>
                <w:lang w:val="en-US" w:eastAsia="zh-CN" w:bidi="ar"/>
              </w:rPr>
              <w:t>线路情况一览表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37"/>
              <w:gridCol w:w="3273"/>
              <w:gridCol w:w="3514"/>
            </w:tblGrid>
            <w:tr w14:paraId="6B7C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3CC1B8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项目参数</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64726A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类比线路</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43110D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本项目线路</w:t>
                  </w:r>
                </w:p>
              </w:tc>
            </w:tr>
            <w:tr w14:paraId="7E1B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58C45C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名称</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2EDECA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夏县夏桐</w:t>
                  </w:r>
                  <w:r>
                    <w:rPr>
                      <w:rFonts w:hint="default" w:ascii="Times New Roman" w:hAnsi="Times New Roman" w:eastAsia="宋体" w:cs="Times New Roman"/>
                      <w:b w:val="0"/>
                      <w:bCs w:val="0"/>
                      <w:color w:val="auto"/>
                      <w:kern w:val="0"/>
                      <w:sz w:val="21"/>
                      <w:szCs w:val="21"/>
                      <w:lang w:val="en-US" w:eastAsia="zh-CN" w:bidi="ar"/>
                    </w:rPr>
                    <w:t xml:space="preserve"> I</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 xml:space="preserve">II </w:t>
                  </w:r>
                  <w:r>
                    <w:rPr>
                      <w:rFonts w:hint="eastAsia" w:ascii="宋体" w:hAnsi="宋体" w:eastAsia="宋体" w:cs="宋体"/>
                      <w:b w:val="0"/>
                      <w:bCs w:val="0"/>
                      <w:color w:val="auto"/>
                      <w:kern w:val="0"/>
                      <w:sz w:val="21"/>
                      <w:szCs w:val="21"/>
                      <w:lang w:val="en-US" w:eastAsia="zh-CN" w:bidi="ar"/>
                    </w:rPr>
                    <w:t xml:space="preserve">回 </w:t>
                  </w:r>
                  <w:r>
                    <w:rPr>
                      <w:rFonts w:hint="default" w:ascii="Times New Roman" w:hAnsi="Times New Roman" w:eastAsia="宋体" w:cs="Times New Roman"/>
                      <w:b w:val="0"/>
                      <w:bCs w:val="0"/>
                      <w:color w:val="auto"/>
                      <w:kern w:val="0"/>
                      <w:sz w:val="21"/>
                      <w:szCs w:val="21"/>
                      <w:lang w:val="en-US" w:eastAsia="zh-CN" w:bidi="ar"/>
                    </w:rPr>
                    <w:t xml:space="preserve">220kV </w:t>
                  </w:r>
                  <w:r>
                    <w:rPr>
                      <w:rFonts w:hint="eastAsia" w:ascii="宋体" w:hAnsi="宋体" w:eastAsia="宋体" w:cs="宋体"/>
                      <w:b w:val="0"/>
                      <w:bCs w:val="0"/>
                      <w:color w:val="auto"/>
                      <w:kern w:val="0"/>
                      <w:sz w:val="21"/>
                      <w:szCs w:val="21"/>
                      <w:lang w:val="en-US" w:eastAsia="zh-CN" w:bidi="ar"/>
                    </w:rPr>
                    <w:t>双回线路</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4962D6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等线" w:hAnsi="等线" w:eastAsia="等线" w:cs="Times New Roman"/>
                      <w:color w:val="auto"/>
                      <w:kern w:val="2"/>
                      <w:sz w:val="21"/>
                      <w:szCs w:val="21"/>
                    </w:rPr>
                  </w:pPr>
                  <w:r>
                    <w:rPr>
                      <w:rFonts w:hint="eastAsia" w:ascii="宋体" w:hAnsi="宋体" w:eastAsia="宋体" w:cs="宋体"/>
                      <w:b w:val="0"/>
                      <w:bCs w:val="0"/>
                      <w:color w:val="auto"/>
                      <w:kern w:val="0"/>
                      <w:sz w:val="21"/>
                      <w:szCs w:val="21"/>
                      <w:lang w:val="en-US" w:eastAsia="zh-CN" w:bidi="ar"/>
                    </w:rPr>
                    <w:t>火山云太行算力中心项目二期扩容</w:t>
                  </w:r>
                  <w:r>
                    <w:rPr>
                      <w:rFonts w:hint="default" w:ascii="Times New Roman" w:hAnsi="Times New Roman" w:eastAsia="宋体" w:cs="Times New Roman"/>
                      <w:b w:val="0"/>
                      <w:bCs w:val="0"/>
                      <w:color w:val="auto"/>
                      <w:kern w:val="0"/>
                      <w:sz w:val="21"/>
                      <w:szCs w:val="21"/>
                      <w:lang w:val="en-US" w:eastAsia="zh-CN" w:bidi="ar"/>
                    </w:rPr>
                    <w:t>220kV</w:t>
                  </w:r>
                  <w:r>
                    <w:rPr>
                      <w:rFonts w:hint="eastAsia" w:ascii="宋体" w:hAnsi="宋体" w:eastAsia="宋体" w:cs="宋体"/>
                      <w:b w:val="0"/>
                      <w:bCs w:val="0"/>
                      <w:color w:val="auto"/>
                      <w:kern w:val="0"/>
                      <w:sz w:val="21"/>
                      <w:szCs w:val="21"/>
                      <w:lang w:val="en-US" w:eastAsia="zh-CN" w:bidi="ar"/>
                    </w:rPr>
                    <w:t>输变电工程</w:t>
                  </w:r>
                </w:p>
              </w:tc>
            </w:tr>
            <w:tr w14:paraId="513D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2AD9C8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地理位置</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798CBC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山西省运城市夏县境内</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095475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山西省大同市广灵县境内</w:t>
                  </w:r>
                </w:p>
              </w:tc>
            </w:tr>
            <w:tr w14:paraId="4BEB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39EB5D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线路电压</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036457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220kV</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75E6A8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220kV</w:t>
                  </w:r>
                </w:p>
              </w:tc>
            </w:tr>
            <w:tr w14:paraId="17F5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4FCE89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线路最低弧垂</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6AF2BB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13m</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3DF59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18m</w:t>
                  </w:r>
                </w:p>
              </w:tc>
            </w:tr>
            <w:tr w14:paraId="56A1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58E4C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线路回数</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6FF1CD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双回路</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47976C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双回路</w:t>
                  </w:r>
                </w:p>
              </w:tc>
            </w:tr>
            <w:tr w14:paraId="24CA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40BE51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架设方式</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002343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垂直架设</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0C045A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三角排列</w:t>
                  </w:r>
                </w:p>
              </w:tc>
            </w:tr>
            <w:tr w14:paraId="47E5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3581F4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运行工况</w:t>
                  </w:r>
                </w:p>
              </w:tc>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30398D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监测时距地面高度</w:t>
                  </w:r>
                  <w:r>
                    <w:rPr>
                      <w:rFonts w:hint="default" w:ascii="Times New Roman" w:hAnsi="Times New Roman" w:eastAsia="宋体" w:cs="Times New Roman"/>
                      <w:b w:val="0"/>
                      <w:bCs w:val="0"/>
                      <w:color w:val="auto"/>
                      <w:kern w:val="0"/>
                      <w:sz w:val="21"/>
                      <w:szCs w:val="21"/>
                      <w:lang w:val="en-US" w:eastAsia="zh-CN" w:bidi="ar"/>
                    </w:rPr>
                    <w:t xml:space="preserve"> 1.2m</w:t>
                  </w:r>
                  <w:r>
                    <w:rPr>
                      <w:rFonts w:hint="eastAsia" w:ascii="宋体" w:hAnsi="宋体" w:eastAsia="宋体" w:cs="宋体"/>
                      <w:b w:val="0"/>
                      <w:bCs w:val="0"/>
                      <w:color w:val="auto"/>
                      <w:kern w:val="0"/>
                      <w:sz w:val="21"/>
                      <w:szCs w:val="21"/>
                      <w:lang w:val="en-US" w:eastAsia="zh-CN" w:bidi="ar"/>
                    </w:rPr>
                    <w:t>，监测工况为：夏桐</w:t>
                  </w:r>
                  <w:r>
                    <w:rPr>
                      <w:rFonts w:hint="default" w:ascii="Times New Roman" w:hAnsi="Times New Roman" w:eastAsia="宋体" w:cs="Times New Roman"/>
                      <w:b w:val="0"/>
                      <w:bCs w:val="0"/>
                      <w:color w:val="auto"/>
                      <w:kern w:val="0"/>
                      <w:sz w:val="21"/>
                      <w:szCs w:val="21"/>
                      <w:lang w:val="en-US" w:eastAsia="zh-CN" w:bidi="ar"/>
                    </w:rPr>
                    <w:t>Ⅰ</w:t>
                  </w:r>
                  <w:r>
                    <w:rPr>
                      <w:rFonts w:hint="eastAsia" w:ascii="宋体" w:hAnsi="宋体" w:eastAsia="宋体" w:cs="宋体"/>
                      <w:b w:val="0"/>
                      <w:bCs w:val="0"/>
                      <w:color w:val="auto"/>
                      <w:kern w:val="0"/>
                      <w:sz w:val="21"/>
                      <w:szCs w:val="21"/>
                      <w:lang w:val="en-US" w:eastAsia="zh-CN" w:bidi="ar"/>
                    </w:rPr>
                    <w:t>回：</w:t>
                  </w:r>
                  <w:r>
                    <w:rPr>
                      <w:rFonts w:hint="default" w:ascii="Times New Roman" w:hAnsi="Times New Roman" w:eastAsia="宋体" w:cs="Times New Roman"/>
                      <w:b w:val="0"/>
                      <w:bCs w:val="0"/>
                      <w:color w:val="auto"/>
                      <w:kern w:val="0"/>
                      <w:sz w:val="21"/>
                      <w:szCs w:val="21"/>
                      <w:lang w:val="en-US" w:eastAsia="zh-CN" w:bidi="ar"/>
                    </w:rPr>
                    <w:t>Ua:132.00kV</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Ub:132.06kVUc:131.94kV</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Ia:97.80A</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Ib:89.38A</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Ic:88.64A</w:t>
                  </w:r>
                  <w:r>
                    <w:rPr>
                      <w:rFonts w:hint="eastAsia" w:ascii="宋体" w:hAnsi="宋体" w:eastAsia="宋体" w:cs="宋体"/>
                      <w:b w:val="0"/>
                      <w:bCs w:val="0"/>
                      <w:color w:val="auto"/>
                      <w:kern w:val="0"/>
                      <w:sz w:val="21"/>
                      <w:szCs w:val="21"/>
                      <w:lang w:val="en-US" w:eastAsia="zh-CN" w:bidi="ar"/>
                    </w:rPr>
                    <w:t xml:space="preserve">； </w:t>
                  </w:r>
                </w:p>
                <w:p w14:paraId="273FDF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夏桐</w:t>
                  </w:r>
                  <w:r>
                    <w:rPr>
                      <w:rFonts w:hint="default" w:ascii="Times New Roman" w:hAnsi="Times New Roman" w:eastAsia="宋体" w:cs="Times New Roman"/>
                      <w:b w:val="0"/>
                      <w:bCs w:val="0"/>
                      <w:color w:val="auto"/>
                      <w:kern w:val="0"/>
                      <w:sz w:val="21"/>
                      <w:szCs w:val="21"/>
                      <w:lang w:val="en-US" w:eastAsia="zh-CN" w:bidi="ar"/>
                    </w:rPr>
                    <w:t>Ⅱ</w:t>
                  </w:r>
                  <w:r>
                    <w:rPr>
                      <w:rFonts w:hint="eastAsia" w:ascii="宋体" w:hAnsi="宋体" w:eastAsia="宋体" w:cs="宋体"/>
                      <w:b w:val="0"/>
                      <w:bCs w:val="0"/>
                      <w:color w:val="auto"/>
                      <w:kern w:val="0"/>
                      <w:sz w:val="21"/>
                      <w:szCs w:val="21"/>
                      <w:lang w:val="en-US" w:eastAsia="zh-CN" w:bidi="ar"/>
                    </w:rPr>
                    <w:t>回：</w:t>
                  </w:r>
                  <w:r>
                    <w:rPr>
                      <w:rFonts w:hint="default" w:ascii="Times New Roman" w:hAnsi="Times New Roman" w:eastAsia="宋体" w:cs="Times New Roman"/>
                      <w:b w:val="0"/>
                      <w:bCs w:val="0"/>
                      <w:color w:val="auto"/>
                      <w:kern w:val="0"/>
                      <w:sz w:val="21"/>
                      <w:szCs w:val="21"/>
                      <w:lang w:val="en-US" w:eastAsia="zh-CN" w:bidi="ar"/>
                    </w:rPr>
                    <w:t>Ua:132.00kV</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Ub:132.06kV</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Uc:132.00kV</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Ia:91.57A</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Ib:89.74A</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Ic:97.80A</w:t>
                  </w:r>
                  <w:r>
                    <w:rPr>
                      <w:rFonts w:hint="eastAsia" w:ascii="宋体" w:hAnsi="宋体" w:eastAsia="宋体" w:cs="宋体"/>
                      <w:b w:val="0"/>
                      <w:bCs w:val="0"/>
                      <w:color w:val="auto"/>
                      <w:kern w:val="0"/>
                      <w:sz w:val="21"/>
                      <w:szCs w:val="21"/>
                      <w:lang w:val="en-US" w:eastAsia="zh-CN" w:bidi="ar"/>
                    </w:rPr>
                    <w:t>。</w:t>
                  </w:r>
                </w:p>
              </w:tc>
              <w:tc>
                <w:tcPr>
                  <w:tcW w:w="3514" w:type="dxa"/>
                  <w:tcBorders>
                    <w:top w:val="single" w:color="auto" w:sz="4" w:space="0"/>
                    <w:left w:val="single" w:color="auto" w:sz="4" w:space="0"/>
                    <w:bottom w:val="single" w:color="auto" w:sz="4" w:space="0"/>
                    <w:right w:val="single" w:color="auto" w:sz="4" w:space="0"/>
                  </w:tcBorders>
                  <w:shd w:val="clear" w:color="auto" w:fill="auto"/>
                  <w:vAlign w:val="center"/>
                </w:tcPr>
                <w:p w14:paraId="7A04FF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rPr>
                  </w:pPr>
                </w:p>
              </w:tc>
            </w:tr>
          </w:tbl>
          <w:p w14:paraId="1A8E22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从上表可以看出，本工程过渡方案、终期方案线路与类比监测相比，二者电压等级、线路回数等相同，线路挂高近似，因此采用忻州忻南（匡长 220kV 单回线路）和夏县夏桐 I、II 回 220kV 双回线路作为类比监测对象是合理的。</w:t>
            </w:r>
          </w:p>
          <w:p w14:paraId="7115FEF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80" w:lineRule="exact"/>
              <w:ind w:left="0" w:right="0" w:firstLine="480"/>
              <w:jc w:val="center"/>
              <w:textAlignment w:val="auto"/>
              <w:rPr>
                <w:rFonts w:hint="default" w:ascii="Times New Roman" w:hAnsi="Times New Roman" w:eastAsia="宋体" w:cs="Times New Roman"/>
                <w:b/>
                <w:snapToGrid w:val="0"/>
                <w:color w:val="auto"/>
                <w:sz w:val="21"/>
                <w:szCs w:val="21"/>
                <w:lang w:val="en-US" w:eastAsia="zh-CN"/>
              </w:rPr>
            </w:pPr>
            <w:r>
              <w:rPr>
                <w:rFonts w:hint="default" w:ascii="Times New Roman" w:hAnsi="Times New Roman" w:eastAsia="宋体" w:cs="Times New Roman"/>
                <w:b/>
                <w:snapToGrid w:val="0"/>
                <w:color w:val="auto"/>
                <w:sz w:val="21"/>
                <w:szCs w:val="21"/>
                <w:lang w:val="en-US" w:eastAsia="zh-CN"/>
              </w:rPr>
              <w:t>表 4-</w:t>
            </w:r>
            <w:r>
              <w:rPr>
                <w:rFonts w:hint="eastAsia" w:ascii="Times New Roman" w:hAnsi="Times New Roman" w:eastAsia="宋体" w:cs="Times New Roman"/>
                <w:b/>
                <w:snapToGrid w:val="0"/>
                <w:color w:val="auto"/>
                <w:sz w:val="21"/>
                <w:szCs w:val="21"/>
                <w:lang w:val="en-US" w:eastAsia="zh-CN"/>
              </w:rPr>
              <w:t>7</w:t>
            </w:r>
            <w:r>
              <w:rPr>
                <w:rFonts w:hint="default" w:ascii="Times New Roman" w:hAnsi="Times New Roman" w:eastAsia="宋体" w:cs="Times New Roman"/>
                <w:b/>
                <w:snapToGrid w:val="0"/>
                <w:color w:val="auto"/>
                <w:sz w:val="21"/>
                <w:szCs w:val="21"/>
                <w:lang w:val="en-US" w:eastAsia="zh-CN"/>
              </w:rPr>
              <w:t xml:space="preserve"> 忻州忻南（匡长 220kV 单回线路）噪声等效连续 A 声级监测结果</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205"/>
              <w:gridCol w:w="2872"/>
              <w:gridCol w:w="1665"/>
              <w:gridCol w:w="1665"/>
            </w:tblGrid>
            <w:tr w14:paraId="368D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restart"/>
                  <w:vAlign w:val="center"/>
                </w:tcPr>
                <w:p w14:paraId="00B39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序号</w:t>
                  </w:r>
                </w:p>
              </w:tc>
              <w:tc>
                <w:tcPr>
                  <w:tcW w:w="1205" w:type="dxa"/>
                  <w:vMerge w:val="restart"/>
                  <w:vAlign w:val="center"/>
                </w:tcPr>
                <w:p w14:paraId="5F579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监测位置</w:t>
                  </w:r>
                </w:p>
              </w:tc>
              <w:tc>
                <w:tcPr>
                  <w:tcW w:w="2872" w:type="dxa"/>
                  <w:vMerge w:val="restart"/>
                  <w:vAlign w:val="center"/>
                </w:tcPr>
                <w:p w14:paraId="1EED7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距导线弧垂最大处线路中心的地面投影点距离（m）</w:t>
                  </w:r>
                </w:p>
              </w:tc>
              <w:tc>
                <w:tcPr>
                  <w:tcW w:w="3330" w:type="dxa"/>
                  <w:gridSpan w:val="2"/>
                  <w:vAlign w:val="center"/>
                </w:tcPr>
                <w:p w14:paraId="5EEC6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测量值（dB（A））</w:t>
                  </w:r>
                </w:p>
              </w:tc>
            </w:tr>
            <w:tr w14:paraId="6DED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3F48A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1205" w:type="dxa"/>
                  <w:vMerge w:val="continue"/>
                  <w:vAlign w:val="center"/>
                </w:tcPr>
                <w:p w14:paraId="38794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Merge w:val="continue"/>
                  <w:vAlign w:val="center"/>
                </w:tcPr>
                <w:p w14:paraId="3DC6F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1665" w:type="dxa"/>
                  <w:vAlign w:val="center"/>
                </w:tcPr>
                <w:p w14:paraId="08DAB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昼间</w:t>
                  </w:r>
                </w:p>
              </w:tc>
              <w:tc>
                <w:tcPr>
                  <w:tcW w:w="1665" w:type="dxa"/>
                  <w:vAlign w:val="center"/>
                </w:tcPr>
                <w:p w14:paraId="42FFA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夜间</w:t>
                  </w:r>
                </w:p>
              </w:tc>
            </w:tr>
            <w:tr w14:paraId="7408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0992B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1</w:t>
                  </w:r>
                </w:p>
              </w:tc>
              <w:tc>
                <w:tcPr>
                  <w:tcW w:w="1205" w:type="dxa"/>
                  <w:vMerge w:val="restart"/>
                  <w:vAlign w:val="center"/>
                </w:tcPr>
                <w:p w14:paraId="06948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忻州忻南（匡长220kV单</w:t>
                  </w:r>
                </w:p>
                <w:p w14:paraId="0F3C5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回线路）53#～54#</w:t>
                  </w:r>
                </w:p>
              </w:tc>
              <w:tc>
                <w:tcPr>
                  <w:tcW w:w="2872" w:type="dxa"/>
                  <w:vAlign w:val="center"/>
                </w:tcPr>
                <w:p w14:paraId="441E7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0</w:t>
                  </w:r>
                </w:p>
              </w:tc>
              <w:tc>
                <w:tcPr>
                  <w:tcW w:w="1665" w:type="dxa"/>
                  <w:vAlign w:val="center"/>
                </w:tcPr>
                <w:p w14:paraId="040F1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42.5</w:t>
                  </w:r>
                </w:p>
              </w:tc>
              <w:tc>
                <w:tcPr>
                  <w:tcW w:w="1665" w:type="dxa"/>
                  <w:vAlign w:val="center"/>
                </w:tcPr>
                <w:p w14:paraId="0A42D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39.1</w:t>
                  </w:r>
                </w:p>
              </w:tc>
            </w:tr>
            <w:tr w14:paraId="5617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5C528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2</w:t>
                  </w:r>
                </w:p>
              </w:tc>
              <w:tc>
                <w:tcPr>
                  <w:tcW w:w="1205" w:type="dxa"/>
                  <w:vMerge w:val="continue"/>
                  <w:vAlign w:val="center"/>
                </w:tcPr>
                <w:p w14:paraId="6DA1E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14313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5</w:t>
                  </w:r>
                </w:p>
              </w:tc>
              <w:tc>
                <w:tcPr>
                  <w:tcW w:w="1665" w:type="dxa"/>
                  <w:vAlign w:val="center"/>
                </w:tcPr>
                <w:p w14:paraId="12017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40.5</w:t>
                  </w:r>
                </w:p>
              </w:tc>
              <w:tc>
                <w:tcPr>
                  <w:tcW w:w="1665" w:type="dxa"/>
                  <w:vAlign w:val="center"/>
                </w:tcPr>
                <w:p w14:paraId="34F5C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39.5</w:t>
                  </w:r>
                </w:p>
              </w:tc>
            </w:tr>
            <w:tr w14:paraId="73C5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20C26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w:t>
                  </w:r>
                </w:p>
              </w:tc>
              <w:tc>
                <w:tcPr>
                  <w:tcW w:w="1205" w:type="dxa"/>
                  <w:vMerge w:val="continue"/>
                  <w:vAlign w:val="center"/>
                </w:tcPr>
                <w:p w14:paraId="1F8C3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0562E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10</w:t>
                  </w:r>
                </w:p>
              </w:tc>
              <w:tc>
                <w:tcPr>
                  <w:tcW w:w="1665" w:type="dxa"/>
                  <w:vAlign w:val="center"/>
                </w:tcPr>
                <w:p w14:paraId="652A7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41.5</w:t>
                  </w:r>
                </w:p>
              </w:tc>
              <w:tc>
                <w:tcPr>
                  <w:tcW w:w="1665" w:type="dxa"/>
                  <w:vAlign w:val="center"/>
                </w:tcPr>
                <w:p w14:paraId="1DF97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39.3</w:t>
                  </w:r>
                </w:p>
              </w:tc>
            </w:tr>
            <w:tr w14:paraId="5713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3C71D9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w:t>
                  </w:r>
                </w:p>
              </w:tc>
              <w:tc>
                <w:tcPr>
                  <w:tcW w:w="1205" w:type="dxa"/>
                  <w:vMerge w:val="continue"/>
                  <w:vAlign w:val="center"/>
                </w:tcPr>
                <w:p w14:paraId="2A1D8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0083F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15</w:t>
                  </w:r>
                </w:p>
              </w:tc>
              <w:tc>
                <w:tcPr>
                  <w:tcW w:w="1665" w:type="dxa"/>
                  <w:vAlign w:val="center"/>
                </w:tcPr>
                <w:p w14:paraId="22635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41.4</w:t>
                  </w:r>
                </w:p>
              </w:tc>
              <w:tc>
                <w:tcPr>
                  <w:tcW w:w="1665" w:type="dxa"/>
                  <w:vAlign w:val="center"/>
                </w:tcPr>
                <w:p w14:paraId="28792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38.3</w:t>
                  </w:r>
                </w:p>
              </w:tc>
            </w:tr>
            <w:tr w14:paraId="3B2E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65820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5</w:t>
                  </w:r>
                </w:p>
              </w:tc>
              <w:tc>
                <w:tcPr>
                  <w:tcW w:w="1205" w:type="dxa"/>
                  <w:vMerge w:val="continue"/>
                  <w:vAlign w:val="center"/>
                </w:tcPr>
                <w:p w14:paraId="11225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69405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20</w:t>
                  </w:r>
                </w:p>
              </w:tc>
              <w:tc>
                <w:tcPr>
                  <w:tcW w:w="1665" w:type="dxa"/>
                  <w:vAlign w:val="center"/>
                </w:tcPr>
                <w:p w14:paraId="382A4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41.6</w:t>
                  </w:r>
                </w:p>
              </w:tc>
              <w:tc>
                <w:tcPr>
                  <w:tcW w:w="1665" w:type="dxa"/>
                  <w:vAlign w:val="center"/>
                </w:tcPr>
                <w:p w14:paraId="66485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39.6</w:t>
                  </w:r>
                </w:p>
              </w:tc>
            </w:tr>
            <w:tr w14:paraId="19BD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6D281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6</w:t>
                  </w:r>
                </w:p>
              </w:tc>
              <w:tc>
                <w:tcPr>
                  <w:tcW w:w="1205" w:type="dxa"/>
                  <w:vMerge w:val="continue"/>
                  <w:vAlign w:val="center"/>
                </w:tcPr>
                <w:p w14:paraId="7AF59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2825A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25</w:t>
                  </w:r>
                </w:p>
              </w:tc>
              <w:tc>
                <w:tcPr>
                  <w:tcW w:w="1665" w:type="dxa"/>
                  <w:vAlign w:val="center"/>
                </w:tcPr>
                <w:p w14:paraId="0E114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41.2</w:t>
                  </w:r>
                </w:p>
              </w:tc>
              <w:tc>
                <w:tcPr>
                  <w:tcW w:w="1665" w:type="dxa"/>
                  <w:vAlign w:val="center"/>
                </w:tcPr>
                <w:p w14:paraId="5527E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39.5</w:t>
                  </w:r>
                </w:p>
              </w:tc>
            </w:tr>
            <w:tr w14:paraId="59F1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7" w:type="dxa"/>
                  <w:vAlign w:val="center"/>
                </w:tcPr>
                <w:p w14:paraId="04987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7</w:t>
                  </w:r>
                </w:p>
              </w:tc>
              <w:tc>
                <w:tcPr>
                  <w:tcW w:w="1205" w:type="dxa"/>
                  <w:vMerge w:val="continue"/>
                  <w:vAlign w:val="center"/>
                </w:tcPr>
                <w:p w14:paraId="4944A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6B2CE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30</w:t>
                  </w:r>
                </w:p>
              </w:tc>
              <w:tc>
                <w:tcPr>
                  <w:tcW w:w="1665" w:type="dxa"/>
                  <w:vAlign w:val="center"/>
                </w:tcPr>
                <w:p w14:paraId="6C270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40.3</w:t>
                  </w:r>
                </w:p>
              </w:tc>
              <w:tc>
                <w:tcPr>
                  <w:tcW w:w="1665" w:type="dxa"/>
                  <w:vAlign w:val="center"/>
                </w:tcPr>
                <w:p w14:paraId="39261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38.9</w:t>
                  </w:r>
                </w:p>
              </w:tc>
            </w:tr>
            <w:tr w14:paraId="3847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2E69D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8</w:t>
                  </w:r>
                </w:p>
              </w:tc>
              <w:tc>
                <w:tcPr>
                  <w:tcW w:w="1205" w:type="dxa"/>
                  <w:vMerge w:val="continue"/>
                  <w:vAlign w:val="center"/>
                </w:tcPr>
                <w:p w14:paraId="6770D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122D2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35</w:t>
                  </w:r>
                </w:p>
              </w:tc>
              <w:tc>
                <w:tcPr>
                  <w:tcW w:w="1665" w:type="dxa"/>
                  <w:vAlign w:val="center"/>
                </w:tcPr>
                <w:p w14:paraId="7373FF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40.8</w:t>
                  </w:r>
                </w:p>
              </w:tc>
              <w:tc>
                <w:tcPr>
                  <w:tcW w:w="1665" w:type="dxa"/>
                  <w:vAlign w:val="center"/>
                </w:tcPr>
                <w:p w14:paraId="4DC19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39.9</w:t>
                  </w:r>
                </w:p>
              </w:tc>
            </w:tr>
            <w:tr w14:paraId="1FC5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14:paraId="3E89D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9</w:t>
                  </w:r>
                </w:p>
              </w:tc>
              <w:tc>
                <w:tcPr>
                  <w:tcW w:w="1205" w:type="dxa"/>
                  <w:vMerge w:val="continue"/>
                  <w:vAlign w:val="center"/>
                </w:tcPr>
                <w:p w14:paraId="07A32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2872" w:type="dxa"/>
                  <w:vAlign w:val="center"/>
                </w:tcPr>
                <w:p w14:paraId="7731F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40</w:t>
                  </w:r>
                </w:p>
              </w:tc>
              <w:tc>
                <w:tcPr>
                  <w:tcW w:w="1665" w:type="dxa"/>
                  <w:vAlign w:val="center"/>
                </w:tcPr>
                <w:p w14:paraId="5F361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41.1</w:t>
                  </w:r>
                </w:p>
              </w:tc>
              <w:tc>
                <w:tcPr>
                  <w:tcW w:w="1665" w:type="dxa"/>
                  <w:vAlign w:val="center"/>
                </w:tcPr>
                <w:p w14:paraId="31655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38.6</w:t>
                  </w:r>
                </w:p>
              </w:tc>
            </w:tr>
            <w:tr w14:paraId="3502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4" w:type="dxa"/>
                  <w:gridSpan w:val="5"/>
                  <w:vAlign w:val="center"/>
                </w:tcPr>
                <w:p w14:paraId="3337A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 xml:space="preserve">监测时距地面高度 1.2m </w:t>
                  </w:r>
                </w:p>
                <w:p w14:paraId="22D80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监测工况为：Ua：133.6kV；Ub：133.9kV；Uc：133.1kV；Ia：137.8A；Ib：137.0A；Ic：136.9A。</w:t>
                  </w:r>
                </w:p>
              </w:tc>
            </w:tr>
          </w:tbl>
          <w:p w14:paraId="7A7EB6DF">
            <w:pPr>
              <w:keepNext w:val="0"/>
              <w:keepLines w:val="0"/>
              <w:pageBreakBefore w:val="0"/>
              <w:widowControl w:val="0"/>
              <w:suppressLineNumbers w:val="0"/>
              <w:kinsoku/>
              <w:wordWrap/>
              <w:overflowPunct/>
              <w:topLinePunct w:val="0"/>
              <w:autoSpaceDN/>
              <w:bidi w:val="0"/>
              <w:adjustRightInd/>
              <w:snapToGrid/>
              <w:spacing w:before="0" w:beforeLines="0" w:beforeAutospacing="0" w:after="0" w:afterLines="0" w:afterAutospacing="0" w:line="240" w:lineRule="auto"/>
              <w:ind w:left="0" w:right="0" w:firstLine="480"/>
              <w:jc w:val="center"/>
              <w:textAlignment w:val="auto"/>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表</w:t>
            </w:r>
            <w:r>
              <w:rPr>
                <w:rFonts w:hint="default" w:ascii="Times New Roman" w:hAnsi="Times New Roman" w:eastAsia="宋体" w:cs="Times New Roman"/>
                <w:b/>
                <w:bCs w:val="0"/>
                <w:color w:val="auto"/>
                <w:kern w:val="2"/>
                <w:sz w:val="21"/>
                <w:szCs w:val="21"/>
                <w:lang w:val="en-US" w:eastAsia="zh-CN" w:bidi="ar"/>
              </w:rPr>
              <w:t xml:space="preserve"> 4-</w:t>
            </w:r>
            <w:r>
              <w:rPr>
                <w:rFonts w:hint="eastAsia" w:ascii="Times New Roman" w:hAnsi="Times New Roman" w:eastAsia="宋体" w:cs="Times New Roman"/>
                <w:b/>
                <w:bCs w:val="0"/>
                <w:color w:val="auto"/>
                <w:kern w:val="2"/>
                <w:sz w:val="21"/>
                <w:szCs w:val="21"/>
                <w:lang w:val="en-US" w:eastAsia="zh-CN" w:bidi="ar"/>
              </w:rPr>
              <w:t>8</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 xml:space="preserve">忻州忻南（匡长 </w:t>
            </w:r>
            <w:r>
              <w:rPr>
                <w:rFonts w:hint="default" w:ascii="Times New Roman" w:hAnsi="Times New Roman" w:eastAsia="宋体" w:cs="Times New Roman"/>
                <w:b/>
                <w:bCs w:val="0"/>
                <w:color w:val="auto"/>
                <w:kern w:val="2"/>
                <w:sz w:val="21"/>
                <w:szCs w:val="21"/>
                <w:lang w:val="en-US" w:eastAsia="zh-CN" w:bidi="ar"/>
              </w:rPr>
              <w:t xml:space="preserve">220kV </w:t>
            </w:r>
            <w:r>
              <w:rPr>
                <w:rFonts w:hint="eastAsia" w:ascii="宋体" w:hAnsi="宋体" w:eastAsia="宋体" w:cs="宋体"/>
                <w:b/>
                <w:bCs w:val="0"/>
                <w:color w:val="auto"/>
                <w:kern w:val="2"/>
                <w:sz w:val="21"/>
                <w:szCs w:val="21"/>
                <w:lang w:val="en-US" w:eastAsia="zh-CN" w:bidi="ar"/>
              </w:rPr>
              <w:t xml:space="preserve">单回线路）噪声等效连续 </w:t>
            </w:r>
            <w:r>
              <w:rPr>
                <w:rFonts w:hint="default" w:ascii="Times New Roman" w:hAnsi="Times New Roman" w:eastAsia="宋体" w:cs="Times New Roman"/>
                <w:b/>
                <w:bCs w:val="0"/>
                <w:color w:val="auto"/>
                <w:kern w:val="2"/>
                <w:sz w:val="21"/>
                <w:szCs w:val="21"/>
                <w:lang w:val="en-US" w:eastAsia="zh-CN" w:bidi="ar"/>
              </w:rPr>
              <w:t xml:space="preserve">A </w:t>
            </w:r>
            <w:r>
              <w:rPr>
                <w:rFonts w:hint="eastAsia" w:ascii="宋体" w:hAnsi="宋体" w:eastAsia="宋体" w:cs="宋体"/>
                <w:b/>
                <w:bCs w:val="0"/>
                <w:color w:val="auto"/>
                <w:kern w:val="2"/>
                <w:sz w:val="21"/>
                <w:szCs w:val="21"/>
                <w:lang w:val="en-US" w:eastAsia="zh-CN" w:bidi="ar"/>
              </w:rPr>
              <w:t>声级监测结果</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17"/>
              <w:gridCol w:w="1205"/>
              <w:gridCol w:w="2872"/>
              <w:gridCol w:w="1665"/>
              <w:gridCol w:w="1665"/>
            </w:tblGrid>
            <w:tr w14:paraId="274C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E5F81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序号</w:t>
                  </w:r>
                </w:p>
              </w:tc>
              <w:tc>
                <w:tcPr>
                  <w:tcW w:w="12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DAEB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监测位置</w:t>
                  </w:r>
                </w:p>
              </w:tc>
              <w:tc>
                <w:tcPr>
                  <w:tcW w:w="28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C3C30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距导线弧垂最大处线路中心的地面投影点距离（</w:t>
                  </w:r>
                  <w:r>
                    <w:rPr>
                      <w:rFonts w:hint="default" w:ascii="Times New Roman" w:hAnsi="Times New Roman" w:eastAsia="宋体" w:cs="Times New Roman"/>
                      <w:b w:val="0"/>
                      <w:bCs w:val="0"/>
                      <w:color w:val="auto"/>
                      <w:kern w:val="2"/>
                      <w:sz w:val="21"/>
                      <w:szCs w:val="21"/>
                      <w:lang w:val="en-US" w:eastAsia="zh-CN" w:bidi="ar"/>
                    </w:rPr>
                    <w:t>m</w:t>
                  </w:r>
                  <w:r>
                    <w:rPr>
                      <w:rFonts w:hint="eastAsia" w:ascii="宋体" w:hAnsi="宋体" w:eastAsia="宋体" w:cs="宋体"/>
                      <w:b w:val="0"/>
                      <w:bCs w:val="0"/>
                      <w:color w:val="auto"/>
                      <w:kern w:val="2"/>
                      <w:sz w:val="21"/>
                      <w:szCs w:val="21"/>
                      <w:lang w:val="en-US" w:eastAsia="zh-CN" w:bidi="ar"/>
                    </w:rPr>
                    <w:t>）</w:t>
                  </w:r>
                </w:p>
              </w:tc>
              <w:tc>
                <w:tcPr>
                  <w:tcW w:w="33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13264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测量值（</w:t>
                  </w:r>
                  <w:r>
                    <w:rPr>
                      <w:rFonts w:hint="default" w:ascii="Times New Roman" w:hAnsi="Times New Roman" w:eastAsia="宋体" w:cs="Times New Roman"/>
                      <w:b w:val="0"/>
                      <w:bCs w:val="0"/>
                      <w:color w:val="auto"/>
                      <w:kern w:val="2"/>
                      <w:sz w:val="21"/>
                      <w:szCs w:val="21"/>
                      <w:lang w:val="en-US" w:eastAsia="zh-CN" w:bidi="ar"/>
                    </w:rPr>
                    <w:t>dB</w:t>
                  </w:r>
                  <w:r>
                    <w:rPr>
                      <w:rFonts w:hint="eastAsia" w:ascii="宋体" w:hAnsi="宋体" w:eastAsia="宋体" w:cs="宋体"/>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A</w:t>
                  </w:r>
                  <w:r>
                    <w:rPr>
                      <w:rFonts w:hint="eastAsia" w:ascii="宋体" w:hAnsi="宋体" w:eastAsia="宋体" w:cs="宋体"/>
                      <w:b w:val="0"/>
                      <w:bCs w:val="0"/>
                      <w:color w:val="auto"/>
                      <w:kern w:val="2"/>
                      <w:sz w:val="21"/>
                      <w:szCs w:val="21"/>
                      <w:lang w:val="en-US" w:eastAsia="zh-CN" w:bidi="ar"/>
                    </w:rPr>
                    <w:t>））</w:t>
                  </w:r>
                </w:p>
              </w:tc>
            </w:tr>
            <w:tr w14:paraId="6B0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05FD6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12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B355C0">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A0328F">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044A81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昼间</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3BD4DB8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夜间</w:t>
                  </w:r>
                </w:p>
              </w:tc>
            </w:tr>
            <w:tr w14:paraId="4C72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0CD5BBB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w:t>
                  </w:r>
                </w:p>
              </w:tc>
              <w:tc>
                <w:tcPr>
                  <w:tcW w:w="1205" w:type="dxa"/>
                  <w:vMerge w:val="restart"/>
                  <w:tcBorders>
                    <w:top w:val="nil"/>
                    <w:left w:val="single" w:color="auto" w:sz="4" w:space="0"/>
                    <w:bottom w:val="single" w:color="auto" w:sz="4" w:space="0"/>
                    <w:right w:val="single" w:color="auto" w:sz="4" w:space="0"/>
                  </w:tcBorders>
                  <w:shd w:val="clear" w:color="auto" w:fill="auto"/>
                  <w:vAlign w:val="center"/>
                </w:tcPr>
                <w:p w14:paraId="1C4379F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夏桐 I、II 回220kV 双回输电线路</w:t>
                  </w:r>
                </w:p>
                <w:p w14:paraId="38513F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0C3F5F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0</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020C36B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39.4</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2A69211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35.0</w:t>
                  </w:r>
                </w:p>
              </w:tc>
            </w:tr>
            <w:tr w14:paraId="4E57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47972E9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5FB60A0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17FC75D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09A1D0F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35.1</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79C704D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37.2</w:t>
                  </w:r>
                </w:p>
              </w:tc>
            </w:tr>
            <w:tr w14:paraId="1080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1C748F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3</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6B627CD2">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638FA0F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10</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073AEAB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40.9</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153A7D3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33.7</w:t>
                  </w:r>
                </w:p>
              </w:tc>
            </w:tr>
            <w:tr w14:paraId="7DCC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0F9EB31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4</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28FA46B8">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049BF9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15</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6E56491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42.6</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64D093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33.6</w:t>
                  </w:r>
                </w:p>
              </w:tc>
            </w:tr>
            <w:tr w14:paraId="7B7F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669262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3D999B56">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588E499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20</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5BD36AF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37.4</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4C8210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34.2</w:t>
                  </w:r>
                </w:p>
              </w:tc>
            </w:tr>
            <w:tr w14:paraId="496C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6A2468C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6</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25B74FE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69EADC7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25</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5C34F6D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33.6</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1D527C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28.0</w:t>
                  </w:r>
                </w:p>
              </w:tc>
            </w:tr>
            <w:tr w14:paraId="4286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7A2B78B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7</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24B23749">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257F317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30</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7D2E53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31.7</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3E4305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28.0</w:t>
                  </w:r>
                </w:p>
              </w:tc>
            </w:tr>
            <w:tr w14:paraId="34F1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0E7FD9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8</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4DAFAFDA">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4297E9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35</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321B2D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36.0</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63981F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34.9</w:t>
                  </w:r>
                </w:p>
              </w:tc>
            </w:tr>
            <w:tr w14:paraId="1127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14:paraId="05D7DCF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9</w:t>
                  </w:r>
                </w:p>
              </w:tc>
              <w:tc>
                <w:tcPr>
                  <w:tcW w:w="1205" w:type="dxa"/>
                  <w:vMerge w:val="continue"/>
                  <w:tcBorders>
                    <w:top w:val="nil"/>
                    <w:left w:val="single" w:color="auto" w:sz="4" w:space="0"/>
                    <w:bottom w:val="single" w:color="auto" w:sz="4" w:space="0"/>
                    <w:right w:val="single" w:color="auto" w:sz="4" w:space="0"/>
                  </w:tcBorders>
                  <w:shd w:val="clear" w:color="auto" w:fill="auto"/>
                  <w:vAlign w:val="center"/>
                </w:tcPr>
                <w:p w14:paraId="53FDEDE5">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2872" w:type="dxa"/>
                  <w:tcBorders>
                    <w:top w:val="single" w:color="auto" w:sz="4" w:space="0"/>
                    <w:left w:val="single" w:color="auto" w:sz="4" w:space="0"/>
                    <w:bottom w:val="single" w:color="auto" w:sz="4" w:space="0"/>
                    <w:right w:val="single" w:color="auto" w:sz="4" w:space="0"/>
                  </w:tcBorders>
                  <w:shd w:val="clear" w:color="auto" w:fill="auto"/>
                  <w:vAlign w:val="center"/>
                </w:tcPr>
                <w:p w14:paraId="3CCFC16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40</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32E389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37.1</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051C5DA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32.9</w:t>
                  </w:r>
                </w:p>
              </w:tc>
            </w:tr>
            <w:tr w14:paraId="445F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F5A22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 xml:space="preserve">监测时距地面高度 1.2m，监测工况为： </w:t>
                  </w:r>
                </w:p>
                <w:p w14:paraId="300EC78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 xml:space="preserve">夏桐Ⅰ回：Ua:132.00kV；Ub:132.06kVUc:131.94kV；Ia:97.80A；Ib:89.38A；Ic:88.64A； </w:t>
                  </w:r>
                </w:p>
                <w:p w14:paraId="47E262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夏桐Ⅱ回：Ua:132.00kV；Ub:132.06kV；Uc:132.00kV；Ia:91.57A；Ib:89.74A；Ic:97.80A。</w:t>
                  </w:r>
                </w:p>
              </w:tc>
            </w:tr>
          </w:tbl>
          <w:p w14:paraId="1E5EE7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根据项目塔型图，</w:t>
            </w:r>
            <w:r>
              <w:rPr>
                <w:rFonts w:hint="eastAsia" w:ascii="Times New Roman" w:hAnsi="Times New Roman" w:eastAsia="宋体" w:cs="Times New Roman"/>
                <w:b w:val="0"/>
                <w:bCs w:val="0"/>
                <w:color w:val="auto"/>
                <w:kern w:val="0"/>
                <w:sz w:val="24"/>
                <w:szCs w:val="24"/>
                <w:highlight w:val="none"/>
                <w:lang w:val="en-US" w:eastAsia="zh-CN"/>
              </w:rPr>
              <w:t>终期方案</w:t>
            </w:r>
            <w:r>
              <w:rPr>
                <w:rFonts w:hint="default" w:ascii="Times New Roman" w:hAnsi="Times New Roman" w:eastAsia="宋体" w:cs="Times New Roman"/>
                <w:b w:val="0"/>
                <w:bCs w:val="0"/>
                <w:color w:val="auto"/>
                <w:kern w:val="0"/>
                <w:sz w:val="24"/>
                <w:szCs w:val="24"/>
                <w:highlight w:val="none"/>
                <w:lang w:val="en-US" w:eastAsia="zh-CN"/>
              </w:rPr>
              <w:t>双回输电线路项目最低呼高为</w:t>
            </w:r>
            <w:r>
              <w:rPr>
                <w:rFonts w:hint="eastAsia" w:ascii="Times New Roman" w:hAnsi="Times New Roman" w:eastAsia="宋体" w:cs="Times New Roman"/>
                <w:b w:val="0"/>
                <w:bCs w:val="0"/>
                <w:color w:val="auto"/>
                <w:kern w:val="0"/>
                <w:sz w:val="24"/>
                <w:szCs w:val="24"/>
                <w:highlight w:val="none"/>
                <w:lang w:val="en-US" w:eastAsia="zh-CN"/>
              </w:rPr>
              <w:t>18</w:t>
            </w:r>
            <w:r>
              <w:rPr>
                <w:rFonts w:hint="default" w:ascii="Times New Roman" w:hAnsi="Times New Roman" w:eastAsia="宋体" w:cs="Times New Roman"/>
                <w:b w:val="0"/>
                <w:bCs w:val="0"/>
                <w:color w:val="auto"/>
                <w:kern w:val="0"/>
                <w:sz w:val="24"/>
                <w:szCs w:val="24"/>
                <w:highlight w:val="none"/>
                <w:lang w:val="en-US" w:eastAsia="zh-CN"/>
              </w:rPr>
              <w:t>m，</w:t>
            </w:r>
            <w:r>
              <w:rPr>
                <w:rFonts w:hint="eastAsia" w:ascii="Times New Roman" w:hAnsi="Times New Roman" w:eastAsia="宋体" w:cs="Times New Roman"/>
                <w:b w:val="0"/>
                <w:bCs w:val="0"/>
                <w:color w:val="auto"/>
                <w:kern w:val="0"/>
                <w:sz w:val="24"/>
                <w:szCs w:val="24"/>
                <w:highlight w:val="none"/>
                <w:lang w:val="en-US" w:eastAsia="zh-CN"/>
              </w:rPr>
              <w:t>过渡方案</w:t>
            </w:r>
            <w:r>
              <w:rPr>
                <w:rFonts w:hint="default" w:ascii="Times New Roman" w:hAnsi="Times New Roman" w:eastAsia="宋体" w:cs="Times New Roman"/>
                <w:b w:val="0"/>
                <w:bCs w:val="0"/>
                <w:color w:val="auto"/>
                <w:kern w:val="0"/>
                <w:sz w:val="24"/>
                <w:szCs w:val="24"/>
                <w:highlight w:val="none"/>
                <w:lang w:val="en-US" w:eastAsia="zh-CN"/>
              </w:rPr>
              <w:t>单回输电线路最低呼高为18m，项目沿线弧垂根据地形而变动，项目临近敏感区时采用高跨塔基进行线路架设，最低弧垂高度均不低于18m，均高于类比线路最低弧垂高度。因此通过类比线路产生的噪声影响程度可以看出，线路运行后线路下方的噪声值不高，可以预计本工程运行期间产生的噪声将维持现有水平，不会对环境声环境水平造成大的影响，噪声影响范围在可接受范围内。</w:t>
            </w:r>
          </w:p>
          <w:p w14:paraId="7B26C1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 xml:space="preserve">2）敏感目标噪声预测分析 </w:t>
            </w:r>
          </w:p>
          <w:p w14:paraId="7031C9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由双回路和单回路噪声监测类比分析可知，线路运行后线路下方的噪声值不高，可以预计本工程运行期间产生的噪声将维持现有水平，不会对环境声环境水平造成大的影响，噪声影响范围在可接受范围内。根据噪声敏感目标的分布情况，本项目距离线路下方最近的敏感目标水平距离为1</w:t>
            </w:r>
            <w:r>
              <w:rPr>
                <w:rFonts w:hint="eastAsia" w:ascii="Times New Roman" w:hAnsi="Times New Roman" w:eastAsia="宋体" w:cs="Times New Roman"/>
                <w:b w:val="0"/>
                <w:bCs w:val="0"/>
                <w:color w:val="auto"/>
                <w:kern w:val="0"/>
                <w:sz w:val="24"/>
                <w:szCs w:val="24"/>
                <w:highlight w:val="none"/>
                <w:lang w:val="en-US" w:eastAsia="zh-CN"/>
              </w:rPr>
              <w:t>5</w:t>
            </w:r>
            <w:r>
              <w:rPr>
                <w:rFonts w:hint="default" w:ascii="Times New Roman" w:hAnsi="Times New Roman" w:eastAsia="宋体" w:cs="Times New Roman"/>
                <w:b w:val="0"/>
                <w:bCs w:val="0"/>
                <w:color w:val="auto"/>
                <w:kern w:val="0"/>
                <w:sz w:val="24"/>
                <w:szCs w:val="24"/>
                <w:highlight w:val="none"/>
                <w:lang w:val="en-US" w:eastAsia="zh-CN"/>
              </w:rPr>
              <w:t>m，根据类比分析，线路运行最大贡献值昼间不高于42.6dB（A），夜间不高于 39.6dB（A），因此线路运行后对敏感目标的影响能够满足《声环境质量标准》（GB3096-2008）中 1 类标准限值的要求。</w:t>
            </w:r>
          </w:p>
          <w:p w14:paraId="2A41B3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（2）变电站</w:t>
            </w:r>
          </w:p>
          <w:p w14:paraId="07E878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1）设备声源 </w:t>
            </w:r>
          </w:p>
          <w:p w14:paraId="56DEE1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变电站运行噪声主要来自主变压器、电抗器等大型声源设备，一般情况下变电站运行噪声来自主变压器。本项目变电站主变拟采用150MVA低噪变压器。主变户内布置，主变拟采用油浸自冷主变，根据《变电站噪声控制技术导则》(DL/T1518-2016)，本项目220kV变压器声功率级不大于88.5dB（A），1m远处的声压级不大于65.2dB(A)。</w:t>
            </w:r>
          </w:p>
          <w:p w14:paraId="2A5DD1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本期设备噪声源强调查清单见表4-9。</w:t>
            </w:r>
          </w:p>
          <w:p w14:paraId="5FD9DB4B">
            <w:pPr>
              <w:keepNext w:val="0"/>
              <w:keepLines w:val="0"/>
              <w:suppressLineNumbers w:val="0"/>
              <w:spacing w:before="0" w:beforeLines="0" w:beforeAutospacing="0" w:after="0" w:afterLines="0" w:afterAutospacing="0" w:line="320" w:lineRule="exact"/>
              <w:ind w:left="0" w:right="0" w:firstLine="480"/>
              <w:jc w:val="center"/>
              <w:rPr>
                <w:rFonts w:hint="eastAsia" w:ascii="Times New Roman" w:hAnsi="Times New Roman" w:eastAsia="宋体" w:cs="Times New Roman"/>
                <w:b/>
                <w:snapToGrid w:val="0"/>
                <w:color w:val="auto"/>
                <w:sz w:val="21"/>
                <w:szCs w:val="21"/>
                <w:lang w:val="en-US" w:eastAsia="zh-CN"/>
              </w:rPr>
            </w:pPr>
            <w:r>
              <w:rPr>
                <w:rFonts w:hint="eastAsia" w:ascii="Times New Roman" w:hAnsi="Times New Roman" w:eastAsia="宋体" w:cs="Times New Roman"/>
                <w:b/>
                <w:snapToGrid w:val="0"/>
                <w:color w:val="auto"/>
                <w:sz w:val="21"/>
                <w:szCs w:val="21"/>
                <w:lang w:val="en-US" w:eastAsia="zh-CN"/>
              </w:rPr>
              <w:t>表4-9本项目调查源强清单</w:t>
            </w:r>
          </w:p>
          <w:tbl>
            <w:tblPr>
              <w:tblStyle w:val="1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52"/>
              <w:gridCol w:w="1583"/>
              <w:gridCol w:w="616"/>
              <w:gridCol w:w="679"/>
              <w:gridCol w:w="587"/>
              <w:gridCol w:w="666"/>
              <w:gridCol w:w="999"/>
              <w:gridCol w:w="1295"/>
              <w:gridCol w:w="744"/>
            </w:tblGrid>
            <w:tr w14:paraId="1F188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93" w:type="pct"/>
                  <w:vMerge w:val="restart"/>
                  <w:tcBorders>
                    <w:bottom w:val="nil"/>
                  </w:tcBorders>
                  <w:vAlign w:val="center"/>
                </w:tcPr>
                <w:p w14:paraId="722AB321">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声源</w:t>
                  </w:r>
                </w:p>
                <w:p w14:paraId="20CFB70A">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名称</w:t>
                  </w:r>
                </w:p>
              </w:tc>
              <w:tc>
                <w:tcPr>
                  <w:tcW w:w="951" w:type="pct"/>
                  <w:vMerge w:val="restart"/>
                  <w:tcBorders>
                    <w:bottom w:val="nil"/>
                  </w:tcBorders>
                  <w:vAlign w:val="center"/>
                </w:tcPr>
                <w:p w14:paraId="76BFD49B">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型号</w:t>
                  </w:r>
                </w:p>
              </w:tc>
              <w:tc>
                <w:tcPr>
                  <w:tcW w:w="1131" w:type="pct"/>
                  <w:gridSpan w:val="3"/>
                  <w:vAlign w:val="center"/>
                </w:tcPr>
                <w:p w14:paraId="6EC5B492">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空间相对位置</w:t>
                  </w:r>
                </w:p>
              </w:tc>
              <w:tc>
                <w:tcPr>
                  <w:tcW w:w="400" w:type="pct"/>
                  <w:vMerge w:val="restart"/>
                  <w:tcBorders>
                    <w:bottom w:val="nil"/>
                  </w:tcBorders>
                  <w:vAlign w:val="center"/>
                </w:tcPr>
                <w:p w14:paraId="694A6167">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声源类 型</w:t>
                  </w:r>
                </w:p>
              </w:tc>
              <w:tc>
                <w:tcPr>
                  <w:tcW w:w="600" w:type="pct"/>
                  <w:vMerge w:val="restart"/>
                  <w:tcBorders>
                    <w:bottom w:val="nil"/>
                  </w:tcBorders>
                  <w:vAlign w:val="center"/>
                </w:tcPr>
                <w:p w14:paraId="5F56F37D">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声功率级 /dB(A)</w:t>
                  </w:r>
                </w:p>
              </w:tc>
              <w:tc>
                <w:tcPr>
                  <w:tcW w:w="778" w:type="pct"/>
                  <w:vMerge w:val="restart"/>
                  <w:tcBorders>
                    <w:bottom w:val="nil"/>
                  </w:tcBorders>
                  <w:vAlign w:val="center"/>
                </w:tcPr>
                <w:p w14:paraId="43C9A521">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声源控制措施</w:t>
                  </w:r>
                </w:p>
              </w:tc>
              <w:tc>
                <w:tcPr>
                  <w:tcW w:w="445" w:type="pct"/>
                  <w:vMerge w:val="restart"/>
                  <w:tcBorders>
                    <w:bottom w:val="nil"/>
                  </w:tcBorders>
                  <w:vAlign w:val="center"/>
                </w:tcPr>
                <w:p w14:paraId="4B35DABE">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运行时段</w:t>
                  </w:r>
                </w:p>
              </w:tc>
            </w:tr>
            <w:tr w14:paraId="36E26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693" w:type="pct"/>
                  <w:vMerge w:val="continue"/>
                  <w:tcBorders>
                    <w:top w:val="nil"/>
                  </w:tcBorders>
                  <w:vAlign w:val="center"/>
                </w:tcPr>
                <w:p w14:paraId="14CE9F31">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951" w:type="pct"/>
                  <w:vMerge w:val="continue"/>
                  <w:tcBorders>
                    <w:top w:val="nil"/>
                  </w:tcBorders>
                  <w:vAlign w:val="center"/>
                </w:tcPr>
                <w:p w14:paraId="69E6112B">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370" w:type="pct"/>
                  <w:vAlign w:val="center"/>
                </w:tcPr>
                <w:p w14:paraId="6E4A6828">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X</w:t>
                  </w:r>
                </w:p>
              </w:tc>
              <w:tc>
                <w:tcPr>
                  <w:tcW w:w="408" w:type="pct"/>
                  <w:vAlign w:val="center"/>
                </w:tcPr>
                <w:p w14:paraId="316F26E1">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Y</w:t>
                  </w:r>
                </w:p>
              </w:tc>
              <w:tc>
                <w:tcPr>
                  <w:tcW w:w="352" w:type="pct"/>
                  <w:vAlign w:val="center"/>
                </w:tcPr>
                <w:p w14:paraId="4524BAB1">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Z</w:t>
                  </w:r>
                </w:p>
              </w:tc>
              <w:tc>
                <w:tcPr>
                  <w:tcW w:w="400" w:type="pct"/>
                  <w:vMerge w:val="continue"/>
                  <w:tcBorders>
                    <w:top w:val="nil"/>
                  </w:tcBorders>
                  <w:vAlign w:val="center"/>
                </w:tcPr>
                <w:p w14:paraId="433AB326">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600" w:type="pct"/>
                  <w:vMerge w:val="continue"/>
                  <w:tcBorders>
                    <w:top w:val="nil"/>
                  </w:tcBorders>
                  <w:vAlign w:val="center"/>
                </w:tcPr>
                <w:p w14:paraId="17E7555E">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778" w:type="pct"/>
                  <w:vMerge w:val="continue"/>
                  <w:tcBorders>
                    <w:top w:val="nil"/>
                  </w:tcBorders>
                  <w:vAlign w:val="center"/>
                </w:tcPr>
                <w:p w14:paraId="6D97503E">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445" w:type="pct"/>
                  <w:vMerge w:val="continue"/>
                  <w:tcBorders>
                    <w:top w:val="nil"/>
                  </w:tcBorders>
                  <w:vAlign w:val="center"/>
                </w:tcPr>
                <w:p w14:paraId="2330FC0A">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r>
            <w:tr w14:paraId="3E25A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93" w:type="pct"/>
                  <w:vAlign w:val="center"/>
                </w:tcPr>
                <w:p w14:paraId="77A15668">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1#主变压器</w:t>
                  </w:r>
                </w:p>
              </w:tc>
              <w:tc>
                <w:tcPr>
                  <w:tcW w:w="951" w:type="pct"/>
                  <w:vMerge w:val="restart"/>
                  <w:vAlign w:val="center"/>
                </w:tcPr>
                <w:p w14:paraId="509F1E64">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三相双分裂三绕组有载调压变压器</w:t>
                  </w:r>
                </w:p>
              </w:tc>
              <w:tc>
                <w:tcPr>
                  <w:tcW w:w="370" w:type="pct"/>
                  <w:vAlign w:val="center"/>
                </w:tcPr>
                <w:p w14:paraId="38FA40FC">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17.1</w:t>
                  </w:r>
                </w:p>
              </w:tc>
              <w:tc>
                <w:tcPr>
                  <w:tcW w:w="408" w:type="pct"/>
                  <w:vAlign w:val="center"/>
                </w:tcPr>
                <w:p w14:paraId="18EE6A45">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9.3</w:t>
                  </w:r>
                </w:p>
              </w:tc>
              <w:tc>
                <w:tcPr>
                  <w:tcW w:w="352" w:type="pct"/>
                  <w:vAlign w:val="center"/>
                </w:tcPr>
                <w:p w14:paraId="34E45AD0">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3.5</w:t>
                  </w:r>
                </w:p>
              </w:tc>
              <w:tc>
                <w:tcPr>
                  <w:tcW w:w="400" w:type="pct"/>
                  <w:vAlign w:val="center"/>
                </w:tcPr>
                <w:p w14:paraId="5D67B1F1">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固定</w:t>
                  </w:r>
                </w:p>
              </w:tc>
              <w:tc>
                <w:tcPr>
                  <w:tcW w:w="600" w:type="pct"/>
                  <w:vAlign w:val="center"/>
                </w:tcPr>
                <w:p w14:paraId="11773110">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88.5</w:t>
                  </w:r>
                </w:p>
              </w:tc>
              <w:tc>
                <w:tcPr>
                  <w:tcW w:w="778" w:type="pct"/>
                  <w:vMerge w:val="restart"/>
                  <w:vAlign w:val="center"/>
                </w:tcPr>
                <w:p w14:paraId="11FAB44D">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低噪声设备、 基础减振等</w:t>
                  </w:r>
                </w:p>
              </w:tc>
              <w:tc>
                <w:tcPr>
                  <w:tcW w:w="445" w:type="pct"/>
                  <w:vMerge w:val="restart"/>
                  <w:tcBorders>
                    <w:bottom w:val="nil"/>
                  </w:tcBorders>
                  <w:vAlign w:val="center"/>
                </w:tcPr>
                <w:p w14:paraId="4BFDE7D0">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24h</w:t>
                  </w:r>
                </w:p>
              </w:tc>
            </w:tr>
            <w:tr w14:paraId="5AB3C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693" w:type="pct"/>
                  <w:vAlign w:val="center"/>
                </w:tcPr>
                <w:p w14:paraId="15638C25">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2#主变压器</w:t>
                  </w:r>
                </w:p>
              </w:tc>
              <w:tc>
                <w:tcPr>
                  <w:tcW w:w="951" w:type="pct"/>
                  <w:vMerge w:val="continue"/>
                  <w:vAlign w:val="center"/>
                </w:tcPr>
                <w:p w14:paraId="6C72D64F">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370" w:type="pct"/>
                  <w:vAlign w:val="center"/>
                </w:tcPr>
                <w:p w14:paraId="69632373">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20.3</w:t>
                  </w:r>
                </w:p>
              </w:tc>
              <w:tc>
                <w:tcPr>
                  <w:tcW w:w="408" w:type="pct"/>
                  <w:vAlign w:val="center"/>
                </w:tcPr>
                <w:p w14:paraId="0B0655D0">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9.3</w:t>
                  </w:r>
                </w:p>
              </w:tc>
              <w:tc>
                <w:tcPr>
                  <w:tcW w:w="352" w:type="pct"/>
                  <w:vAlign w:val="center"/>
                </w:tcPr>
                <w:p w14:paraId="18859F85">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3.5</w:t>
                  </w:r>
                </w:p>
              </w:tc>
              <w:tc>
                <w:tcPr>
                  <w:tcW w:w="400" w:type="pct"/>
                  <w:vAlign w:val="center"/>
                </w:tcPr>
                <w:p w14:paraId="39CA2013">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固定</w:t>
                  </w:r>
                </w:p>
              </w:tc>
              <w:tc>
                <w:tcPr>
                  <w:tcW w:w="600" w:type="pct"/>
                  <w:vAlign w:val="center"/>
                </w:tcPr>
                <w:p w14:paraId="408B1DF6">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88.5</w:t>
                  </w:r>
                </w:p>
              </w:tc>
              <w:tc>
                <w:tcPr>
                  <w:tcW w:w="778" w:type="pct"/>
                  <w:vMerge w:val="continue"/>
                  <w:vAlign w:val="center"/>
                </w:tcPr>
                <w:p w14:paraId="60C75583">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445" w:type="pct"/>
                  <w:vMerge w:val="continue"/>
                  <w:tcBorders>
                    <w:top w:val="nil"/>
                  </w:tcBorders>
                  <w:vAlign w:val="center"/>
                </w:tcPr>
                <w:p w14:paraId="0567D8DF">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r>
            <w:tr w14:paraId="07AA2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693" w:type="pct"/>
                  <w:vAlign w:val="center"/>
                </w:tcPr>
                <w:p w14:paraId="20A9AA9C">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3#主变压器</w:t>
                  </w:r>
                </w:p>
              </w:tc>
              <w:tc>
                <w:tcPr>
                  <w:tcW w:w="951" w:type="pct"/>
                  <w:vMerge w:val="continue"/>
                  <w:vAlign w:val="center"/>
                </w:tcPr>
                <w:p w14:paraId="4274BAB8">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370" w:type="pct"/>
                  <w:vAlign w:val="center"/>
                </w:tcPr>
                <w:p w14:paraId="3A21D1B1">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23.4</w:t>
                  </w:r>
                </w:p>
              </w:tc>
              <w:tc>
                <w:tcPr>
                  <w:tcW w:w="408" w:type="pct"/>
                  <w:vAlign w:val="center"/>
                </w:tcPr>
                <w:p w14:paraId="6532BEB1">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9.3</w:t>
                  </w:r>
                </w:p>
              </w:tc>
              <w:tc>
                <w:tcPr>
                  <w:tcW w:w="352" w:type="pct"/>
                  <w:vAlign w:val="center"/>
                </w:tcPr>
                <w:p w14:paraId="0167B3A2">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3.5</w:t>
                  </w:r>
                </w:p>
              </w:tc>
              <w:tc>
                <w:tcPr>
                  <w:tcW w:w="400" w:type="pct"/>
                  <w:vAlign w:val="center"/>
                </w:tcPr>
                <w:p w14:paraId="4EE93832">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固定</w:t>
                  </w:r>
                </w:p>
              </w:tc>
              <w:tc>
                <w:tcPr>
                  <w:tcW w:w="600" w:type="pct"/>
                  <w:vAlign w:val="center"/>
                </w:tcPr>
                <w:p w14:paraId="25F2773C">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88.5</w:t>
                  </w:r>
                </w:p>
              </w:tc>
              <w:tc>
                <w:tcPr>
                  <w:tcW w:w="778" w:type="pct"/>
                  <w:vMerge w:val="continue"/>
                  <w:vAlign w:val="center"/>
                </w:tcPr>
                <w:p w14:paraId="1CEAB025">
                  <w:pPr>
                    <w:pStyle w:val="26"/>
                    <w:keepNext w:val="0"/>
                    <w:keepLines w:val="0"/>
                    <w:suppressLineNumbers w:val="0"/>
                    <w:ind w:left="0" w:right="0"/>
                    <w:jc w:val="center"/>
                    <w:rPr>
                      <w:rFonts w:hint="eastAsia" w:ascii="Times New Roman" w:hAnsi="Times New Roman" w:eastAsia="宋体" w:cs="Times New Roman"/>
                      <w:b w:val="0"/>
                      <w:bCs w:val="0"/>
                      <w:color w:val="auto"/>
                      <w:kern w:val="0"/>
                      <w:sz w:val="21"/>
                      <w:szCs w:val="21"/>
                      <w:highlight w:val="none"/>
                      <w:lang w:val="en-US" w:eastAsia="zh-CN"/>
                    </w:rPr>
                  </w:pPr>
                </w:p>
              </w:tc>
              <w:tc>
                <w:tcPr>
                  <w:tcW w:w="445" w:type="pct"/>
                  <w:tcBorders>
                    <w:top w:val="nil"/>
                  </w:tcBorders>
                  <w:vAlign w:val="center"/>
                </w:tcPr>
                <w:p w14:paraId="7E2B8BA7">
                  <w:pPr>
                    <w:pStyle w:val="26"/>
                    <w:keepNext w:val="0"/>
                    <w:keepLines w:val="0"/>
                    <w:suppressLineNumbers w:val="0"/>
                    <w:ind w:left="0" w:right="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24h</w:t>
                  </w:r>
                </w:p>
              </w:tc>
            </w:tr>
            <w:tr w14:paraId="4855E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9"/>
                  <w:vAlign w:val="center"/>
                </w:tcPr>
                <w:p w14:paraId="6E66724D">
                  <w:pPr>
                    <w:pStyle w:val="26"/>
                    <w:keepNext w:val="0"/>
                    <w:keepLines w:val="0"/>
                    <w:suppressLineNumbers w:val="0"/>
                    <w:ind w:left="0" w:right="0"/>
                    <w:jc w:val="left"/>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注：本次评价声源坐标系以站场西南角为坐标原点，X轴向东为正，Y轴向北为正，过原点垂 线为Z轴(向上为正)</w:t>
                  </w:r>
                </w:p>
              </w:tc>
            </w:tr>
          </w:tbl>
          <w:p w14:paraId="3AFDEA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噪声从声源传播到受声点，受传播距离、空气吸收、阻挡物的反射与屏蔽等因素的影响，声级产生衰减。 </w:t>
            </w:r>
          </w:p>
          <w:p w14:paraId="314498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根据HJ2.4-2021《环境影响评价技术导则 声环境》，按照附录 B 中工业噪声预测中的方法进行。</w:t>
            </w:r>
          </w:p>
          <w:p w14:paraId="3564BD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本项目拟建220kV变电站主变为全户内布置，主变压器声源属于室内声源，可采用等效室外声源声功率级法进行计算。声源在室内声场为近似扩散声场，则室外的 A 声级可按下式近似求出： </w:t>
            </w:r>
          </w:p>
          <w:p w14:paraId="3A78F4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Lp2=Lp1-（TL+6） </w:t>
            </w:r>
          </w:p>
          <w:p w14:paraId="453B12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式中：Lp1—靠近开口处室内 A 声级，dB，以声源源强计； </w:t>
            </w:r>
          </w:p>
          <w:p w14:paraId="1158F6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Lp2—靠近开口处室外 A 声级，dB； </w:t>
            </w:r>
          </w:p>
          <w:p w14:paraId="06D62F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TL—墙体或门窗的隔声量，dB。本工程主变室墙体采用混凝土墙体，门采用钢制大门和窗体采用百叶格栅吸音板，墙体及门窗的隔声量以 10dB 计。</w:t>
            </w:r>
          </w:p>
          <w:p w14:paraId="197023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室外声源预测点的声级按下式计算：</w:t>
            </w:r>
          </w:p>
          <w:p w14:paraId="16A6AF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Lp(r)=Lp(r0)+Dc－(Adiv+Aatm+Abar+Agr+Amisc) </w:t>
            </w:r>
          </w:p>
          <w:p w14:paraId="45D5BA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式中：Lp(r)——预测点的声压级； </w:t>
            </w:r>
          </w:p>
          <w:p w14:paraId="217B06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Lp(r0)——参考位置 r0 处的声压级，dB； </w:t>
            </w:r>
          </w:p>
          <w:p w14:paraId="04E790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Dc——指向性校正，它描述点声源的等效连续声压级与产生声功率级 Lw 的全向点声源在规定方向的声级偏差程度，dB； </w:t>
            </w:r>
          </w:p>
          <w:p w14:paraId="13D851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r ——预测点距声源的距离，m；</w:t>
            </w:r>
          </w:p>
          <w:p w14:paraId="6BC26F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r0 ——参考距离，取值 1m； </w:t>
            </w:r>
          </w:p>
          <w:p w14:paraId="2D09E0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Adiv：几何发散引起的衰减，dB； </w:t>
            </w:r>
          </w:p>
          <w:p w14:paraId="692516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Abar：屏障引起的衰减，dB； </w:t>
            </w:r>
          </w:p>
          <w:p w14:paraId="4DD94A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Aatm：大气吸收引起的衰减，dB； </w:t>
            </w:r>
          </w:p>
          <w:p w14:paraId="6EBFA4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Agr：地面效应引起的衰减，dB； </w:t>
            </w:r>
          </w:p>
          <w:p w14:paraId="6CF49C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Amisc：其他多方面效应引起的衰减，dB。 </w:t>
            </w:r>
          </w:p>
          <w:p w14:paraId="59630E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本项目仅考虑几何发散，可按下式进行计算。 </w:t>
            </w:r>
          </w:p>
          <w:p w14:paraId="41921E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 xml:space="preserve">LA（r）=LA（r0）-Adiv </w:t>
            </w:r>
          </w:p>
          <w:p w14:paraId="2C4E37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两个以上的多个噪声源同时存在时，总声级计算公式为：</w:t>
            </w:r>
          </w:p>
          <w:p w14:paraId="1C11A49E">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drawing>
                <wp:inline distT="0" distB="0" distL="114300" distR="114300">
                  <wp:extent cx="1981200" cy="533400"/>
                  <wp:effectExtent l="0" t="0" r="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20"/>
                          <a:stretch>
                            <a:fillRect/>
                          </a:stretch>
                        </pic:blipFill>
                        <pic:spPr>
                          <a:xfrm>
                            <a:off x="0" y="0"/>
                            <a:ext cx="1981200" cy="533400"/>
                          </a:xfrm>
                          <a:prstGeom prst="rect">
                            <a:avLst/>
                          </a:prstGeom>
                          <a:noFill/>
                          <a:ln>
                            <a:noFill/>
                          </a:ln>
                        </pic:spPr>
                      </pic:pic>
                    </a:graphicData>
                  </a:graphic>
                </wp:inline>
              </w:drawing>
            </w:r>
          </w:p>
          <w:p w14:paraId="3283B2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 xml:space="preserve">以上式中：LA（r）——点声源在预测点产生的 A 声级； </w:t>
            </w:r>
          </w:p>
          <w:p w14:paraId="3DC8A3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 xml:space="preserve">LA（r0）——参考位置 r0 处的 A 声级，dB（A），取上述的 Lp2 的值； </w:t>
            </w:r>
          </w:p>
          <w:p w14:paraId="03280E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 xml:space="preserve">Ln——多个噪声源的总声级； </w:t>
            </w:r>
          </w:p>
          <w:p w14:paraId="4A7204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 xml:space="preserve">r——预测点距声源的距离，m； </w:t>
            </w:r>
          </w:p>
          <w:p w14:paraId="5852BF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r0——参考距离，取值 1m；</w:t>
            </w:r>
          </w:p>
          <w:p w14:paraId="4BC484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预测结果</w:t>
            </w:r>
            <w:r>
              <w:rPr>
                <w:rFonts w:hint="default" w:ascii="Times New Roman" w:hAnsi="Times New Roman" w:eastAsia="宋体" w:cs="Times New Roman"/>
                <w:b w:val="0"/>
                <w:bCs w:val="0"/>
                <w:color w:val="auto"/>
                <w:kern w:val="0"/>
                <w:sz w:val="24"/>
                <w:szCs w:val="24"/>
                <w:highlight w:val="none"/>
                <w:lang w:val="en-US" w:eastAsia="zh-CN"/>
              </w:rPr>
              <w:t xml:space="preserve"> </w:t>
            </w:r>
          </w:p>
          <w:p w14:paraId="26269C2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20" w:lineRule="exact"/>
              <w:ind w:left="0" w:right="0" w:firstLine="0"/>
              <w:jc w:val="center"/>
              <w:textAlignment w:val="auto"/>
              <w:rPr>
                <w:rFonts w:hint="default" w:ascii="Times New Roman" w:hAnsi="Times New Roman" w:eastAsia="宋体" w:cs="Times New Roman"/>
                <w:b/>
                <w:snapToGrid w:val="0"/>
                <w:color w:val="auto"/>
                <w:sz w:val="21"/>
                <w:szCs w:val="21"/>
                <w:lang w:val="en-US" w:eastAsia="zh-CN"/>
              </w:rPr>
            </w:pPr>
            <w:r>
              <w:rPr>
                <w:rFonts w:hint="default" w:ascii="Times New Roman" w:hAnsi="Times New Roman" w:eastAsia="宋体" w:cs="Times New Roman"/>
                <w:b/>
                <w:snapToGrid w:val="0"/>
                <w:color w:val="auto"/>
                <w:sz w:val="21"/>
                <w:szCs w:val="21"/>
                <w:lang w:val="en-US" w:eastAsia="zh-CN"/>
              </w:rPr>
              <w:t>表4-</w:t>
            </w:r>
            <w:r>
              <w:rPr>
                <w:rFonts w:hint="eastAsia" w:ascii="Times New Roman" w:hAnsi="Times New Roman" w:eastAsia="宋体" w:cs="Times New Roman"/>
                <w:b/>
                <w:snapToGrid w:val="0"/>
                <w:color w:val="auto"/>
                <w:sz w:val="21"/>
                <w:szCs w:val="21"/>
                <w:lang w:val="en-US" w:eastAsia="zh-CN"/>
              </w:rPr>
              <w:t>10</w:t>
            </w:r>
            <w:r>
              <w:rPr>
                <w:rFonts w:hint="default" w:ascii="Times New Roman" w:hAnsi="Times New Roman" w:eastAsia="宋体" w:cs="Times New Roman"/>
                <w:b/>
                <w:snapToGrid w:val="0"/>
                <w:color w:val="auto"/>
                <w:sz w:val="21"/>
                <w:szCs w:val="21"/>
                <w:lang w:val="en-US" w:eastAsia="zh-CN"/>
              </w:rPr>
              <w:t xml:space="preserve"> 本项目变电站站界噪声预测结果</w:t>
            </w:r>
          </w:p>
          <w:tbl>
            <w:tblPr>
              <w:tblStyle w:val="115"/>
              <w:tblW w:w="8260"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4"/>
              <w:gridCol w:w="1428"/>
              <w:gridCol w:w="1199"/>
              <w:gridCol w:w="1468"/>
              <w:gridCol w:w="1438"/>
              <w:gridCol w:w="1433"/>
            </w:tblGrid>
            <w:tr w14:paraId="779AD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94" w:type="dxa"/>
                  <w:vMerge w:val="restart"/>
                  <w:tcBorders>
                    <w:bottom w:val="nil"/>
                  </w:tcBorders>
                  <w:vAlign w:val="center"/>
                </w:tcPr>
                <w:p w14:paraId="5681C48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站场</w:t>
                  </w:r>
                </w:p>
              </w:tc>
              <w:tc>
                <w:tcPr>
                  <w:tcW w:w="1428" w:type="dxa"/>
                  <w:vMerge w:val="restart"/>
                  <w:tcBorders>
                    <w:bottom w:val="nil"/>
                  </w:tcBorders>
                  <w:vAlign w:val="center"/>
                </w:tcPr>
                <w:p w14:paraId="569D984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预测点</w:t>
                  </w:r>
                </w:p>
              </w:tc>
              <w:tc>
                <w:tcPr>
                  <w:tcW w:w="1199" w:type="dxa"/>
                  <w:vMerge w:val="restart"/>
                  <w:tcBorders>
                    <w:bottom w:val="nil"/>
                  </w:tcBorders>
                  <w:vAlign w:val="center"/>
                </w:tcPr>
                <w:p w14:paraId="4D1689B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时段</w:t>
                  </w:r>
                </w:p>
              </w:tc>
              <w:tc>
                <w:tcPr>
                  <w:tcW w:w="1468" w:type="dxa"/>
                  <w:vMerge w:val="restart"/>
                  <w:tcBorders>
                    <w:bottom w:val="nil"/>
                  </w:tcBorders>
                  <w:vAlign w:val="center"/>
                </w:tcPr>
                <w:p w14:paraId="0B2CCD4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贡献值</w:t>
                  </w:r>
                </w:p>
                <w:p w14:paraId="304421E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(dB(A))</w:t>
                  </w:r>
                </w:p>
              </w:tc>
              <w:tc>
                <w:tcPr>
                  <w:tcW w:w="2871" w:type="dxa"/>
                  <w:gridSpan w:val="2"/>
                  <w:vAlign w:val="center"/>
                </w:tcPr>
                <w:p w14:paraId="390EE68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评价结果/</w:t>
                  </w:r>
                  <w:r>
                    <w:rPr>
                      <w:rFonts w:hint="default" w:ascii="Times New Roman" w:hAnsi="Times New Roman" w:cs="Times New Roman"/>
                      <w:color w:val="auto"/>
                      <w:sz w:val="21"/>
                      <w:szCs w:val="21"/>
                    </w:rPr>
                    <w:t>dB</w:t>
                  </w:r>
                  <w:r>
                    <w:rPr>
                      <w:rFonts w:hint="default" w:ascii="Times New Roman" w:hAnsi="Times New Roman" w:cs="Times New Roman"/>
                      <w:color w:val="auto"/>
                      <w:spacing w:val="5"/>
                      <w:sz w:val="21"/>
                      <w:szCs w:val="21"/>
                    </w:rPr>
                    <w:t>(A)</w:t>
                  </w:r>
                </w:p>
              </w:tc>
            </w:tr>
            <w:tr w14:paraId="2C659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294" w:type="dxa"/>
                  <w:vMerge w:val="continue"/>
                  <w:tcBorders>
                    <w:top w:val="nil"/>
                  </w:tcBorders>
                  <w:vAlign w:val="center"/>
                </w:tcPr>
                <w:p w14:paraId="04ECA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continue"/>
                  <w:tcBorders>
                    <w:top w:val="nil"/>
                  </w:tcBorders>
                  <w:vAlign w:val="center"/>
                </w:tcPr>
                <w:p w14:paraId="6BA31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199" w:type="dxa"/>
                  <w:vMerge w:val="continue"/>
                  <w:tcBorders>
                    <w:top w:val="nil"/>
                  </w:tcBorders>
                  <w:vAlign w:val="center"/>
                </w:tcPr>
                <w:p w14:paraId="4913E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68" w:type="dxa"/>
                  <w:vMerge w:val="continue"/>
                  <w:tcBorders>
                    <w:top w:val="nil"/>
                  </w:tcBorders>
                  <w:vAlign w:val="center"/>
                </w:tcPr>
                <w:p w14:paraId="55093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38" w:type="dxa"/>
                  <w:vAlign w:val="center"/>
                </w:tcPr>
                <w:p w14:paraId="7A65CAD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标准限值</w:t>
                  </w:r>
                </w:p>
              </w:tc>
              <w:tc>
                <w:tcPr>
                  <w:tcW w:w="1433" w:type="dxa"/>
                  <w:vAlign w:val="center"/>
                </w:tcPr>
                <w:p w14:paraId="00DE167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达标情况</w:t>
                  </w:r>
                </w:p>
              </w:tc>
            </w:tr>
            <w:tr w14:paraId="0BE8A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94" w:type="dxa"/>
                  <w:vMerge w:val="restart"/>
                  <w:tcBorders>
                    <w:bottom w:val="nil"/>
                  </w:tcBorders>
                  <w:vAlign w:val="center"/>
                </w:tcPr>
                <w:p w14:paraId="6B64C2B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5"/>
                      <w:sz w:val="21"/>
                      <w:szCs w:val="21"/>
                      <w:lang w:val="en-US" w:eastAsia="zh-CN"/>
                    </w:rPr>
                    <w:t>火山云二期扩容220kV</w:t>
                  </w:r>
                  <w:r>
                    <w:rPr>
                      <w:rFonts w:hint="default" w:ascii="Times New Roman" w:hAnsi="Times New Roman" w:cs="Times New Roman"/>
                      <w:color w:val="auto"/>
                      <w:spacing w:val="1"/>
                      <w:sz w:val="21"/>
                      <w:szCs w:val="21"/>
                    </w:rPr>
                    <w:t>变电</w:t>
                  </w:r>
                  <w:r>
                    <w:rPr>
                      <w:rFonts w:hint="default" w:ascii="Times New Roman" w:hAnsi="Times New Roman" w:cs="Times New Roman"/>
                      <w:color w:val="auto"/>
                      <w:sz w:val="21"/>
                      <w:szCs w:val="21"/>
                    </w:rPr>
                    <w:t>站</w:t>
                  </w:r>
                </w:p>
              </w:tc>
              <w:tc>
                <w:tcPr>
                  <w:tcW w:w="1428" w:type="dxa"/>
                  <w:vMerge w:val="restart"/>
                  <w:tcBorders>
                    <w:bottom w:val="nil"/>
                  </w:tcBorders>
                  <w:vAlign w:val="center"/>
                </w:tcPr>
                <w:p w14:paraId="3B30600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东边界</w:t>
                  </w:r>
                </w:p>
              </w:tc>
              <w:tc>
                <w:tcPr>
                  <w:tcW w:w="1199" w:type="dxa"/>
                  <w:vAlign w:val="center"/>
                </w:tcPr>
                <w:p w14:paraId="5A1451B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昼间</w:t>
                  </w:r>
                </w:p>
              </w:tc>
              <w:tc>
                <w:tcPr>
                  <w:tcW w:w="1468" w:type="dxa"/>
                  <w:vAlign w:val="center"/>
                </w:tcPr>
                <w:p w14:paraId="16AFE8F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31.5</w:t>
                  </w:r>
                </w:p>
              </w:tc>
              <w:tc>
                <w:tcPr>
                  <w:tcW w:w="1438" w:type="dxa"/>
                  <w:vAlign w:val="center"/>
                </w:tcPr>
                <w:p w14:paraId="603F3B9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60</w:t>
                  </w:r>
                </w:p>
              </w:tc>
              <w:tc>
                <w:tcPr>
                  <w:tcW w:w="1433" w:type="dxa"/>
                  <w:vAlign w:val="center"/>
                </w:tcPr>
                <w:p w14:paraId="53710D34">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698F1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294" w:type="dxa"/>
                  <w:vMerge w:val="continue"/>
                  <w:tcBorders>
                    <w:top w:val="nil"/>
                    <w:bottom w:val="nil"/>
                  </w:tcBorders>
                  <w:vAlign w:val="center"/>
                </w:tcPr>
                <w:p w14:paraId="5B083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continue"/>
                  <w:tcBorders>
                    <w:top w:val="nil"/>
                  </w:tcBorders>
                  <w:vAlign w:val="center"/>
                </w:tcPr>
                <w:p w14:paraId="6B6F0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199" w:type="dxa"/>
                  <w:vAlign w:val="center"/>
                </w:tcPr>
                <w:p w14:paraId="57BFFA6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夜间</w:t>
                  </w:r>
                </w:p>
              </w:tc>
              <w:tc>
                <w:tcPr>
                  <w:tcW w:w="1468" w:type="dxa"/>
                  <w:vAlign w:val="center"/>
                </w:tcPr>
                <w:p w14:paraId="05B17FB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31.5</w:t>
                  </w:r>
                </w:p>
              </w:tc>
              <w:tc>
                <w:tcPr>
                  <w:tcW w:w="1438" w:type="dxa"/>
                  <w:vAlign w:val="center"/>
                </w:tcPr>
                <w:p w14:paraId="14A6D4A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50</w:t>
                  </w:r>
                </w:p>
              </w:tc>
              <w:tc>
                <w:tcPr>
                  <w:tcW w:w="1433" w:type="dxa"/>
                  <w:vAlign w:val="center"/>
                </w:tcPr>
                <w:p w14:paraId="55668D7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5DA5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94" w:type="dxa"/>
                  <w:vMerge w:val="continue"/>
                  <w:tcBorders>
                    <w:top w:val="nil"/>
                    <w:bottom w:val="nil"/>
                  </w:tcBorders>
                  <w:vAlign w:val="center"/>
                </w:tcPr>
                <w:p w14:paraId="081BB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restart"/>
                  <w:tcBorders>
                    <w:bottom w:val="nil"/>
                  </w:tcBorders>
                  <w:vAlign w:val="center"/>
                </w:tcPr>
                <w:p w14:paraId="7BCFEAE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南边界</w:t>
                  </w:r>
                </w:p>
              </w:tc>
              <w:tc>
                <w:tcPr>
                  <w:tcW w:w="1199" w:type="dxa"/>
                  <w:vAlign w:val="center"/>
                </w:tcPr>
                <w:p w14:paraId="5A083B9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昼间</w:t>
                  </w:r>
                </w:p>
              </w:tc>
              <w:tc>
                <w:tcPr>
                  <w:tcW w:w="1468" w:type="dxa"/>
                  <w:vAlign w:val="center"/>
                </w:tcPr>
                <w:p w14:paraId="3205748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40.6</w:t>
                  </w:r>
                </w:p>
              </w:tc>
              <w:tc>
                <w:tcPr>
                  <w:tcW w:w="1438" w:type="dxa"/>
                  <w:vAlign w:val="center"/>
                </w:tcPr>
                <w:p w14:paraId="48354CA3">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60</w:t>
                  </w:r>
                </w:p>
              </w:tc>
              <w:tc>
                <w:tcPr>
                  <w:tcW w:w="1433" w:type="dxa"/>
                  <w:vAlign w:val="center"/>
                </w:tcPr>
                <w:p w14:paraId="1E25DA06">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67341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294" w:type="dxa"/>
                  <w:vMerge w:val="continue"/>
                  <w:tcBorders>
                    <w:top w:val="nil"/>
                    <w:bottom w:val="nil"/>
                  </w:tcBorders>
                  <w:vAlign w:val="center"/>
                </w:tcPr>
                <w:p w14:paraId="39C16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continue"/>
                  <w:tcBorders>
                    <w:top w:val="nil"/>
                  </w:tcBorders>
                  <w:vAlign w:val="center"/>
                </w:tcPr>
                <w:p w14:paraId="290D5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199" w:type="dxa"/>
                  <w:vAlign w:val="center"/>
                </w:tcPr>
                <w:p w14:paraId="0B8DD30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夜间</w:t>
                  </w:r>
                </w:p>
              </w:tc>
              <w:tc>
                <w:tcPr>
                  <w:tcW w:w="1468" w:type="dxa"/>
                  <w:vAlign w:val="center"/>
                </w:tcPr>
                <w:p w14:paraId="319E32A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40.6</w:t>
                  </w:r>
                </w:p>
              </w:tc>
              <w:tc>
                <w:tcPr>
                  <w:tcW w:w="1438" w:type="dxa"/>
                  <w:vAlign w:val="center"/>
                </w:tcPr>
                <w:p w14:paraId="609505F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50</w:t>
                  </w:r>
                </w:p>
              </w:tc>
              <w:tc>
                <w:tcPr>
                  <w:tcW w:w="1433" w:type="dxa"/>
                  <w:vAlign w:val="center"/>
                </w:tcPr>
                <w:p w14:paraId="24359B60">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56673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94" w:type="dxa"/>
                  <w:vMerge w:val="continue"/>
                  <w:tcBorders>
                    <w:top w:val="nil"/>
                    <w:bottom w:val="nil"/>
                  </w:tcBorders>
                  <w:vAlign w:val="center"/>
                </w:tcPr>
                <w:p w14:paraId="2B98B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restart"/>
                  <w:tcBorders>
                    <w:bottom w:val="nil"/>
                  </w:tcBorders>
                  <w:vAlign w:val="center"/>
                </w:tcPr>
                <w:p w14:paraId="2D04123F">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西边界</w:t>
                  </w:r>
                </w:p>
              </w:tc>
              <w:tc>
                <w:tcPr>
                  <w:tcW w:w="1199" w:type="dxa"/>
                  <w:vAlign w:val="center"/>
                </w:tcPr>
                <w:p w14:paraId="598A06B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昼间</w:t>
                  </w:r>
                </w:p>
              </w:tc>
              <w:tc>
                <w:tcPr>
                  <w:tcW w:w="1468" w:type="dxa"/>
                  <w:vAlign w:val="center"/>
                </w:tcPr>
                <w:p w14:paraId="4CA4EC1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32.3</w:t>
                  </w:r>
                </w:p>
              </w:tc>
              <w:tc>
                <w:tcPr>
                  <w:tcW w:w="1438" w:type="dxa"/>
                  <w:vAlign w:val="center"/>
                </w:tcPr>
                <w:p w14:paraId="3550A0F9">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60</w:t>
                  </w:r>
                </w:p>
              </w:tc>
              <w:tc>
                <w:tcPr>
                  <w:tcW w:w="1433" w:type="dxa"/>
                  <w:vAlign w:val="center"/>
                </w:tcPr>
                <w:p w14:paraId="699BD537">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295E9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94" w:type="dxa"/>
                  <w:vMerge w:val="continue"/>
                  <w:tcBorders>
                    <w:top w:val="nil"/>
                    <w:bottom w:val="nil"/>
                  </w:tcBorders>
                  <w:vAlign w:val="center"/>
                </w:tcPr>
                <w:p w14:paraId="6A1CD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continue"/>
                  <w:tcBorders>
                    <w:top w:val="nil"/>
                  </w:tcBorders>
                  <w:vAlign w:val="center"/>
                </w:tcPr>
                <w:p w14:paraId="2C7ED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199" w:type="dxa"/>
                  <w:vAlign w:val="center"/>
                </w:tcPr>
                <w:p w14:paraId="68BD6A1C">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夜间</w:t>
                  </w:r>
                </w:p>
              </w:tc>
              <w:tc>
                <w:tcPr>
                  <w:tcW w:w="1468" w:type="dxa"/>
                  <w:vAlign w:val="center"/>
                </w:tcPr>
                <w:p w14:paraId="3199D05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32.3</w:t>
                  </w:r>
                </w:p>
              </w:tc>
              <w:tc>
                <w:tcPr>
                  <w:tcW w:w="1438" w:type="dxa"/>
                  <w:vAlign w:val="center"/>
                </w:tcPr>
                <w:p w14:paraId="2713801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50</w:t>
                  </w:r>
                </w:p>
              </w:tc>
              <w:tc>
                <w:tcPr>
                  <w:tcW w:w="1433" w:type="dxa"/>
                  <w:vAlign w:val="center"/>
                </w:tcPr>
                <w:p w14:paraId="5076E7AB">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4516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294" w:type="dxa"/>
                  <w:vMerge w:val="continue"/>
                  <w:tcBorders>
                    <w:top w:val="nil"/>
                    <w:bottom w:val="nil"/>
                  </w:tcBorders>
                  <w:vAlign w:val="center"/>
                </w:tcPr>
                <w:p w14:paraId="1BC53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restart"/>
                  <w:tcBorders>
                    <w:bottom w:val="nil"/>
                  </w:tcBorders>
                  <w:vAlign w:val="center"/>
                </w:tcPr>
                <w:p w14:paraId="79677B05">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北边界</w:t>
                  </w:r>
                </w:p>
              </w:tc>
              <w:tc>
                <w:tcPr>
                  <w:tcW w:w="1199" w:type="dxa"/>
                  <w:vAlign w:val="center"/>
                </w:tcPr>
                <w:p w14:paraId="6121FCEE">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昼间</w:t>
                  </w:r>
                </w:p>
              </w:tc>
              <w:tc>
                <w:tcPr>
                  <w:tcW w:w="1468" w:type="dxa"/>
                  <w:vAlign w:val="center"/>
                </w:tcPr>
                <w:p w14:paraId="5364B594">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2"/>
                      <w:sz w:val="21"/>
                      <w:szCs w:val="21"/>
                      <w:lang w:val="en-US" w:eastAsia="zh-CN"/>
                    </w:rPr>
                    <w:t>30.1</w:t>
                  </w:r>
                </w:p>
              </w:tc>
              <w:tc>
                <w:tcPr>
                  <w:tcW w:w="1438" w:type="dxa"/>
                  <w:vAlign w:val="center"/>
                </w:tcPr>
                <w:p w14:paraId="7FAEC7A8">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60</w:t>
                  </w:r>
                </w:p>
              </w:tc>
              <w:tc>
                <w:tcPr>
                  <w:tcW w:w="1433" w:type="dxa"/>
                  <w:vAlign w:val="center"/>
                </w:tcPr>
                <w:p w14:paraId="4C16B4A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r w14:paraId="2AC07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294" w:type="dxa"/>
                  <w:vMerge w:val="continue"/>
                  <w:tcBorders>
                    <w:top w:val="nil"/>
                  </w:tcBorders>
                  <w:vAlign w:val="center"/>
                </w:tcPr>
                <w:p w14:paraId="585E3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428" w:type="dxa"/>
                  <w:vMerge w:val="continue"/>
                  <w:tcBorders>
                    <w:top w:val="nil"/>
                  </w:tcBorders>
                  <w:vAlign w:val="center"/>
                </w:tcPr>
                <w:p w14:paraId="3FEF7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p>
              </w:tc>
              <w:tc>
                <w:tcPr>
                  <w:tcW w:w="1199" w:type="dxa"/>
                  <w:vAlign w:val="center"/>
                </w:tcPr>
                <w:p w14:paraId="36FBF7D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0"/>
                      <w:sz w:val="21"/>
                      <w:szCs w:val="21"/>
                    </w:rPr>
                    <w:t>夜间</w:t>
                  </w:r>
                </w:p>
              </w:tc>
              <w:tc>
                <w:tcPr>
                  <w:tcW w:w="1468" w:type="dxa"/>
                  <w:vAlign w:val="center"/>
                </w:tcPr>
                <w:p w14:paraId="146DB881">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2"/>
                      <w:sz w:val="21"/>
                      <w:szCs w:val="21"/>
                      <w:lang w:val="en-US" w:eastAsia="zh-CN"/>
                    </w:rPr>
                    <w:t>30.1</w:t>
                  </w:r>
                </w:p>
              </w:tc>
              <w:tc>
                <w:tcPr>
                  <w:tcW w:w="1438" w:type="dxa"/>
                  <w:vAlign w:val="center"/>
                </w:tcPr>
                <w:p w14:paraId="589609BD">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50</w:t>
                  </w:r>
                </w:p>
              </w:tc>
              <w:tc>
                <w:tcPr>
                  <w:tcW w:w="1433" w:type="dxa"/>
                  <w:vAlign w:val="center"/>
                </w:tcPr>
                <w:p w14:paraId="210EB6D2">
                  <w:pPr>
                    <w:pStyle w:val="1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达标</w:t>
                  </w:r>
                </w:p>
              </w:tc>
            </w:tr>
          </w:tbl>
          <w:p w14:paraId="1AF81E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由表4-6可知，本工程火山云二期扩容220kV变电站新建工程各边界噪声贡献值在</w:t>
            </w:r>
            <w:r>
              <w:rPr>
                <w:rFonts w:hint="eastAsia" w:ascii="Times New Roman" w:hAnsi="Times New Roman" w:eastAsia="宋体" w:cs="Times New Roman"/>
                <w:b w:val="0"/>
                <w:bCs w:val="0"/>
                <w:color w:val="auto"/>
                <w:kern w:val="0"/>
                <w:sz w:val="24"/>
                <w:szCs w:val="24"/>
                <w:highlight w:val="none"/>
                <w:lang w:val="en-US" w:eastAsia="zh-CN"/>
              </w:rPr>
              <w:t>30.1</w:t>
            </w: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40.6</w:t>
            </w:r>
            <w:r>
              <w:rPr>
                <w:rFonts w:hint="default" w:ascii="Times New Roman" w:hAnsi="Times New Roman" w:eastAsia="宋体" w:cs="Times New Roman"/>
                <w:b w:val="0"/>
                <w:bCs w:val="0"/>
                <w:color w:val="auto"/>
                <w:kern w:val="0"/>
                <w:sz w:val="24"/>
                <w:szCs w:val="24"/>
                <w:highlight w:val="none"/>
                <w:lang w:val="en-US" w:eastAsia="zh-CN"/>
              </w:rPr>
              <w:t>dB (A)之间，昼间、夜间的站界环境噪声预测值均满足《工业企业厂界环境噪声排放标准》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GB12348-2008</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2类标准。</w:t>
            </w:r>
          </w:p>
          <w:p w14:paraId="77C219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w:t>
            </w:r>
            <w:r>
              <w:rPr>
                <w:rFonts w:hint="eastAsia" w:ascii="Times New Roman" w:hAnsi="Times New Roman" w:eastAsia="宋体" w:cs="Times New Roman"/>
                <w:b/>
                <w:bCs/>
                <w:color w:val="auto"/>
                <w:kern w:val="0"/>
                <w:sz w:val="24"/>
                <w:szCs w:val="24"/>
                <w:highlight w:val="none"/>
                <w:lang w:val="en-US" w:eastAsia="zh-CN"/>
              </w:rPr>
              <w:t>固体废物</w:t>
            </w:r>
            <w:r>
              <w:rPr>
                <w:rFonts w:hint="default" w:ascii="Times New Roman" w:hAnsi="Times New Roman" w:eastAsia="宋体" w:cs="Times New Roman"/>
                <w:b/>
                <w:bCs/>
                <w:color w:val="auto"/>
                <w:kern w:val="0"/>
                <w:sz w:val="24"/>
                <w:szCs w:val="24"/>
                <w:highlight w:val="none"/>
                <w:lang w:val="en-US" w:eastAsia="zh-CN"/>
              </w:rPr>
              <w:t>环境影响分析</w:t>
            </w:r>
          </w:p>
          <w:p w14:paraId="01E255B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本项目所产生的固体废物主要有：废</w:t>
            </w:r>
            <w:r>
              <w:rPr>
                <w:rFonts w:hint="eastAsia" w:ascii="Times New Roman" w:hAnsi="Times New Roman" w:eastAsia="宋体" w:cs="Times New Roman"/>
                <w:color w:val="auto"/>
                <w:kern w:val="0"/>
                <w:sz w:val="24"/>
                <w:szCs w:val="24"/>
                <w:highlight w:val="none"/>
                <w:lang w:val="en-US" w:eastAsia="zh-CN"/>
              </w:rPr>
              <w:t>变压器</w:t>
            </w:r>
            <w:r>
              <w:rPr>
                <w:rFonts w:hint="eastAsia" w:ascii="Times New Roman" w:hAnsi="Times New Roman" w:eastAsia="宋体" w:cs="Times New Roman"/>
                <w:color w:val="auto"/>
                <w:kern w:val="0"/>
                <w:sz w:val="24"/>
                <w:szCs w:val="24"/>
                <w:highlight w:val="none"/>
              </w:rPr>
              <w:t>油</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废油桶及废铅蓄电池</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均</w:t>
            </w:r>
            <w:r>
              <w:rPr>
                <w:rFonts w:hint="eastAsia" w:ascii="Times New Roman" w:hAnsi="Times New Roman" w:eastAsia="宋体" w:cs="Times New Roman"/>
                <w:color w:val="auto"/>
                <w:kern w:val="0"/>
                <w:sz w:val="24"/>
                <w:szCs w:val="24"/>
                <w:highlight w:val="none"/>
              </w:rPr>
              <w:t>属于危险废物，基本性质见表4-</w:t>
            </w:r>
            <w:r>
              <w:rPr>
                <w:rFonts w:hint="eastAsia" w:ascii="Times New Roman" w:hAnsi="Times New Roman" w:eastAsia="宋体" w:cs="Times New Roman"/>
                <w:color w:val="auto"/>
                <w:kern w:val="0"/>
                <w:sz w:val="24"/>
                <w:szCs w:val="24"/>
                <w:highlight w:val="none"/>
                <w:lang w:val="en-US" w:eastAsia="zh-CN"/>
              </w:rPr>
              <w:t>11</w:t>
            </w:r>
            <w:r>
              <w:rPr>
                <w:rFonts w:hint="eastAsia" w:ascii="Times New Roman" w:hAnsi="Times New Roman" w:eastAsia="宋体" w:cs="Times New Roman"/>
                <w:color w:val="auto"/>
                <w:kern w:val="0"/>
                <w:sz w:val="24"/>
                <w:szCs w:val="24"/>
                <w:highlight w:val="none"/>
              </w:rPr>
              <w:t>。</w:t>
            </w:r>
          </w:p>
          <w:p w14:paraId="7A656C5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20" w:lineRule="exact"/>
              <w:ind w:left="0" w:right="0" w:firstLine="0"/>
              <w:jc w:val="center"/>
              <w:textAlignment w:val="auto"/>
              <w:rPr>
                <w:rFonts w:hint="default" w:ascii="Times New Roman" w:hAnsi="Times New Roman" w:eastAsia="宋体" w:cs="Times New Roman"/>
                <w:b/>
                <w:snapToGrid w:val="0"/>
                <w:color w:val="auto"/>
                <w:sz w:val="21"/>
                <w:szCs w:val="21"/>
                <w:lang w:val="en-US" w:eastAsia="zh-CN"/>
              </w:rPr>
            </w:pPr>
            <w:r>
              <w:rPr>
                <w:rFonts w:hint="eastAsia" w:ascii="Times New Roman" w:hAnsi="Times New Roman" w:eastAsia="宋体" w:cs="Times New Roman"/>
                <w:b/>
                <w:snapToGrid w:val="0"/>
                <w:color w:val="auto"/>
                <w:sz w:val="21"/>
                <w:szCs w:val="21"/>
                <w:lang w:val="en-US" w:eastAsia="zh-CN"/>
              </w:rPr>
              <w:t>表4-11  危险废物汇总表</w:t>
            </w:r>
          </w:p>
          <w:tbl>
            <w:tblPr>
              <w:tblStyle w:val="27"/>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57"/>
              <w:gridCol w:w="973"/>
              <w:gridCol w:w="708"/>
              <w:gridCol w:w="1333"/>
              <w:gridCol w:w="426"/>
              <w:gridCol w:w="985"/>
              <w:gridCol w:w="827"/>
              <w:gridCol w:w="430"/>
              <w:gridCol w:w="637"/>
              <w:gridCol w:w="922"/>
            </w:tblGrid>
            <w:tr w14:paraId="3D3D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55" w:type="pct"/>
                  <w:vAlign w:val="center"/>
                </w:tcPr>
                <w:p w14:paraId="1520657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序号</w:t>
                  </w:r>
                </w:p>
              </w:tc>
              <w:tc>
                <w:tcPr>
                  <w:tcW w:w="395" w:type="pct"/>
                  <w:vAlign w:val="center"/>
                </w:tcPr>
                <w:p w14:paraId="17BE808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危险废物名称</w:t>
                  </w:r>
                </w:p>
              </w:tc>
              <w:tc>
                <w:tcPr>
                  <w:tcW w:w="584" w:type="pct"/>
                  <w:vAlign w:val="center"/>
                </w:tcPr>
                <w:p w14:paraId="31C0279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危险废物类别</w:t>
                  </w:r>
                </w:p>
              </w:tc>
              <w:tc>
                <w:tcPr>
                  <w:tcW w:w="425" w:type="pct"/>
                  <w:vAlign w:val="center"/>
                </w:tcPr>
                <w:p w14:paraId="6FC8AAE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危险废物代码</w:t>
                  </w:r>
                </w:p>
              </w:tc>
              <w:tc>
                <w:tcPr>
                  <w:tcW w:w="800" w:type="pct"/>
                  <w:vAlign w:val="center"/>
                </w:tcPr>
                <w:p w14:paraId="3574DDA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产生工序及装置</w:t>
                  </w:r>
                </w:p>
              </w:tc>
              <w:tc>
                <w:tcPr>
                  <w:tcW w:w="255" w:type="pct"/>
                  <w:vAlign w:val="center"/>
                </w:tcPr>
                <w:p w14:paraId="37D96BC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形态</w:t>
                  </w:r>
                </w:p>
              </w:tc>
              <w:tc>
                <w:tcPr>
                  <w:tcW w:w="591" w:type="pct"/>
                  <w:vAlign w:val="center"/>
                </w:tcPr>
                <w:p w14:paraId="5E4DBD9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主要成分</w:t>
                  </w:r>
                </w:p>
              </w:tc>
              <w:tc>
                <w:tcPr>
                  <w:tcW w:w="496" w:type="pct"/>
                  <w:vAlign w:val="center"/>
                </w:tcPr>
                <w:p w14:paraId="6A5D109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有害成分</w:t>
                  </w:r>
                </w:p>
              </w:tc>
              <w:tc>
                <w:tcPr>
                  <w:tcW w:w="258" w:type="pct"/>
                  <w:vAlign w:val="center"/>
                </w:tcPr>
                <w:p w14:paraId="2B78D4C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产废周期</w:t>
                  </w:r>
                </w:p>
              </w:tc>
              <w:tc>
                <w:tcPr>
                  <w:tcW w:w="382" w:type="pct"/>
                  <w:vAlign w:val="center"/>
                </w:tcPr>
                <w:p w14:paraId="0E8F62E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危险特性</w:t>
                  </w:r>
                </w:p>
              </w:tc>
              <w:tc>
                <w:tcPr>
                  <w:tcW w:w="553" w:type="pct"/>
                  <w:vAlign w:val="center"/>
                </w:tcPr>
                <w:p w14:paraId="0CCFA273">
                  <w:pPr>
                    <w:keepNext w:val="0"/>
                    <w:keepLines w:val="0"/>
                    <w:suppressLineNumbers w:val="0"/>
                    <w:wordWrap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污染防治措施</w:t>
                  </w:r>
                </w:p>
              </w:tc>
            </w:tr>
            <w:tr w14:paraId="729D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255" w:type="pct"/>
                  <w:vAlign w:val="center"/>
                </w:tcPr>
                <w:p w14:paraId="11748C6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w:t>
                  </w:r>
                </w:p>
              </w:tc>
              <w:tc>
                <w:tcPr>
                  <w:tcW w:w="395" w:type="pct"/>
                  <w:vAlign w:val="center"/>
                </w:tcPr>
                <w:p w14:paraId="6567237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变压器废油</w:t>
                  </w:r>
                </w:p>
              </w:tc>
              <w:tc>
                <w:tcPr>
                  <w:tcW w:w="584" w:type="pct"/>
                  <w:vAlign w:val="center"/>
                </w:tcPr>
                <w:p w14:paraId="2AFDFA4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HW08废矿物油与含矿物油废物</w:t>
                  </w:r>
                </w:p>
              </w:tc>
              <w:tc>
                <w:tcPr>
                  <w:tcW w:w="425" w:type="pct"/>
                  <w:vAlign w:val="center"/>
                </w:tcPr>
                <w:p w14:paraId="1ECCE53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900-220-08</w:t>
                  </w:r>
                </w:p>
              </w:tc>
              <w:tc>
                <w:tcPr>
                  <w:tcW w:w="800" w:type="pct"/>
                  <w:vAlign w:val="center"/>
                </w:tcPr>
                <w:p w14:paraId="7AA7F2D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变压器维护、更换和拆解过程中产生的废变压器油</w:t>
                  </w:r>
                </w:p>
              </w:tc>
              <w:tc>
                <w:tcPr>
                  <w:tcW w:w="255" w:type="pct"/>
                  <w:vAlign w:val="center"/>
                </w:tcPr>
                <w:p w14:paraId="3E5AFA5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液态</w:t>
                  </w:r>
                </w:p>
              </w:tc>
              <w:tc>
                <w:tcPr>
                  <w:tcW w:w="591" w:type="pct"/>
                  <w:vAlign w:val="center"/>
                </w:tcPr>
                <w:p w14:paraId="63419C3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烷烃、环烷族饱和烃</w:t>
                  </w:r>
                </w:p>
              </w:tc>
              <w:tc>
                <w:tcPr>
                  <w:tcW w:w="496" w:type="pct"/>
                  <w:vAlign w:val="center"/>
                </w:tcPr>
                <w:p w14:paraId="2158722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烷烃、环烷族饱和烃</w:t>
                  </w:r>
                </w:p>
              </w:tc>
              <w:tc>
                <w:tcPr>
                  <w:tcW w:w="258" w:type="pct"/>
                  <w:vAlign w:val="center"/>
                </w:tcPr>
                <w:p w14:paraId="4CD5D8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5a</w:t>
                  </w:r>
                </w:p>
              </w:tc>
              <w:tc>
                <w:tcPr>
                  <w:tcW w:w="382" w:type="pct"/>
                  <w:vAlign w:val="center"/>
                </w:tcPr>
                <w:p w14:paraId="259F4FD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T，I</w:t>
                  </w:r>
                </w:p>
              </w:tc>
              <w:tc>
                <w:tcPr>
                  <w:tcW w:w="553" w:type="pct"/>
                  <w:vAlign w:val="center"/>
                </w:tcPr>
                <w:p w14:paraId="143E26A0">
                  <w:pPr>
                    <w:keepNext w:val="0"/>
                    <w:keepLines w:val="0"/>
                    <w:suppressLineNumbers w:val="0"/>
                    <w:wordWrap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设一座事故油池</w:t>
                  </w:r>
                </w:p>
              </w:tc>
            </w:tr>
            <w:tr w14:paraId="2FFF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255" w:type="pct"/>
                  <w:vAlign w:val="center"/>
                </w:tcPr>
                <w:p w14:paraId="2A01E55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w:t>
                  </w:r>
                </w:p>
              </w:tc>
              <w:tc>
                <w:tcPr>
                  <w:tcW w:w="395" w:type="pct"/>
                  <w:vAlign w:val="center"/>
                </w:tcPr>
                <w:p w14:paraId="38B17C7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废铅蓄电池</w:t>
                  </w:r>
                </w:p>
              </w:tc>
              <w:tc>
                <w:tcPr>
                  <w:tcW w:w="584" w:type="pct"/>
                  <w:vAlign w:val="center"/>
                </w:tcPr>
                <w:p w14:paraId="77780B4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HW</w:t>
                  </w:r>
                  <w:r>
                    <w:rPr>
                      <w:rFonts w:hint="eastAsia" w:ascii="Times New Roman" w:hAnsi="Times New Roman" w:eastAsia="宋体" w:cs="Times New Roman"/>
                      <w:color w:val="auto"/>
                      <w:kern w:val="0"/>
                      <w:szCs w:val="21"/>
                      <w:highlight w:val="none"/>
                      <w:lang w:val="en-US" w:eastAsia="zh-CN"/>
                    </w:rPr>
                    <w:t>31含铅</w:t>
                  </w:r>
                  <w:r>
                    <w:rPr>
                      <w:rFonts w:hint="eastAsia" w:ascii="Times New Roman" w:hAnsi="Times New Roman" w:eastAsia="宋体" w:cs="Times New Roman"/>
                      <w:color w:val="auto"/>
                      <w:kern w:val="0"/>
                      <w:szCs w:val="21"/>
                      <w:highlight w:val="none"/>
                    </w:rPr>
                    <w:t>废物</w:t>
                  </w:r>
                </w:p>
              </w:tc>
              <w:tc>
                <w:tcPr>
                  <w:tcW w:w="425" w:type="pct"/>
                  <w:vAlign w:val="center"/>
                </w:tcPr>
                <w:p w14:paraId="4E16E47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900-0</w:t>
                  </w:r>
                  <w:r>
                    <w:rPr>
                      <w:rFonts w:hint="eastAsia" w:ascii="Times New Roman" w:hAnsi="Times New Roman" w:eastAsia="宋体" w:cs="Times New Roman"/>
                      <w:color w:val="auto"/>
                      <w:kern w:val="0"/>
                      <w:szCs w:val="21"/>
                      <w:highlight w:val="none"/>
                      <w:lang w:val="en-US" w:eastAsia="zh-CN"/>
                    </w:rPr>
                    <w:t>52</w:t>
                  </w:r>
                  <w:r>
                    <w:rPr>
                      <w:rFonts w:hint="eastAsia"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31</w:t>
                  </w:r>
                </w:p>
              </w:tc>
              <w:tc>
                <w:tcPr>
                  <w:tcW w:w="800" w:type="pct"/>
                  <w:vAlign w:val="center"/>
                </w:tcPr>
                <w:p w14:paraId="7BA4358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废铅蓄电池及废铅蓄电池拆解过程中产生的废铅板、废铅膏和酸液</w:t>
                  </w:r>
                </w:p>
              </w:tc>
              <w:tc>
                <w:tcPr>
                  <w:tcW w:w="255" w:type="pct"/>
                  <w:vAlign w:val="center"/>
                </w:tcPr>
                <w:p w14:paraId="582B289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固态</w:t>
                  </w:r>
                </w:p>
              </w:tc>
              <w:tc>
                <w:tcPr>
                  <w:tcW w:w="591" w:type="pct"/>
                  <w:vAlign w:val="center"/>
                </w:tcPr>
                <w:p w14:paraId="00F5C7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PbO</w:t>
                  </w:r>
                  <w:r>
                    <w:rPr>
                      <w:rFonts w:hint="eastAsia" w:ascii="Times New Roman" w:hAnsi="Times New Roman" w:eastAsia="宋体" w:cs="Times New Roman"/>
                      <w:color w:val="auto"/>
                      <w:kern w:val="0"/>
                      <w:szCs w:val="21"/>
                      <w:highlight w:val="none"/>
                      <w:vertAlign w:val="subscript"/>
                    </w:rPr>
                    <w:t>2</w:t>
                  </w:r>
                  <w:r>
                    <w:rPr>
                      <w:rFonts w:hint="eastAsia" w:ascii="Times New Roman" w:hAnsi="Times New Roman" w:eastAsia="宋体" w:cs="Times New Roman"/>
                      <w:color w:val="auto"/>
                      <w:kern w:val="0"/>
                      <w:szCs w:val="21"/>
                      <w:highlight w:val="none"/>
                    </w:rPr>
                    <w:t>、PbSO</w:t>
                  </w:r>
                  <w:r>
                    <w:rPr>
                      <w:rFonts w:hint="eastAsia" w:ascii="Times New Roman" w:hAnsi="Times New Roman" w:eastAsia="宋体" w:cs="Times New Roman"/>
                      <w:color w:val="auto"/>
                      <w:kern w:val="0"/>
                      <w:szCs w:val="21"/>
                      <w:highlight w:val="none"/>
                      <w:vertAlign w:val="subscript"/>
                    </w:rPr>
                    <w:t>4</w:t>
                  </w:r>
                  <w:r>
                    <w:rPr>
                      <w:rFonts w:hint="eastAsia" w:ascii="Times New Roman" w:hAnsi="Times New Roman" w:eastAsia="宋体" w:cs="Times New Roman"/>
                      <w:color w:val="auto"/>
                      <w:kern w:val="0"/>
                      <w:szCs w:val="21"/>
                      <w:highlight w:val="none"/>
                    </w:rPr>
                    <w:t>、稀硫酸</w:t>
                  </w:r>
                </w:p>
              </w:tc>
              <w:tc>
                <w:tcPr>
                  <w:tcW w:w="496" w:type="pct"/>
                  <w:vAlign w:val="center"/>
                </w:tcPr>
                <w:p w14:paraId="4A1E28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Pb、H</w:t>
                  </w:r>
                  <w:r>
                    <w:rPr>
                      <w:rFonts w:hint="eastAsia" w:ascii="Times New Roman" w:hAnsi="Times New Roman" w:eastAsia="宋体" w:cs="Times New Roman"/>
                      <w:color w:val="auto"/>
                      <w:kern w:val="0"/>
                      <w:szCs w:val="21"/>
                      <w:highlight w:val="none"/>
                      <w:vertAlign w:val="subscript"/>
                    </w:rPr>
                    <w:t>2</w:t>
                  </w:r>
                  <w:r>
                    <w:rPr>
                      <w:rFonts w:hint="eastAsia" w:ascii="Times New Roman" w:hAnsi="Times New Roman" w:eastAsia="宋体" w:cs="Times New Roman"/>
                      <w:color w:val="auto"/>
                      <w:kern w:val="0"/>
                      <w:szCs w:val="21"/>
                      <w:highlight w:val="none"/>
                    </w:rPr>
                    <w:t>S</w:t>
                  </w:r>
                  <w:r>
                    <w:rPr>
                      <w:rFonts w:hint="eastAsia" w:ascii="Times New Roman" w:hAnsi="Times New Roman" w:eastAsia="宋体" w:cs="Times New Roman"/>
                      <w:color w:val="auto"/>
                      <w:kern w:val="0"/>
                      <w:szCs w:val="21"/>
                      <w:highlight w:val="none"/>
                      <w:lang w:val="en-US" w:eastAsia="zh-CN"/>
                    </w:rPr>
                    <w:t>O</w:t>
                  </w:r>
                  <w:r>
                    <w:rPr>
                      <w:rFonts w:hint="eastAsia" w:ascii="Times New Roman" w:hAnsi="Times New Roman" w:eastAsia="宋体" w:cs="Times New Roman"/>
                      <w:color w:val="auto"/>
                      <w:kern w:val="0"/>
                      <w:szCs w:val="21"/>
                      <w:highlight w:val="none"/>
                      <w:vertAlign w:val="subscript"/>
                    </w:rPr>
                    <w:t>4</w:t>
                  </w:r>
                </w:p>
              </w:tc>
              <w:tc>
                <w:tcPr>
                  <w:tcW w:w="258" w:type="pct"/>
                  <w:vAlign w:val="center"/>
                </w:tcPr>
                <w:p w14:paraId="039162A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1a</w:t>
                  </w:r>
                </w:p>
              </w:tc>
              <w:tc>
                <w:tcPr>
                  <w:tcW w:w="382" w:type="pct"/>
                  <w:vAlign w:val="center"/>
                </w:tcPr>
                <w:p w14:paraId="6BC11F0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T，C</w:t>
                  </w:r>
                </w:p>
              </w:tc>
              <w:tc>
                <w:tcPr>
                  <w:tcW w:w="553" w:type="pct"/>
                  <w:vMerge w:val="restart"/>
                  <w:vAlign w:val="center"/>
                </w:tcPr>
                <w:p w14:paraId="36440369">
                  <w:pPr>
                    <w:keepNext w:val="0"/>
                    <w:keepLines w:val="0"/>
                    <w:suppressLineNumbers w:val="0"/>
                    <w:wordWrap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收集后暂存于</w:t>
                  </w:r>
                  <w:r>
                    <w:rPr>
                      <w:rFonts w:hint="eastAsia" w:ascii="Times New Roman" w:hAnsi="Times New Roman" w:eastAsia="宋体" w:cs="Times New Roman"/>
                      <w:color w:val="auto"/>
                      <w:kern w:val="0"/>
                      <w:szCs w:val="21"/>
                      <w:highlight w:val="none"/>
                      <w:lang w:eastAsia="zh-CN"/>
                    </w:rPr>
                    <w:t>危废贮存点</w:t>
                  </w:r>
                  <w:r>
                    <w:rPr>
                      <w:rFonts w:hint="eastAsia" w:ascii="Times New Roman" w:hAnsi="Times New Roman" w:eastAsia="宋体" w:cs="Times New Roman"/>
                      <w:color w:val="auto"/>
                      <w:kern w:val="0"/>
                      <w:szCs w:val="21"/>
                      <w:highlight w:val="none"/>
                    </w:rPr>
                    <w:t>，定期委托有资质单位处置</w:t>
                  </w:r>
                </w:p>
              </w:tc>
            </w:tr>
            <w:tr w14:paraId="22B4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255" w:type="pct"/>
                  <w:vAlign w:val="center"/>
                </w:tcPr>
                <w:p w14:paraId="403959B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w:t>
                  </w:r>
                </w:p>
              </w:tc>
              <w:tc>
                <w:tcPr>
                  <w:tcW w:w="395" w:type="pct"/>
                  <w:vAlign w:val="center"/>
                </w:tcPr>
                <w:p w14:paraId="7D80DDC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废油桶</w:t>
                  </w:r>
                </w:p>
              </w:tc>
              <w:tc>
                <w:tcPr>
                  <w:tcW w:w="584" w:type="pct"/>
                  <w:vAlign w:val="center"/>
                </w:tcPr>
                <w:p w14:paraId="244FD40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HW49其他废物</w:t>
                  </w:r>
                </w:p>
              </w:tc>
              <w:tc>
                <w:tcPr>
                  <w:tcW w:w="425" w:type="pct"/>
                  <w:vAlign w:val="center"/>
                </w:tcPr>
                <w:p w14:paraId="3C51025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900-041-49</w:t>
                  </w:r>
                </w:p>
              </w:tc>
              <w:tc>
                <w:tcPr>
                  <w:tcW w:w="800" w:type="pct"/>
                  <w:vAlign w:val="center"/>
                </w:tcPr>
                <w:p w14:paraId="629796C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维修</w:t>
                  </w:r>
                </w:p>
              </w:tc>
              <w:tc>
                <w:tcPr>
                  <w:tcW w:w="255" w:type="pct"/>
                  <w:vAlign w:val="center"/>
                </w:tcPr>
                <w:p w14:paraId="052A83A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固态</w:t>
                  </w:r>
                </w:p>
              </w:tc>
              <w:tc>
                <w:tcPr>
                  <w:tcW w:w="591" w:type="pct"/>
                  <w:vAlign w:val="center"/>
                </w:tcPr>
                <w:p w14:paraId="341B84C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桶壁上残留机油</w:t>
                  </w:r>
                </w:p>
              </w:tc>
              <w:tc>
                <w:tcPr>
                  <w:tcW w:w="496" w:type="pct"/>
                  <w:vAlign w:val="center"/>
                </w:tcPr>
                <w:p w14:paraId="3779B43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矿物油</w:t>
                  </w:r>
                </w:p>
              </w:tc>
              <w:tc>
                <w:tcPr>
                  <w:tcW w:w="258" w:type="pct"/>
                  <w:vAlign w:val="center"/>
                </w:tcPr>
                <w:p w14:paraId="69E65E3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1a</w:t>
                  </w:r>
                </w:p>
              </w:tc>
              <w:tc>
                <w:tcPr>
                  <w:tcW w:w="382" w:type="pct"/>
                  <w:vAlign w:val="center"/>
                </w:tcPr>
                <w:p w14:paraId="3E28FC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T，In</w:t>
                  </w:r>
                </w:p>
              </w:tc>
              <w:tc>
                <w:tcPr>
                  <w:tcW w:w="553" w:type="pct"/>
                  <w:vMerge w:val="continue"/>
                  <w:vAlign w:val="center"/>
                </w:tcPr>
                <w:p w14:paraId="41914A9A">
                  <w:pPr>
                    <w:keepNext w:val="0"/>
                    <w:keepLines w:val="0"/>
                    <w:suppressLineNumbers w:val="0"/>
                    <w:wordWrap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rPr>
                  </w:pPr>
                </w:p>
              </w:tc>
            </w:tr>
          </w:tbl>
          <w:p w14:paraId="3DA534B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变压器废油、废油桶</w:t>
            </w:r>
          </w:p>
          <w:p w14:paraId="32C067C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本项目配套3台</w:t>
            </w:r>
            <w:r>
              <w:rPr>
                <w:rFonts w:hint="eastAsia" w:ascii="Times New Roman" w:hAnsi="Times New Roman" w:eastAsia="宋体"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rPr>
              <w:t>MVA主变压器，变压器油为矿物绝缘油。变压器实行动态检修，5年检修一次。</w:t>
            </w:r>
            <w:r>
              <w:rPr>
                <w:rFonts w:hint="eastAsia" w:ascii="Times New Roman" w:hAnsi="Times New Roman" w:eastAsia="宋体" w:cs="Times New Roman"/>
                <w:color w:val="auto"/>
                <w:kern w:val="0"/>
                <w:sz w:val="24"/>
                <w:szCs w:val="24"/>
                <w:highlight w:val="none"/>
                <w:lang w:val="en-US" w:eastAsia="zh-CN"/>
              </w:rPr>
              <w:t>变压器检修过程中会产生废矿物油及废油桶。</w:t>
            </w:r>
            <w:r>
              <w:rPr>
                <w:rFonts w:hint="eastAsia" w:ascii="Times New Roman" w:hAnsi="Times New Roman" w:eastAsia="宋体" w:cs="Times New Roman"/>
                <w:color w:val="auto"/>
                <w:kern w:val="0"/>
                <w:sz w:val="24"/>
                <w:szCs w:val="24"/>
                <w:highlight w:val="none"/>
              </w:rPr>
              <w:t>根据《国家危险废物名录》（202</w:t>
            </w:r>
            <w:r>
              <w:rPr>
                <w:rFonts w:hint="eastAsia" w:ascii="Times New Roman" w:hAnsi="Times New Roman" w:eastAsia="宋体" w:cs="Times New Roman"/>
                <w:color w:val="auto"/>
                <w:kern w:val="0"/>
                <w:sz w:val="24"/>
                <w:szCs w:val="24"/>
                <w:highlight w:val="none"/>
                <w:lang w:val="en-US" w:eastAsia="zh-CN"/>
              </w:rPr>
              <w:t>5</w:t>
            </w:r>
            <w:r>
              <w:rPr>
                <w:rFonts w:hint="eastAsia" w:ascii="Times New Roman" w:hAnsi="Times New Roman" w:eastAsia="宋体" w:cs="Times New Roman"/>
                <w:color w:val="auto"/>
                <w:kern w:val="0"/>
                <w:sz w:val="24"/>
                <w:szCs w:val="24"/>
                <w:highlight w:val="none"/>
              </w:rPr>
              <w:t>年</w:t>
            </w:r>
            <w:r>
              <w:rPr>
                <w:rFonts w:hint="eastAsia" w:ascii="Times New Roman" w:hAnsi="Times New Roman" w:eastAsia="宋体" w:cs="Times New Roman"/>
                <w:color w:val="auto"/>
                <w:kern w:val="0"/>
                <w:sz w:val="24"/>
                <w:szCs w:val="24"/>
                <w:highlight w:val="none"/>
                <w:lang w:val="en-US" w:eastAsia="zh-CN"/>
              </w:rPr>
              <w:t>版</w:t>
            </w:r>
            <w:r>
              <w:rPr>
                <w:rFonts w:hint="eastAsia" w:ascii="Times New Roman" w:hAnsi="Times New Roman" w:eastAsia="宋体" w:cs="Times New Roman"/>
                <w:color w:val="auto"/>
                <w:kern w:val="0"/>
                <w:sz w:val="24"/>
                <w:szCs w:val="24"/>
                <w:highlight w:val="none"/>
              </w:rPr>
              <w:t>），变压器产生的废油属于危险废物中的“HW08废矿物油与含矿物油废物”，废物代码“900-220-08”</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废油桶属于“HW49其他废物”中“含有或者沾染毒性、感染性危险废物的废弃的包装物、容器、过滤吸附介质”，废物代码“900-041-49”</w:t>
            </w:r>
            <w:r>
              <w:rPr>
                <w:rFonts w:hint="eastAsia" w:ascii="Times New Roman" w:hAnsi="Times New Roman" w:eastAsia="宋体" w:cs="Times New Roman"/>
                <w:color w:val="auto"/>
                <w:kern w:val="0"/>
                <w:sz w:val="24"/>
                <w:szCs w:val="24"/>
                <w:highlight w:val="none"/>
              </w:rPr>
              <w:t>。</w:t>
            </w:r>
          </w:p>
          <w:p w14:paraId="0423C83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根据《火力发电厂与变电站设计防火标准》（GB50229-2019）中“总油量超过100kg的户内油浸变压器，应设置单独的变压</w:t>
            </w:r>
            <w:r>
              <w:rPr>
                <w:rFonts w:hint="eastAsia" w:ascii="Times New Roman" w:hAnsi="Times New Roman" w:eastAsia="宋体" w:cs="Times New Roman"/>
                <w:color w:val="auto"/>
                <w:kern w:val="0"/>
                <w:sz w:val="24"/>
                <w:szCs w:val="24"/>
                <w:highlight w:val="none"/>
                <w:lang w:val="en-US" w:eastAsia="zh-CN"/>
              </w:rPr>
              <w:t>器室</w:t>
            </w:r>
            <w:r>
              <w:rPr>
                <w:rFonts w:hint="eastAsia" w:ascii="Times New Roman" w:hAnsi="Times New Roman" w:eastAsia="宋体" w:cs="Times New Roman"/>
                <w:color w:val="auto"/>
                <w:kern w:val="0"/>
                <w:sz w:val="24"/>
                <w:szCs w:val="24"/>
                <w:highlight w:val="none"/>
              </w:rPr>
              <w:t>。户内单台总油量为100kg以上的电气设备，应设置挡油设施及将事故油排至安全处的设施。挡油设施的容积宜按油量的20%设计。当不能满足上述要求时，应设能容纳全部油量的贮油设施”。</w:t>
            </w:r>
          </w:p>
          <w:p w14:paraId="5C5D00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kern w:val="0"/>
                <w:sz w:val="24"/>
                <w:szCs w:val="24"/>
                <w:highlight w:val="none"/>
                <w:lang w:val="en-US" w:eastAsia="zh-CN"/>
              </w:rPr>
              <w:t>变电站为户内设置，已设单独的变压器室，变压器</w:t>
            </w:r>
            <w:r>
              <w:rPr>
                <w:rFonts w:hint="eastAsia" w:ascii="Times New Roman" w:hAnsi="Times New Roman" w:eastAsia="宋体" w:cs="Times New Roman"/>
                <w:color w:val="auto"/>
                <w:kern w:val="0"/>
                <w:sz w:val="24"/>
                <w:szCs w:val="24"/>
                <w:highlight w:val="none"/>
              </w:rPr>
              <w:t>单台油量</w:t>
            </w:r>
            <w:r>
              <w:rPr>
                <w:rFonts w:hint="eastAsia" w:ascii="Times New Roman" w:hAnsi="Times New Roman" w:eastAsia="宋体" w:cs="Times New Roman"/>
                <w:color w:val="auto"/>
                <w:kern w:val="0"/>
                <w:sz w:val="24"/>
                <w:szCs w:val="24"/>
                <w:highlight w:val="none"/>
                <w:lang w:val="en-US" w:eastAsia="zh-CN"/>
              </w:rPr>
              <w:t>大于</w:t>
            </w:r>
            <w:r>
              <w:rPr>
                <w:rFonts w:hint="eastAsia" w:ascii="Times New Roman" w:hAnsi="Times New Roman" w:eastAsia="宋体" w:cs="Times New Roman"/>
                <w:color w:val="auto"/>
                <w:kern w:val="0"/>
                <w:sz w:val="24"/>
                <w:szCs w:val="24"/>
                <w:highlight w:val="none"/>
              </w:rPr>
              <w:t>100kg，故应设置贮油设施。根据变压器厂商提供的数据，规模为</w:t>
            </w:r>
            <w:r>
              <w:rPr>
                <w:rFonts w:hint="eastAsia" w:ascii="Times New Roman" w:hAnsi="Times New Roman" w:eastAsia="宋体" w:cs="Times New Roman"/>
                <w:color w:val="auto"/>
                <w:kern w:val="0"/>
                <w:sz w:val="24"/>
                <w:szCs w:val="24"/>
                <w:highlight w:val="none"/>
                <w:lang w:val="en-US" w:eastAsia="zh-CN"/>
              </w:rPr>
              <w:t>150</w:t>
            </w:r>
            <w:r>
              <w:rPr>
                <w:rFonts w:hint="eastAsia" w:ascii="Times New Roman" w:hAnsi="Times New Roman" w:eastAsia="宋体" w:cs="Times New Roman"/>
                <w:color w:val="auto"/>
                <w:kern w:val="0"/>
                <w:sz w:val="24"/>
                <w:szCs w:val="24"/>
                <w:highlight w:val="none"/>
              </w:rPr>
              <w:t>MVA的主变压器油重约为</w:t>
            </w:r>
            <w:r>
              <w:rPr>
                <w:rFonts w:hint="eastAsia" w:ascii="Times New Roman" w:hAnsi="Times New Roman" w:eastAsia="宋体" w:cs="Times New Roman"/>
                <w:color w:val="auto"/>
                <w:kern w:val="0"/>
                <w:sz w:val="24"/>
                <w:szCs w:val="24"/>
                <w:highlight w:val="none"/>
                <w:lang w:val="en-US" w:eastAsia="zh-CN"/>
              </w:rPr>
              <w:t>40</w:t>
            </w:r>
            <w:r>
              <w:rPr>
                <w:rFonts w:hint="eastAsia" w:ascii="Times New Roman" w:hAnsi="Times New Roman" w:eastAsia="宋体" w:cs="Times New Roman"/>
                <w:color w:val="auto"/>
                <w:kern w:val="0"/>
                <w:sz w:val="24"/>
                <w:szCs w:val="24"/>
                <w:highlight w:val="none"/>
              </w:rPr>
              <w:t>t，密度为0.895t/m</w:t>
            </w:r>
            <w:r>
              <w:rPr>
                <w:rFonts w:hint="eastAsia" w:ascii="Times New Roman" w:hAnsi="Times New Roman" w:eastAsia="宋体" w:cs="Times New Roman"/>
                <w:color w:val="auto"/>
                <w:kern w:val="0"/>
                <w:sz w:val="24"/>
                <w:szCs w:val="24"/>
                <w:highlight w:val="none"/>
                <w:vertAlign w:val="superscript"/>
              </w:rPr>
              <w:t>3</w:t>
            </w:r>
            <w:r>
              <w:rPr>
                <w:rFonts w:hint="eastAsia" w:ascii="Times New Roman" w:hAnsi="Times New Roman" w:eastAsia="宋体" w:cs="Times New Roman"/>
                <w:color w:val="auto"/>
                <w:kern w:val="0"/>
                <w:sz w:val="24"/>
                <w:szCs w:val="24"/>
                <w:highlight w:val="none"/>
              </w:rPr>
              <w:t>，其体积约为</w:t>
            </w:r>
            <w:r>
              <w:rPr>
                <w:rFonts w:hint="eastAsia" w:ascii="Times New Roman" w:hAnsi="Times New Roman" w:eastAsia="宋体" w:cs="Times New Roman"/>
                <w:color w:val="auto"/>
                <w:kern w:val="0"/>
                <w:sz w:val="24"/>
                <w:szCs w:val="24"/>
                <w:highlight w:val="none"/>
                <w:lang w:val="en-US" w:eastAsia="zh-CN"/>
              </w:rPr>
              <w:t>44.69</w:t>
            </w:r>
            <w:r>
              <w:rPr>
                <w:rFonts w:hint="eastAsia" w:ascii="Times New Roman" w:hAnsi="Times New Roman" w:eastAsia="宋体" w:cs="Times New Roman"/>
                <w:color w:val="auto"/>
                <w:kern w:val="0"/>
                <w:sz w:val="24"/>
                <w:szCs w:val="24"/>
                <w:highlight w:val="none"/>
              </w:rPr>
              <w:t>m</w:t>
            </w:r>
            <w:r>
              <w:rPr>
                <w:rFonts w:hint="eastAsia" w:ascii="Times New Roman" w:hAnsi="Times New Roman" w:eastAsia="宋体" w:cs="Times New Roman"/>
                <w:color w:val="auto"/>
                <w:kern w:val="0"/>
                <w:sz w:val="24"/>
                <w:szCs w:val="24"/>
                <w:highlight w:val="none"/>
                <w:vertAlign w:val="superscript"/>
              </w:rPr>
              <w:t>3</w:t>
            </w:r>
            <w:r>
              <w:rPr>
                <w:rFonts w:hint="eastAsia" w:ascii="Times New Roman" w:hAnsi="Times New Roman" w:eastAsia="宋体" w:cs="Times New Roman"/>
                <w:color w:val="auto"/>
                <w:kern w:val="0"/>
                <w:sz w:val="24"/>
                <w:szCs w:val="24"/>
                <w:highlight w:val="none"/>
              </w:rPr>
              <w:t>。变电站</w:t>
            </w:r>
            <w:r>
              <w:rPr>
                <w:rFonts w:hint="eastAsia" w:ascii="Times New Roman" w:hAnsi="Times New Roman" w:eastAsia="宋体" w:cs="Times New Roman"/>
                <w:color w:val="auto"/>
                <w:kern w:val="0"/>
                <w:sz w:val="24"/>
                <w:szCs w:val="24"/>
                <w:highlight w:val="none"/>
                <w:lang w:val="en-US" w:eastAsia="zh-CN"/>
              </w:rPr>
              <w:t>设一座容积为50m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的事故油池，可容纳事故发生时的全部油量20%，满足《火力发电厂与变电站设计防火标准》（GB50229-2019）中的要求</w:t>
            </w:r>
            <w:r>
              <w:rPr>
                <w:rFonts w:hint="eastAsia" w:ascii="Times New Roman" w:hAnsi="Times New Roman" w:eastAsia="宋体" w:cs="Times New Roman"/>
                <w:color w:val="auto"/>
                <w:kern w:val="0"/>
                <w:sz w:val="24"/>
                <w:szCs w:val="24"/>
                <w:highlight w:val="none"/>
              </w:rPr>
              <w:t>。</w:t>
            </w:r>
          </w:p>
          <w:p w14:paraId="7F2E27D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废油桶暂存于危废贮存点，定期交由有资质单位处置。</w:t>
            </w:r>
          </w:p>
          <w:p w14:paraId="3663D1B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废铅蓄电池</w:t>
            </w:r>
          </w:p>
          <w:p w14:paraId="6FE78D8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在升压站中，直流系统是核心，为断路器分、合闸及二次回路中的继电保护、仪表及事故照明等提供能源。而直流系统中提供能源是蓄电池，为二次系统的正常运行提供动力。运行期本项目使用免维护铅酸蓄电池，其正常寿命在10-15年间，根据《国家危险废物名录》（2025年版），本项目产生的废旧铅蓄电池属于危险废物中的“HW</w:t>
            </w:r>
            <w:r>
              <w:rPr>
                <w:rFonts w:hint="eastAsia" w:ascii="Times New Roman" w:hAnsi="Times New Roman" w:eastAsia="宋体" w:cs="Times New Roman"/>
                <w:color w:val="auto"/>
                <w:kern w:val="0"/>
                <w:sz w:val="24"/>
                <w:szCs w:val="24"/>
                <w:highlight w:val="none"/>
                <w:lang w:val="en-US" w:eastAsia="zh-CN"/>
              </w:rPr>
              <w:t>31含铅</w:t>
            </w:r>
            <w:r>
              <w:rPr>
                <w:rFonts w:hint="default" w:ascii="Times New Roman" w:hAnsi="Times New Roman" w:eastAsia="宋体" w:cs="Times New Roman"/>
                <w:color w:val="auto"/>
                <w:kern w:val="0"/>
                <w:sz w:val="24"/>
                <w:szCs w:val="24"/>
                <w:highlight w:val="none"/>
                <w:lang w:val="en-US" w:eastAsia="zh-CN"/>
              </w:rPr>
              <w:t>废物”，废物代码为“900-0</w:t>
            </w:r>
            <w:r>
              <w:rPr>
                <w:rFonts w:hint="eastAsia" w:ascii="Times New Roman" w:hAnsi="Times New Roman" w:eastAsia="宋体" w:cs="Times New Roman"/>
                <w:color w:val="auto"/>
                <w:kern w:val="0"/>
                <w:sz w:val="24"/>
                <w:szCs w:val="24"/>
                <w:highlight w:val="none"/>
                <w:lang w:val="en-US" w:eastAsia="zh-CN"/>
              </w:rPr>
              <w:t>52</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31</w:t>
            </w:r>
            <w:r>
              <w:rPr>
                <w:rFonts w:hint="default" w:ascii="Times New Roman" w:hAnsi="Times New Roman" w:eastAsia="宋体" w:cs="Times New Roman"/>
                <w:color w:val="auto"/>
                <w:kern w:val="0"/>
                <w:sz w:val="24"/>
                <w:szCs w:val="24"/>
                <w:highlight w:val="none"/>
                <w:lang w:val="en-US" w:eastAsia="zh-CN"/>
              </w:rPr>
              <w:t>”。</w:t>
            </w:r>
          </w:p>
          <w:p w14:paraId="041233B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项目运营过程中的废旧免维护铅蓄电池（HW</w:t>
            </w:r>
            <w:r>
              <w:rPr>
                <w:rFonts w:hint="eastAsia" w:ascii="Times New Roman" w:hAnsi="Times New Roman" w:eastAsia="宋体" w:cs="Times New Roman"/>
                <w:color w:val="auto"/>
                <w:kern w:val="0"/>
                <w:sz w:val="24"/>
                <w:szCs w:val="24"/>
                <w:highlight w:val="none"/>
                <w:lang w:val="en-US" w:eastAsia="zh-CN"/>
              </w:rPr>
              <w:t>31</w:t>
            </w:r>
            <w:r>
              <w:rPr>
                <w:rFonts w:hint="default" w:ascii="Times New Roman" w:hAnsi="Times New Roman" w:eastAsia="宋体" w:cs="Times New Roman"/>
                <w:color w:val="auto"/>
                <w:kern w:val="0"/>
                <w:sz w:val="24"/>
                <w:szCs w:val="24"/>
                <w:highlight w:val="none"/>
                <w:lang w:val="en-US" w:eastAsia="zh-CN"/>
              </w:rPr>
              <w:t>），经聚PVC盒集中收集后暂存于</w:t>
            </w:r>
            <w:r>
              <w:rPr>
                <w:rFonts w:hint="eastAsia" w:ascii="Times New Roman" w:hAnsi="Times New Roman" w:eastAsia="宋体" w:cs="Times New Roman"/>
                <w:color w:val="auto"/>
                <w:kern w:val="0"/>
                <w:sz w:val="24"/>
                <w:szCs w:val="24"/>
                <w:highlight w:val="none"/>
                <w:lang w:val="en-US" w:eastAsia="zh-CN"/>
              </w:rPr>
              <w:t>危废贮存点</w:t>
            </w:r>
            <w:r>
              <w:rPr>
                <w:rFonts w:hint="default" w:ascii="Times New Roman" w:hAnsi="Times New Roman" w:eastAsia="宋体" w:cs="Times New Roman"/>
                <w:color w:val="auto"/>
                <w:kern w:val="0"/>
                <w:sz w:val="24"/>
                <w:szCs w:val="24"/>
                <w:highlight w:val="none"/>
                <w:lang w:val="en-US" w:eastAsia="zh-CN"/>
              </w:rPr>
              <w:t>（10m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w:t>
            </w:r>
          </w:p>
          <w:p w14:paraId="539BE4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rPr>
              <w:t>综上，项目运行期固体废物可得到妥善处置，对环境影响较小</w:t>
            </w:r>
            <w:r>
              <w:rPr>
                <w:rFonts w:hint="default" w:ascii="Times New Roman" w:hAnsi="Times New Roman" w:eastAsia="宋体" w:cs="Times New Roman"/>
                <w:color w:val="auto"/>
                <w:kern w:val="0"/>
                <w:sz w:val="24"/>
                <w:szCs w:val="24"/>
                <w:highlight w:val="none"/>
                <w:lang w:val="en-US" w:eastAsia="zh-CN"/>
              </w:rPr>
              <w:t>。</w:t>
            </w:r>
          </w:p>
          <w:p w14:paraId="0127CB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jc w:val="both"/>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4.环境风险</w:t>
            </w:r>
          </w:p>
          <w:p w14:paraId="46945B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变电站运行期间的主要环境风险物质为主变油箱内的矿物油和主变压器事故状态和维修、维护、更换和拆解过程中产生废矿物油（HW08）。 </w:t>
            </w:r>
          </w:p>
          <w:p w14:paraId="78A282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当变压器发生事故或漏油时，事故油通过排油管道集中排至事故油池。变压器四周设排油槽，排油槽与事故油池相连，排油槽底面与四壁采用防渗措施，建议地面采取1m厚黏土层（渗透系数应小于 10</w:t>
            </w:r>
            <w:r>
              <w:rPr>
                <w:rFonts w:hint="default" w:ascii="Times New Roman" w:hAnsi="Times New Roman" w:eastAsia="宋体" w:cs="Times New Roman"/>
                <w:color w:val="auto"/>
                <w:kern w:val="0"/>
                <w:sz w:val="24"/>
                <w:szCs w:val="24"/>
                <w:highlight w:val="none"/>
                <w:vertAlign w:val="superscript"/>
                <w:lang w:val="en-US" w:eastAsia="zh-CN"/>
              </w:rPr>
              <w:t xml:space="preserve"> -7</w:t>
            </w:r>
            <w:r>
              <w:rPr>
                <w:rFonts w:hint="default" w:ascii="Times New Roman" w:hAnsi="Times New Roman" w:eastAsia="宋体" w:cs="Times New Roman"/>
                <w:color w:val="auto"/>
                <w:kern w:val="0"/>
                <w:sz w:val="24"/>
                <w:szCs w:val="24"/>
                <w:highlight w:val="none"/>
                <w:lang w:val="en-US" w:eastAsia="zh-CN"/>
              </w:rPr>
              <w:t>cm/s）或2mm厚高密度聚乙烯（渗透系数应小于10</w:t>
            </w:r>
            <w:r>
              <w:rPr>
                <w:rFonts w:hint="default" w:ascii="Times New Roman" w:hAnsi="Times New Roman" w:eastAsia="宋体" w:cs="Times New Roman"/>
                <w:color w:val="auto"/>
                <w:kern w:val="0"/>
                <w:sz w:val="24"/>
                <w:szCs w:val="24"/>
                <w:highlight w:val="none"/>
                <w:vertAlign w:val="superscript"/>
                <w:lang w:val="en-US" w:eastAsia="zh-CN"/>
              </w:rPr>
              <w:t>-10</w:t>
            </w:r>
            <w:r>
              <w:rPr>
                <w:rFonts w:hint="default" w:ascii="Times New Roman" w:hAnsi="Times New Roman" w:eastAsia="宋体" w:cs="Times New Roman"/>
                <w:color w:val="auto"/>
                <w:kern w:val="0"/>
                <w:sz w:val="24"/>
                <w:szCs w:val="24"/>
                <w:highlight w:val="none"/>
                <w:lang w:val="en-US" w:eastAsia="zh-CN"/>
              </w:rPr>
              <w:t xml:space="preserve">cm/s），事故油池采用钢筋混凝土结构，抗渗等级 P8，可以确保事故状态下变压器油不渗漏，从而避免变压器油渗漏对土壤、地下水体造成的影响。 </w:t>
            </w:r>
          </w:p>
          <w:p w14:paraId="39D7AC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排油槽与事故油池相连，以防止检修时变压器内的油外流造成污染，排油槽与事故油池均为封闭设施，要做好防风、防雨、防晒措施，周围设置围墙或其他防护栅栏及警示标志，并设置应急防护措施。 </w:t>
            </w:r>
          </w:p>
          <w:p w14:paraId="5A3CB5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通过设置事故油池及采取防渗措施，本工程事故状态下产生的废矿物油可做到合理的收集，不渗漏，对周围的环境风险较小。维护废油、废铅蓄电池储存在</w:t>
            </w:r>
            <w:r>
              <w:rPr>
                <w:rFonts w:hint="eastAsia" w:ascii="Times New Roman" w:hAnsi="Times New Roman" w:eastAsia="宋体" w:cs="Times New Roman"/>
                <w:color w:val="auto"/>
                <w:kern w:val="0"/>
                <w:sz w:val="24"/>
                <w:szCs w:val="24"/>
                <w:highlight w:val="none"/>
                <w:lang w:val="en-US" w:eastAsia="zh-CN"/>
              </w:rPr>
              <w:t>危废贮存点</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危废贮存点</w:t>
            </w:r>
            <w:r>
              <w:rPr>
                <w:rFonts w:hint="default" w:ascii="Times New Roman" w:hAnsi="Times New Roman" w:eastAsia="宋体" w:cs="Times New Roman"/>
                <w:color w:val="auto"/>
                <w:kern w:val="0"/>
                <w:sz w:val="24"/>
                <w:szCs w:val="24"/>
                <w:highlight w:val="none"/>
                <w:lang w:val="en-US" w:eastAsia="zh-CN"/>
              </w:rPr>
              <w:t>按要求建设并采取防渗措施，危险废物按要求存放，对周围的环境风险较小。</w:t>
            </w:r>
          </w:p>
          <w:p w14:paraId="500D4669">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35122906">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24EA80CC">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5E7650AE">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highlight w:val="none"/>
                <w:lang w:val="en-US" w:eastAsia="zh-CN"/>
              </w:rPr>
            </w:pPr>
          </w:p>
          <w:p w14:paraId="6EACF040">
            <w:pPr>
              <w:pStyle w:val="26"/>
              <w:keepNext w:val="0"/>
              <w:keepLines w:val="0"/>
              <w:suppressLineNumbers w:val="0"/>
              <w:ind w:left="0" w:right="0"/>
              <w:rPr>
                <w:rFonts w:hint="default" w:ascii="Times New Roman" w:hAnsi="Times New Roman" w:eastAsia="宋体" w:cs="Times New Roman"/>
                <w:color w:val="auto"/>
                <w:kern w:val="0"/>
                <w:sz w:val="24"/>
                <w:szCs w:val="24"/>
                <w:highlight w:val="none"/>
                <w:lang w:val="en-US" w:eastAsia="zh-CN"/>
              </w:rPr>
            </w:pPr>
          </w:p>
          <w:p w14:paraId="56C9E4A9">
            <w:pPr>
              <w:keepNext w:val="0"/>
              <w:keepLines w:val="0"/>
              <w:suppressLineNumbers w:val="0"/>
              <w:spacing w:before="0" w:beforeAutospacing="0" w:after="0" w:afterAutospacing="0"/>
              <w:ind w:left="0" w:right="0"/>
              <w:rPr>
                <w:rFonts w:hint="default"/>
                <w:color w:val="auto"/>
                <w:lang w:val="en-US" w:eastAsia="zh-CN"/>
              </w:rPr>
            </w:pPr>
          </w:p>
          <w:p w14:paraId="59CEF4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p>
        </w:tc>
      </w:tr>
      <w:tr w14:paraId="7300D5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2269" w:hRule="atLeast"/>
          <w:jc w:val="center"/>
        </w:trPr>
        <w:tc>
          <w:tcPr>
            <w:tcW w:w="850" w:type="dxa"/>
            <w:tcBorders>
              <w:top w:val="single" w:color="auto" w:sz="8" w:space="0"/>
              <w:bottom w:val="single" w:color="auto" w:sz="8" w:space="0"/>
              <w:right w:val="single" w:color="auto" w:sz="4" w:space="0"/>
            </w:tcBorders>
            <w:vAlign w:val="center"/>
          </w:tcPr>
          <w:p w14:paraId="1259C76D">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br w:type="page"/>
            </w:r>
            <w:r>
              <w:rPr>
                <w:rFonts w:hint="default" w:ascii="Times New Roman" w:hAnsi="Times New Roman" w:eastAsia="宋体" w:cs="Times New Roman"/>
                <w:bCs/>
                <w:color w:val="auto"/>
                <w:sz w:val="24"/>
                <w:szCs w:val="24"/>
                <w:highlight w:val="none"/>
              </w:rPr>
              <w:t>选址选线环境合理性分析</w:t>
            </w:r>
          </w:p>
        </w:tc>
        <w:tc>
          <w:tcPr>
            <w:tcW w:w="8504" w:type="dxa"/>
            <w:tcBorders>
              <w:left w:val="single" w:color="auto" w:sz="4" w:space="0"/>
            </w:tcBorders>
            <w:vAlign w:val="center"/>
          </w:tcPr>
          <w:p w14:paraId="0316F3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lang w:val="en-US" w:eastAsia="zh-CN"/>
              </w:rPr>
              <w:t>环境制约因素</w:t>
            </w:r>
          </w:p>
          <w:p w14:paraId="488BCD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经现场调查，本项目沿评价范围内无自然保护区、风景名胜区、水土流失重点防治区、森林公园等《建设项目环境影响评价分类管理名录》中所确定的制约本项目建设的环境敏感区，无珍稀动植物栖息地或特殊生态系统、天然林等生态敏感区，也不涉及生态红线。</w:t>
            </w:r>
          </w:p>
          <w:p w14:paraId="6CEAB3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项目全线不涉及文物古迹，不涉及文物保护单位，不涉及饮用水源地保护区。施工中若新发现文物，将及时上报地方文物主管部门，并积极配合做好现场保护工作。</w:t>
            </w:r>
          </w:p>
          <w:p w14:paraId="25A29A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通过分析，项目的建设符合《大同市“三线一单”生态环境分区管控实施方案》的要求，符合《广灵县国土空间总体规划（2021-2035年）》要求。</w:t>
            </w:r>
          </w:p>
          <w:p w14:paraId="27FC88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因此本项目线路路径全线无生态环境制约因素。</w:t>
            </w:r>
          </w:p>
          <w:p w14:paraId="78C719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w:t>
            </w:r>
            <w:r>
              <w:rPr>
                <w:rFonts w:hint="eastAsia"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rPr>
              <w:t>环境影响程度</w:t>
            </w:r>
          </w:p>
          <w:p w14:paraId="11C0CA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工程线路选线时，按照系统规划，进出线均进行通道统一规划；线路可供利用的交通道路较多，交通运输条件较好；线路尽量绕开了村庄，避免了对房屋的拆迁。路径沿线主要为农田，占用基本农田部分进行一次性经济补偿，临时占地待施工结束后进行恢复，对生态环境影响较小。</w:t>
            </w:r>
          </w:p>
          <w:p w14:paraId="4BE9D6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拟建输电线路沿线现状监测结果，各监测点位工频电场、工频磁感应强度及噪声均能达到相应标准要求。</w:t>
            </w:r>
          </w:p>
          <w:p w14:paraId="43B91A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本项目在线路路径选择时已充分听取各相关部门的意见，目前已取得了线路沿线相关部门同意线路经过的原则性意见，与地方其他规划无冲突。</w:t>
            </w:r>
          </w:p>
          <w:p w14:paraId="6B596B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通过预测分析结果表明，</w:t>
            </w:r>
            <w:r>
              <w:rPr>
                <w:rFonts w:hint="eastAsia" w:ascii="Times New Roman" w:hAnsi="Times New Roman" w:eastAsia="宋体" w:cs="Times New Roman"/>
                <w:b w:val="0"/>
                <w:bCs w:val="0"/>
                <w:color w:val="auto"/>
                <w:kern w:val="0"/>
                <w:sz w:val="24"/>
                <w:szCs w:val="24"/>
                <w:highlight w:val="none"/>
                <w:lang w:val="en-US" w:eastAsia="zh-CN"/>
              </w:rPr>
              <w:t>22</w:t>
            </w:r>
            <w:r>
              <w:rPr>
                <w:rFonts w:hint="default" w:ascii="Times New Roman" w:hAnsi="Times New Roman" w:eastAsia="宋体" w:cs="Times New Roman"/>
                <w:b w:val="0"/>
                <w:bCs w:val="0"/>
                <w:color w:val="auto"/>
                <w:kern w:val="0"/>
                <w:sz w:val="24"/>
                <w:szCs w:val="24"/>
                <w:highlight w:val="none"/>
                <w:lang w:val="en-US" w:eastAsia="zh-CN"/>
              </w:rPr>
              <w:t>0kV</w:t>
            </w:r>
            <w:r>
              <w:rPr>
                <w:rFonts w:hint="eastAsia" w:ascii="Times New Roman" w:hAnsi="Times New Roman" w:eastAsia="宋体" w:cs="Times New Roman"/>
                <w:b w:val="0"/>
                <w:bCs w:val="0"/>
                <w:color w:val="auto"/>
                <w:kern w:val="0"/>
                <w:sz w:val="24"/>
                <w:szCs w:val="24"/>
                <w:highlight w:val="none"/>
                <w:lang w:val="en-US" w:eastAsia="zh-CN"/>
              </w:rPr>
              <w:t>线路</w:t>
            </w:r>
            <w:r>
              <w:rPr>
                <w:rFonts w:hint="default" w:ascii="Times New Roman" w:hAnsi="Times New Roman" w:eastAsia="宋体" w:cs="Times New Roman"/>
                <w:b w:val="0"/>
                <w:bCs w:val="0"/>
                <w:color w:val="auto"/>
                <w:kern w:val="0"/>
                <w:sz w:val="24"/>
                <w:szCs w:val="24"/>
                <w:highlight w:val="none"/>
                <w:lang w:val="en-US" w:eastAsia="zh-CN"/>
              </w:rPr>
              <w:t>工程运行后产生的工频电场强度、工频磁感应强度均满足《电磁环境控制限值》（GB8702-2014）中“公众曝露控制限值”规定的工频电场强度小于4kV/m、工频磁感应强度100μT的控制限值，线路经过耕地、道路等场地工频电场强度小于10kV/m控制限值。</w:t>
            </w:r>
          </w:p>
          <w:p w14:paraId="0933E6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3</w:t>
            </w:r>
            <w:r>
              <w:rPr>
                <w:rFonts w:hint="eastAsia"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rPr>
              <w:t>生态环境影响程度</w:t>
            </w:r>
          </w:p>
          <w:p w14:paraId="6ADCE2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通过现场勘查，结合相关部门资料，不在广灵县生态保护红线、生态走廊、自然保护区、自然公园、风景名胜区、森林公园范围内，线路周边不存在生态敏感区，项目建设对生态环境影响较小，在可控制范围内，永久占地按照原有土地性质进行补偿，不会加剧原生态环境的影响，不会加剧周边的植被破坏，施工期结束后严格落实生态补偿措施，切实做到占补平衡。故本项目的建设对生态环境影响在可接受范围内。</w:t>
            </w:r>
          </w:p>
          <w:p w14:paraId="31236B85">
            <w:pPr>
              <w:keepNext w:val="0"/>
              <w:keepLines w:val="0"/>
              <w:suppressLineNumbers w:val="0"/>
              <w:spacing w:before="0" w:beforeAutospacing="0" w:after="0" w:afterAutospacing="0"/>
              <w:ind w:left="0" w:right="0"/>
              <w:rPr>
                <w:rFonts w:hint="default"/>
                <w:color w:val="auto"/>
                <w:lang w:val="en-US" w:eastAsia="zh-CN"/>
              </w:rPr>
            </w:pPr>
          </w:p>
        </w:tc>
      </w:tr>
    </w:tbl>
    <w:p w14:paraId="59EC5614">
      <w:pPr>
        <w:wordWrap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79F351D4">
      <w:pPr>
        <w:wordWrap w:val="0"/>
        <w:jc w:val="center"/>
        <w:outlineLvl w:val="0"/>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五、主要生态环境保护措施</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28" w:type="dxa"/>
          <w:left w:w="85" w:type="dxa"/>
          <w:bottom w:w="28" w:type="dxa"/>
          <w:right w:w="85" w:type="dxa"/>
        </w:tblCellMar>
      </w:tblPr>
      <w:tblGrid>
        <w:gridCol w:w="850"/>
        <w:gridCol w:w="8504"/>
      </w:tblGrid>
      <w:tr w14:paraId="7CE92B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175" w:hRule="atLeast"/>
          <w:jc w:val="center"/>
        </w:trPr>
        <w:tc>
          <w:tcPr>
            <w:tcW w:w="850" w:type="dxa"/>
            <w:tcBorders>
              <w:top w:val="single" w:color="auto" w:sz="8" w:space="0"/>
              <w:bottom w:val="single" w:color="auto" w:sz="8" w:space="0"/>
              <w:right w:val="single" w:color="auto" w:sz="4" w:space="0"/>
            </w:tcBorders>
            <w:vAlign w:val="center"/>
          </w:tcPr>
          <w:p w14:paraId="502B5E4A">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施工期生态环境保护措施</w:t>
            </w:r>
          </w:p>
        </w:tc>
        <w:tc>
          <w:tcPr>
            <w:tcW w:w="8504" w:type="dxa"/>
            <w:tcBorders>
              <w:left w:val="single" w:color="auto" w:sz="4" w:space="0"/>
            </w:tcBorders>
            <w:vAlign w:val="top"/>
          </w:tcPr>
          <w:p w14:paraId="25245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1.大气环境保护措施</w:t>
            </w:r>
          </w:p>
          <w:p w14:paraId="02D86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建设期对大气环境的影响主要表现为施工扬尘污染，其次为汽车运输产生的道路扬尘，各类施工机械、运输车辆等排放的废气。建设期间产生的扬尘污染主要取决于施工作业方式、材料的堆放及风力等因素，其中受风力因素的影响最大。</w:t>
            </w:r>
          </w:p>
          <w:p w14:paraId="39ED4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施工区大气污染防治措施</w:t>
            </w:r>
          </w:p>
          <w:p w14:paraId="73169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建设单位应按照扬尘污染防治的相关规定实行“绿色施工”</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建立扬尘控制责任制度，制定施工扬尘污染防治方案。根据施工工序编制建设期内扬尘污染防治任务书，实施扬尘防治全过程管理，责任到每个施工工序。</w:t>
            </w:r>
          </w:p>
          <w:p w14:paraId="7A1BC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加强裸露地面扬尘整治，全面清理建设期产生的建筑垃圾与弃渣，不能及时清理的必须采取苫盖等抑尘措施；</w:t>
            </w:r>
          </w:p>
          <w:p w14:paraId="39688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建设单位应在施工工地公示扬尘污染防治措施、负责人、扬尘监督管理主管部门等信息，确保做到工地周边围挡、物料堆放覆盖、土方开挖湿法作业、路面硬化、出入车辆清洗、渣土车辆密闭运输</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六个百分之百</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重污染天气预警和采暖季期间，停止各类土方作业；</w:t>
            </w:r>
          </w:p>
          <w:p w14:paraId="6CAF9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在施工边界设置围挡，围挡高度不低于1.8m</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敏感点不低于2.5m</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围挡下方设置不低于20cm高的防溢座以防止粉尘流失；任意两块围挡以及围挡与防溢座的拼接处都不能有大于 0.5cm的缝隙，围挡不得有明显破损的漏洞；</w:t>
            </w:r>
          </w:p>
          <w:p w14:paraId="5D1CA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应尽量避免在春季大风季节以及夏季暴雨时节施工，尽可能缩短施工时间，提高施工效率，减少裸地的暴露时间，遇有大风天气时，应避免进行挖掘、回填等大土方量作业或采取喷水抑尘措施；</w:t>
            </w:r>
          </w:p>
          <w:p w14:paraId="7011D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施工期合理规划，减少材料堆场及土方堆放占地。每个杆塔建设完成后，及时进行土地平整及植被恢复，临时堆放的回填土方表面采用不透水帆布覆盖，防止扬尘产生；</w:t>
            </w:r>
          </w:p>
          <w:p w14:paraId="1D109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车辆运输散体材料和废物时，必须密闭、包扎、覆盖，避免沿途漏撒；运载土方的车辆必须在规定的时间内，按指定路段行驶，控制扬尘污染；</w:t>
            </w:r>
          </w:p>
          <w:p w14:paraId="311CE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环评要求施工过程中采用商品混凝土，混凝土须用罐装车运至施工点进行浇筑，避免因混凝土拌制产生扬尘；</w:t>
            </w:r>
          </w:p>
          <w:p w14:paraId="418AC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各施工区由专人负责洒水，非雨日早、中、晚在集中施工区、施工道路等地来回洒水，以减少扬尘，缩短粉尘扩散距离和控制粉尘污染范围；</w:t>
            </w:r>
          </w:p>
          <w:p w14:paraId="4EE9A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应边开挖、边回填，减少风蚀扬尘对大气环境的影响；</w:t>
            </w:r>
          </w:p>
          <w:p w14:paraId="06244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lang w:val="en-US" w:eastAsia="zh-CN"/>
              </w:rPr>
              <w:t>施工现场严禁焚烧各类废弃物。各种建筑用料选购应有合法来源，供应商环保手续齐全。</w:t>
            </w:r>
          </w:p>
          <w:p w14:paraId="7B9A6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运输扬尘防治措施</w:t>
            </w:r>
          </w:p>
          <w:p w14:paraId="31ABE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利用其周边道路运输施工材料至项目沿线各施工区。施工物料运输过程中环境敏感目标主要为运输沿线的村庄，运输扬尘对居民区环境影响较大。环评要求本项目在进行物料、固体废物运输时应采取以下措施：</w:t>
            </w:r>
          </w:p>
          <w:p w14:paraId="44800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物料运输采用封闭箱式货车或集装箱运输车，严禁运输过程中出现散状物料散落情况，避免对沿线村庄及居民产生扬尘污染；</w:t>
            </w:r>
          </w:p>
          <w:p w14:paraId="4809C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加强运输车辆的管理，路经村庄时应降低行驶车速，同时设置洒水车并及时对运输线路路面进行洒水抑尘；</w:t>
            </w:r>
          </w:p>
          <w:p w14:paraId="7E908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装载物料高度不得超过车辆槽帮上沿，运输车辆采取密闭措施。为防止运输途中扬尘、散落，必须加盖毡布，苫布边缘至少要遮住槽帮上沿以下15cm</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保证物料、渣土不露出；</w:t>
            </w:r>
          </w:p>
          <w:p w14:paraId="2FC21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确保车辆不带泥土驶出工地；装卸渣土严禁凌空抛散；要指定专人清扫工地路面；</w:t>
            </w:r>
          </w:p>
          <w:p w14:paraId="6D9A7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对于运输过程产生的撒漏，建设单位、施工单位均有责任对其进行清理，建设单位也可委托环卫部门，对运输线路分段派专人负责，保证撒漏得到及时有效的清理。</w:t>
            </w:r>
          </w:p>
          <w:p w14:paraId="2A4CF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燃油废气防治措施</w:t>
            </w:r>
          </w:p>
          <w:p w14:paraId="53FA5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建设期应使用符合国家有关排放标准的施工机械和运输车辆，使用符合标准的油料或清洁能源，使其排放的废气能够达到国家标准。应执行《在用汽车报废标准》</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推行强制更新报废制度，对于发动机耗油多、效率低、排放尾气严重超标的老、旧车辆，要及时更新；按《汽车排污监管办法》和《汽车排放监测制度》要求，对运输车辆进行监督管理。施工机械应定期进行检修与保养，及时清洗、维修，确保施工机械及运输工具始终处于良好的工作状态，减少有害气体排放量，确保施工机械废气排放符合环保要求。施工机械应定期和不定期进行车辆尾气检测，对未达标的车辆实施处罚措施并禁止其在施工区的使用。</w:t>
            </w:r>
          </w:p>
          <w:p w14:paraId="1A3A7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2.水环境保护措施</w:t>
            </w:r>
          </w:p>
          <w:p w14:paraId="1262E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施工阶段废水分为施工废水和生活污水。施工废水为物料冲洗废水，这部分废水含有一定量泥沙。生活污水中含有大量的细菌和病原体，如直接排放，会造成所在区域水环境的水体污染。施工阶段可采取以下水污染防治对策：</w:t>
            </w:r>
          </w:p>
          <w:p w14:paraId="445231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管理措施</w:t>
            </w:r>
          </w:p>
          <w:p w14:paraId="35BE9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合理安排跨河施工的作业时间和施工方式</w:t>
            </w:r>
          </w:p>
          <w:p w14:paraId="417BB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现场施工尽量选择在非雨季。终期方案塔基G53-G54线路跨越壶流河，G54号塔基距离河道管理范围外侧最近的距离55m，不在河道范围施工</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施工现场使用带油料的机械器具，应采取措施防止油料跑、冒、滴、漏，防止对土壤和水体造成污染。禁止向水体排放、倾倒垃圾、弃土、弃渣。</w:t>
            </w:r>
          </w:p>
          <w:p w14:paraId="54AA0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制定严格的施工管理制度</w:t>
            </w:r>
          </w:p>
          <w:p w14:paraId="74620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加强对施工人员的教育，加强施工人员的环境保护意识。</w:t>
            </w:r>
          </w:p>
          <w:p w14:paraId="31FE0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配备必要的防护物资</w:t>
            </w:r>
          </w:p>
          <w:p w14:paraId="5EA2A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土方等集中堆放，并采取一定的防雨措施，及时清扫施工运输过程中抛洒的上述建筑材料，以免这些物质随雨水冲刷污染附近的水体。</w:t>
            </w:r>
          </w:p>
          <w:p w14:paraId="107DA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工程措施</w:t>
            </w:r>
          </w:p>
          <w:p w14:paraId="53C36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设备、车辆冲洗废水处理措施</w:t>
            </w:r>
          </w:p>
          <w:p w14:paraId="7ACAE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根据废水特点，施工区设置简单的</w:t>
            </w:r>
            <w:r>
              <w:rPr>
                <w:rFonts w:hint="eastAsia" w:ascii="Times New Roman" w:hAnsi="Times New Roman" w:eastAsia="宋体" w:cs="Times New Roman"/>
                <w:bCs/>
                <w:color w:val="auto"/>
                <w:sz w:val="24"/>
                <w:szCs w:val="24"/>
                <w:highlight w:val="none"/>
                <w:lang w:val="en-US" w:eastAsia="zh-CN"/>
              </w:rPr>
              <w:t>隔油池+</w:t>
            </w:r>
            <w:r>
              <w:rPr>
                <w:rFonts w:hint="default" w:ascii="Times New Roman" w:hAnsi="Times New Roman" w:eastAsia="宋体" w:cs="Times New Roman"/>
                <w:bCs/>
                <w:color w:val="auto"/>
                <w:sz w:val="24"/>
                <w:szCs w:val="24"/>
                <w:highlight w:val="none"/>
                <w:lang w:val="en-US" w:eastAsia="zh-CN"/>
              </w:rPr>
              <w:t>沉淀池进行处理，处理后水回用或用于泼洒抑尘</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能够满足循环利用要求，实现零排放。</w:t>
            </w:r>
          </w:p>
          <w:p w14:paraId="7F55C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生活污水</w:t>
            </w:r>
          </w:p>
          <w:p w14:paraId="50140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施工区设环保旱厕，定期清掏，用于周围农田施肥，不排入周围环境。</w:t>
            </w:r>
          </w:p>
          <w:p w14:paraId="4E9DA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声</w:t>
            </w:r>
            <w:r>
              <w:rPr>
                <w:rFonts w:hint="default" w:ascii="Times New Roman" w:hAnsi="Times New Roman" w:eastAsia="宋体" w:cs="Times New Roman"/>
                <w:b/>
                <w:bCs/>
                <w:color w:val="auto"/>
                <w:sz w:val="24"/>
                <w:szCs w:val="24"/>
                <w:highlight w:val="none"/>
                <w:lang w:val="en-US" w:eastAsia="zh-CN"/>
              </w:rPr>
              <w:t>环境保护措施</w:t>
            </w:r>
          </w:p>
          <w:p w14:paraId="7E05D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噪声防治对策首先从声源上进行控制，其次采取有效的隔声、消声和吸声等控制措施，并从厂区总平面布置上综合考虑设备噪声对厂区及周边环境的影响。</w:t>
            </w:r>
          </w:p>
          <w:p w14:paraId="6A86D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变电站</w:t>
            </w:r>
          </w:p>
          <w:p w14:paraId="48FC1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声源控制</w:t>
            </w:r>
          </w:p>
          <w:p w14:paraId="3F2F3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在设备选型时，优先选择符合国家规定噪声标准的电气设备，包括主变压器、电抗器、电容器、站用变电站等设备，提出噪声水平限值，从控制声源角度降低噪声影响。</w:t>
            </w:r>
          </w:p>
          <w:p w14:paraId="69FA7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优化站区总平面布置</w:t>
            </w:r>
          </w:p>
          <w:p w14:paraId="74F47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主要噪声源集中布置在站址的相对中心位置，并尽可能远离边界。</w:t>
            </w:r>
          </w:p>
          <w:p w14:paraId="70A25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隔声、吸声措施</w:t>
            </w:r>
          </w:p>
          <w:p w14:paraId="3C60F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在变压器、高压电抗器之间利用防火墙隔开，有效控制噪声向侧面传播。</w:t>
            </w:r>
          </w:p>
          <w:p w14:paraId="13CCF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输电线路</w:t>
            </w:r>
          </w:p>
          <w:p w14:paraId="2773E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在满足工程对导线机械物理特性要求和系统输送容量要求的前提下，合理选择导线、子导线分裂间距及绝缘子串组装型式等，以降低线路的电晕噪声水平。</w:t>
            </w:r>
          </w:p>
          <w:p w14:paraId="104BD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严格控制水平距离和线高，确保评价范围内声环境敏感目标处的声环境满足相应声功能区的声级限值要求。</w:t>
            </w:r>
          </w:p>
          <w:p w14:paraId="66C56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固体废物</w:t>
            </w:r>
            <w:r>
              <w:rPr>
                <w:rFonts w:hint="default" w:ascii="Times New Roman" w:hAnsi="Times New Roman" w:eastAsia="宋体" w:cs="Times New Roman"/>
                <w:b/>
                <w:color w:val="auto"/>
                <w:sz w:val="24"/>
                <w:szCs w:val="24"/>
                <w:highlight w:val="none"/>
                <w:lang w:val="en-US" w:eastAsia="zh-CN"/>
              </w:rPr>
              <w:t>防治措施</w:t>
            </w:r>
          </w:p>
          <w:p w14:paraId="4C8D1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对施工期固体废物采取如下防治措施：</w:t>
            </w:r>
          </w:p>
          <w:p w14:paraId="3D4EB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1</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在工程施工前应</w:t>
            </w:r>
            <w:r>
              <w:rPr>
                <w:rFonts w:hint="default" w:ascii="Times New Roman" w:hAnsi="Times New Roman" w:eastAsia="宋体" w:cs="Times New Roman"/>
                <w:bCs/>
                <w:color w:val="auto"/>
                <w:sz w:val="24"/>
                <w:szCs w:val="24"/>
                <w:highlight w:val="none"/>
                <w:lang w:eastAsia="zh-CN"/>
              </w:rPr>
              <w:t>做好</w:t>
            </w:r>
            <w:r>
              <w:rPr>
                <w:rFonts w:hint="default" w:ascii="Times New Roman" w:hAnsi="Times New Roman" w:eastAsia="宋体" w:cs="Times New Roman"/>
                <w:bCs/>
                <w:color w:val="auto"/>
                <w:sz w:val="24"/>
                <w:szCs w:val="24"/>
                <w:highlight w:val="none"/>
              </w:rPr>
              <w:t>施工机构及施工人员的环保培训。</w:t>
            </w:r>
          </w:p>
          <w:p w14:paraId="61672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2</w:t>
            </w:r>
            <w:r>
              <w:rPr>
                <w:rFonts w:hint="default" w:ascii="Times New Roman" w:hAnsi="Times New Roman" w:eastAsia="宋体" w:cs="Times New Roman"/>
                <w:bCs/>
                <w:color w:val="auto"/>
                <w:sz w:val="24"/>
                <w:szCs w:val="24"/>
                <w:highlight w:val="none"/>
                <w:lang w:eastAsia="zh-CN"/>
              </w:rPr>
              <w:t>）基础</w:t>
            </w:r>
            <w:r>
              <w:rPr>
                <w:rFonts w:hint="default" w:ascii="Times New Roman" w:hAnsi="Times New Roman" w:eastAsia="宋体" w:cs="Times New Roman"/>
                <w:bCs/>
                <w:color w:val="auto"/>
                <w:sz w:val="24"/>
                <w:szCs w:val="24"/>
                <w:highlight w:val="none"/>
              </w:rPr>
              <w:t>开挖产生的弃方全部用于场地平整，不存在外排土方的问题。</w:t>
            </w:r>
          </w:p>
          <w:p w14:paraId="633DC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（3）施工过程产生的建筑材料边角料、设备包装废弃物等，可回收利用的综合利用，不可回收的按照要求统一运至环卫部门指定地点倾倒。</w:t>
            </w:r>
          </w:p>
          <w:p w14:paraId="1BB2D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（4）明确要求施工建筑垃圾及生活垃圾应分别收集堆放，并妥善处理，及时清运或定期运至环卫部门指定的地点妥善处置。</w:t>
            </w:r>
          </w:p>
          <w:p w14:paraId="22807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生态保护措施</w:t>
            </w:r>
          </w:p>
          <w:p w14:paraId="166BB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本项目施工期生态保护主要采取以下几个措施：</w:t>
            </w:r>
          </w:p>
          <w:p w14:paraId="1CBE0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（1）施工管理措施</w:t>
            </w:r>
          </w:p>
          <w:p w14:paraId="401FF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强化施工阶段的环境管理，为了保证环境保护措施得到落实，建设单位应将环境保护内容作为合同条款纳入到合同中，要求施工单位按评价要求科学、合理施工，项目单位定期对工程施工情况进行监督，确保落实环评及生态环境主管部门提出的各项环保措施。</w:t>
            </w:r>
          </w:p>
          <w:p w14:paraId="035D2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2）加强施工队伍职工环境教育，规范施工人员行为。严禁砍伐、破坏施工带以外的作物和树木，尽量减少对植被的破坏。</w:t>
            </w:r>
          </w:p>
          <w:p w14:paraId="13FBB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3）施工前对施工人员广泛宣传动植物保护的法律法规与政策，增强他们对生态环境的保护意识，避免对植被进行随意破坏。</w:t>
            </w:r>
          </w:p>
          <w:p w14:paraId="48D6F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（2）施工占地措施</w:t>
            </w:r>
          </w:p>
          <w:p w14:paraId="275B5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工程材料的运送尽量利用现有的各种道路，除必要的施工道路外，不得砍伐树木建设通道；加强对现场施工机械、人员进出管理，严格控制交通运输过程对非道路以外区域的影响。</w:t>
            </w:r>
          </w:p>
          <w:p w14:paraId="45EDE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施工前进行表土剥离，施工结束后及时平整地面，进行生态恢复。</w:t>
            </w:r>
          </w:p>
          <w:p w14:paraId="4CF5B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牵张场、临时施工场地要统一规划选址，且尽量接近线路施工现场，减少运输路程。严格划定施工作业带：在施工作业带两侧边界设置彩旗等设施进行边界标识，严格限制施工作业及车辆、机械通行范围在施工带内施工。在保证施工顺利进行的前提下，尽量减少施工占地面积。对施工中占用的耕地应按土地法规定的程序，向有关行政部门办理相关手续。</w:t>
            </w:r>
          </w:p>
          <w:p w14:paraId="14D64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（3）施工作业防护措施</w:t>
            </w:r>
          </w:p>
          <w:p w14:paraId="1F88E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为保护生态环境，本工程设计遵循以下原则：①尽可能利用现有道路，尽量避免开辟新道路而破坏植被；②本工程塔基区施工应尽量选择植被稀疏的草地或裸地位置；③牵张场一般选在地势平坦开阔、植被较少的地方，施工结束后，场地内的植被通过人</w:t>
            </w:r>
            <w:r>
              <w:rPr>
                <w:rFonts w:hint="default" w:ascii="Times New Roman" w:hAnsi="Times New Roman" w:eastAsia="宋体" w:cs="Times New Roman"/>
                <w:color w:val="auto"/>
                <w:sz w:val="24"/>
                <w:szCs w:val="24"/>
                <w:highlight w:val="none"/>
                <w:lang w:val="en-US" w:eastAsia="zh-CN"/>
              </w:rPr>
              <w:t xml:space="preserve">工措施，逐步恢复。 </w:t>
            </w:r>
          </w:p>
          <w:p w14:paraId="075CA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施工中应执行分层开挖、分层堆放、分层回填的操作规范。植被开挖时要将表土和底层土分别堆放，回填时分层反序回填，尽可能保护原有的土壤环境，将表层比较肥沃的土壤分层剥离，集中堆放。尽可能降低对土壤养分的影响，最快使土壤得以恢复。回填时，还应留足适宜的堆积层，防止因降水、径流造成地表下陷和水土流失。</w:t>
            </w:r>
          </w:p>
          <w:p w14:paraId="1724E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线路跨越林地时，在施工设计时，应合理选择塔基位置，采用增高铁塔直接跨越方式，以减少塔基处的林木砍伐；对于塔基占地处和不可避免要砍伐的树木，必须依法履行有关砍伐手续和给予应有的赔偿，以保证对林木生态影响降到最低。基础开挖时，进行表土剥离，将表土和熟化土分开堆放，以便施工结束后恢复。</w:t>
            </w:r>
          </w:p>
          <w:p w14:paraId="4ECAC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线路跨越基本农田时，塔基尽量避开基本农田架设，无法避让时，合理选择铁塔，采用塔基占地较小的铁塔，缩短施工时间，避开耕作期施工，严格控制施工范围，对于所占基本农田进行相应补偿。在施工结束后，塔基下方可恢复耕地。施工作业时间尽量在农闲时期进行，避免损毁沿线农作物。合理设置牵引机及电缆线路堆放场地，将生态影响降到最低。 </w:t>
            </w:r>
          </w:p>
          <w:p w14:paraId="3FC68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 xml:space="preserve">线路下方 </w:t>
            </w:r>
          </w:p>
          <w:p w14:paraId="23DAF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 xml:space="preserve">线路施工过程在架线时，一般先放牵引绳，再牵拉导线，不砍伐通道，为防止刮伤导线，导线架空，不与地面植被接触，在施工过程中，两塔间的人为活动较少，无大型机械作业，因此，除零星树木砍伐工程外，施工期对导线下的植被影响不大。 </w:t>
            </w:r>
          </w:p>
          <w:p w14:paraId="0AC24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施工期应尽量避开雨天，并对施工场地进行合理的规划，对开挖表土等设专门的堆棚或设置围档，减少水土流失。</w:t>
            </w:r>
          </w:p>
          <w:p w14:paraId="38760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施工后及时清理现场，将施工废弃物运出现场，做到“工完、料尽、场地清”。施工结束后，对塔基临时占地、牵张场等所有临时占地进行植被恢复或原地复耕。</w:t>
            </w:r>
          </w:p>
          <w:p w14:paraId="6F52B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工程施工期生态恢复措施 </w:t>
            </w:r>
          </w:p>
          <w:p w14:paraId="1B630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塔基及塔基施工区 </w:t>
            </w:r>
          </w:p>
          <w:p w14:paraId="6C738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塔基施工区及牵张场等占地均属于临时占地，尽量设置在农坎及草地上，减少对植被的破坏。施工期内临时占地上的植被将被不同程度的破坏，位于农田的需进行青苗赔偿，在施工结束后将地表全部清理，交由农民复垦；施工结束后对占用的林地和其他草地进行植被恢复。首先进行全面整地，然后对临时占用的他林地，采取乔草结合种植的方式恢复植被，对临时占地的草地采取</w:t>
            </w:r>
            <w:r>
              <w:rPr>
                <w:rFonts w:hint="eastAsia" w:ascii="Times New Roman" w:hAnsi="Times New Roman" w:eastAsia="宋体" w:cs="Times New Roman"/>
                <w:color w:val="auto"/>
                <w:sz w:val="24"/>
                <w:szCs w:val="24"/>
                <w:highlight w:val="none"/>
                <w:lang w:val="en-US" w:eastAsia="zh-CN"/>
              </w:rPr>
              <w:t>播撒草地</w:t>
            </w:r>
            <w:r>
              <w:rPr>
                <w:rFonts w:hint="default" w:ascii="Times New Roman" w:hAnsi="Times New Roman" w:eastAsia="宋体" w:cs="Times New Roman"/>
                <w:color w:val="auto"/>
                <w:sz w:val="24"/>
                <w:szCs w:val="24"/>
                <w:highlight w:val="none"/>
                <w:lang w:val="en-US" w:eastAsia="zh-CN"/>
              </w:rPr>
              <w:t>的方式恢复植被</w:t>
            </w:r>
            <w:r>
              <w:rPr>
                <w:rFonts w:hint="eastAsia" w:ascii="Times New Roman" w:hAnsi="Times New Roman" w:eastAsia="宋体" w:cs="Times New Roman"/>
                <w:color w:val="auto"/>
                <w:sz w:val="24"/>
                <w:szCs w:val="24"/>
                <w:highlight w:val="none"/>
                <w:lang w:val="en-US" w:eastAsia="zh-CN"/>
              </w:rPr>
              <w:t>。</w:t>
            </w:r>
          </w:p>
          <w:p w14:paraId="32F3B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①工程措施：施工前，首先对塔基基础开挖区域进行表土剥离，剥离厚度为0.3m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将剥离的表土就近堆放于塔基及塔基施工区占地范围内，待施工完毕后进行回覆。 </w:t>
            </w:r>
          </w:p>
          <w:p w14:paraId="6D84D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②植物措施：输电线路架设完毕后，对临时占用乔木林地的进行补偿或异地补种刺槐、松树，占用其他草地区土地进行植被恢复，对临时占用的旱地进行原地复耕。草种选择无芒雀麦和披碱草。</w:t>
            </w:r>
          </w:p>
          <w:p w14:paraId="00C12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③临时措施：为了减少土石方的重复搬运，减少水土流失，就近在各施工区占地范围内设置临时堆土场，用于堆放各塔基及塔基施工区剥离的表土、开挖土方，并进行临时防护。堆土四周用编织袋装土防护。堆土边坡及顶部覆盖彩条布覆盖，以防因水蚀而造成水土流失。塔基施工过程中对基础开挖以外的施工区域铺设土工布，对表土进行防护。 </w:t>
            </w:r>
          </w:p>
          <w:p w14:paraId="2DB68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施工道路的保护措施 </w:t>
            </w:r>
          </w:p>
          <w:p w14:paraId="71D0D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工程材料的运送尽量利用现有的各种道路，为了施工和运行检修的方便，设计选线的时候已尽量将输电线路靠近现有道路，尽量避免新修道路。本项目线路沿线跨越林地、草地等，为减少施工临时道路修筑对生态环境的影响，要求道路选择在植被稀疏的地方，妥善解决路基路面排水问题；除对必要的施工道路外，不得砍伐通道；加强对现场施工机械、人员进出管理，严格控制交通运输过程对非道路以外区域的影响。施工结束后及时平整地面，除保留必要的检修通道外，通过人工措施恢复原有植被。 </w:t>
            </w:r>
          </w:p>
          <w:p w14:paraId="6EA27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 xml:space="preserve">牵张场 </w:t>
            </w:r>
          </w:p>
          <w:p w14:paraId="15272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禁止在永久基本农田内设置牵张场，牵张场位置尽量设置在平坦地段，避让高大乔木。</w:t>
            </w:r>
          </w:p>
          <w:p w14:paraId="6BC1A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工程措施：施工结束后，对临时占地原地貌进行全面整地。 </w:t>
            </w:r>
          </w:p>
          <w:p w14:paraId="56EDB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植物措施：施工结束后对临时占用乔木林地的进行补偿或异地补种刺槐、松树，占用其他草地区域采取</w:t>
            </w:r>
            <w:r>
              <w:rPr>
                <w:rFonts w:hint="eastAsia" w:ascii="Times New Roman" w:hAnsi="Times New Roman" w:eastAsia="宋体" w:cs="Times New Roman"/>
                <w:color w:val="auto"/>
                <w:sz w:val="24"/>
                <w:szCs w:val="24"/>
                <w:highlight w:val="none"/>
                <w:lang w:val="en-US" w:eastAsia="zh-CN"/>
              </w:rPr>
              <w:t>播撒草籽</w:t>
            </w:r>
            <w:r>
              <w:rPr>
                <w:rFonts w:hint="default" w:ascii="Times New Roman" w:hAnsi="Times New Roman" w:eastAsia="宋体" w:cs="Times New Roman"/>
                <w:color w:val="auto"/>
                <w:sz w:val="24"/>
                <w:szCs w:val="24"/>
                <w:highlight w:val="none"/>
                <w:lang w:val="en-US" w:eastAsia="zh-CN"/>
              </w:rPr>
              <w:t>的方式恢复植被。草种选择无芒雀麦和披碱草。</w:t>
            </w:r>
          </w:p>
          <w:p w14:paraId="3A2C9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临时措施：施工过程中对施工区域进行土工布铺垫的措施进行防护。</w:t>
            </w:r>
          </w:p>
          <w:p w14:paraId="3CDD0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对旱地的保护措施 </w:t>
            </w:r>
          </w:p>
          <w:p w14:paraId="645C8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线路选线尽量利用荒地、劣地，少占用耕地特别是基本农田；应做好耕地耕作层剥离、分类存放和回填利用，施工时要将耕作层剥离并采用上铺下盖等隔离措施单独堆放，塔基基础开挖完工后，尽快浇注混凝土，按照原有土层顺序进行回填，缩短裸露时间；施工临时占地宜采取隔离保护措施，施工结束后应将混凝土余料和残渣及时清除，以免影响后期土地功能的恢复；对临时占用耕地区域及时进行土地平整、复耕。</w:t>
            </w:r>
          </w:p>
          <w:p w14:paraId="2157E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②对于永久基本农田应严格按照《中华人民共和国基本农田保护条例》管理规定执行，对于永久占用基本农田的按照占多少、垦多少的原则，负责开垦与所占基本农田的数量与质量相当的耕地；没有条件开垦或者开垦的耕地不符合要求的，应当按照省、自治区、直辖市的规定缴纳耕地开垦费，专款用于开垦新的耕地。 </w:t>
            </w:r>
          </w:p>
          <w:p w14:paraId="3568D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③临时占用的农田，施工后立即实施复垦措施；可与农民协商，由农民自行复垦。</w:t>
            </w:r>
          </w:p>
          <w:p w14:paraId="6A7B4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④提高施工效率，缩短施工时间，以保持耕作层肥力，缩短农业生产季节盼损失。因地制宜地选择施工季节，尽量避开农作物的生长和收获期，减少农业当季损失。</w:t>
            </w:r>
          </w:p>
          <w:p w14:paraId="4E4F1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项目施工中要采取保护土壤措施，对农业熟化土壤要分层开挖，分别堆放，分层复原的方法，减少因施工生土上翻耕层养分损失农作物减产的后果，同时要避免间断覆土造成的土层不坚实形成的水土流失等问题。</w:t>
            </w:r>
          </w:p>
          <w:p w14:paraId="64445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⑥在施工中应尽量减少对农田防护树木的砍伐，施工后根据不同的地区特点采取植被恢复措施，种植速生树木和耐贫瘠的先锋灌木草本植物，在农地可种植绿肥作物，加速农业土壤肥力的恢复。</w:t>
            </w:r>
          </w:p>
          <w:p w14:paraId="2073C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⑦施工完成后做好现场清理及恢复工作，包括田埂、水渠、弃渣妥善处置等，尽可能降低施工对农田生态系统带来的不利影响。</w:t>
            </w:r>
          </w:p>
          <w:p w14:paraId="1E736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⑧施工时，除了以上耕地恢复的措施外，在开挖地表土壤时，应尽可能的把表土层单独堆放，放到编织带内临时堆放。回填时，把表土覆盖在最上面的地表层，这样可以大幅缩短土壤生产力恢复的时间，减少工程影响时间。</w:t>
            </w:r>
          </w:p>
          <w:p w14:paraId="4EF20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跨越河道保护措施 </w:t>
            </w:r>
          </w:p>
          <w:p w14:paraId="08D4C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①加强施工过程的管理措施，开展环保培训，明确了保护对象和保护要求。 </w:t>
            </w:r>
          </w:p>
          <w:p w14:paraId="01FC0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②严格控制施工范围，无施工人员进入河道，在施工临时场地设置围栏，禁止施工人员越界活动。塔基剥离表土与基础土方应分层堆放，加强表土的拦挡、覆盖等防护措施，施工结束后用于塔基区表土回覆和迹地恢复，减少水土流失。 </w:t>
            </w:r>
          </w:p>
          <w:p w14:paraId="2C66F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③施工在非降雨集中时段进行，采取了必要的水土流失防护措施，防止因雨水冲刷导致水土流失，减少对环境保护对象的不利影响。 </w:t>
            </w:r>
          </w:p>
          <w:p w14:paraId="7E934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④加强施工机械管理，带油料的机械器具采取集油盒措施防止油料跑、冒、滴、漏。不在河道内设置牵张场、材料堆场和施工营地等。 </w:t>
            </w:r>
          </w:p>
          <w:p w14:paraId="12C88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动物保护措施 </w:t>
            </w:r>
          </w:p>
          <w:p w14:paraId="3A04B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在施工过程中，应加强施工人员的管理，禁止施工人员对野外植被滥砍滥伐，破坏沿线地区的生态环境。根据植被生态、生理学特性，因地制宜的选择施工季节，避开植物的生长期，可减缓这种不利影响。</w:t>
            </w:r>
          </w:p>
          <w:p w14:paraId="5EB3A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禁止施工人员对野生动物进行干扰，作好野生动物的保护工作。 </w:t>
            </w:r>
          </w:p>
          <w:p w14:paraId="53A55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 xml:space="preserve">施工期要加大对保护野生动物的宣传力度，大力宣传两栖、爬行动物、鸟类对农林卫生业的作用。蛙类、蜥蜴类和蛇类要吃掉大量的农林卫生业上害虫害鼠，对人类有益，应克服任意捕杀两栖、爬行动物和鸟类的恶习。 </w:t>
            </w:r>
          </w:p>
          <w:p w14:paraId="485B4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合理安排工作时段，施工要避开鸟类迁徙季节，并尽量缩短工期，减小噪声、降低对区域内栖息的野生动物的影响，对施工期处于繁殖的动物，在车辆行驶中，遇见动物通过时，应避让。施工结束后，应采取相应的恢复替代措施，如对破坏植被的恢复等。</w:t>
            </w:r>
          </w:p>
          <w:p w14:paraId="0824BB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p>
          <w:p w14:paraId="0A065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p>
          <w:p w14:paraId="09664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p>
          <w:p w14:paraId="6FB67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p>
          <w:p w14:paraId="299E4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p>
          <w:p w14:paraId="68EDA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p>
          <w:p w14:paraId="3DCC34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rPr>
            </w:pPr>
          </w:p>
        </w:tc>
      </w:tr>
      <w:tr w14:paraId="2BBFDC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1175" w:hRule="atLeast"/>
          <w:jc w:val="center"/>
        </w:trPr>
        <w:tc>
          <w:tcPr>
            <w:tcW w:w="850" w:type="dxa"/>
            <w:tcBorders>
              <w:top w:val="single" w:color="auto" w:sz="8" w:space="0"/>
              <w:bottom w:val="single" w:color="auto" w:sz="8" w:space="0"/>
              <w:right w:val="single" w:color="auto" w:sz="4" w:space="0"/>
            </w:tcBorders>
            <w:shd w:val="clear" w:color="auto" w:fill="auto"/>
            <w:vAlign w:val="center"/>
          </w:tcPr>
          <w:p w14:paraId="3064CCD1">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4"/>
                <w:szCs w:val="24"/>
                <w:highlight w:val="none"/>
              </w:rPr>
              <w:t>运营期生态环境保护措施</w:t>
            </w:r>
          </w:p>
        </w:tc>
        <w:tc>
          <w:tcPr>
            <w:tcW w:w="8504" w:type="dxa"/>
            <w:tcBorders>
              <w:left w:val="single" w:color="auto" w:sz="4" w:space="0"/>
            </w:tcBorders>
            <w:shd w:val="clear" w:color="auto" w:fill="auto"/>
            <w:vAlign w:val="top"/>
          </w:tcPr>
          <w:p w14:paraId="75E5C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1.电磁环境影响控制措施</w:t>
            </w:r>
          </w:p>
          <w:p w14:paraId="034B5D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变电站电磁环境影响控制措施</w:t>
            </w:r>
          </w:p>
          <w:p w14:paraId="30A36A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在总平面布置设计时，合理布置和屏蔽部分电气设备，减少相互之间的电磁干扰。</w:t>
            </w:r>
          </w:p>
          <w:p w14:paraId="6A7C19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合理选择电气设备、导线、金具、绝缘子串等，提高加工工艺，防止尖端放电和起电晕。</w:t>
            </w:r>
          </w:p>
          <w:p w14:paraId="297390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变电站内的电气设备均安装接地装置，所有设备导电元件间接触部位均应连接紧密。</w:t>
            </w:r>
          </w:p>
          <w:p w14:paraId="190378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变电站内的金属构件，如吊夹、保护环、保护角、垫片、接头、螺栓、闸刀片等应做到表面光滑。</w:t>
            </w:r>
          </w:p>
          <w:p w14:paraId="4FBB3E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对站内配电装置进行合理布局，提高导线对地高度。</w:t>
            </w:r>
          </w:p>
          <w:p w14:paraId="4D8AAB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定期巡检，保证变电站内电气设备运行良好，各种设备连接与接续部分接触良好，确保变电站周围工频电场、工频磁场均能满足《电磁环境控制限值》(GB 8702-2014)相应限值要求。</w:t>
            </w:r>
          </w:p>
          <w:p w14:paraId="5C800F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输电线路电磁环境影响控制措施</w:t>
            </w:r>
          </w:p>
          <w:p w14:paraId="54F14A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选择合理导线截面和相导线结构，降低电磁环境影响。</w:t>
            </w:r>
          </w:p>
          <w:p w14:paraId="3BE48B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线路与其他电力线路、公路、通讯线等设施交叉跨越时，严格按照《110~750kV架空输电线路设计规范》(GB50545-2010)要求确保足够净空距离。</w:t>
            </w:r>
          </w:p>
          <w:p w14:paraId="6C564D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经过沿线的耕地、园地、牧草地、畜禽饲养地、养殖水面、道路等场所时，按照最小对地高度设计时，应给出警示和防护指示标志。</w:t>
            </w:r>
          </w:p>
          <w:p w14:paraId="3AB46E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运行管理单位应加强环境管理，监测输电线路对周围电磁环境的影响，建立本项目对环境 影响情况的档案，确保工频电磁场监测值小于公众曝露控制限值。</w:t>
            </w:r>
          </w:p>
          <w:p w14:paraId="0BEFA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本次评价采用类比分析对变电站进行分析，采取预测模式对输电线路进行分析，本项目新建变电站和</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eastAsia="zh-CN"/>
              </w:rPr>
              <w:t>0kV线路工程的电磁辐射影响均满足公众曝露控制限值要求，不会对周围环境及敏感目标造成明显不良影响。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详见电磁辐射专篇</w:t>
            </w:r>
            <w:r>
              <w:rPr>
                <w:rFonts w:hint="eastAsia" w:ascii="Times New Roman" w:hAnsi="Times New Roman" w:eastAsia="宋体" w:cs="Times New Roman"/>
                <w:color w:val="auto"/>
                <w:sz w:val="24"/>
                <w:szCs w:val="24"/>
                <w:highlight w:val="none"/>
                <w:lang w:eastAsia="zh-CN"/>
              </w:rPr>
              <w:t>）</w:t>
            </w:r>
          </w:p>
          <w:p w14:paraId="6A2FDB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综上所述，在采取环评提出的措施后，本项目建成投运后对环境电磁辐射影响很小。</w:t>
            </w:r>
          </w:p>
          <w:p w14:paraId="4C2733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2.噪声污染控制措施</w:t>
            </w:r>
          </w:p>
          <w:p w14:paraId="0D8CD7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噪声防治对策首先从声源上进行控制，其次采取有效的隔声、消声和吸声等控制措施，并从 厂区总平面布置上综合考虑设备噪声对厂区及周边环境的影响。</w:t>
            </w:r>
          </w:p>
          <w:p w14:paraId="30EF57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变电站</w:t>
            </w:r>
          </w:p>
          <w:p w14:paraId="565365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声源控制</w:t>
            </w:r>
          </w:p>
          <w:p w14:paraId="76AE20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在设备选型时，优先选择符合国家规定噪声标准的电气设备，包括主变压器、电抗器、电容器、站用变电站等设备，提出噪声水平限值，从控制声源角度降低噪声影响。</w:t>
            </w:r>
          </w:p>
          <w:p w14:paraId="543D80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优化站区总平面布置</w:t>
            </w:r>
          </w:p>
          <w:p w14:paraId="4CAE92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主要噪声源集中布置在站址的相对中心位置，并尽可能远离边界。</w:t>
            </w:r>
          </w:p>
          <w:p w14:paraId="31C9F2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隔声、吸声措施</w:t>
            </w:r>
          </w:p>
          <w:p w14:paraId="6246F1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在变压器、高压电抗器之间利用防火墙隔开，有效控制噪声向侧面传播。</w:t>
            </w:r>
          </w:p>
          <w:p w14:paraId="10138D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输电线路</w:t>
            </w:r>
          </w:p>
          <w:p w14:paraId="312E81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在满足工程对导线机械物理特性要求和系统输送容量要求的前提下，合理选择导线、子导线分裂间距及绝缘子串组装型式等，以降低线路的电晕噪声水平。</w:t>
            </w:r>
          </w:p>
          <w:p w14:paraId="09682F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严格控制水平距离和线高，确保评价范围内声环境敏感目标处的声环境满足相应声功能区的声级限值要求。</w:t>
            </w:r>
          </w:p>
          <w:p w14:paraId="343BB2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3.固体废物污染防治措施</w:t>
            </w:r>
          </w:p>
          <w:p w14:paraId="2CEA10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本项目所产生的固体废物主要有：废变压器油、废油桶及废铅蓄电池，均属于危险废物。</w:t>
            </w:r>
            <w:r>
              <w:rPr>
                <w:rFonts w:hint="default" w:ascii="Times New Roman" w:hAnsi="Times New Roman" w:eastAsia="宋体" w:cs="Times New Roman"/>
                <w:color w:val="auto"/>
                <w:sz w:val="24"/>
                <w:szCs w:val="24"/>
                <w:highlight w:val="none"/>
                <w:lang w:val="en-US" w:eastAsia="zh-CN"/>
              </w:rPr>
              <w:t>废铅蓄电池的废物类别为HW31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废物代码为900-052-31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废变压器油的废物类别为HW08</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废物代码为900-220-08。</w:t>
            </w:r>
            <w:r>
              <w:rPr>
                <w:rFonts w:hint="eastAsia" w:ascii="Times New Roman" w:hAnsi="Times New Roman" w:eastAsia="宋体" w:cs="Times New Roman"/>
                <w:color w:val="auto"/>
                <w:sz w:val="24"/>
                <w:szCs w:val="24"/>
                <w:highlight w:val="none"/>
                <w:lang w:val="en-US" w:eastAsia="zh-CN"/>
              </w:rPr>
              <w:t>废油桶的废物类别HW49，废物代码为900-041-49。</w:t>
            </w:r>
          </w:p>
          <w:p w14:paraId="6C5CE3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站区设事故油池和</w:t>
            </w:r>
            <w:r>
              <w:rPr>
                <w:rFonts w:hint="eastAsia" w:ascii="Times New Roman" w:hAnsi="Times New Roman" w:eastAsia="宋体" w:cs="Times New Roman"/>
                <w:color w:val="auto"/>
                <w:sz w:val="24"/>
                <w:szCs w:val="24"/>
                <w:highlight w:val="none"/>
                <w:lang w:val="en-US" w:eastAsia="zh-CN"/>
              </w:rPr>
              <w:t>危废贮存点</w:t>
            </w:r>
            <w:r>
              <w:rPr>
                <w:rFonts w:hint="default" w:ascii="Times New Roman" w:hAnsi="Times New Roman" w:eastAsia="宋体" w:cs="Times New Roman"/>
                <w:color w:val="auto"/>
                <w:sz w:val="24"/>
                <w:szCs w:val="24"/>
                <w:highlight w:val="none"/>
                <w:lang w:val="en-US" w:eastAsia="zh-CN"/>
              </w:rPr>
              <w:t>用于暂存站内产生的危废废物。危险废物收集后送具有危险废物处理资质的单位进行处置。危险废物贮存场所基本情况见5-1。</w:t>
            </w:r>
          </w:p>
          <w:p w14:paraId="3C8B99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表5-1危险废物贮存场所(设施)基本情况表</w:t>
            </w:r>
          </w:p>
          <w:tbl>
            <w:tblPr>
              <w:tblStyle w:val="1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92"/>
              <w:gridCol w:w="1765"/>
              <w:gridCol w:w="1284"/>
              <w:gridCol w:w="941"/>
              <w:gridCol w:w="1009"/>
              <w:gridCol w:w="921"/>
              <w:gridCol w:w="712"/>
            </w:tblGrid>
            <w:tr w14:paraId="1669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16" w:type="pct"/>
                  <w:vAlign w:val="center"/>
                </w:tcPr>
                <w:p w14:paraId="616BC3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贮存场所(设施)名称</w:t>
                  </w:r>
                </w:p>
              </w:tc>
              <w:tc>
                <w:tcPr>
                  <w:tcW w:w="1060" w:type="pct"/>
                  <w:vAlign w:val="center"/>
                </w:tcPr>
                <w:p w14:paraId="5A0B77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危险废物名称</w:t>
                  </w:r>
                </w:p>
              </w:tc>
              <w:tc>
                <w:tcPr>
                  <w:tcW w:w="771" w:type="pct"/>
                  <w:vAlign w:val="center"/>
                </w:tcPr>
                <w:p w14:paraId="3BD152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位置</w:t>
                  </w:r>
                </w:p>
              </w:tc>
              <w:tc>
                <w:tcPr>
                  <w:tcW w:w="565" w:type="pct"/>
                  <w:vAlign w:val="center"/>
                </w:tcPr>
                <w:p w14:paraId="159CEF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占地面积</w:t>
                  </w:r>
                </w:p>
              </w:tc>
              <w:tc>
                <w:tcPr>
                  <w:tcW w:w="606" w:type="pct"/>
                  <w:vAlign w:val="center"/>
                </w:tcPr>
                <w:p w14:paraId="592A4E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贮存方式</w:t>
                  </w:r>
                </w:p>
              </w:tc>
              <w:tc>
                <w:tcPr>
                  <w:tcW w:w="553" w:type="pct"/>
                  <w:vAlign w:val="center"/>
                </w:tcPr>
                <w:p w14:paraId="70FE72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贮存能力</w:t>
                  </w:r>
                </w:p>
              </w:tc>
              <w:tc>
                <w:tcPr>
                  <w:tcW w:w="427" w:type="pct"/>
                  <w:vAlign w:val="center"/>
                </w:tcPr>
                <w:p w14:paraId="6FA899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 周期</w:t>
                  </w:r>
                </w:p>
              </w:tc>
            </w:tr>
            <w:tr w14:paraId="7BA4F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016" w:type="pct"/>
                  <w:vAlign w:val="center"/>
                </w:tcPr>
                <w:p w14:paraId="58CD78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事故油池</w:t>
                  </w:r>
                </w:p>
              </w:tc>
              <w:tc>
                <w:tcPr>
                  <w:tcW w:w="1060" w:type="pct"/>
                  <w:vAlign w:val="center"/>
                </w:tcPr>
                <w:p w14:paraId="46D711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事故废油</w:t>
                  </w:r>
                </w:p>
              </w:tc>
              <w:tc>
                <w:tcPr>
                  <w:tcW w:w="771" w:type="pct"/>
                  <w:vAlign w:val="center"/>
                </w:tcPr>
                <w:p w14:paraId="77EB68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站区西</w:t>
                  </w:r>
                  <w:r>
                    <w:rPr>
                      <w:rFonts w:hint="eastAsia"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角</w:t>
                  </w:r>
                </w:p>
              </w:tc>
              <w:tc>
                <w:tcPr>
                  <w:tcW w:w="565" w:type="pct"/>
                  <w:vAlign w:val="center"/>
                </w:tcPr>
                <w:p w14:paraId="45B20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6.25m²</w:t>
                  </w:r>
                </w:p>
              </w:tc>
              <w:tc>
                <w:tcPr>
                  <w:tcW w:w="606" w:type="pct"/>
                  <w:vAlign w:val="center"/>
                </w:tcPr>
                <w:p w14:paraId="1014B8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油池内部</w:t>
                  </w:r>
                </w:p>
              </w:tc>
              <w:tc>
                <w:tcPr>
                  <w:tcW w:w="553" w:type="pct"/>
                  <w:vAlign w:val="center"/>
                </w:tcPr>
                <w:p w14:paraId="4A7263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en-US" w:eastAsia="zh-CN"/>
                    </w:rPr>
                    <w:t>m³</w:t>
                  </w:r>
                </w:p>
              </w:tc>
              <w:tc>
                <w:tcPr>
                  <w:tcW w:w="427" w:type="pct"/>
                  <w:vAlign w:val="center"/>
                </w:tcPr>
                <w:p w14:paraId="594816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3月</w:t>
                  </w:r>
                </w:p>
              </w:tc>
            </w:tr>
            <w:tr w14:paraId="36177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016" w:type="pct"/>
                  <w:vMerge w:val="restart"/>
                  <w:vAlign w:val="center"/>
                </w:tcPr>
                <w:p w14:paraId="5D1579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危废贮存点（10m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p>
              </w:tc>
              <w:tc>
                <w:tcPr>
                  <w:tcW w:w="1060" w:type="pct"/>
                  <w:vAlign w:val="center"/>
                </w:tcPr>
                <w:p w14:paraId="0D85D1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废铅蓄电池</w:t>
                  </w:r>
                </w:p>
              </w:tc>
              <w:tc>
                <w:tcPr>
                  <w:tcW w:w="771" w:type="pct"/>
                  <w:vMerge w:val="restart"/>
                  <w:vAlign w:val="center"/>
                </w:tcPr>
                <w:p w14:paraId="4EE24B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站区西北角</w:t>
                  </w:r>
                </w:p>
              </w:tc>
              <w:tc>
                <w:tcPr>
                  <w:tcW w:w="565" w:type="pct"/>
                  <w:vAlign w:val="center"/>
                </w:tcPr>
                <w:p w14:paraId="5E0339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m²</w:t>
                  </w:r>
                </w:p>
              </w:tc>
              <w:tc>
                <w:tcPr>
                  <w:tcW w:w="606" w:type="pct"/>
                  <w:vAlign w:val="center"/>
                </w:tcPr>
                <w:p w14:paraId="7AB0C9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防渗托盘</w:t>
                  </w:r>
                </w:p>
              </w:tc>
              <w:tc>
                <w:tcPr>
                  <w:tcW w:w="553" w:type="pct"/>
                  <w:vAlign w:val="center"/>
                </w:tcPr>
                <w:p w14:paraId="36F944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150块</w:t>
                  </w:r>
                </w:p>
              </w:tc>
              <w:tc>
                <w:tcPr>
                  <w:tcW w:w="427" w:type="pct"/>
                  <w:vAlign w:val="center"/>
                </w:tcPr>
                <w:p w14:paraId="6E6892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1月</w:t>
                  </w:r>
                </w:p>
              </w:tc>
            </w:tr>
            <w:tr w14:paraId="1DDE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016" w:type="pct"/>
                  <w:vMerge w:val="continue"/>
                  <w:vAlign w:val="center"/>
                </w:tcPr>
                <w:p w14:paraId="6573B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60" w:type="pct"/>
                  <w:vAlign w:val="center"/>
                </w:tcPr>
                <w:p w14:paraId="429B54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废油桶</w:t>
                  </w:r>
                </w:p>
              </w:tc>
              <w:tc>
                <w:tcPr>
                  <w:tcW w:w="771" w:type="pct"/>
                  <w:vMerge w:val="continue"/>
                  <w:vAlign w:val="center"/>
                </w:tcPr>
                <w:p w14:paraId="0DC7FC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5" w:type="pct"/>
                  <w:vAlign w:val="center"/>
                </w:tcPr>
                <w:p w14:paraId="72C31D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5m²</w:t>
                  </w:r>
                </w:p>
              </w:tc>
              <w:tc>
                <w:tcPr>
                  <w:tcW w:w="606" w:type="pct"/>
                  <w:vAlign w:val="center"/>
                </w:tcPr>
                <w:p w14:paraId="27E86B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直接放置</w:t>
                  </w:r>
                </w:p>
              </w:tc>
              <w:tc>
                <w:tcPr>
                  <w:tcW w:w="553" w:type="pct"/>
                  <w:vAlign w:val="center"/>
                </w:tcPr>
                <w:p w14:paraId="25F893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5个</w:t>
                  </w:r>
                </w:p>
              </w:tc>
              <w:tc>
                <w:tcPr>
                  <w:tcW w:w="427" w:type="pct"/>
                  <w:vAlign w:val="center"/>
                </w:tcPr>
                <w:p w14:paraId="61AEA4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2月</w:t>
                  </w:r>
                </w:p>
              </w:tc>
            </w:tr>
          </w:tbl>
          <w:p w14:paraId="10DDB9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危废贮存点必须按照《危险废物贮存污染控制标准》(GB18597-2023)的相关要求设置。具体要求如下：</w:t>
            </w:r>
          </w:p>
          <w:p w14:paraId="595EBE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危废贮存点的设计原则</w:t>
            </w:r>
          </w:p>
          <w:p w14:paraId="159CB6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贮存点的地面、墙裙要用坚固、防渗的材料建造，防渗材料必须与电网危险废物相容；</w:t>
            </w:r>
          </w:p>
          <w:p w14:paraId="3E9FC6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贮存点入口处设置堵截泄漏且可拆卸的门槛，应有明显的标志牌；</w:t>
            </w:r>
          </w:p>
          <w:p w14:paraId="5CB9B1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贮存点应配有观察窗口、照明设施、消防设施、通风设备、泄漏液体收集装置、安全防护 设备、温湿度监测、计量称重设备、视频监控等信息化设备；</w:t>
            </w:r>
          </w:p>
          <w:p w14:paraId="3024D4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应设计堵截泄漏的墙裙；</w:t>
            </w:r>
          </w:p>
          <w:p w14:paraId="2ED902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不相容的危险废物必须分开存放，并设有安全隔断。</w:t>
            </w:r>
          </w:p>
          <w:p w14:paraId="4C7E94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（2）危废贮存点</w:t>
            </w:r>
            <w:r>
              <w:rPr>
                <w:rFonts w:hint="default" w:ascii="Times New Roman" w:hAnsi="Times New Roman" w:eastAsia="宋体" w:cs="Times New Roman"/>
                <w:color w:val="auto"/>
                <w:sz w:val="24"/>
                <w:szCs w:val="24"/>
                <w:highlight w:val="none"/>
                <w:lang w:val="en-US" w:eastAsia="zh-CN"/>
              </w:rPr>
              <w:t>的防渗要求</w:t>
            </w:r>
          </w:p>
          <w:p w14:paraId="62C355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地面与墙裙要用坚固、防渗材料建造，基础必须防渗，防渗层至少为1m厚粘土层(渗透系数≤10</w:t>
            </w:r>
            <w:r>
              <w:rPr>
                <w:rFonts w:hint="eastAsia"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或至少2mm厚高密度聚乙烯膜或至少2mm厚其它人工防渗材料，渗透系数根据《危险废物贮存污染控制标准》（GB18597-2023）的要求，本次环评对项目产生危险废物建设提出以下要求：</w:t>
            </w:r>
          </w:p>
          <w:p w14:paraId="7A955F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①贮存设施应根据危险废物的形态、物理化学性质、包装形式和污染物迁移途径，采取必要的防风、防晒、防雨、防漏、防渗、防腐以及其他环境污染防治措施，不应露天堆放危险废物。</w:t>
            </w:r>
          </w:p>
          <w:p w14:paraId="092B5E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②贮存设施应根据危险废物的类别、数量、形态、物理化学性质和污染防治等要求设置必要的贮存分区，避免不相容的危险废物接触、混合。</w:t>
            </w:r>
          </w:p>
          <w:p w14:paraId="79FC4F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③贮存设施或贮存分区内地面、墙面裙脚、堵截泄漏的围堰、接触危险废物的隔板和墙体等应采用坚固的材料建造，表面无裂缝。</w:t>
            </w:r>
          </w:p>
          <w:p w14:paraId="60CC4C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w:t>
            </w:r>
          </w:p>
          <w:p w14:paraId="27088E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0720BF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⑥贮存设施应采取技术和管理措施防止无关人员进入。</w:t>
            </w:r>
          </w:p>
          <w:p w14:paraId="6B32C7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危废贮存点</w:t>
            </w:r>
            <w:r>
              <w:rPr>
                <w:rFonts w:hint="default" w:ascii="Times New Roman" w:hAnsi="Times New Roman" w:eastAsia="宋体" w:cs="Times New Roman"/>
                <w:b/>
                <w:bCs/>
                <w:color w:val="auto"/>
                <w:sz w:val="24"/>
                <w:szCs w:val="24"/>
                <w:highlight w:val="none"/>
                <w:lang w:val="en-US" w:eastAsia="zh-CN"/>
              </w:rPr>
              <w:t>容器和包装物管理要求：</w:t>
            </w:r>
          </w:p>
          <w:p w14:paraId="2E4CD7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根据《危险废物贮存污染控制标准》（GB18597-2023）规定，对项目产生危险废物的容器和包装物污染控制要求管理要求如下：</w:t>
            </w:r>
          </w:p>
          <w:p w14:paraId="250542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①容器和包装物材质、内衬应与盛装的危险废物相容。</w:t>
            </w:r>
          </w:p>
          <w:p w14:paraId="5E4150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②针对不同类别、形态、物理化学性质的危险废物，其容器和包装物应满足相应的防渗、防漏、防腐和强度等要求。</w:t>
            </w:r>
          </w:p>
          <w:p w14:paraId="163759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③硬质容器和包装物及其支护结构堆叠码放时不应有明显变形，无破损泄漏。</w:t>
            </w:r>
          </w:p>
          <w:p w14:paraId="7134F0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④柔性容器和包装物堆叠码放时应封口严密，无破损泄漏。</w:t>
            </w:r>
          </w:p>
          <w:p w14:paraId="02CE73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⑤使用容器盛装液态、半固态危险废物时，容器内部应留有适当的空间，以适应因温度变化等可能引发的收缩和膨胀，防止其导致容器渗漏或永久变形。</w:t>
            </w:r>
          </w:p>
          <w:p w14:paraId="719578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⑥容器和包装物外表面应保持清洁。</w:t>
            </w:r>
          </w:p>
          <w:p w14:paraId="20302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运行环境管理要求：</w:t>
            </w:r>
          </w:p>
          <w:p w14:paraId="0EB9BA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①危险废物存入贮存设施前应对危险废物类别和特性与危险废物标签等危险废物识别标志的一致性进行核验，不一致的或类别、特性不明的不应存入。</w:t>
            </w:r>
          </w:p>
          <w:p w14:paraId="1C75D6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②应定期检查危险废物的贮存状况，及时清理贮存设施地面，更换破损泄漏的危险废物贮存容器和包装物，保证堆存危险废物的防雨、防风、防扬尘等设施功能完好。</w:t>
            </w:r>
          </w:p>
          <w:p w14:paraId="0B7733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③作业设备及车辆等结束作业离开贮存设施时，应对其残留的危险废物进行清理，清理的废物或清洗废水应收集处理。</w:t>
            </w:r>
          </w:p>
          <w:p w14:paraId="0D771F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 贮存设施运行期间，应按国家有关标准和规定建立危险废物管理台账并保存。</w:t>
            </w:r>
          </w:p>
          <w:p w14:paraId="1263A0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⑤贮存设施所有者或运营者应建立贮存设施环境管理制度、管理人员岗位职责制度、设施运行操作制度、人员岗位培训制度等。</w:t>
            </w:r>
          </w:p>
          <w:p w14:paraId="3049CF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26E0FA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⑦贮存设施所有者或运营者应建立贮存设施全部档案，包括设计、施工、验收、运行、监测和环境应急等，应按国家有关档案管理的法律法规进行整理和归档。</w:t>
            </w:r>
          </w:p>
          <w:p w14:paraId="02DE17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lang w:val="en-US" w:eastAsia="zh-CN"/>
              </w:rPr>
              <w:t>.</w:t>
            </w:r>
            <w:r>
              <w:rPr>
                <w:rFonts w:hint="eastAsia" w:ascii="Times New Roman" w:hAnsi="Times New Roman" w:eastAsia="宋体" w:cs="Times New Roman"/>
                <w:b/>
                <w:color w:val="auto"/>
                <w:sz w:val="24"/>
                <w:szCs w:val="24"/>
                <w:highlight w:val="none"/>
                <w:lang w:val="en-US" w:eastAsia="zh-CN"/>
              </w:rPr>
              <w:t>其他保护措施</w:t>
            </w:r>
          </w:p>
          <w:p w14:paraId="69E7D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1）分区防渗措施</w:t>
            </w:r>
          </w:p>
          <w:p w14:paraId="26348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本工程采取“分区防渗”措施，防止和降低污染物跑、冒、滴、漏，将污染物泄漏的环境风险事故降到最低程度。根据防渗参照的标准和规范，结合目前施工过程中的可操作性和技术水平，针对不同的防渗区域采用的防渗措施如下：</w:t>
            </w:r>
          </w:p>
          <w:p w14:paraId="642BF4C2">
            <w:pPr>
              <w:keepNext w:val="0"/>
              <w:keepLines w:val="0"/>
              <w:suppressLineNumbers w:val="0"/>
              <w:wordWrap w:val="0"/>
              <w:autoSpaceDE w:val="0"/>
              <w:autoSpaceDN w:val="0"/>
              <w:adjustRightInd w:val="0"/>
              <w:snapToGrid w:val="0"/>
              <w:spacing w:before="0" w:beforeLines="0" w:beforeAutospacing="0" w:after="0" w:afterLines="0" w:afterAutospacing="0" w:line="460" w:lineRule="exact"/>
              <w:ind w:left="0" w:right="0" w:firstLine="422" w:firstLineChars="20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color w:val="auto"/>
                <w:kern w:val="0"/>
                <w:sz w:val="21"/>
                <w:szCs w:val="21"/>
              </w:rPr>
              <w:t>表</w:t>
            </w:r>
            <w:r>
              <w:rPr>
                <w:rFonts w:hint="eastAsia" w:ascii="Times New Roman" w:hAnsi="Times New Roman" w:eastAsia="宋体" w:cs="Times New Roman"/>
                <w:b/>
                <w:color w:val="auto"/>
                <w:kern w:val="0"/>
                <w:sz w:val="21"/>
                <w:szCs w:val="21"/>
                <w:lang w:val="en-US" w:eastAsia="zh-CN"/>
              </w:rPr>
              <w:t>5-2</w:t>
            </w:r>
            <w:r>
              <w:rPr>
                <w:rFonts w:hint="default" w:ascii="Times New Roman" w:hAnsi="Times New Roman" w:eastAsia="宋体" w:cs="Times New Roman"/>
                <w:b/>
                <w:color w:val="auto"/>
                <w:kern w:val="0"/>
                <w:sz w:val="21"/>
                <w:szCs w:val="21"/>
              </w:rPr>
              <w:t xml:space="preserve">  分区防渗防控技术要求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051"/>
              <w:gridCol w:w="1399"/>
              <w:gridCol w:w="1558"/>
              <w:gridCol w:w="3645"/>
            </w:tblGrid>
            <w:tr w14:paraId="6F5C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682CBB">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6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7D25D7">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防渗分区</w:t>
                  </w:r>
                </w:p>
              </w:tc>
              <w:tc>
                <w:tcPr>
                  <w:tcW w:w="8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C581BD">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场地</w:t>
                  </w:r>
                </w:p>
              </w:tc>
              <w:tc>
                <w:tcPr>
                  <w:tcW w:w="9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AA45C5">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防渗技术要求</w:t>
                  </w:r>
                </w:p>
              </w:tc>
              <w:tc>
                <w:tcPr>
                  <w:tcW w:w="21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4EE5D5">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防渗方案</w:t>
                  </w:r>
                </w:p>
              </w:tc>
            </w:tr>
            <w:tr w14:paraId="4579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CE18C7">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31" w:type="pct"/>
                  <w:vMerge w:val="restart"/>
                  <w:tcBorders>
                    <w:top w:val="single" w:color="auto" w:sz="4" w:space="0"/>
                    <w:left w:val="single" w:color="auto" w:sz="4" w:space="0"/>
                    <w:right w:val="single" w:color="auto" w:sz="4" w:space="0"/>
                    <w:tl2br w:val="nil"/>
                    <w:tr2bl w:val="nil"/>
                  </w:tcBorders>
                  <w:noWrap w:val="0"/>
                  <w:vAlign w:val="center"/>
                </w:tcPr>
                <w:p w14:paraId="44472CA9">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重点防渗区</w:t>
                  </w:r>
                </w:p>
              </w:tc>
              <w:tc>
                <w:tcPr>
                  <w:tcW w:w="8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0A18A8">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危废贮存点</w:t>
                  </w:r>
                </w:p>
              </w:tc>
              <w:tc>
                <w:tcPr>
                  <w:tcW w:w="93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8F3904F">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等效黏土防渗层Mb≥6.0m，K≤1×10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tc>
              <w:tc>
                <w:tcPr>
                  <w:tcW w:w="21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71A4B1">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采用2mm厚高密度聚乙烯+200mm水泥硬化层+2mm厚高环氧树脂漆防渗防腐措施</w:t>
                  </w:r>
                </w:p>
              </w:tc>
            </w:tr>
            <w:tr w14:paraId="39CC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680331">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31" w:type="pct"/>
                  <w:vMerge w:val="continue"/>
                  <w:tcBorders>
                    <w:left w:val="single" w:color="auto" w:sz="4" w:space="0"/>
                    <w:right w:val="single" w:color="auto" w:sz="4" w:space="0"/>
                    <w:tl2br w:val="nil"/>
                    <w:tr2bl w:val="nil"/>
                  </w:tcBorders>
                  <w:noWrap w:val="0"/>
                  <w:vAlign w:val="center"/>
                </w:tcPr>
                <w:p w14:paraId="6495D7AC">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p>
              </w:tc>
              <w:tc>
                <w:tcPr>
                  <w:tcW w:w="8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008F6F">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事故油池</w:t>
                  </w:r>
                  <w:r>
                    <w:rPr>
                      <w:rFonts w:hint="eastAsia" w:ascii="Times New Roman" w:hAnsi="Times New Roman" w:eastAsia="宋体" w:cs="Times New Roman"/>
                      <w:color w:val="auto"/>
                      <w:kern w:val="0"/>
                      <w:sz w:val="21"/>
                      <w:szCs w:val="21"/>
                      <w:lang w:val="en-US" w:eastAsia="zh-CN"/>
                    </w:rPr>
                    <w:t>及管道</w:t>
                  </w:r>
                </w:p>
              </w:tc>
              <w:tc>
                <w:tcPr>
                  <w:tcW w:w="93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284212">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p>
              </w:tc>
              <w:tc>
                <w:tcPr>
                  <w:tcW w:w="2188" w:type="pct"/>
                  <w:vMerge w:val="restart"/>
                  <w:tcBorders>
                    <w:top w:val="single" w:color="auto" w:sz="4" w:space="0"/>
                    <w:left w:val="single" w:color="auto" w:sz="4" w:space="0"/>
                    <w:right w:val="single" w:color="auto" w:sz="4" w:space="0"/>
                    <w:tl2br w:val="nil"/>
                    <w:tr2bl w:val="nil"/>
                  </w:tcBorders>
                  <w:noWrap w:val="0"/>
                  <w:vAlign w:val="center"/>
                </w:tcPr>
                <w:p w14:paraId="5EABFD56">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highlight w:val="none"/>
                      <w:lang w:val="en-US" w:eastAsia="zh-CN"/>
                    </w:rPr>
                    <w:t>主变基础设置主变油池，同时在变</w:t>
                  </w:r>
                  <w:r>
                    <w:rPr>
                      <w:rFonts w:hint="eastAsia" w:ascii="Times New Roman" w:hAnsi="Times New Roman" w:eastAsia="宋体" w:cs="Times New Roman"/>
                      <w:color w:val="auto"/>
                      <w:kern w:val="0"/>
                      <w:sz w:val="21"/>
                      <w:szCs w:val="21"/>
                      <w:highlight w:val="none"/>
                      <w:lang w:val="en-US" w:eastAsia="zh-CN"/>
                    </w:rPr>
                    <w:t>电站西侧</w:t>
                  </w:r>
                  <w:r>
                    <w:rPr>
                      <w:rFonts w:hint="default" w:ascii="Times New Roman" w:hAnsi="Times New Roman" w:eastAsia="宋体" w:cs="Times New Roman"/>
                      <w:color w:val="auto"/>
                      <w:kern w:val="0"/>
                      <w:sz w:val="21"/>
                      <w:szCs w:val="21"/>
                      <w:highlight w:val="none"/>
                      <w:lang w:val="en-US" w:eastAsia="zh-CN"/>
                    </w:rPr>
                    <w:t>新建一座</w:t>
                  </w:r>
                  <w:r>
                    <w:rPr>
                      <w:rFonts w:hint="eastAsia" w:ascii="Times New Roman" w:hAnsi="Times New Roman" w:eastAsia="宋体" w:cs="Times New Roman"/>
                      <w:color w:val="auto"/>
                      <w:kern w:val="0"/>
                      <w:sz w:val="21"/>
                      <w:szCs w:val="21"/>
                      <w:highlight w:val="none"/>
                      <w:lang w:val="en-US" w:eastAsia="zh-CN"/>
                    </w:rPr>
                    <w:t>50</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事故油池，各主变油池通过底部的排油管将事故油排至事故油池，事故油池砼采用C30混凝土，抗渗等级P8，油池壁，顶板和底板用20mm 1:2.5 的防水水泥砂浆抹面，应分层紧密连续涂抹，并在池壁表面设置厚至少2mm 的防渗膜（高密度聚乙烯）做进一步防渗处理。</w:t>
                  </w:r>
                </w:p>
              </w:tc>
            </w:tr>
            <w:tr w14:paraId="6274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2CE9F0">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31" w:type="pct"/>
                  <w:vMerge w:val="continue"/>
                  <w:tcBorders>
                    <w:left w:val="single" w:color="auto" w:sz="4" w:space="0"/>
                    <w:bottom w:val="single" w:color="auto" w:sz="4" w:space="0"/>
                    <w:right w:val="single" w:color="auto" w:sz="4" w:space="0"/>
                    <w:tl2br w:val="nil"/>
                    <w:tr2bl w:val="nil"/>
                  </w:tcBorders>
                  <w:noWrap w:val="0"/>
                  <w:vAlign w:val="center"/>
                </w:tcPr>
                <w:p w14:paraId="5240A9D0">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p>
              </w:tc>
              <w:tc>
                <w:tcPr>
                  <w:tcW w:w="8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76DB47">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主变区域</w:t>
                  </w:r>
                </w:p>
              </w:tc>
              <w:tc>
                <w:tcPr>
                  <w:tcW w:w="93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46CE1CA">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p>
              </w:tc>
              <w:tc>
                <w:tcPr>
                  <w:tcW w:w="2188" w:type="pct"/>
                  <w:vMerge w:val="continue"/>
                  <w:tcBorders>
                    <w:left w:val="single" w:color="auto" w:sz="4" w:space="0"/>
                    <w:bottom w:val="single" w:color="auto" w:sz="4" w:space="0"/>
                    <w:right w:val="single" w:color="auto" w:sz="4" w:space="0"/>
                    <w:tl2br w:val="nil"/>
                    <w:tr2bl w:val="nil"/>
                  </w:tcBorders>
                  <w:noWrap w:val="0"/>
                  <w:vAlign w:val="center"/>
                </w:tcPr>
                <w:p w14:paraId="7136D38A">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p>
              </w:tc>
            </w:tr>
            <w:tr w14:paraId="575B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4E1311">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63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1695B7">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简单</w:t>
                  </w:r>
                  <w:r>
                    <w:rPr>
                      <w:rFonts w:hint="default" w:ascii="Times New Roman" w:hAnsi="Times New Roman" w:eastAsia="宋体" w:cs="Times New Roman"/>
                      <w:color w:val="auto"/>
                      <w:kern w:val="0"/>
                      <w:sz w:val="21"/>
                      <w:szCs w:val="21"/>
                    </w:rPr>
                    <w:t>防渗区</w:t>
                  </w:r>
                </w:p>
              </w:tc>
              <w:tc>
                <w:tcPr>
                  <w:tcW w:w="8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3D987D">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其他设备区</w:t>
                  </w:r>
                </w:p>
              </w:tc>
              <w:tc>
                <w:tcPr>
                  <w:tcW w:w="9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AD531D">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一般地面硬化</w:t>
                  </w:r>
                </w:p>
              </w:tc>
              <w:tc>
                <w:tcPr>
                  <w:tcW w:w="21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C135AD">
                  <w:pPr>
                    <w:keepNext w:val="0"/>
                    <w:keepLines w:val="0"/>
                    <w:suppressLineNumbers w:val="0"/>
                    <w:wordWrap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地面防渗采用混凝土防渗，其强度等级不 宜小于C30</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水灰比不宜大于0.5</w:t>
                  </w:r>
                </w:p>
              </w:tc>
            </w:tr>
          </w:tbl>
          <w:p w14:paraId="3BF25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5.环境风险防控措施</w:t>
            </w:r>
          </w:p>
          <w:p w14:paraId="12E74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风险防范与应急措施</w:t>
            </w:r>
          </w:p>
          <w:p w14:paraId="3C682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本项目运行期正常情况下，变压器无漏油产生。本项目设置有事故油排蓄系统：设置1座有效容积</w:t>
            </w:r>
            <w:r>
              <w:rPr>
                <w:rFonts w:hint="eastAsia" w:ascii="Times New Roman" w:hAnsi="Times New Roman" w:eastAsia="宋体" w:cs="Times New Roman"/>
                <w:bCs/>
                <w:color w:val="auto"/>
                <w:kern w:val="2"/>
                <w:sz w:val="24"/>
                <w:szCs w:val="24"/>
                <w:highlight w:val="none"/>
                <w:lang w:val="en-US" w:eastAsia="zh-CN" w:bidi="ar-SA"/>
              </w:rPr>
              <w:t>50m</w:t>
            </w:r>
            <w:r>
              <w:rPr>
                <w:rFonts w:hint="eastAsia"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事故油池。一旦设备发生事故时，所有的外泄变压器油或油水混合物，经排油槽收集，通过事故排油管道排至事故油池。</w:t>
            </w:r>
          </w:p>
          <w:p w14:paraId="37155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排油槽底部与槽壁均进行防渗处理，事故油池采用钢筋混凝土结构防渗。进入事故油池中的废油收集后暂存于</w:t>
            </w:r>
            <w:r>
              <w:rPr>
                <w:rFonts w:hint="eastAsia" w:ascii="Times New Roman" w:hAnsi="Times New Roman" w:eastAsia="宋体" w:cs="Times New Roman"/>
                <w:bCs/>
                <w:color w:val="auto"/>
                <w:kern w:val="2"/>
                <w:sz w:val="24"/>
                <w:szCs w:val="24"/>
                <w:highlight w:val="none"/>
                <w:lang w:val="en-US" w:eastAsia="zh-CN" w:bidi="ar-SA"/>
              </w:rPr>
              <w:t>危废贮存点</w:t>
            </w:r>
            <w:r>
              <w:rPr>
                <w:rFonts w:hint="default" w:ascii="Times New Roman" w:hAnsi="Times New Roman" w:eastAsia="宋体" w:cs="Times New Roman"/>
                <w:bCs/>
                <w:color w:val="auto"/>
                <w:kern w:val="2"/>
                <w:sz w:val="24"/>
                <w:szCs w:val="24"/>
                <w:highlight w:val="none"/>
                <w:lang w:val="en-US" w:eastAsia="zh-CN" w:bidi="ar-SA"/>
              </w:rPr>
              <w:t>，定期交有资质的单位妥善处置。</w:t>
            </w:r>
            <w:r>
              <w:rPr>
                <w:rFonts w:hint="eastAsia" w:ascii="Times New Roman" w:hAnsi="Times New Roman" w:eastAsia="宋体" w:cs="Times New Roman"/>
                <w:bCs/>
                <w:color w:val="auto"/>
                <w:kern w:val="2"/>
                <w:sz w:val="24"/>
                <w:szCs w:val="24"/>
                <w:highlight w:val="none"/>
                <w:lang w:val="en-US" w:eastAsia="zh-CN" w:bidi="ar-SA"/>
              </w:rPr>
              <w:t>危废贮存点</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危废贮存点</w:t>
            </w:r>
            <w:r>
              <w:rPr>
                <w:rFonts w:hint="default" w:ascii="Times New Roman" w:hAnsi="Times New Roman" w:eastAsia="宋体" w:cs="Times New Roman"/>
                <w:bCs/>
                <w:color w:val="auto"/>
                <w:kern w:val="2"/>
                <w:sz w:val="24"/>
                <w:szCs w:val="24"/>
                <w:highlight w:val="none"/>
                <w:lang w:val="en-US" w:eastAsia="zh-CN" w:bidi="ar-SA"/>
              </w:rPr>
              <w:t>地面、墙裙和围堰均进行防渗处理，满足《危险废物贮存污染控制标准》(GB18597-2023)。采取上述措施后，可以确保事故油不会下渗污染土壤和地下水。</w:t>
            </w:r>
          </w:p>
          <w:p w14:paraId="57E65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事故风险应急措施</w:t>
            </w:r>
          </w:p>
          <w:p w14:paraId="4BFB9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应急措施指建设项目范围内，在建设和生产中所采取的设备、器材、管理等方面为减少事故 危害的活动。</w:t>
            </w:r>
          </w:p>
          <w:p w14:paraId="79795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应急设备和器材</w:t>
            </w:r>
          </w:p>
          <w:p w14:paraId="279AF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应急设备、器材的配备应包括消防和工业卫生等方面。按国家消防法规要求，企业应配备相应的义务消防组织，义务消防队既是生产者又是消防员，建设单位内部必须组织好这一队伍，进行消防专职培训、使用和维护消防器材、工具、设施。以确保初期火灾的扑救，不延误时间、不扩大事故、不失掉灭火良机。</w:t>
            </w:r>
          </w:p>
          <w:p w14:paraId="66414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消防技术装备对工程而言主要是灭火剂配备、小灭火器等、灭火剂的贮量满足消防规定要求，同时按消防规定要求，配备相应的防火设施、工具、通道、堤堰、器材等。需配备生产性卫生设施和个人防护用品。</w:t>
            </w:r>
          </w:p>
          <w:p w14:paraId="7563E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现场管理应急措施</w:t>
            </w:r>
          </w:p>
          <w:p w14:paraId="1C4FF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现场管理应急措施包括事故现场的组织、制度、分工、自救等方案制定和训练。制定预防环 境风险事故的管理制度和技术措施，并加以落实，明确应急处理要求。制定危险物质管理制度和 环境事故应急救援预案。组织训练本单位的灾害事故应急救援队伍，配备必要的防护、救援器材和设备，指定专人管理，并定期进行检查和维护保养、确保完好。</w:t>
            </w:r>
          </w:p>
          <w:p w14:paraId="3DB35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突发环境应急预案编制</w:t>
            </w:r>
          </w:p>
          <w:p w14:paraId="56967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针对本项目范围内可能发生的突发环境事件，建设单位应按照《建设项目环境风险评价技术 导则》(HJ 169-2018)等国家有关规定制定突发环境事件应急预案，并定期演练。</w:t>
            </w:r>
          </w:p>
          <w:p w14:paraId="63F43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本项目运行期采取的生态环境保护措施和电磁、噪声、水、固废环境保护措施的责任主体为建设单位，建设单位应严格依照相关要求确保措施有效落实；经分析，以上措施具有技术可行性、 经济合理性、运行稳定性、生态保护的可达性，在认真落实各项污染防治措施后，本项目运行期对生态、地表水、电磁、声环境影响较小，固体废物能妥善处理，环境风险可控，对周围环境影响较小。</w:t>
            </w:r>
          </w:p>
        </w:tc>
      </w:tr>
      <w:tr w14:paraId="296ABC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5260" w:hRule="atLeast"/>
          <w:jc w:val="center"/>
        </w:trPr>
        <w:tc>
          <w:tcPr>
            <w:tcW w:w="850" w:type="dxa"/>
            <w:tcBorders>
              <w:top w:val="single" w:color="auto" w:sz="8" w:space="0"/>
              <w:bottom w:val="single" w:color="auto" w:sz="8" w:space="0"/>
              <w:right w:val="single" w:color="auto" w:sz="4" w:space="0"/>
            </w:tcBorders>
            <w:shd w:val="clear" w:color="auto" w:fill="auto"/>
            <w:vAlign w:val="center"/>
          </w:tcPr>
          <w:p w14:paraId="7CEDCA6C">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其他</w:t>
            </w:r>
          </w:p>
        </w:tc>
        <w:tc>
          <w:tcPr>
            <w:tcW w:w="8504" w:type="dxa"/>
            <w:tcBorders>
              <w:left w:val="single" w:color="auto" w:sz="4" w:space="0"/>
            </w:tcBorders>
            <w:shd w:val="clear" w:color="auto" w:fill="auto"/>
            <w:vAlign w:val="top"/>
          </w:tcPr>
          <w:p w14:paraId="792835F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right="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1.环境管理</w:t>
            </w:r>
          </w:p>
          <w:p w14:paraId="751F5F3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线路运行主管单位应设立相应的环境管理部门，配备相应的环保管理人员。本项目不同建设阶段环境管理的工作计划如下表所示。</w:t>
            </w:r>
          </w:p>
          <w:p w14:paraId="5E7128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firstLine="422" w:firstLineChars="20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项目不同建设阶段环境管理工作计划</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78"/>
              <w:gridCol w:w="7441"/>
            </w:tblGrid>
            <w:tr w14:paraId="6F01F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8" w:type="dxa"/>
                  <w:tcBorders>
                    <w:tl2br w:val="nil"/>
                    <w:tr2bl w:val="nil"/>
                  </w:tcBorders>
                  <w:noWrap w:val="0"/>
                  <w:vAlign w:val="center"/>
                </w:tcPr>
                <w:p w14:paraId="51BA2F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7441" w:type="dxa"/>
                  <w:tcBorders>
                    <w:tl2br w:val="nil"/>
                    <w:tr2bl w:val="nil"/>
                  </w:tcBorders>
                  <w:noWrap w:val="0"/>
                  <w:vAlign w:val="center"/>
                </w:tcPr>
                <w:p w14:paraId="3C1D1E8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环境管理工作主要内容</w:t>
                  </w:r>
                </w:p>
              </w:tc>
            </w:tr>
            <w:tr w14:paraId="11B6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8" w:type="dxa"/>
                  <w:tcBorders>
                    <w:tl2br w:val="nil"/>
                    <w:tr2bl w:val="nil"/>
                  </w:tcBorders>
                  <w:noWrap w:val="0"/>
                  <w:vAlign w:val="center"/>
                </w:tcPr>
                <w:p w14:paraId="760D75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环境管理机构的职能</w:t>
                  </w:r>
                </w:p>
              </w:tc>
              <w:tc>
                <w:tcPr>
                  <w:tcW w:w="7441" w:type="dxa"/>
                  <w:tcBorders>
                    <w:tl2br w:val="nil"/>
                    <w:tr2bl w:val="nil"/>
                  </w:tcBorders>
                  <w:noWrap w:val="0"/>
                  <w:vAlign w:val="center"/>
                </w:tcPr>
                <w:p w14:paraId="5D6A6E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根据国家建设项目管理规定</w:t>
                  </w:r>
                  <w:r>
                    <w:rPr>
                      <w:rFonts w:hint="default" w:ascii="Times New Roman" w:hAnsi="Times New Roman" w:eastAsia="宋体" w:cs="Times New Roman"/>
                      <w:color w:val="auto"/>
                      <w:sz w:val="21"/>
                      <w:szCs w:val="21"/>
                      <w:highlight w:val="none"/>
                      <w:lang w:eastAsia="zh-CN"/>
                    </w:rPr>
                    <w:t>，认真履行</w:t>
                  </w:r>
                  <w:r>
                    <w:rPr>
                      <w:rFonts w:hint="default" w:ascii="Times New Roman" w:hAnsi="Times New Roman" w:eastAsia="宋体" w:cs="Times New Roman"/>
                      <w:color w:val="auto"/>
                      <w:sz w:val="21"/>
                      <w:szCs w:val="21"/>
                      <w:highlight w:val="none"/>
                    </w:rPr>
                    <w:t>、落实各项环保手续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完成各级</w:t>
                  </w:r>
                  <w:r>
                    <w:rPr>
                      <w:rFonts w:hint="default" w:ascii="Times New Roman" w:hAnsi="Times New Roman" w:eastAsia="宋体" w:cs="Times New Roman"/>
                      <w:color w:val="auto"/>
                      <w:sz w:val="21"/>
                      <w:szCs w:val="21"/>
                      <w:highlight w:val="none"/>
                      <w:lang w:eastAsia="zh-CN"/>
                    </w:rPr>
                    <w:t>生态环境主管</w:t>
                  </w:r>
                  <w:r>
                    <w:rPr>
                      <w:rFonts w:hint="default" w:ascii="Times New Roman" w:hAnsi="Times New Roman" w:eastAsia="宋体" w:cs="Times New Roman"/>
                      <w:color w:val="auto"/>
                      <w:sz w:val="21"/>
                      <w:szCs w:val="21"/>
                      <w:highlight w:val="none"/>
                    </w:rPr>
                    <w:t>部门对公司提出来的环境要求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对公司内部各项管理计划的执行及完成情况进行监督、控制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确保环境管理工作真正发挥作用。</w:t>
                  </w:r>
                </w:p>
              </w:tc>
            </w:tr>
            <w:tr w14:paraId="3D9B8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87" w:hRule="atLeast"/>
                <w:jc w:val="center"/>
              </w:trPr>
              <w:tc>
                <w:tcPr>
                  <w:tcW w:w="878" w:type="dxa"/>
                  <w:tcBorders>
                    <w:tl2br w:val="nil"/>
                    <w:tr2bl w:val="nil"/>
                  </w:tcBorders>
                  <w:noWrap w:val="0"/>
                  <w:vAlign w:val="center"/>
                </w:tcPr>
                <w:p w14:paraId="2A6317B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项目建设前期</w:t>
                  </w:r>
                </w:p>
              </w:tc>
              <w:tc>
                <w:tcPr>
                  <w:tcW w:w="7441" w:type="dxa"/>
                  <w:tcBorders>
                    <w:tl2br w:val="nil"/>
                    <w:tr2bl w:val="nil"/>
                  </w:tcBorders>
                  <w:noWrap w:val="0"/>
                  <w:vAlign w:val="center"/>
                </w:tcPr>
                <w:p w14:paraId="589A37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积极</w:t>
                  </w:r>
                  <w:r>
                    <w:rPr>
                      <w:rFonts w:hint="default" w:ascii="Times New Roman" w:hAnsi="Times New Roman" w:eastAsia="宋体" w:cs="Times New Roman"/>
                      <w:color w:val="auto"/>
                      <w:sz w:val="21"/>
                      <w:szCs w:val="21"/>
                      <w:highlight w:val="none"/>
                    </w:rPr>
                    <w:t>配合环评工作所需进行的环境现场调研。</w:t>
                  </w:r>
                </w:p>
                <w:p w14:paraId="76E232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2.评价报告编制完成后</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上报</w:t>
                  </w:r>
                  <w:r>
                    <w:rPr>
                      <w:rFonts w:hint="default" w:ascii="Times New Roman" w:hAnsi="Times New Roman" w:eastAsia="宋体" w:cs="Times New Roman"/>
                      <w:color w:val="auto"/>
                      <w:sz w:val="21"/>
                      <w:szCs w:val="21"/>
                      <w:highlight w:val="none"/>
                      <w:lang w:eastAsia="zh-CN"/>
                    </w:rPr>
                    <w:t>生态环境主管</w:t>
                  </w:r>
                  <w:r>
                    <w:rPr>
                      <w:rFonts w:hint="default" w:ascii="Times New Roman" w:hAnsi="Times New Roman" w:eastAsia="宋体" w:cs="Times New Roman"/>
                      <w:color w:val="auto"/>
                      <w:sz w:val="21"/>
                      <w:szCs w:val="21"/>
                      <w:highlight w:val="none"/>
                    </w:rPr>
                    <w:t>部门审查。</w:t>
                  </w:r>
                </w:p>
                <w:p w14:paraId="3F837C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3.针对评价报告对本项目的环境管理和监测要求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建立公司内部必要的环境管理与监测制度。</w:t>
                  </w:r>
                </w:p>
                <w:p w14:paraId="230024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4.根据环评及设计要求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公司应与环保设施提供单位及施工单位签订双向合同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保证环保设施按要求运行。</w:t>
                  </w:r>
                </w:p>
              </w:tc>
            </w:tr>
            <w:tr w14:paraId="0D5D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878" w:type="dxa"/>
                  <w:tcBorders>
                    <w:tl2br w:val="nil"/>
                    <w:tr2bl w:val="nil"/>
                  </w:tcBorders>
                  <w:noWrap w:val="0"/>
                  <w:vAlign w:val="center"/>
                </w:tcPr>
                <w:p w14:paraId="7850A28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p>
                <w:p w14:paraId="516A170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7441" w:type="dxa"/>
                  <w:tcBorders>
                    <w:tl2br w:val="nil"/>
                    <w:tr2bl w:val="nil"/>
                  </w:tcBorders>
                  <w:noWrap w:val="0"/>
                  <w:vAlign w:val="center"/>
                </w:tcPr>
                <w:p w14:paraId="65FE9C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三同时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制度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施工开始</w:t>
                  </w:r>
                  <w:r>
                    <w:rPr>
                      <w:rFonts w:hint="default" w:ascii="Times New Roman" w:hAnsi="Times New Roman" w:eastAsia="宋体" w:cs="Times New Roman"/>
                      <w:color w:val="auto"/>
                      <w:sz w:val="21"/>
                      <w:szCs w:val="21"/>
                      <w:highlight w:val="none"/>
                      <w:lang w:eastAsia="zh-CN"/>
                    </w:rPr>
                    <w:t>及时</w:t>
                  </w:r>
                  <w:r>
                    <w:rPr>
                      <w:rFonts w:hint="default" w:ascii="Times New Roman" w:hAnsi="Times New Roman" w:eastAsia="宋体" w:cs="Times New Roman"/>
                      <w:color w:val="auto"/>
                      <w:sz w:val="21"/>
                      <w:szCs w:val="21"/>
                      <w:highlight w:val="none"/>
                    </w:rPr>
                    <w:t>向</w:t>
                  </w:r>
                  <w:r>
                    <w:rPr>
                      <w:rFonts w:hint="default" w:ascii="Times New Roman" w:hAnsi="Times New Roman" w:eastAsia="宋体" w:cs="Times New Roman"/>
                      <w:color w:val="auto"/>
                      <w:sz w:val="21"/>
                      <w:szCs w:val="21"/>
                      <w:highlight w:val="none"/>
                      <w:lang w:eastAsia="zh-CN"/>
                    </w:rPr>
                    <w:t>生态环境主管</w:t>
                  </w:r>
                  <w:r>
                    <w:rPr>
                      <w:rFonts w:hint="default" w:ascii="Times New Roman" w:hAnsi="Times New Roman" w:eastAsia="宋体" w:cs="Times New Roman"/>
                      <w:color w:val="auto"/>
                      <w:sz w:val="21"/>
                      <w:szCs w:val="21"/>
                      <w:highlight w:val="none"/>
                    </w:rPr>
                    <w:t>部门汇报。</w:t>
                  </w:r>
                </w:p>
                <w:p w14:paraId="67C0AB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2.按照环评报告中提出的要求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制定出施工期间各项污染的防治计划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并安排具体人员进行监督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减轻施工阶段对环境的不良影响。</w:t>
                  </w:r>
                </w:p>
                <w:p w14:paraId="2EBF31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3.保证</w:t>
                  </w:r>
                  <w:r>
                    <w:rPr>
                      <w:rFonts w:hint="default" w:ascii="Times New Roman" w:hAnsi="Times New Roman" w:eastAsia="宋体" w:cs="Times New Roman"/>
                      <w:color w:val="auto"/>
                      <w:sz w:val="21"/>
                      <w:szCs w:val="21"/>
                      <w:highlight w:val="none"/>
                      <w:lang w:eastAsia="zh-CN"/>
                    </w:rPr>
                    <w:t>生态恢复</w:t>
                  </w:r>
                  <w:r>
                    <w:rPr>
                      <w:rFonts w:hint="default" w:ascii="Times New Roman" w:hAnsi="Times New Roman" w:eastAsia="宋体" w:cs="Times New Roman"/>
                      <w:color w:val="auto"/>
                      <w:sz w:val="21"/>
                      <w:szCs w:val="21"/>
                      <w:highlight w:val="none"/>
                    </w:rPr>
                    <w:t>工作的同步实施和效果实现。</w:t>
                  </w:r>
                </w:p>
              </w:tc>
            </w:tr>
            <w:tr w14:paraId="1BCF1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7" w:hRule="atLeast"/>
                <w:jc w:val="center"/>
              </w:trPr>
              <w:tc>
                <w:tcPr>
                  <w:tcW w:w="878" w:type="dxa"/>
                  <w:tcBorders>
                    <w:tl2br w:val="nil"/>
                    <w:tr2bl w:val="nil"/>
                  </w:tcBorders>
                  <w:noWrap w:val="0"/>
                  <w:vAlign w:val="center"/>
                </w:tcPr>
                <w:p w14:paraId="74F29D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w:t>
                  </w:r>
                </w:p>
                <w:p w14:paraId="237B890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运行期</w:t>
                  </w:r>
                </w:p>
              </w:tc>
              <w:tc>
                <w:tcPr>
                  <w:tcW w:w="7441" w:type="dxa"/>
                  <w:tcBorders>
                    <w:tl2br w:val="nil"/>
                    <w:tr2bl w:val="nil"/>
                  </w:tcBorders>
                  <w:noWrap w:val="0"/>
                  <w:vAlign w:val="center"/>
                </w:tcPr>
                <w:p w14:paraId="3B2860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掌握</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附近的环境特征和重点环境保护目标情况。建立环境管理和环境监测技术文件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做好记录、建档工作。技术文件包括：污染源的监测记录技术文件；污染控制、环境保护设施的设计和运行管理文件；导致严重环境影响事件的分析报告和监测数据资料等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并定期向当地</w:t>
                  </w:r>
                  <w:r>
                    <w:rPr>
                      <w:rFonts w:hint="default" w:ascii="Times New Roman" w:hAnsi="Times New Roman" w:eastAsia="宋体" w:cs="Times New Roman"/>
                      <w:color w:val="auto"/>
                      <w:sz w:val="21"/>
                      <w:szCs w:val="21"/>
                      <w:highlight w:val="none"/>
                      <w:lang w:eastAsia="zh-CN"/>
                    </w:rPr>
                    <w:t>生态环境</w:t>
                  </w:r>
                  <w:r>
                    <w:rPr>
                      <w:rFonts w:hint="default" w:ascii="Times New Roman" w:hAnsi="Times New Roman" w:eastAsia="宋体" w:cs="Times New Roman"/>
                      <w:color w:val="auto"/>
                      <w:sz w:val="21"/>
                      <w:szCs w:val="21"/>
                      <w:highlight w:val="none"/>
                    </w:rPr>
                    <w:t>主管部门申报。</w:t>
                  </w:r>
                </w:p>
                <w:p w14:paraId="5CBB84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检查设施运行情况</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及时处理出现的问题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保证环保治理设施的正常运行。</w:t>
                  </w:r>
                </w:p>
                <w:p w14:paraId="378B81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对项目运行的有关人员进行环境保护技术和政策方面的培训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加强环保宣传工作</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增强环保管理的能力</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减少运行产生的不利环境影响。具体的环保培训内容包括：中华人民共和国环境保护法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建设项目环境保护管理条例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电力设施保护条例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电磁环境影响的有关知识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声环境质量标准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其他有关的国家和地方的规定。</w:t>
                  </w:r>
                </w:p>
              </w:tc>
            </w:tr>
          </w:tbl>
          <w:p w14:paraId="35CC0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2.环境监测</w:t>
            </w:r>
          </w:p>
          <w:p w14:paraId="4FF426EE">
            <w:pPr>
              <w:keepNext w:val="0"/>
              <w:keepLines w:val="0"/>
              <w:suppressLineNumbers w:val="0"/>
              <w:spacing w:before="0" w:beforeLines="0" w:beforeAutospacing="0" w:after="0" w:afterLines="0" w:afterAutospacing="0" w:line="420" w:lineRule="exact"/>
              <w:ind w:left="0" w:right="0" w:firstLine="480" w:firstLineChars="200"/>
              <w:rPr>
                <w:rFonts w:hint="default" w:ascii="Times New Roman" w:hAnsi="Times New Roman" w:eastAsia="宋体"/>
                <w:color w:val="auto"/>
                <w:sz w:val="24"/>
                <w:szCs w:val="24"/>
                <w:lang w:val="zh-CN"/>
              </w:rPr>
            </w:pPr>
            <w:r>
              <w:rPr>
                <w:rFonts w:hint="eastAsia" w:ascii="Times New Roman" w:hAnsi="Times New Roman" w:eastAsia="宋体"/>
                <w:color w:val="auto"/>
                <w:sz w:val="24"/>
                <w:szCs w:val="24"/>
                <w:lang w:val="zh-CN"/>
              </w:rPr>
              <w:t>（</w:t>
            </w:r>
            <w:r>
              <w:rPr>
                <w:rFonts w:hint="default" w:ascii="Times New Roman" w:hAnsi="Times New Roman" w:eastAsia="宋体"/>
                <w:color w:val="auto"/>
                <w:sz w:val="24"/>
                <w:szCs w:val="24"/>
              </w:rPr>
              <w:t>1</w:t>
            </w:r>
            <w:r>
              <w:rPr>
                <w:rFonts w:hint="eastAsia" w:ascii="Times New Roman" w:hAnsi="Times New Roman" w:eastAsia="宋体"/>
                <w:color w:val="auto"/>
                <w:sz w:val="24"/>
                <w:szCs w:val="24"/>
                <w:lang w:val="zh-CN"/>
              </w:rPr>
              <w:t>）环境监测内容</w:t>
            </w:r>
          </w:p>
          <w:p w14:paraId="2F5A314E">
            <w:pPr>
              <w:keepNext w:val="0"/>
              <w:keepLines w:val="0"/>
              <w:suppressLineNumbers w:val="0"/>
              <w:spacing w:before="0" w:beforeLines="0" w:beforeAutospacing="0" w:after="0" w:afterLines="0" w:afterAutospacing="0" w:line="420" w:lineRule="exact"/>
              <w:ind w:left="0" w:right="0" w:firstLine="480" w:firstLineChars="200"/>
              <w:rPr>
                <w:rFonts w:hint="default" w:ascii="Times New Roman" w:hAnsi="Times New Roman" w:eastAsia="宋体"/>
                <w:color w:val="auto"/>
                <w:sz w:val="24"/>
                <w:szCs w:val="24"/>
                <w:lang w:val="zh-CN"/>
              </w:rPr>
            </w:pPr>
            <w:r>
              <w:rPr>
                <w:rFonts w:hint="eastAsia" w:ascii="Times New Roman" w:hAnsi="Times New Roman" w:eastAsia="宋体"/>
                <w:color w:val="auto"/>
                <w:sz w:val="24"/>
                <w:szCs w:val="24"/>
                <w:lang w:val="zh-CN"/>
              </w:rPr>
              <w:t>本项目环境监测计划以污染源监控性监测为主，项目污染源可由公司委托有资质的单位进行。监测时必须保证所有装置稳定运行，并记录操作工况。环境监测计划的制定依据项目内容和企业实际情况，制定相应切实可行的方案。监测点位、监测项目、监测频率见下表。</w:t>
            </w:r>
          </w:p>
          <w:p w14:paraId="40617897">
            <w:pPr>
              <w:keepNext w:val="0"/>
              <w:keepLines w:val="0"/>
              <w:suppressLineNumbers w:val="0"/>
              <w:spacing w:before="0" w:beforeLines="0" w:beforeAutospacing="0" w:after="0" w:afterLines="0" w:afterAutospacing="0" w:line="420" w:lineRule="exact"/>
              <w:ind w:left="0" w:right="0" w:firstLine="422" w:firstLineChars="200"/>
              <w:jc w:val="center"/>
              <w:rPr>
                <w:rFonts w:hint="default" w:ascii="Times New Roman" w:hAnsi="Times New Roman" w:eastAsia="宋体"/>
                <w:b/>
                <w:color w:val="auto"/>
                <w:sz w:val="21"/>
                <w:szCs w:val="21"/>
              </w:rPr>
            </w:pPr>
            <w:r>
              <w:rPr>
                <w:rFonts w:hint="eastAsia" w:ascii="Times New Roman" w:hAnsi="Times New Roman" w:eastAsia="宋体"/>
                <w:b/>
                <w:color w:val="auto"/>
                <w:sz w:val="21"/>
                <w:szCs w:val="21"/>
              </w:rPr>
              <w:t>表</w:t>
            </w:r>
            <w:r>
              <w:rPr>
                <w:rFonts w:hint="default" w:ascii="Times New Roman" w:hAnsi="Times New Roman" w:eastAsia="宋体"/>
                <w:b/>
                <w:color w:val="auto"/>
                <w:sz w:val="21"/>
                <w:szCs w:val="21"/>
              </w:rPr>
              <w:t>5-</w:t>
            </w:r>
            <w:r>
              <w:rPr>
                <w:rFonts w:hint="eastAsia" w:ascii="Times New Roman" w:hAnsi="Times New Roman" w:eastAsia="宋体"/>
                <w:b/>
                <w:color w:val="auto"/>
                <w:sz w:val="21"/>
                <w:szCs w:val="21"/>
                <w:lang w:val="en-US" w:eastAsia="zh-CN"/>
              </w:rPr>
              <w:t>4</w:t>
            </w:r>
            <w:r>
              <w:rPr>
                <w:rFonts w:hint="default" w:ascii="Times New Roman" w:hAnsi="Times New Roman" w:eastAsia="宋体"/>
                <w:b/>
                <w:color w:val="auto"/>
                <w:sz w:val="21"/>
                <w:szCs w:val="21"/>
              </w:rPr>
              <w:t xml:space="preserve">  </w:t>
            </w:r>
            <w:r>
              <w:rPr>
                <w:rFonts w:hint="eastAsia" w:ascii="Times New Roman" w:hAnsi="Times New Roman" w:eastAsia="宋体"/>
                <w:b/>
                <w:color w:val="auto"/>
                <w:sz w:val="21"/>
                <w:szCs w:val="21"/>
              </w:rPr>
              <w:t>环境监测点位、监测项目及监测频率一览表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14"/>
              <w:gridCol w:w="1791"/>
              <w:gridCol w:w="1806"/>
              <w:gridCol w:w="2880"/>
            </w:tblGrid>
            <w:tr w14:paraId="4E8C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81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202E35">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179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C25570">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监测指标</w:t>
                  </w:r>
                </w:p>
              </w:tc>
              <w:tc>
                <w:tcPr>
                  <w:tcW w:w="1806" w:type="dxa"/>
                  <w:tcBorders>
                    <w:top w:val="single" w:color="auto" w:sz="6" w:space="0"/>
                    <w:left w:val="single" w:color="auto" w:sz="6" w:space="0"/>
                    <w:bottom w:val="single" w:color="auto" w:sz="6" w:space="0"/>
                    <w:right w:val="single" w:color="auto" w:sz="4" w:space="0"/>
                    <w:tl2br w:val="nil"/>
                    <w:tr2bl w:val="nil"/>
                  </w:tcBorders>
                  <w:noWrap w:val="0"/>
                  <w:vAlign w:val="center"/>
                </w:tcPr>
                <w:p w14:paraId="47C603E6">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2880"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2009E4F">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执行排放标准</w:t>
                  </w:r>
                </w:p>
              </w:tc>
            </w:tr>
            <w:tr w14:paraId="26AFC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181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81A489">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变电站站界及站外环境敏感目标、线路沿线附近的环境敏感目标</w:t>
                  </w:r>
                </w:p>
              </w:tc>
              <w:tc>
                <w:tcPr>
                  <w:tcW w:w="179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703F9E">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工频电场强度</w:t>
                  </w:r>
                </w:p>
                <w:p w14:paraId="58B0985B">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工频磁感应强度</w:t>
                  </w:r>
                </w:p>
              </w:tc>
              <w:tc>
                <w:tcPr>
                  <w:tcW w:w="1806" w:type="dxa"/>
                  <w:tcBorders>
                    <w:top w:val="single" w:color="auto" w:sz="6" w:space="0"/>
                    <w:left w:val="single" w:color="auto" w:sz="6" w:space="0"/>
                    <w:bottom w:val="single" w:color="auto" w:sz="6" w:space="0"/>
                    <w:right w:val="single" w:color="auto" w:sz="4" w:space="0"/>
                    <w:tl2br w:val="nil"/>
                    <w:tr2bl w:val="nil"/>
                  </w:tcBorders>
                  <w:noWrap w:val="0"/>
                  <w:vAlign w:val="center"/>
                </w:tcPr>
                <w:p w14:paraId="63B26180">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竣工环保验收1次四年监测一次</w:t>
                  </w:r>
                </w:p>
                <w:p w14:paraId="6EC6FDA9">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有环保投诉时或根据其他需要进行</w:t>
                  </w:r>
                </w:p>
              </w:tc>
              <w:tc>
                <w:tcPr>
                  <w:tcW w:w="2880"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B9ECDE4">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《电磁环境控制限值》（GB8702-2014）中公众曝露的控制限值</w:t>
                  </w:r>
                </w:p>
              </w:tc>
            </w:tr>
            <w:tr w14:paraId="44694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4" w:hRule="atLeast"/>
                <w:jc w:val="center"/>
              </w:trPr>
              <w:tc>
                <w:tcPr>
                  <w:tcW w:w="181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8D5DE6">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变电站站界及站外环境敏感目标、线路沿线附近的环境敏感目标</w:t>
                  </w:r>
                </w:p>
              </w:tc>
              <w:tc>
                <w:tcPr>
                  <w:tcW w:w="179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BE99C6">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昼间、夜间等效声级，Leq</w:t>
                  </w:r>
                </w:p>
              </w:tc>
              <w:tc>
                <w:tcPr>
                  <w:tcW w:w="1806" w:type="dxa"/>
                  <w:tcBorders>
                    <w:top w:val="single" w:color="auto" w:sz="6" w:space="0"/>
                    <w:left w:val="single" w:color="auto" w:sz="6" w:space="0"/>
                    <w:bottom w:val="single" w:color="auto" w:sz="6" w:space="0"/>
                    <w:right w:val="single" w:color="auto" w:sz="4" w:space="0"/>
                    <w:tl2br w:val="nil"/>
                    <w:tr2bl w:val="nil"/>
                  </w:tcBorders>
                  <w:noWrap w:val="0"/>
                  <w:vAlign w:val="center"/>
                </w:tcPr>
                <w:p w14:paraId="315F7C5F">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竣工环保验收及主变大修1 次</w:t>
                  </w:r>
                </w:p>
                <w:p w14:paraId="4FA0D914">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每季度监测一次</w:t>
                  </w:r>
                </w:p>
                <w:p w14:paraId="2C8834C5">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（昼夜各一次）；</w:t>
                  </w:r>
                </w:p>
              </w:tc>
              <w:tc>
                <w:tcPr>
                  <w:tcW w:w="2880"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405E94A">
                  <w:pPr>
                    <w:keepNext w:val="0"/>
                    <w:keepLines w:val="0"/>
                    <w:suppressLineNumbers w:val="0"/>
                    <w:spacing w:before="0" w:beforeLines="0" w:beforeAutospacing="0" w:after="0" w:afterLines="0" w:afterAutospacing="0" w:line="420" w:lineRule="exact"/>
                    <w:ind w:left="0" w:right="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rPr>
                    <w:t>《声环境质量标准》（GB3096-2008）1类标准。</w:t>
                  </w:r>
                </w:p>
              </w:tc>
            </w:tr>
          </w:tbl>
          <w:p w14:paraId="211058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zh-CN" w:eastAsia="zh-CN"/>
              </w:rPr>
            </w:pPr>
          </w:p>
          <w:p w14:paraId="53DBA09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zh-CN" w:eastAsia="zh-CN"/>
              </w:rPr>
            </w:pPr>
          </w:p>
          <w:p w14:paraId="082CCDE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zh-CN" w:eastAsia="zh-CN"/>
              </w:rPr>
            </w:pPr>
          </w:p>
          <w:p w14:paraId="4D0AD66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20" w:lineRule="exact"/>
              <w:ind w:left="0" w:right="0" w:firstLine="480" w:firstLineChars="200"/>
              <w:jc w:val="left"/>
              <w:textAlignment w:val="auto"/>
              <w:rPr>
                <w:rFonts w:hint="default" w:ascii="Times New Roman" w:hAnsi="Times New Roman" w:eastAsia="宋体" w:cs="Times New Roman"/>
                <w:bCs/>
                <w:color w:val="auto"/>
                <w:sz w:val="24"/>
                <w:szCs w:val="24"/>
                <w:highlight w:val="none"/>
                <w:lang w:eastAsia="zh-CN"/>
              </w:rPr>
            </w:pPr>
          </w:p>
        </w:tc>
      </w:tr>
      <w:tr w14:paraId="17D783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28" w:type="dxa"/>
            <w:left w:w="85" w:type="dxa"/>
            <w:bottom w:w="28" w:type="dxa"/>
            <w:right w:w="85" w:type="dxa"/>
          </w:tblCellMar>
        </w:tblPrEx>
        <w:trPr>
          <w:trHeight w:val="5797" w:hRule="atLeast"/>
          <w:jc w:val="center"/>
        </w:trPr>
        <w:tc>
          <w:tcPr>
            <w:tcW w:w="850" w:type="dxa"/>
            <w:tcBorders>
              <w:top w:val="single" w:color="auto" w:sz="8" w:space="0"/>
              <w:bottom w:val="single" w:color="auto" w:sz="8" w:space="0"/>
              <w:right w:val="single" w:color="auto" w:sz="4" w:space="0"/>
            </w:tcBorders>
            <w:vAlign w:val="center"/>
          </w:tcPr>
          <w:p w14:paraId="34ECD11F">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环保</w:t>
            </w:r>
          </w:p>
          <w:p w14:paraId="649D3CA3">
            <w:pPr>
              <w:pStyle w:val="46"/>
              <w:keepNext w:val="0"/>
              <w:keepLines w:val="0"/>
              <w:suppressLineNumbers w:val="0"/>
              <w:wordWrap w:val="0"/>
              <w:spacing w:before="0" w:beforeAutospacing="0" w:after="0" w:afterAutospacing="0"/>
              <w:ind w:left="0" w:right="0" w:firstLine="0" w:firstLine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投资</w:t>
            </w:r>
          </w:p>
        </w:tc>
        <w:tc>
          <w:tcPr>
            <w:tcW w:w="8504" w:type="dxa"/>
            <w:tcBorders>
              <w:left w:val="single" w:color="auto" w:sz="4" w:space="0"/>
            </w:tcBorders>
            <w:shd w:val="clear" w:color="auto" w:fill="auto"/>
            <w:vAlign w:val="top"/>
          </w:tcPr>
          <w:p w14:paraId="2D8B46A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本项目总投资为</w:t>
            </w:r>
            <w:r>
              <w:rPr>
                <w:rFonts w:hint="eastAsia" w:ascii="Times New Roman" w:hAnsi="Times New Roman" w:eastAsia="宋体" w:cs="Times New Roman"/>
                <w:color w:val="auto"/>
                <w:sz w:val="24"/>
                <w:szCs w:val="24"/>
                <w:highlight w:val="none"/>
                <w:lang w:val="en-US" w:eastAsia="zh-CN"/>
              </w:rPr>
              <w:t>22986</w:t>
            </w:r>
            <w:r>
              <w:rPr>
                <w:rFonts w:hint="default" w:ascii="Times New Roman" w:hAnsi="Times New Roman" w:eastAsia="宋体" w:cs="Times New Roman"/>
                <w:color w:val="auto"/>
                <w:sz w:val="24"/>
                <w:szCs w:val="24"/>
                <w:highlight w:val="none"/>
                <w:lang w:eastAsia="zh-CN"/>
              </w:rPr>
              <w:t>万元，其中环保投资共计</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eastAsia="zh-CN"/>
              </w:rPr>
              <w:t>万元，占项目总投资的</w:t>
            </w:r>
            <w:r>
              <w:rPr>
                <w:rFonts w:hint="eastAsia" w:ascii="Times New Roman" w:hAnsi="Times New Roman" w:eastAsia="宋体" w:cs="Times New Roman"/>
                <w:color w:val="auto"/>
                <w:sz w:val="24"/>
                <w:szCs w:val="24"/>
                <w:highlight w:val="none"/>
                <w:lang w:val="en-US" w:eastAsia="zh-CN"/>
              </w:rPr>
              <w:t>1.31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p>
          <w:p w14:paraId="4343350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422" w:firstLineChars="20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 xml:space="preserve"> 工程环保投资一览表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680"/>
              <w:gridCol w:w="4358"/>
              <w:gridCol w:w="1480"/>
            </w:tblGrid>
            <w:tr w14:paraId="5FDA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noWrap w:val="0"/>
                  <w:vAlign w:val="center"/>
                </w:tcPr>
                <w:p w14:paraId="24B03D11">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680" w:type="dxa"/>
                  <w:noWrap w:val="0"/>
                  <w:vAlign w:val="center"/>
                </w:tcPr>
                <w:p w14:paraId="1BA5B8A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4358" w:type="dxa"/>
                  <w:noWrap w:val="0"/>
                  <w:vAlign w:val="center"/>
                </w:tcPr>
                <w:p w14:paraId="0392DF6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480" w:type="dxa"/>
                  <w:noWrap w:val="0"/>
                  <w:vAlign w:val="center"/>
                </w:tcPr>
                <w:p w14:paraId="7B5DDB8E">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投资额（万元）</w:t>
                  </w:r>
                </w:p>
              </w:tc>
            </w:tr>
            <w:tr w14:paraId="33F3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vMerge w:val="restart"/>
                  <w:noWrap w:val="0"/>
                  <w:vAlign w:val="center"/>
                </w:tcPr>
                <w:p w14:paraId="704B18D2">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1680" w:type="dxa"/>
                  <w:noWrap w:val="0"/>
                  <w:vAlign w:val="center"/>
                </w:tcPr>
                <w:p w14:paraId="0E908D9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4358" w:type="dxa"/>
                  <w:noWrap w:val="0"/>
                  <w:vAlign w:val="center"/>
                </w:tcPr>
                <w:p w14:paraId="16EDC96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围挡、遮盖和洒水抑尘等措施</w:t>
                  </w:r>
                </w:p>
              </w:tc>
              <w:tc>
                <w:tcPr>
                  <w:tcW w:w="1480" w:type="dxa"/>
                  <w:noWrap w:val="0"/>
                  <w:vAlign w:val="center"/>
                </w:tcPr>
                <w:p w14:paraId="40F2272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6CD2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vMerge w:val="continue"/>
                  <w:noWrap w:val="0"/>
                  <w:vAlign w:val="center"/>
                </w:tcPr>
                <w:p w14:paraId="6C6B314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p>
              </w:tc>
              <w:tc>
                <w:tcPr>
                  <w:tcW w:w="1680" w:type="dxa"/>
                  <w:noWrap w:val="0"/>
                  <w:vAlign w:val="center"/>
                </w:tcPr>
                <w:p w14:paraId="0BB3E24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表土回填</w:t>
                  </w:r>
                </w:p>
              </w:tc>
              <w:tc>
                <w:tcPr>
                  <w:tcW w:w="4358" w:type="dxa"/>
                  <w:noWrap w:val="0"/>
                  <w:vAlign w:val="center"/>
                </w:tcPr>
                <w:p w14:paraId="650E4F4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以隔尘布完全覆盖、边界围挡</w:t>
                  </w:r>
                </w:p>
              </w:tc>
              <w:tc>
                <w:tcPr>
                  <w:tcW w:w="1480" w:type="dxa"/>
                  <w:noWrap w:val="0"/>
                  <w:vAlign w:val="center"/>
                </w:tcPr>
                <w:p w14:paraId="0738EBF1">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r>
            <w:tr w14:paraId="10E4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noWrap w:val="0"/>
                  <w:vAlign w:val="center"/>
                </w:tcPr>
                <w:p w14:paraId="4BD9CE32">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680" w:type="dxa"/>
                  <w:noWrap w:val="0"/>
                  <w:vAlign w:val="center"/>
                </w:tcPr>
                <w:p w14:paraId="35585E31">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施工期生活废水</w:t>
                  </w:r>
                </w:p>
              </w:tc>
              <w:tc>
                <w:tcPr>
                  <w:tcW w:w="4358" w:type="dxa"/>
                  <w:noWrap w:val="0"/>
                  <w:vAlign w:val="center"/>
                </w:tcPr>
                <w:p w14:paraId="2BCD4AD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施工废水和施工人员生活污水处理设施</w:t>
                  </w:r>
                </w:p>
              </w:tc>
              <w:tc>
                <w:tcPr>
                  <w:tcW w:w="1480" w:type="dxa"/>
                  <w:noWrap w:val="0"/>
                  <w:vAlign w:val="center"/>
                </w:tcPr>
                <w:p w14:paraId="36BBB24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14:paraId="2A32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noWrap w:val="0"/>
                  <w:vAlign w:val="center"/>
                </w:tcPr>
                <w:p w14:paraId="54AD82D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680" w:type="dxa"/>
                  <w:noWrap w:val="0"/>
                  <w:vAlign w:val="center"/>
                </w:tcPr>
                <w:p w14:paraId="3131DB8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施工设备</w:t>
                  </w:r>
                  <w:r>
                    <w:rPr>
                      <w:rFonts w:hint="default" w:ascii="Times New Roman" w:hAnsi="Times New Roman" w:eastAsia="宋体" w:cs="Times New Roman"/>
                      <w:color w:val="auto"/>
                      <w:sz w:val="21"/>
                      <w:szCs w:val="21"/>
                      <w:highlight w:val="none"/>
                    </w:rPr>
                    <w:t>等</w:t>
                  </w:r>
                </w:p>
              </w:tc>
              <w:tc>
                <w:tcPr>
                  <w:tcW w:w="4358" w:type="dxa"/>
                  <w:noWrap w:val="0"/>
                  <w:vAlign w:val="center"/>
                </w:tcPr>
                <w:p w14:paraId="0A6C705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选用降噪设备</w:t>
                  </w:r>
                </w:p>
              </w:tc>
              <w:tc>
                <w:tcPr>
                  <w:tcW w:w="1480" w:type="dxa"/>
                  <w:noWrap w:val="0"/>
                  <w:vAlign w:val="center"/>
                </w:tcPr>
                <w:p w14:paraId="7E7FAF5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14:paraId="0671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vMerge w:val="restart"/>
                  <w:noWrap w:val="0"/>
                  <w:vAlign w:val="center"/>
                </w:tcPr>
                <w:p w14:paraId="26C846C5">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1680" w:type="dxa"/>
                  <w:noWrap w:val="0"/>
                  <w:vAlign w:val="center"/>
                </w:tcPr>
                <w:p w14:paraId="43630CFC">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废矿物油</w:t>
                  </w:r>
                </w:p>
              </w:tc>
              <w:tc>
                <w:tcPr>
                  <w:tcW w:w="4358" w:type="dxa"/>
                  <w:noWrap w:val="0"/>
                  <w:vAlign w:val="center"/>
                </w:tcPr>
                <w:p w14:paraId="51D458D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一座容积50m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的事故油池</w:t>
                  </w:r>
                </w:p>
              </w:tc>
              <w:tc>
                <w:tcPr>
                  <w:tcW w:w="1480" w:type="dxa"/>
                  <w:noWrap w:val="0"/>
                  <w:vAlign w:val="center"/>
                </w:tcPr>
                <w:p w14:paraId="5EDC4F2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r>
            <w:tr w14:paraId="0158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8" w:type="dxa"/>
                  <w:vMerge w:val="continue"/>
                  <w:noWrap w:val="0"/>
                  <w:vAlign w:val="center"/>
                </w:tcPr>
                <w:p w14:paraId="70C5A54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1680" w:type="dxa"/>
                  <w:noWrap w:val="0"/>
                  <w:vAlign w:val="center"/>
                </w:tcPr>
                <w:p w14:paraId="4648CC9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废铅蓄电池、废油桶</w:t>
                  </w:r>
                </w:p>
              </w:tc>
              <w:tc>
                <w:tcPr>
                  <w:tcW w:w="4358" w:type="dxa"/>
                  <w:noWrap w:val="0"/>
                  <w:vAlign w:val="center"/>
                </w:tcPr>
                <w:p w14:paraId="6299D255">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一座占地面积10m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的危废贮存点</w:t>
                  </w:r>
                </w:p>
              </w:tc>
              <w:tc>
                <w:tcPr>
                  <w:tcW w:w="1480" w:type="dxa"/>
                  <w:noWrap w:val="0"/>
                  <w:vAlign w:val="center"/>
                </w:tcPr>
                <w:p w14:paraId="39325BAE">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5176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438" w:type="dxa"/>
                  <w:gridSpan w:val="2"/>
                  <w:noWrap w:val="0"/>
                  <w:vAlign w:val="center"/>
                </w:tcPr>
                <w:p w14:paraId="6DF172D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生态环境保护措施</w:t>
                  </w:r>
                </w:p>
              </w:tc>
              <w:tc>
                <w:tcPr>
                  <w:tcW w:w="4358" w:type="dxa"/>
                  <w:noWrap w:val="0"/>
                  <w:vAlign w:val="center"/>
                </w:tcPr>
                <w:p w14:paraId="2B2262D1">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土地平整，表土回填，播撒草籽</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生态恢复</w:t>
                  </w:r>
                  <w:r>
                    <w:rPr>
                      <w:rFonts w:hint="default" w:ascii="Times New Roman" w:hAnsi="Times New Roman" w:eastAsia="宋体" w:cs="Times New Roman"/>
                      <w:color w:val="auto"/>
                      <w:sz w:val="21"/>
                      <w:szCs w:val="21"/>
                      <w:highlight w:val="none"/>
                    </w:rPr>
                    <w:t>等</w:t>
                  </w:r>
                </w:p>
              </w:tc>
              <w:tc>
                <w:tcPr>
                  <w:tcW w:w="1480" w:type="dxa"/>
                  <w:noWrap w:val="0"/>
                  <w:vAlign w:val="center"/>
                </w:tcPr>
                <w:p w14:paraId="3D28E4A0">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14:paraId="79F3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796" w:type="dxa"/>
                  <w:gridSpan w:val="3"/>
                  <w:noWrap w:val="0"/>
                  <w:vAlign w:val="center"/>
                </w:tcPr>
                <w:p w14:paraId="3B009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480" w:type="dxa"/>
                  <w:noWrap w:val="0"/>
                  <w:vAlign w:val="center"/>
                </w:tcPr>
                <w:p w14:paraId="42198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r>
          </w:tbl>
          <w:p w14:paraId="37E279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20" w:lineRule="exact"/>
              <w:ind w:left="0" w:right="0"/>
              <w:jc w:val="both"/>
              <w:textAlignment w:val="auto"/>
              <w:rPr>
                <w:rFonts w:hint="default" w:ascii="Times New Roman" w:hAnsi="Times New Roman" w:eastAsia="宋体" w:cs="Times New Roman"/>
                <w:color w:val="auto"/>
                <w:sz w:val="24"/>
                <w:szCs w:val="24"/>
                <w:highlight w:val="none"/>
                <w:lang w:val="zh-CN" w:eastAsia="zh-CN"/>
              </w:rPr>
            </w:pPr>
          </w:p>
          <w:p w14:paraId="2AD6CB70">
            <w:pPr>
              <w:pStyle w:val="26"/>
              <w:keepNext w:val="0"/>
              <w:keepLines w:val="0"/>
              <w:suppressLineNumbers w:val="0"/>
              <w:ind w:left="0" w:right="0"/>
              <w:rPr>
                <w:rFonts w:hint="default" w:ascii="Times New Roman" w:hAnsi="Times New Roman" w:eastAsia="宋体" w:cs="Times New Roman"/>
                <w:color w:val="auto"/>
                <w:sz w:val="24"/>
                <w:szCs w:val="24"/>
                <w:highlight w:val="none"/>
                <w:lang w:val="zh-CN" w:eastAsia="zh-CN"/>
              </w:rPr>
            </w:pPr>
          </w:p>
          <w:p w14:paraId="3EED8A3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zh-CN" w:eastAsia="zh-CN"/>
              </w:rPr>
            </w:pPr>
          </w:p>
          <w:p w14:paraId="78E29A43">
            <w:pPr>
              <w:pStyle w:val="26"/>
              <w:keepNext w:val="0"/>
              <w:keepLines w:val="0"/>
              <w:suppressLineNumbers w:val="0"/>
              <w:ind w:left="0" w:right="0"/>
              <w:rPr>
                <w:rFonts w:hint="default" w:ascii="Times New Roman" w:hAnsi="Times New Roman" w:eastAsia="宋体" w:cs="Times New Roman"/>
                <w:color w:val="auto"/>
                <w:sz w:val="24"/>
                <w:szCs w:val="24"/>
                <w:highlight w:val="none"/>
                <w:lang w:val="zh-CN" w:eastAsia="zh-CN"/>
              </w:rPr>
            </w:pPr>
          </w:p>
          <w:p w14:paraId="0C753F5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zh-CN" w:eastAsia="zh-CN"/>
              </w:rPr>
            </w:pPr>
          </w:p>
          <w:p w14:paraId="78A6FA9D">
            <w:pPr>
              <w:pStyle w:val="26"/>
              <w:keepNext w:val="0"/>
              <w:keepLines w:val="0"/>
              <w:suppressLineNumbers w:val="0"/>
              <w:ind w:left="0" w:right="0"/>
              <w:rPr>
                <w:rFonts w:hint="default" w:ascii="Times New Roman" w:hAnsi="Times New Roman" w:eastAsia="宋体" w:cs="Times New Roman"/>
                <w:color w:val="auto"/>
                <w:sz w:val="24"/>
                <w:szCs w:val="24"/>
                <w:highlight w:val="none"/>
                <w:lang w:val="zh-CN" w:eastAsia="zh-CN"/>
              </w:rPr>
            </w:pPr>
          </w:p>
          <w:p w14:paraId="4AAF525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zh-CN" w:eastAsia="zh-CN"/>
              </w:rPr>
            </w:pPr>
          </w:p>
          <w:p w14:paraId="265B3102">
            <w:pPr>
              <w:pStyle w:val="26"/>
              <w:keepNext w:val="0"/>
              <w:keepLines w:val="0"/>
              <w:suppressLineNumbers w:val="0"/>
              <w:ind w:left="0" w:right="0"/>
              <w:rPr>
                <w:rFonts w:hint="default" w:ascii="Times New Roman" w:hAnsi="Times New Roman" w:eastAsia="宋体" w:cs="Times New Roman"/>
                <w:color w:val="auto"/>
                <w:sz w:val="24"/>
                <w:szCs w:val="24"/>
                <w:highlight w:val="none"/>
                <w:lang w:val="zh-CN" w:eastAsia="zh-CN"/>
              </w:rPr>
            </w:pPr>
          </w:p>
          <w:p w14:paraId="7B7B76D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zh-CN" w:eastAsia="zh-CN"/>
              </w:rPr>
            </w:pPr>
          </w:p>
          <w:p w14:paraId="0CCBC9D4">
            <w:pPr>
              <w:pStyle w:val="26"/>
              <w:keepNext w:val="0"/>
              <w:keepLines w:val="0"/>
              <w:suppressLineNumbers w:val="0"/>
              <w:ind w:left="0" w:right="0"/>
              <w:rPr>
                <w:rFonts w:hint="default" w:ascii="Times New Roman" w:hAnsi="Times New Roman" w:eastAsia="宋体" w:cs="Times New Roman"/>
                <w:color w:val="auto"/>
                <w:sz w:val="24"/>
                <w:szCs w:val="24"/>
                <w:highlight w:val="none"/>
                <w:lang w:val="zh-CN" w:eastAsia="zh-CN"/>
              </w:rPr>
            </w:pPr>
          </w:p>
          <w:p w14:paraId="7F3ECE2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zh-CN" w:eastAsia="zh-CN"/>
              </w:rPr>
            </w:pPr>
          </w:p>
          <w:p w14:paraId="22A8D5D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zh-CN" w:eastAsia="zh-CN"/>
              </w:rPr>
            </w:pPr>
          </w:p>
          <w:p w14:paraId="04AF4BBE">
            <w:pPr>
              <w:pStyle w:val="26"/>
              <w:keepNext w:val="0"/>
              <w:keepLines w:val="0"/>
              <w:suppressLineNumbers w:val="0"/>
              <w:ind w:left="0" w:right="0"/>
              <w:rPr>
                <w:rFonts w:hint="default" w:ascii="Times New Roman" w:hAnsi="Times New Roman" w:eastAsia="宋体" w:cs="Times New Roman"/>
                <w:color w:val="auto"/>
                <w:sz w:val="24"/>
                <w:szCs w:val="24"/>
                <w:highlight w:val="none"/>
                <w:lang w:val="zh-CN" w:eastAsia="zh-CN"/>
              </w:rPr>
            </w:pPr>
          </w:p>
          <w:p w14:paraId="52A9E48C">
            <w:pPr>
              <w:keepNext w:val="0"/>
              <w:keepLines w:val="0"/>
              <w:suppressLineNumbers w:val="0"/>
              <w:spacing w:before="0" w:beforeAutospacing="0" w:after="0" w:afterAutospacing="0"/>
              <w:ind w:left="0" w:right="0"/>
              <w:rPr>
                <w:rFonts w:hint="default"/>
                <w:color w:val="auto"/>
                <w:lang w:val="zh-CN" w:eastAsia="zh-CN"/>
              </w:rPr>
            </w:pPr>
          </w:p>
        </w:tc>
      </w:tr>
    </w:tbl>
    <w:p w14:paraId="0F9170B0">
      <w:pPr>
        <w:wordWrap w:val="0"/>
        <w:jc w:val="left"/>
        <w:rPr>
          <w:rFonts w:hint="default" w:ascii="Times New Roman" w:hAnsi="Times New Roman" w:eastAsia="宋体" w:cs="Times New Roman"/>
          <w:color w:val="auto"/>
          <w:szCs w:val="21"/>
          <w:highlight w:val="none"/>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015A26C1">
      <w:pPr>
        <w:keepNext w:val="0"/>
        <w:keepLines w:val="0"/>
        <w:pageBreakBefore w:val="0"/>
        <w:numPr>
          <w:ilvl w:val="0"/>
          <w:numId w:val="0"/>
        </w:numPr>
        <w:kinsoku/>
        <w:wordWrap w:val="0"/>
        <w:overflowPunct/>
        <w:bidi w:val="0"/>
        <w:jc w:val="center"/>
        <w:outlineLvl w:val="0"/>
        <w:rPr>
          <w:rFonts w:hint="default" w:ascii="Times New Roman" w:hAnsi="Times New Roman" w:eastAsia="黑体" w:cs="Times New Roman"/>
          <w:b/>
          <w:bCs/>
          <w:color w:val="auto"/>
          <w:sz w:val="30"/>
          <w:szCs w:val="30"/>
          <w:highlight w:val="none"/>
        </w:rPr>
      </w:pPr>
      <w:r>
        <w:rPr>
          <w:rFonts w:hint="default" w:ascii="Times New Roman" w:hAnsi="Times New Roman" w:eastAsia="黑体" w:cs="Times New Roman"/>
          <w:b/>
          <w:bCs/>
          <w:color w:val="auto"/>
          <w:kern w:val="2"/>
          <w:sz w:val="30"/>
          <w:szCs w:val="30"/>
          <w:highlight w:val="none"/>
          <w:lang w:val="en-US" w:eastAsia="zh-CN" w:bidi="ar-SA"/>
        </w:rPr>
        <w:t>六、</w:t>
      </w:r>
      <w:r>
        <w:rPr>
          <w:rFonts w:hint="default" w:ascii="Times New Roman" w:hAnsi="Times New Roman" w:eastAsia="黑体" w:cs="Times New Roman"/>
          <w:b/>
          <w:bCs/>
          <w:color w:val="auto"/>
          <w:sz w:val="30"/>
          <w:szCs w:val="30"/>
          <w:highlight w:val="none"/>
        </w:rPr>
        <w:t>生态环境保护措施监督检查清单</w:t>
      </w: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4971"/>
        <w:gridCol w:w="2835"/>
        <w:gridCol w:w="2343"/>
        <w:gridCol w:w="2854"/>
      </w:tblGrid>
      <w:tr w14:paraId="6B4C9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7" w:type="pct"/>
            <w:vMerge w:val="restart"/>
            <w:tcBorders>
              <w:top w:val="single" w:color="auto" w:sz="8" w:space="0"/>
              <w:tl2br w:val="single" w:color="auto" w:sz="4" w:space="0"/>
            </w:tcBorders>
            <w:noWrap w:val="0"/>
            <w:vAlign w:val="center"/>
          </w:tcPr>
          <w:p w14:paraId="3D4B6E6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righ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14:paraId="0ED972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2745" w:type="pct"/>
            <w:gridSpan w:val="2"/>
            <w:tcBorders>
              <w:top w:val="single" w:color="auto" w:sz="8" w:space="0"/>
              <w:bottom w:val="single" w:color="auto" w:sz="4" w:space="0"/>
              <w:tl2br w:val="nil"/>
            </w:tcBorders>
            <w:noWrap w:val="0"/>
            <w:vAlign w:val="center"/>
          </w:tcPr>
          <w:p w14:paraId="65B72A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1827" w:type="pct"/>
            <w:gridSpan w:val="2"/>
            <w:tcBorders>
              <w:top w:val="single" w:color="auto" w:sz="8" w:space="0"/>
              <w:bottom w:val="single" w:color="auto" w:sz="4" w:space="0"/>
              <w:tl2br w:val="nil"/>
            </w:tcBorders>
            <w:noWrap w:val="0"/>
            <w:vAlign w:val="center"/>
          </w:tcPr>
          <w:p w14:paraId="452B03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r>
      <w:tr w14:paraId="65C72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27" w:type="pct"/>
            <w:vMerge w:val="continue"/>
            <w:tcBorders>
              <w:bottom w:val="single" w:color="auto" w:sz="4" w:space="0"/>
              <w:tl2br w:val="single" w:color="auto" w:sz="4" w:space="0"/>
            </w:tcBorders>
            <w:noWrap w:val="0"/>
            <w:vAlign w:val="center"/>
          </w:tcPr>
          <w:p w14:paraId="3D5560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p>
        </w:tc>
        <w:tc>
          <w:tcPr>
            <w:tcW w:w="1748" w:type="pct"/>
            <w:tcBorders>
              <w:top w:val="single" w:color="auto" w:sz="8" w:space="0"/>
              <w:bottom w:val="single" w:color="auto" w:sz="4" w:space="0"/>
              <w:tl2br w:val="nil"/>
            </w:tcBorders>
            <w:noWrap w:val="0"/>
            <w:vAlign w:val="center"/>
          </w:tcPr>
          <w:p w14:paraId="58C8FB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997" w:type="pct"/>
            <w:tcBorders>
              <w:top w:val="single" w:color="auto" w:sz="8" w:space="0"/>
              <w:bottom w:val="single" w:color="auto" w:sz="4" w:space="0"/>
              <w:tl2br w:val="nil"/>
            </w:tcBorders>
            <w:noWrap w:val="0"/>
            <w:vAlign w:val="center"/>
          </w:tcPr>
          <w:p w14:paraId="58C7D5C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验收要求</w:t>
            </w:r>
          </w:p>
        </w:tc>
        <w:tc>
          <w:tcPr>
            <w:tcW w:w="824" w:type="pct"/>
            <w:tcBorders>
              <w:top w:val="single" w:color="auto" w:sz="8" w:space="0"/>
              <w:bottom w:val="single" w:color="auto" w:sz="4" w:space="0"/>
              <w:tl2br w:val="nil"/>
            </w:tcBorders>
            <w:noWrap w:val="0"/>
            <w:vAlign w:val="center"/>
          </w:tcPr>
          <w:p w14:paraId="1CD17A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002" w:type="pct"/>
            <w:tcBorders>
              <w:top w:val="single" w:color="auto" w:sz="8" w:space="0"/>
              <w:bottom w:val="single" w:color="auto" w:sz="4" w:space="0"/>
              <w:tl2br w:val="nil"/>
            </w:tcBorders>
            <w:noWrap w:val="0"/>
            <w:vAlign w:val="center"/>
          </w:tcPr>
          <w:p w14:paraId="72CB30A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验收要求</w:t>
            </w:r>
          </w:p>
        </w:tc>
      </w:tr>
      <w:tr w14:paraId="4436A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27" w:type="pct"/>
            <w:tcBorders>
              <w:top w:val="single" w:color="auto" w:sz="4" w:space="0"/>
            </w:tcBorders>
            <w:noWrap w:val="0"/>
            <w:vAlign w:val="center"/>
          </w:tcPr>
          <w:p w14:paraId="3E4C4FD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陆生生态</w:t>
            </w:r>
          </w:p>
        </w:tc>
        <w:tc>
          <w:tcPr>
            <w:tcW w:w="1748" w:type="pct"/>
            <w:tcBorders>
              <w:top w:val="single" w:color="auto" w:sz="4" w:space="0"/>
            </w:tcBorders>
            <w:noWrap w:val="0"/>
            <w:vAlign w:val="center"/>
          </w:tcPr>
          <w:p w14:paraId="109E5B4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变电站：</w:t>
            </w:r>
          </w:p>
          <w:p w14:paraId="4A44456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①选择站区内合理区域堆放土方、材料等，加盖苫盖。②加强施工管理，对植被应加强保护，禁止乱占、滥伐和其他破坏植被的行为。</w:t>
            </w:r>
          </w:p>
          <w:p w14:paraId="2E6DF7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输电线路：</w:t>
            </w:r>
          </w:p>
          <w:p w14:paraId="7482BA6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①塔基及塔基施工区：施工前对表土进行剥离；完工后及时回覆并进行整地、恢复塔基周围等临时占地的植被；施工时对开挖表土进行铺垫、覆盖。②牵张场：施工时对牵张场场地进行土工布铺垫；施工结束后对牵张场占地进行植被恢复与复耕。③施工道路：施工结束后对施工道路地进行植被恢复。④其他要求：安排施工工序，尽量避开在暴雨季节开挖土方，回填方应及时夯实，在工程施工过程中尽量保护生态的原貌，减少对生态的扰动与破坏</w:t>
            </w:r>
            <w:r>
              <w:rPr>
                <w:rFonts w:hint="eastAsia" w:ascii="Times New Roman" w:hAnsi="Times New Roman" w:eastAsia="宋体" w:cs="Times New Roman"/>
                <w:color w:val="auto"/>
                <w:sz w:val="21"/>
                <w:szCs w:val="21"/>
                <w:highlight w:val="none"/>
                <w:lang w:eastAsia="zh-CN"/>
              </w:rPr>
              <w:t>。</w:t>
            </w:r>
          </w:p>
        </w:tc>
        <w:tc>
          <w:tcPr>
            <w:tcW w:w="997" w:type="pct"/>
            <w:tcBorders>
              <w:top w:val="single" w:color="auto" w:sz="4" w:space="0"/>
            </w:tcBorders>
            <w:noWrap w:val="0"/>
            <w:vAlign w:val="center"/>
          </w:tcPr>
          <w:p w14:paraId="72B524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临时占地全部恢复植被，无裸露地表；验收依据《建设项目竣工环境保护验收技术规范生态影响类》（HJ T 394-2007）和《建设项目竣工环境保护验收技术规范输变电》 （HJ705-2020）。</w:t>
            </w:r>
          </w:p>
        </w:tc>
        <w:tc>
          <w:tcPr>
            <w:tcW w:w="824" w:type="pct"/>
            <w:noWrap w:val="0"/>
            <w:vAlign w:val="center"/>
          </w:tcPr>
          <w:p w14:paraId="4B0943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运行期对生态恢复区进行跟踪观察，建立调查统计档案，对未成活植被进行补植。加强巡查和检查，强化检修维护人员的生态环境保护意识教育，并严格管理，避免对项目周边的自然植被和生态系统的破坏</w:t>
            </w:r>
            <w:r>
              <w:rPr>
                <w:rFonts w:hint="eastAsia" w:ascii="Times New Roman" w:hAnsi="Times New Roman" w:eastAsia="宋体" w:cs="Times New Roman"/>
                <w:color w:val="auto"/>
                <w:sz w:val="21"/>
                <w:szCs w:val="21"/>
                <w:highlight w:val="none"/>
                <w:lang w:val="en-US" w:eastAsia="zh-CN"/>
              </w:rPr>
              <w:t>。</w:t>
            </w:r>
          </w:p>
        </w:tc>
        <w:tc>
          <w:tcPr>
            <w:tcW w:w="1002" w:type="pct"/>
            <w:noWrap w:val="0"/>
            <w:vAlign w:val="center"/>
          </w:tcPr>
          <w:p w14:paraId="09235E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临时占地生态环境完全恢复。运行期未对项目周边的自然植被和生态系统产生破坏</w:t>
            </w:r>
            <w:r>
              <w:rPr>
                <w:rFonts w:hint="eastAsia" w:ascii="Times New Roman" w:hAnsi="Times New Roman" w:eastAsia="宋体" w:cs="Times New Roman"/>
                <w:color w:val="auto"/>
                <w:sz w:val="21"/>
                <w:szCs w:val="21"/>
                <w:highlight w:val="none"/>
                <w:lang w:val="en-US" w:eastAsia="zh-CN"/>
              </w:rPr>
              <w:t>。</w:t>
            </w:r>
          </w:p>
        </w:tc>
      </w:tr>
      <w:tr w14:paraId="53F2A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27" w:type="pct"/>
            <w:noWrap w:val="0"/>
            <w:vAlign w:val="center"/>
          </w:tcPr>
          <w:p w14:paraId="1F07831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水生生态</w:t>
            </w:r>
          </w:p>
        </w:tc>
        <w:tc>
          <w:tcPr>
            <w:tcW w:w="1748" w:type="pct"/>
            <w:noWrap w:val="0"/>
            <w:vAlign w:val="center"/>
          </w:tcPr>
          <w:p w14:paraId="489BFAD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7141F7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20B67D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02" w:type="pct"/>
            <w:noWrap w:val="0"/>
            <w:vAlign w:val="center"/>
          </w:tcPr>
          <w:p w14:paraId="751DD9F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B2E4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427" w:type="pct"/>
            <w:noWrap w:val="0"/>
            <w:vAlign w:val="center"/>
          </w:tcPr>
          <w:p w14:paraId="03BDE8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748" w:type="pct"/>
            <w:noWrap w:val="0"/>
            <w:vAlign w:val="center"/>
          </w:tcPr>
          <w:p w14:paraId="602544D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施工期生活污水及施工废水经沉淀后回用，不外排。</w:t>
            </w:r>
          </w:p>
        </w:tc>
        <w:tc>
          <w:tcPr>
            <w:tcW w:w="997" w:type="pct"/>
            <w:noWrap w:val="0"/>
            <w:vAlign w:val="center"/>
          </w:tcPr>
          <w:p w14:paraId="5D78818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施工废水、生活污水处理后回用，不外排。</w:t>
            </w:r>
          </w:p>
        </w:tc>
        <w:tc>
          <w:tcPr>
            <w:tcW w:w="824" w:type="pct"/>
            <w:noWrap w:val="0"/>
            <w:vAlign w:val="center"/>
          </w:tcPr>
          <w:p w14:paraId="458C83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Cs w:val="21"/>
                <w:highlight w:val="none"/>
                <w:lang w:val="en-US" w:eastAsia="zh-CN" w:bidi="ar"/>
              </w:rPr>
              <w:t>运行期不产生生活污水</w:t>
            </w:r>
          </w:p>
        </w:tc>
        <w:tc>
          <w:tcPr>
            <w:tcW w:w="1002" w:type="pct"/>
            <w:noWrap w:val="0"/>
            <w:vAlign w:val="center"/>
          </w:tcPr>
          <w:p w14:paraId="32F8BF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1040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27" w:type="pct"/>
            <w:noWrap w:val="0"/>
            <w:vAlign w:val="center"/>
          </w:tcPr>
          <w:p w14:paraId="7B9FB9D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地下水及土壤环境</w:t>
            </w:r>
          </w:p>
        </w:tc>
        <w:tc>
          <w:tcPr>
            <w:tcW w:w="1748" w:type="pct"/>
            <w:noWrap w:val="0"/>
            <w:vAlign w:val="center"/>
          </w:tcPr>
          <w:p w14:paraId="490549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4AA9516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10C06E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对项目区进行严格的防</w:t>
            </w:r>
          </w:p>
          <w:p w14:paraId="43B785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渗处理，进行分区防渗</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事故油池、</w:t>
            </w:r>
            <w:r>
              <w:rPr>
                <w:rFonts w:hint="eastAsia" w:ascii="Times New Roman" w:hAnsi="Times New Roman" w:eastAsia="宋体" w:cs="Times New Roman"/>
                <w:color w:val="auto"/>
                <w:sz w:val="21"/>
                <w:szCs w:val="21"/>
                <w:highlight w:val="none"/>
                <w:lang w:val="en-US" w:eastAsia="zh-CN"/>
              </w:rPr>
              <w:t>危废贮存点</w:t>
            </w:r>
            <w:r>
              <w:rPr>
                <w:rFonts w:hint="default" w:ascii="Times New Roman" w:hAnsi="Times New Roman" w:eastAsia="宋体" w:cs="Times New Roman"/>
                <w:color w:val="auto"/>
                <w:sz w:val="21"/>
                <w:szCs w:val="21"/>
                <w:highlight w:val="none"/>
                <w:lang w:val="en-US" w:eastAsia="zh-CN"/>
              </w:rPr>
              <w:t>等区域防渗层渗透系数不大于1.0×10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tc>
        <w:tc>
          <w:tcPr>
            <w:tcW w:w="1002" w:type="pct"/>
            <w:noWrap w:val="0"/>
            <w:vAlign w:val="center"/>
          </w:tcPr>
          <w:p w14:paraId="60544BC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防渗层渗透系数不大于1.0×10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 xml:space="preserve"> cm/s</w:t>
            </w:r>
          </w:p>
        </w:tc>
      </w:tr>
      <w:tr w14:paraId="3B1C4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27" w:type="pct"/>
            <w:noWrap w:val="0"/>
            <w:vAlign w:val="center"/>
          </w:tcPr>
          <w:p w14:paraId="765ABF5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48" w:type="pct"/>
            <w:noWrap w:val="0"/>
            <w:vAlign w:val="center"/>
          </w:tcPr>
          <w:p w14:paraId="510DC9B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施工机械尽量选用低噪机械设备、优化施工时间，对强噪声机械进行突击作业。</w:t>
            </w:r>
          </w:p>
        </w:tc>
        <w:tc>
          <w:tcPr>
            <w:tcW w:w="997" w:type="pct"/>
            <w:noWrap w:val="0"/>
            <w:vAlign w:val="center"/>
          </w:tcPr>
          <w:p w14:paraId="50BA3E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满足《建筑施工场界环境噪声排放标准》（GB12523-2011）限值要求。</w:t>
            </w:r>
          </w:p>
        </w:tc>
        <w:tc>
          <w:tcPr>
            <w:tcW w:w="824" w:type="pct"/>
            <w:noWrap w:val="0"/>
            <w:vAlign w:val="center"/>
          </w:tcPr>
          <w:p w14:paraId="2106E8E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选用低噪主变、基础减震；</w:t>
            </w:r>
            <w:r>
              <w:rPr>
                <w:rFonts w:hint="default" w:ascii="Times New Roman" w:hAnsi="Times New Roman" w:eastAsia="宋体" w:cs="Times New Roman"/>
                <w:color w:val="auto"/>
                <w:sz w:val="21"/>
                <w:szCs w:val="21"/>
                <w:highlight w:val="none"/>
                <w:lang w:val="en-US" w:eastAsia="zh-CN"/>
              </w:rPr>
              <w:t>输电线路合理布置，避让集中居民区，严格控制水平距离和线高。</w:t>
            </w:r>
          </w:p>
        </w:tc>
        <w:tc>
          <w:tcPr>
            <w:tcW w:w="1002" w:type="pct"/>
            <w:noWrap w:val="0"/>
            <w:vAlign w:val="center"/>
          </w:tcPr>
          <w:p w14:paraId="2839E0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变电</w:t>
            </w:r>
            <w:r>
              <w:rPr>
                <w:rFonts w:hint="default" w:ascii="Times New Roman" w:hAnsi="Times New Roman" w:eastAsia="宋体" w:cs="Times New Roman"/>
                <w:color w:val="auto"/>
                <w:sz w:val="21"/>
                <w:szCs w:val="21"/>
                <w:highlight w:val="none"/>
                <w:lang w:val="en-US" w:eastAsia="zh-CN"/>
              </w:rPr>
              <w:t>站厂界满足《工业企业厂界环境噪声排放标准》（GB12348-2008）2类标准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输电线路</w:t>
            </w:r>
            <w:r>
              <w:rPr>
                <w:rFonts w:hint="eastAsia" w:ascii="Times New Roman" w:hAnsi="Times New Roman" w:eastAsia="宋体" w:cs="Times New Roman"/>
                <w:color w:val="auto"/>
                <w:sz w:val="21"/>
                <w:szCs w:val="21"/>
                <w:highlight w:val="none"/>
                <w:lang w:val="en-US" w:eastAsia="zh-CN"/>
              </w:rPr>
              <w:t>经过居民区</w:t>
            </w:r>
            <w:r>
              <w:rPr>
                <w:rFonts w:hint="default" w:ascii="Times New Roman" w:hAnsi="Times New Roman" w:eastAsia="宋体" w:cs="Times New Roman"/>
                <w:color w:val="auto"/>
                <w:sz w:val="21"/>
                <w:szCs w:val="21"/>
                <w:highlight w:val="none"/>
                <w:lang w:val="en-US" w:eastAsia="zh-CN"/>
              </w:rPr>
              <w:t>执行《声环境质量标准》（GB3096-2008）1类标准。</w:t>
            </w:r>
          </w:p>
        </w:tc>
      </w:tr>
      <w:tr w14:paraId="45BF2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noWrap w:val="0"/>
            <w:vAlign w:val="center"/>
          </w:tcPr>
          <w:p w14:paraId="53A2FB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w:t>
            </w:r>
          </w:p>
        </w:tc>
        <w:tc>
          <w:tcPr>
            <w:tcW w:w="1748" w:type="pct"/>
            <w:noWrap w:val="0"/>
            <w:vAlign w:val="center"/>
          </w:tcPr>
          <w:p w14:paraId="60586D8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350D1C8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2CED873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02" w:type="pct"/>
            <w:noWrap w:val="0"/>
            <w:vAlign w:val="center"/>
          </w:tcPr>
          <w:p w14:paraId="4BE5B5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A06B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noWrap w:val="0"/>
            <w:vAlign w:val="center"/>
          </w:tcPr>
          <w:p w14:paraId="27347B5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48" w:type="pct"/>
            <w:noWrap w:val="0"/>
            <w:vAlign w:val="center"/>
          </w:tcPr>
          <w:p w14:paraId="2879726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施工工地周边要围挡、物料堆放要覆盖、土方开挖湿法作业、</w:t>
            </w:r>
            <w:r>
              <w:rPr>
                <w:rFonts w:hint="default" w:ascii="Times New Roman" w:hAnsi="Times New Roman" w:eastAsia="宋体" w:cs="Times New Roman"/>
                <w:color w:val="auto"/>
                <w:sz w:val="21"/>
                <w:szCs w:val="21"/>
                <w:highlight w:val="none"/>
                <w:lang w:val="en-US" w:eastAsia="zh-CN"/>
              </w:rPr>
              <w:t>运输道路定时洒水</w:t>
            </w:r>
            <w:r>
              <w:rPr>
                <w:rFonts w:hint="default" w:ascii="Times New Roman" w:hAnsi="Times New Roman" w:eastAsia="宋体" w:cs="Times New Roman"/>
                <w:color w:val="auto"/>
                <w:sz w:val="21"/>
                <w:szCs w:val="21"/>
                <w:highlight w:val="none"/>
                <w:lang w:val="zh-CN" w:eastAsia="zh-CN"/>
              </w:rPr>
              <w:t>、渣土车辆密闭运输“六个百分之百”。</w:t>
            </w:r>
          </w:p>
        </w:tc>
        <w:tc>
          <w:tcPr>
            <w:tcW w:w="997" w:type="pct"/>
            <w:noWrap w:val="0"/>
            <w:vAlign w:val="center"/>
          </w:tcPr>
          <w:p w14:paraId="26F6C3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严格管控，防治扬尘污染。</w:t>
            </w:r>
          </w:p>
        </w:tc>
        <w:tc>
          <w:tcPr>
            <w:tcW w:w="824" w:type="pct"/>
            <w:noWrap w:val="0"/>
            <w:vAlign w:val="center"/>
          </w:tcPr>
          <w:p w14:paraId="0FF09E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02" w:type="pct"/>
            <w:noWrap w:val="0"/>
            <w:vAlign w:val="center"/>
          </w:tcPr>
          <w:p w14:paraId="500745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D49B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3" w:hRule="atLeast"/>
          <w:jc w:val="center"/>
        </w:trPr>
        <w:tc>
          <w:tcPr>
            <w:tcW w:w="427" w:type="pct"/>
            <w:noWrap w:val="0"/>
            <w:vAlign w:val="center"/>
          </w:tcPr>
          <w:p w14:paraId="01AD752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748" w:type="pct"/>
            <w:noWrap w:val="0"/>
            <w:vAlign w:val="center"/>
          </w:tcPr>
          <w:p w14:paraId="489DE7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建筑垃圾定点倾倒；弃土就近回填。</w:t>
            </w:r>
          </w:p>
        </w:tc>
        <w:tc>
          <w:tcPr>
            <w:tcW w:w="997" w:type="pct"/>
            <w:noWrap w:val="0"/>
            <w:vAlign w:val="center"/>
          </w:tcPr>
          <w:p w14:paraId="031869B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建筑垃圾定点倾倒；弃土就近回填。</w:t>
            </w:r>
          </w:p>
        </w:tc>
        <w:tc>
          <w:tcPr>
            <w:tcW w:w="824" w:type="pct"/>
            <w:noWrap w:val="0"/>
            <w:vAlign w:val="center"/>
          </w:tcPr>
          <w:p w14:paraId="1530D9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升压站内建设一座</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的危废贮存点</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废油桶</w:t>
            </w:r>
            <w:r>
              <w:rPr>
                <w:rFonts w:hint="default" w:ascii="Times New Roman" w:hAnsi="Times New Roman" w:eastAsia="宋体" w:cs="Times New Roman"/>
                <w:color w:val="auto"/>
                <w:sz w:val="21"/>
                <w:szCs w:val="21"/>
                <w:highlight w:val="none"/>
                <w:lang w:val="en-US" w:eastAsia="zh-CN"/>
              </w:rPr>
              <w:t>、废铅酸蓄电池分类分区暂存于</w:t>
            </w:r>
            <w:r>
              <w:rPr>
                <w:rFonts w:hint="eastAsia" w:ascii="Times New Roman" w:hAnsi="Times New Roman" w:eastAsia="宋体" w:cs="Times New Roman"/>
                <w:color w:val="auto"/>
                <w:sz w:val="21"/>
                <w:szCs w:val="21"/>
                <w:highlight w:val="none"/>
                <w:lang w:val="en-US" w:eastAsia="zh-CN"/>
              </w:rPr>
              <w:t>危废贮存点</w:t>
            </w:r>
            <w:r>
              <w:rPr>
                <w:rFonts w:hint="default" w:ascii="Times New Roman" w:hAnsi="Times New Roman" w:eastAsia="宋体" w:cs="Times New Roman"/>
                <w:color w:val="auto"/>
                <w:sz w:val="21"/>
                <w:szCs w:val="21"/>
                <w:highlight w:val="none"/>
                <w:lang w:val="en-US" w:eastAsia="zh-CN"/>
              </w:rPr>
              <w:t>，定期交有资质单位处置；事故状态下主变事故废油进入主变事故油池，及时联系有资质单位处置。</w:t>
            </w:r>
          </w:p>
        </w:tc>
        <w:tc>
          <w:tcPr>
            <w:tcW w:w="1002" w:type="pct"/>
            <w:noWrap w:val="0"/>
            <w:vAlign w:val="center"/>
          </w:tcPr>
          <w:p w14:paraId="43FC975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《危险废物贮存污染控制标准》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GB18597-2023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和《危险废物转移联单管理办法</w:t>
            </w:r>
            <w:r>
              <w:rPr>
                <w:rFonts w:hint="eastAsia" w:ascii="Times New Roman" w:hAnsi="Times New Roman" w:eastAsia="宋体" w:cs="Times New Roman"/>
                <w:color w:val="auto"/>
                <w:sz w:val="21"/>
                <w:szCs w:val="21"/>
                <w:highlight w:val="none"/>
                <w:lang w:val="en-US" w:eastAsia="zh-CN"/>
              </w:rPr>
              <w:t>。</w:t>
            </w:r>
          </w:p>
        </w:tc>
      </w:tr>
      <w:tr w14:paraId="1D45D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noWrap w:val="0"/>
            <w:vAlign w:val="center"/>
          </w:tcPr>
          <w:p w14:paraId="4179E3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1748" w:type="pct"/>
            <w:noWrap w:val="0"/>
            <w:vAlign w:val="center"/>
          </w:tcPr>
          <w:p w14:paraId="6ABC79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1DD6D8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232A124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变电站及输电线路产生的工频电场、工频磁感应强度满足《电磁环境控制限值》（GB8702-2014）中公众曝露的控制限值要求。</w:t>
            </w:r>
          </w:p>
        </w:tc>
        <w:tc>
          <w:tcPr>
            <w:tcW w:w="1002" w:type="pct"/>
            <w:noWrap w:val="0"/>
            <w:vAlign w:val="center"/>
          </w:tcPr>
          <w:p w14:paraId="317CB1C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《电磁环境控制限值》（GB8702-2014）中公众曝露的控制限值要求。</w:t>
            </w:r>
          </w:p>
        </w:tc>
      </w:tr>
      <w:tr w14:paraId="0868A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27" w:type="pct"/>
            <w:noWrap w:val="0"/>
            <w:vAlign w:val="center"/>
          </w:tcPr>
          <w:p w14:paraId="4984AA4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1748" w:type="pct"/>
            <w:noWrap w:val="0"/>
            <w:vAlign w:val="center"/>
          </w:tcPr>
          <w:p w14:paraId="1B1FEF7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4E5C4D5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295C8D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新建1座</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事故油池，主变压器下方设有事故油坑，并做好防渗措施，事故油坑通过排油管道与事故油池相连。废变压器油收集后在危废贮存点暂存</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交由有资质的单位进行处置</w:t>
            </w:r>
          </w:p>
        </w:tc>
        <w:tc>
          <w:tcPr>
            <w:tcW w:w="1002" w:type="pct"/>
            <w:noWrap w:val="0"/>
            <w:vAlign w:val="center"/>
          </w:tcPr>
          <w:p w14:paraId="7B37A1D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事故油池容积满足</w:t>
            </w:r>
            <w:r>
              <w:rPr>
                <w:rFonts w:hint="eastAsia" w:ascii="Times New Roman" w:hAnsi="Times New Roman" w:eastAsia="宋体"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lang w:val="en-US" w:eastAsia="zh-CN"/>
              </w:rPr>
              <w:t>，废铅蓄电池收集后在危废贮存点暂存，交由有资质的单位进行处置</w:t>
            </w:r>
            <w:r>
              <w:rPr>
                <w:rFonts w:hint="eastAsia" w:ascii="Times New Roman" w:hAnsi="Times New Roman" w:eastAsia="宋体" w:cs="Times New Roman"/>
                <w:color w:val="auto"/>
                <w:sz w:val="21"/>
                <w:szCs w:val="21"/>
                <w:highlight w:val="none"/>
                <w:lang w:val="en-US" w:eastAsia="zh-CN"/>
              </w:rPr>
              <w:t>。</w:t>
            </w:r>
          </w:p>
        </w:tc>
      </w:tr>
      <w:tr w14:paraId="07D25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427" w:type="pct"/>
            <w:noWrap w:val="0"/>
            <w:vAlign w:val="center"/>
          </w:tcPr>
          <w:p w14:paraId="5DF9066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w:t>
            </w:r>
          </w:p>
        </w:tc>
        <w:tc>
          <w:tcPr>
            <w:tcW w:w="1748" w:type="pct"/>
            <w:noWrap w:val="0"/>
            <w:vAlign w:val="center"/>
          </w:tcPr>
          <w:p w14:paraId="712CCA9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777351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3A95A78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每季度监测一次等效A 声级，每年监测一次工频电场强度工频磁感应强度</w:t>
            </w:r>
          </w:p>
        </w:tc>
        <w:tc>
          <w:tcPr>
            <w:tcW w:w="1002" w:type="pct"/>
            <w:noWrap w:val="0"/>
            <w:vAlign w:val="center"/>
          </w:tcPr>
          <w:p w14:paraId="6F5BC0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等效A声级每季度监测一次（昼夜各一次）、工频电场强度、工频磁感应强度每年监测一次。</w:t>
            </w:r>
          </w:p>
        </w:tc>
      </w:tr>
      <w:tr w14:paraId="311E8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7" w:type="pct"/>
            <w:noWrap w:val="0"/>
            <w:vAlign w:val="center"/>
          </w:tcPr>
          <w:p w14:paraId="5A4F7A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c>
          <w:tcPr>
            <w:tcW w:w="1748" w:type="pct"/>
            <w:noWrap w:val="0"/>
            <w:vAlign w:val="center"/>
          </w:tcPr>
          <w:p w14:paraId="7056A8D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7" w:type="pct"/>
            <w:noWrap w:val="0"/>
            <w:vAlign w:val="center"/>
          </w:tcPr>
          <w:p w14:paraId="372C760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24" w:type="pct"/>
            <w:noWrap w:val="0"/>
            <w:vAlign w:val="center"/>
          </w:tcPr>
          <w:p w14:paraId="05F6332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02" w:type="pct"/>
            <w:noWrap w:val="0"/>
            <w:vAlign w:val="center"/>
          </w:tcPr>
          <w:p w14:paraId="66A902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55E97208">
      <w:pPr>
        <w:wordWrap w:val="0"/>
        <w:rPr>
          <w:rFonts w:hint="default" w:ascii="Times New Roman" w:hAnsi="Times New Roman" w:eastAsia="宋体" w:cs="Times New Roman"/>
          <w:color w:val="auto"/>
          <w:highlight w:val="none"/>
        </w:rPr>
        <w:sectPr>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auto"/>
          <w:highlight w:val="none"/>
        </w:rPr>
        <w:br w:type="page"/>
      </w:r>
    </w:p>
    <w:p w14:paraId="7926C97C">
      <w:pPr>
        <w:wordWrap w:val="0"/>
        <w:jc w:val="center"/>
        <w:outlineLvl w:val="0"/>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七、结论</w:t>
      </w:r>
    </w:p>
    <w:tbl>
      <w:tblPr>
        <w:tblStyle w:val="28"/>
        <w:tblW w:w="93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14:paraId="56694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9" w:hRule="atLeast"/>
          <w:jc w:val="center"/>
        </w:trPr>
        <w:tc>
          <w:tcPr>
            <w:tcW w:w="9351" w:type="dxa"/>
            <w:vAlign w:val="top"/>
          </w:tcPr>
          <w:p w14:paraId="10D20E23">
            <w:pPr>
              <w:keepNext w:val="0"/>
              <w:keepLines w:val="0"/>
              <w:suppressLineNumbers w:val="0"/>
              <w:wordWrap w:val="0"/>
              <w:spacing w:before="0" w:beforeAutospacing="0" w:after="0" w:afterAutospacing="0" w:line="460" w:lineRule="exact"/>
              <w:ind w:left="0" w:right="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从</w:t>
            </w:r>
            <w:r>
              <w:rPr>
                <w:rFonts w:hint="default" w:ascii="Times New Roman" w:hAnsi="Times New Roman" w:eastAsia="宋体" w:cs="Times New Roman"/>
                <w:color w:val="auto"/>
                <w:sz w:val="24"/>
                <w:szCs w:val="24"/>
                <w:highlight w:val="none"/>
                <w:lang w:val="en-US" w:eastAsia="zh-CN"/>
              </w:rPr>
              <w:t>生态</w:t>
            </w:r>
            <w:r>
              <w:rPr>
                <w:rFonts w:hint="default" w:ascii="Times New Roman" w:hAnsi="Times New Roman" w:eastAsia="宋体" w:cs="Times New Roman"/>
                <w:color w:val="auto"/>
                <w:sz w:val="24"/>
                <w:szCs w:val="24"/>
                <w:highlight w:val="none"/>
              </w:rPr>
              <w:t>环境保护角度考虑，</w:t>
            </w:r>
            <w:r>
              <w:rPr>
                <w:rFonts w:hint="eastAsia" w:ascii="Times New Roman" w:hAnsi="Times New Roman" w:eastAsia="宋体" w:cs="Times New Roman"/>
                <w:bCs/>
                <w:color w:val="auto"/>
                <w:sz w:val="24"/>
                <w:szCs w:val="24"/>
                <w:highlight w:val="none"/>
                <w:lang w:val="en-US" w:eastAsia="zh-CN"/>
              </w:rPr>
              <w:t>火山云太行算力中心项目二期扩容220kV输变电工程</w:t>
            </w:r>
            <w:r>
              <w:rPr>
                <w:rFonts w:hint="default" w:ascii="Times New Roman" w:hAnsi="Times New Roman" w:eastAsia="宋体" w:cs="Times New Roman"/>
                <w:color w:val="auto"/>
                <w:sz w:val="24"/>
                <w:szCs w:val="24"/>
                <w:highlight w:val="none"/>
              </w:rPr>
              <w:t>是可行的。</w:t>
            </w:r>
          </w:p>
        </w:tc>
      </w:tr>
    </w:tbl>
    <w:p w14:paraId="17F60D71">
      <w:pPr>
        <w:wordWrap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471189B2">
      <w:pPr>
        <w:pStyle w:val="46"/>
        <w:wordWrap w:val="0"/>
        <w:ind w:firstLine="0" w:firstLineChars="0"/>
        <w:jc w:val="center"/>
        <w:rPr>
          <w:rFonts w:hint="default" w:ascii="Times New Roman" w:hAnsi="Times New Roman" w:eastAsia="宋体" w:cs="Times New Roman"/>
          <w:color w:val="auto"/>
          <w:sz w:val="24"/>
          <w:szCs w:val="24"/>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67F611D">
      <w:pPr>
        <w:pStyle w:val="36"/>
        <w:rPr>
          <w:rFonts w:hint="default" w:ascii="Times New Roman" w:hAnsi="Times New Roman" w:cs="Times New Roman"/>
          <w:color w:val="auto"/>
          <w:highlight w:val="none"/>
        </w:rPr>
      </w:pPr>
    </w:p>
    <w:p w14:paraId="2FEF832A">
      <w:pPr>
        <w:pStyle w:val="36"/>
        <w:keepNext w:val="0"/>
        <w:keepLines w:val="0"/>
        <w:pageBreakBefore w:val="0"/>
        <w:kinsoku/>
        <w:wordWrap w:val="0"/>
        <w:overflowPunct/>
        <w:bidi w:val="0"/>
        <w:rPr>
          <w:rFonts w:hint="default" w:ascii="Times New Roman" w:hAnsi="Times New Roman" w:eastAsia="宋体" w:cs="Times New Roman"/>
          <w:color w:val="auto"/>
          <w:highlight w:val="none"/>
        </w:rPr>
      </w:pPr>
    </w:p>
    <w:p w14:paraId="153DD237">
      <w:pPr>
        <w:pStyle w:val="43"/>
        <w:keepNext w:val="0"/>
        <w:keepLines w:val="0"/>
        <w:pageBreakBefore w:val="0"/>
        <w:kinsoku/>
        <w:wordWrap w:val="0"/>
        <w:overflowPunct/>
        <w:bidi w:val="0"/>
        <w:rPr>
          <w:rFonts w:hint="default" w:ascii="Times New Roman" w:hAnsi="Times New Roman" w:eastAsia="宋体" w:cs="Times New Roman"/>
          <w:color w:val="auto"/>
          <w:highlight w:val="none"/>
        </w:rPr>
      </w:pPr>
    </w:p>
    <w:p w14:paraId="1415F794">
      <w:pPr>
        <w:keepNext w:val="0"/>
        <w:keepLines w:val="0"/>
        <w:pageBreakBefore w:val="0"/>
        <w:kinsoku/>
        <w:wordWrap w:val="0"/>
        <w:overflowPunct/>
        <w:bidi w:val="0"/>
        <w:jc w:val="center"/>
        <w:rPr>
          <w:rFonts w:hint="default" w:ascii="Times New Roman" w:hAnsi="Times New Roman" w:eastAsia="宋体" w:cs="Times New Roman"/>
          <w:b/>
          <w:bCs/>
          <w:color w:val="auto"/>
          <w:sz w:val="36"/>
          <w:szCs w:val="36"/>
          <w:highlight w:val="none"/>
          <w:lang w:eastAsia="zh-CN"/>
        </w:rPr>
      </w:pPr>
    </w:p>
    <w:p w14:paraId="56105E3D">
      <w:pPr>
        <w:keepNext w:val="0"/>
        <w:keepLines w:val="0"/>
        <w:pageBreakBefore w:val="0"/>
        <w:kinsoku/>
        <w:wordWrap w:val="0"/>
        <w:overflowPunct/>
        <w:bidi w:val="0"/>
        <w:jc w:val="center"/>
        <w:rPr>
          <w:rFonts w:hint="default" w:ascii="Times New Roman" w:hAnsi="Times New Roman" w:eastAsia="宋体" w:cs="Times New Roman"/>
          <w:b/>
          <w:bCs/>
          <w:color w:val="auto"/>
          <w:sz w:val="72"/>
          <w:szCs w:val="72"/>
          <w:highlight w:val="none"/>
        </w:rPr>
      </w:pPr>
      <w:r>
        <w:rPr>
          <w:rFonts w:hint="default" w:ascii="Times New Roman" w:hAnsi="Times New Roman" w:eastAsia="宋体" w:cs="Times New Roman"/>
          <w:b/>
          <w:bCs/>
          <w:color w:val="auto"/>
          <w:sz w:val="72"/>
          <w:szCs w:val="72"/>
          <w:highlight w:val="none"/>
        </w:rPr>
        <w:t>电磁环境影响专</w:t>
      </w:r>
      <w:r>
        <w:rPr>
          <w:rFonts w:hint="default" w:ascii="Times New Roman" w:hAnsi="Times New Roman" w:eastAsia="宋体" w:cs="Times New Roman"/>
          <w:b/>
          <w:bCs/>
          <w:color w:val="auto"/>
          <w:sz w:val="72"/>
          <w:szCs w:val="72"/>
          <w:highlight w:val="none"/>
          <w:lang w:eastAsia="zh-CN"/>
        </w:rPr>
        <w:t>项</w:t>
      </w:r>
      <w:r>
        <w:rPr>
          <w:rFonts w:hint="default" w:ascii="Times New Roman" w:hAnsi="Times New Roman" w:eastAsia="宋体" w:cs="Times New Roman"/>
          <w:b/>
          <w:bCs/>
          <w:color w:val="auto"/>
          <w:sz w:val="72"/>
          <w:szCs w:val="72"/>
          <w:highlight w:val="none"/>
        </w:rPr>
        <w:t>评价</w:t>
      </w:r>
    </w:p>
    <w:p w14:paraId="6E3F0C44">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2A7FB059">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58C43D01">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3B31B94D">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53871EE7">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00C7D3EF">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lang w:eastAsia="zh-CN"/>
        </w:rPr>
      </w:pPr>
    </w:p>
    <w:p w14:paraId="083345E9">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68729406">
      <w:pPr>
        <w:pStyle w:val="36"/>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0E98EB2A">
      <w:pPr>
        <w:pStyle w:val="43"/>
        <w:keepNext w:val="0"/>
        <w:keepLines w:val="0"/>
        <w:pageBreakBefore w:val="0"/>
        <w:kinsoku/>
        <w:wordWrap w:val="0"/>
        <w:overflowPunct/>
        <w:bidi w:val="0"/>
        <w:rPr>
          <w:rFonts w:hint="default" w:ascii="Times New Roman" w:hAnsi="Times New Roman" w:eastAsia="宋体" w:cs="Times New Roman"/>
          <w:color w:val="auto"/>
          <w:sz w:val="36"/>
          <w:szCs w:val="36"/>
          <w:highlight w:val="none"/>
          <w:lang w:eastAsia="zh-CN"/>
        </w:rPr>
      </w:pPr>
    </w:p>
    <w:p w14:paraId="26D81D95">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1F98D034">
      <w:pPr>
        <w:pStyle w:val="36"/>
        <w:keepNext w:val="0"/>
        <w:keepLines w:val="0"/>
        <w:pageBreakBefore w:val="0"/>
        <w:kinsoku/>
        <w:wordWrap w:val="0"/>
        <w:overflowPunct/>
        <w:bidi w:val="0"/>
        <w:rPr>
          <w:rFonts w:hint="default" w:ascii="Times New Roman" w:hAnsi="Times New Roman" w:eastAsia="宋体" w:cs="Times New Roman"/>
          <w:color w:val="auto"/>
          <w:highlight w:val="none"/>
        </w:rPr>
      </w:pPr>
    </w:p>
    <w:p w14:paraId="52FE4774">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1C93218F">
      <w:pPr>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3CA94626">
      <w:pPr>
        <w:pStyle w:val="36"/>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14AF59F9">
      <w:pPr>
        <w:pStyle w:val="36"/>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7230A1D5">
      <w:pPr>
        <w:pStyle w:val="36"/>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5097F839">
      <w:pPr>
        <w:pStyle w:val="36"/>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4D61A3EA">
      <w:pPr>
        <w:pStyle w:val="36"/>
        <w:keepNext w:val="0"/>
        <w:keepLines w:val="0"/>
        <w:pageBreakBefore w:val="0"/>
        <w:kinsoku/>
        <w:wordWrap w:val="0"/>
        <w:overflowPunct/>
        <w:bidi w:val="0"/>
        <w:rPr>
          <w:rFonts w:hint="default" w:ascii="Times New Roman" w:hAnsi="Times New Roman" w:eastAsia="宋体" w:cs="Times New Roman"/>
          <w:color w:val="auto"/>
          <w:sz w:val="36"/>
          <w:szCs w:val="36"/>
          <w:highlight w:val="none"/>
        </w:rPr>
      </w:pPr>
    </w:p>
    <w:p w14:paraId="6FDA45EF">
      <w:pPr>
        <w:keepNext w:val="0"/>
        <w:keepLines w:val="0"/>
        <w:pageBreakBefore w:val="0"/>
        <w:kinsoku/>
        <w:wordWrap w:val="0"/>
        <w:overflowPunct/>
        <w:bidi w:val="0"/>
        <w:spacing w:line="360" w:lineRule="auto"/>
        <w:rPr>
          <w:rFonts w:hint="default" w:ascii="Times New Roman" w:hAnsi="Times New Roman" w:eastAsia="宋体" w:cs="Times New Roman"/>
          <w:b/>
          <w:color w:val="auto"/>
          <w:sz w:val="21"/>
          <w:szCs w:val="21"/>
          <w:highlight w:val="none"/>
        </w:rPr>
      </w:pPr>
    </w:p>
    <w:p w14:paraId="125816C5">
      <w:pPr>
        <w:keepNext w:val="0"/>
        <w:keepLines w:val="0"/>
        <w:pageBreakBefore w:val="0"/>
        <w:kinsoku/>
        <w:wordWrap w:val="0"/>
        <w:overflowPunct/>
        <w:bidi w:val="0"/>
        <w:spacing w:line="360" w:lineRule="auto"/>
        <w:rPr>
          <w:rFonts w:hint="default" w:ascii="Times New Roman" w:hAnsi="Times New Roman" w:eastAsia="宋体" w:cs="Times New Roman"/>
          <w:b/>
          <w:color w:val="auto"/>
          <w:sz w:val="21"/>
          <w:szCs w:val="21"/>
          <w:highlight w:val="none"/>
        </w:rPr>
      </w:pPr>
    </w:p>
    <w:p w14:paraId="4EDB777C">
      <w:pPr>
        <w:keepNext w:val="0"/>
        <w:keepLines w:val="0"/>
        <w:pageBreakBefore w:val="0"/>
        <w:kinsoku/>
        <w:wordWrap w:val="0"/>
        <w:overflowPunct/>
        <w:bidi w:val="0"/>
        <w:spacing w:line="360" w:lineRule="auto"/>
        <w:jc w:val="center"/>
        <w:rPr>
          <w:rFonts w:hint="default" w:ascii="Times New Roman" w:hAnsi="Times New Roman" w:eastAsia="宋体" w:cs="Times New Roman"/>
          <w:b/>
          <w:color w:val="auto"/>
          <w:sz w:val="36"/>
          <w:szCs w:val="36"/>
          <w:highlight w:val="none"/>
          <w:lang w:val="en-US" w:eastAsia="zh-CN"/>
        </w:rPr>
      </w:pPr>
    </w:p>
    <w:p w14:paraId="63F699E5">
      <w:pPr>
        <w:keepNext w:val="0"/>
        <w:keepLines w:val="0"/>
        <w:pageBreakBefore w:val="0"/>
        <w:kinsoku/>
        <w:wordWrap w:val="0"/>
        <w:overflowPunct/>
        <w:bidi w:val="0"/>
        <w:spacing w:line="360" w:lineRule="auto"/>
        <w:jc w:val="center"/>
        <w:rPr>
          <w:rFonts w:hint="default" w:ascii="Times New Roman" w:hAnsi="Times New Roman" w:eastAsia="宋体" w:cs="Times New Roman"/>
          <w:b/>
          <w:color w:val="auto"/>
          <w:sz w:val="36"/>
          <w:szCs w:val="36"/>
          <w:highlight w:val="none"/>
          <w:lang w:val="en-US" w:eastAsia="zh-CN"/>
        </w:rPr>
      </w:pPr>
      <w:r>
        <w:rPr>
          <w:rFonts w:hint="default" w:ascii="Times New Roman" w:hAnsi="Times New Roman" w:eastAsia="宋体" w:cs="Times New Roman"/>
          <w:b/>
          <w:color w:val="auto"/>
          <w:sz w:val="36"/>
          <w:szCs w:val="36"/>
          <w:highlight w:val="none"/>
        </w:rPr>
        <w:t>二</w:t>
      </w:r>
      <w:r>
        <w:rPr>
          <w:rFonts w:hint="default" w:ascii="Times New Roman" w:hAnsi="Times New Roman" w:eastAsia="宋体" w:cs="Times New Roman"/>
          <w:b/>
          <w:color w:val="auto"/>
          <w:sz w:val="36"/>
          <w:szCs w:val="36"/>
          <w:highlight w:val="none"/>
          <w:lang w:val="en-US" w:eastAsia="zh-CN"/>
        </w:rPr>
        <w:t>〇</w:t>
      </w:r>
      <w:r>
        <w:rPr>
          <w:rFonts w:hint="default" w:ascii="Times New Roman" w:hAnsi="Times New Roman" w:eastAsia="宋体" w:cs="Times New Roman"/>
          <w:b/>
          <w:color w:val="auto"/>
          <w:sz w:val="36"/>
          <w:szCs w:val="36"/>
          <w:highlight w:val="none"/>
        </w:rPr>
        <w:t>二</w:t>
      </w:r>
      <w:r>
        <w:rPr>
          <w:rFonts w:hint="eastAsia" w:ascii="Times New Roman" w:hAnsi="Times New Roman" w:eastAsia="宋体" w:cs="Times New Roman"/>
          <w:b/>
          <w:color w:val="auto"/>
          <w:sz w:val="36"/>
          <w:szCs w:val="36"/>
          <w:highlight w:val="none"/>
          <w:lang w:val="en-US" w:eastAsia="zh-CN"/>
        </w:rPr>
        <w:t>六</w:t>
      </w:r>
      <w:r>
        <w:rPr>
          <w:rFonts w:hint="default" w:ascii="Times New Roman" w:hAnsi="Times New Roman" w:eastAsia="宋体" w:cs="Times New Roman"/>
          <w:b/>
          <w:color w:val="auto"/>
          <w:sz w:val="36"/>
          <w:szCs w:val="36"/>
          <w:highlight w:val="none"/>
        </w:rPr>
        <w:t>年</w:t>
      </w:r>
      <w:r>
        <w:rPr>
          <w:rFonts w:hint="eastAsia" w:ascii="Times New Roman" w:hAnsi="Times New Roman" w:eastAsia="宋体" w:cs="Times New Roman"/>
          <w:b/>
          <w:color w:val="auto"/>
          <w:sz w:val="36"/>
          <w:szCs w:val="36"/>
          <w:highlight w:val="none"/>
          <w:lang w:val="en-US" w:eastAsia="zh-CN"/>
        </w:rPr>
        <w:t>三</w:t>
      </w:r>
      <w:r>
        <w:rPr>
          <w:rFonts w:hint="default" w:ascii="Times New Roman" w:hAnsi="Times New Roman" w:eastAsia="宋体" w:cs="Times New Roman"/>
          <w:b/>
          <w:color w:val="auto"/>
          <w:sz w:val="36"/>
          <w:szCs w:val="36"/>
          <w:highlight w:val="none"/>
        </w:rPr>
        <w:t>月</w:t>
      </w:r>
    </w:p>
    <w:p w14:paraId="39413A52">
      <w:pPr>
        <w:keepNext w:val="0"/>
        <w:keepLines w:val="0"/>
        <w:pageBreakBefore w:val="0"/>
        <w:kinsoku/>
        <w:wordWrap w:val="0"/>
        <w:overflowPunct/>
        <w:bidi w:val="0"/>
        <w:spacing w:line="360" w:lineRule="auto"/>
        <w:rPr>
          <w:rFonts w:hint="default" w:ascii="Times New Roman" w:hAnsi="Times New Roman" w:eastAsia="宋体" w:cs="Times New Roman"/>
          <w:b/>
          <w:color w:val="auto"/>
          <w:sz w:val="21"/>
          <w:szCs w:val="21"/>
          <w:highlight w:val="none"/>
        </w:rPr>
      </w:pPr>
    </w:p>
    <w:p w14:paraId="762576F2">
      <w:pPr>
        <w:keepNext w:val="0"/>
        <w:keepLines w:val="0"/>
        <w:pageBreakBefore w:val="0"/>
        <w:kinsoku/>
        <w:wordWrap w:val="0"/>
        <w:overflowPunct/>
        <w:bidi w:val="0"/>
        <w:spacing w:line="360" w:lineRule="auto"/>
        <w:rPr>
          <w:rFonts w:hint="default" w:ascii="Times New Roman" w:hAnsi="Times New Roman" w:eastAsia="宋体" w:cs="Times New Roman"/>
          <w:b/>
          <w:color w:val="auto"/>
          <w:sz w:val="21"/>
          <w:szCs w:val="21"/>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387005F">
      <w:pPr>
        <w:keepNext w:val="0"/>
        <w:keepLines w:val="0"/>
        <w:pageBreakBefore w:val="0"/>
        <w:kinsoku/>
        <w:wordWrap w:val="0"/>
        <w:overflowPunct/>
        <w:bidi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 总则</w:t>
      </w:r>
    </w:p>
    <w:p w14:paraId="5EF358C8">
      <w:pPr>
        <w:keepNext w:val="0"/>
        <w:keepLines w:val="0"/>
        <w:pageBreakBefore w:val="0"/>
        <w:kinsoku/>
        <w:wordWrap w:val="0"/>
        <w:overflowPunct/>
        <w:bidi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1.1 编制依据 </w:t>
      </w:r>
    </w:p>
    <w:p w14:paraId="7B6F385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（1）《中华人民共和国环境保护法》（修订本）2015年1月1日起施行；</w:t>
      </w:r>
    </w:p>
    <w:p w14:paraId="168AE5AD">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（2）《中华人民共和国环境影响评价法》20</w:t>
      </w:r>
      <w:r>
        <w:rPr>
          <w:rFonts w:hint="default"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日起施行；</w:t>
      </w:r>
    </w:p>
    <w:p w14:paraId="166EEC81">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《电磁环境控制限值》（GB8702-2014）</w:t>
      </w:r>
      <w:r>
        <w:rPr>
          <w:rFonts w:hint="default" w:ascii="Times New Roman" w:hAnsi="Times New Roman" w:eastAsia="宋体" w:cs="Times New Roman"/>
          <w:color w:val="auto"/>
          <w:sz w:val="24"/>
          <w:szCs w:val="24"/>
          <w:highlight w:val="none"/>
          <w:lang w:eastAsia="zh-CN"/>
        </w:rPr>
        <w:t>；</w:t>
      </w:r>
    </w:p>
    <w:p w14:paraId="33A582C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）《建设项目环境影响评价分类管理名录》20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日起施行。</w:t>
      </w:r>
    </w:p>
    <w:p w14:paraId="6AA7E434">
      <w:pPr>
        <w:keepNext w:val="0"/>
        <w:keepLines w:val="0"/>
        <w:pageBreakBefore w:val="0"/>
        <w:kinsoku/>
        <w:wordWrap w:val="0"/>
        <w:overflowPunct/>
        <w:autoSpaceDN w:val="0"/>
        <w:bidi w:val="0"/>
        <w:spacing w:line="360" w:lineRule="auto"/>
        <w:rPr>
          <w:rFonts w:hint="default" w:ascii="Times New Roman" w:hAnsi="Times New Roman" w:eastAsia="宋体" w:cs="Times New Roman"/>
          <w:b/>
          <w:color w:val="auto"/>
          <w:spacing w:val="-6"/>
          <w:sz w:val="24"/>
          <w:szCs w:val="24"/>
          <w:highlight w:val="none"/>
        </w:rPr>
      </w:pPr>
      <w:r>
        <w:rPr>
          <w:rFonts w:hint="default" w:ascii="Times New Roman" w:hAnsi="Times New Roman" w:eastAsia="宋体" w:cs="Times New Roman"/>
          <w:b/>
          <w:color w:val="auto"/>
          <w:spacing w:val="-6"/>
          <w:sz w:val="24"/>
          <w:szCs w:val="24"/>
          <w:highlight w:val="none"/>
        </w:rPr>
        <w:t>1.2 技术规程、评价标准和导则</w:t>
      </w:r>
    </w:p>
    <w:p w14:paraId="784DAD74">
      <w:pPr>
        <w:keepNext w:val="0"/>
        <w:keepLines w:val="0"/>
        <w:pageBreakBefore w:val="0"/>
        <w:kinsoku/>
        <w:wordWrap w:val="0"/>
        <w:overflowPunct/>
        <w:bidi w:val="0"/>
        <w:spacing w:line="360" w:lineRule="auto"/>
        <w:ind w:firstLine="468" w:firstLineChars="200"/>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rPr>
        <w:t>（1）《</w:t>
      </w:r>
      <w:r>
        <w:rPr>
          <w:rFonts w:hint="default" w:ascii="Times New Roman" w:hAnsi="Times New Roman" w:eastAsia="宋体" w:cs="Times New Roman"/>
          <w:color w:val="auto"/>
          <w:spacing w:val="-3"/>
          <w:sz w:val="24"/>
          <w:szCs w:val="24"/>
          <w:highlight w:val="none"/>
          <w:lang w:val="en-US" w:eastAsia="zh-CN"/>
        </w:rPr>
        <w:t>11</w:t>
      </w:r>
      <w:r>
        <w:rPr>
          <w:rFonts w:hint="default" w:ascii="Times New Roman" w:hAnsi="Times New Roman" w:eastAsia="宋体" w:cs="Times New Roman"/>
          <w:color w:val="auto"/>
          <w:spacing w:val="-3"/>
          <w:sz w:val="24"/>
          <w:szCs w:val="24"/>
          <w:highlight w:val="none"/>
          <w:lang w:eastAsia="zh-CN"/>
        </w:rPr>
        <w:t>0kV</w:t>
      </w:r>
      <w:r>
        <w:rPr>
          <w:rFonts w:hint="default" w:ascii="Times New Roman" w:hAnsi="Times New Roman" w:eastAsia="宋体" w:cs="Times New Roman"/>
          <w:color w:val="auto"/>
          <w:spacing w:val="-3"/>
          <w:sz w:val="24"/>
          <w:szCs w:val="24"/>
          <w:highlight w:val="none"/>
        </w:rPr>
        <w:t>～750</w:t>
      </w:r>
      <w:r>
        <w:rPr>
          <w:rFonts w:hint="default" w:ascii="Times New Roman" w:hAnsi="Times New Roman" w:eastAsia="宋体" w:cs="Times New Roman"/>
          <w:color w:val="auto"/>
          <w:spacing w:val="-3"/>
          <w:sz w:val="24"/>
          <w:szCs w:val="24"/>
          <w:highlight w:val="none"/>
          <w:lang w:eastAsia="zh-CN"/>
        </w:rPr>
        <w:t>kV</w:t>
      </w:r>
      <w:r>
        <w:rPr>
          <w:rFonts w:hint="default" w:ascii="Times New Roman" w:hAnsi="Times New Roman" w:eastAsia="宋体" w:cs="Times New Roman"/>
          <w:color w:val="auto"/>
          <w:spacing w:val="-3"/>
          <w:sz w:val="24"/>
          <w:szCs w:val="24"/>
          <w:highlight w:val="none"/>
        </w:rPr>
        <w:t>架空输电线路设计技术规定》（GB50545-2010）</w:t>
      </w:r>
      <w:r>
        <w:rPr>
          <w:rFonts w:hint="default" w:ascii="Times New Roman" w:hAnsi="Times New Roman" w:eastAsia="宋体" w:cs="Times New Roman"/>
          <w:color w:val="auto"/>
          <w:sz w:val="24"/>
          <w:szCs w:val="24"/>
          <w:highlight w:val="none"/>
        </w:rPr>
        <w:t>；</w:t>
      </w:r>
    </w:p>
    <w:p w14:paraId="5A82CB63">
      <w:pPr>
        <w:keepNext w:val="0"/>
        <w:keepLines w:val="0"/>
        <w:pageBreakBefore w:val="0"/>
        <w:kinsoku/>
        <w:wordWrap w:val="0"/>
        <w:overflowPunct/>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（2）《交流</w:t>
      </w:r>
      <w:r>
        <w:rPr>
          <w:rFonts w:hint="default" w:ascii="Times New Roman" w:hAnsi="Times New Roman" w:eastAsia="宋体" w:cs="Times New Roman"/>
          <w:color w:val="auto"/>
          <w:sz w:val="24"/>
          <w:szCs w:val="24"/>
          <w:highlight w:val="none"/>
          <w:lang w:eastAsia="zh-CN"/>
        </w:rPr>
        <w:t>输变电工程</w:t>
      </w:r>
      <w:r>
        <w:rPr>
          <w:rFonts w:hint="default" w:ascii="Times New Roman" w:hAnsi="Times New Roman" w:eastAsia="宋体" w:cs="Times New Roman"/>
          <w:color w:val="auto"/>
          <w:sz w:val="24"/>
          <w:szCs w:val="24"/>
          <w:highlight w:val="none"/>
        </w:rPr>
        <w:t>电磁环境监测方法（试行）》（HJ681-2013）；</w:t>
      </w:r>
    </w:p>
    <w:p w14:paraId="6EE5B8E8">
      <w:pPr>
        <w:keepNext w:val="0"/>
        <w:keepLines w:val="0"/>
        <w:pageBreakBefore w:val="0"/>
        <w:kinsoku/>
        <w:wordWrap w:val="0"/>
        <w:overflowPunct/>
        <w:autoSpaceDN w:val="0"/>
        <w:bidi w:val="0"/>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 xml:space="preserve">（3）《环境影响评价技术导则 </w:t>
      </w:r>
      <w:r>
        <w:rPr>
          <w:rFonts w:hint="default" w:ascii="Times New Roman" w:hAnsi="Times New Roman" w:eastAsia="宋体" w:cs="Times New Roman"/>
          <w:color w:val="auto"/>
          <w:sz w:val="24"/>
          <w:szCs w:val="24"/>
          <w:highlight w:val="none"/>
          <w:lang w:eastAsia="zh-CN"/>
        </w:rPr>
        <w:t>输变电</w:t>
      </w:r>
      <w:r>
        <w:rPr>
          <w:rFonts w:hint="default" w:ascii="Times New Roman" w:hAnsi="Times New Roman" w:eastAsia="宋体" w:cs="Times New Roman"/>
          <w:color w:val="auto"/>
          <w:sz w:val="24"/>
          <w:szCs w:val="24"/>
          <w:highlight w:val="none"/>
        </w:rPr>
        <w:t>》（HJ24-20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14:paraId="7E50D44A">
      <w:pPr>
        <w:keepNext w:val="0"/>
        <w:keepLines w:val="0"/>
        <w:pageBreakBefore w:val="0"/>
        <w:widowControl w:val="0"/>
        <w:suppressLineNumbers w:val="0"/>
        <w:kinsoku/>
        <w:wordWrap w:val="0"/>
        <w:overflowPunct/>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（4）《输变电建设项目环境保护技术要求》（HJ1113-2020）。</w:t>
      </w:r>
    </w:p>
    <w:p w14:paraId="20492979">
      <w:pPr>
        <w:keepNext w:val="0"/>
        <w:keepLines w:val="0"/>
        <w:pageBreakBefore w:val="0"/>
        <w:kinsoku/>
        <w:wordWrap w:val="0"/>
        <w:overflowPunct/>
        <w:bidi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1.3 评价等级、因子、评价范围</w:t>
      </w:r>
    </w:p>
    <w:p w14:paraId="392925A5">
      <w:pPr>
        <w:keepNext w:val="0"/>
        <w:keepLines w:val="0"/>
        <w:pageBreakBefore w:val="0"/>
        <w:kinsoku/>
        <w:wordWrap w:val="0"/>
        <w:overflowPunct/>
        <w:bidi w:val="0"/>
        <w:spacing w:line="240" w:lineRule="auto"/>
        <w:ind w:firstLine="422" w:firstLineChars="20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1.</w:t>
      </w:r>
      <w:r>
        <w:rPr>
          <w:rFonts w:hint="eastAsia" w:ascii="Times New Roman" w:hAnsi="Times New Roman" w:eastAsia="宋体" w:cs="Times New Roman"/>
          <w:b/>
          <w:bCs w:val="0"/>
          <w:color w:val="auto"/>
          <w:sz w:val="21"/>
          <w:szCs w:val="21"/>
          <w:highlight w:val="none"/>
          <w:lang w:val="en-US" w:eastAsia="zh-CN"/>
        </w:rPr>
        <w:t>3-1</w:t>
      </w:r>
      <w:r>
        <w:rPr>
          <w:rFonts w:hint="default" w:ascii="Times New Roman" w:hAnsi="Times New Roman" w:eastAsia="宋体" w:cs="Times New Roman"/>
          <w:b/>
          <w:bCs w:val="0"/>
          <w:color w:val="auto"/>
          <w:sz w:val="21"/>
          <w:szCs w:val="21"/>
          <w:highlight w:val="none"/>
        </w:rPr>
        <w:t xml:space="preserve">  评价等级</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4"/>
        <w:gridCol w:w="1635"/>
        <w:gridCol w:w="1018"/>
        <w:gridCol w:w="3773"/>
        <w:gridCol w:w="1557"/>
      </w:tblGrid>
      <w:tr w14:paraId="30517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4" w:type="dxa"/>
            <w:tcBorders>
              <w:tl2br w:val="nil"/>
              <w:tr2bl w:val="nil"/>
            </w:tcBorders>
            <w:noWrap w:val="0"/>
            <w:vAlign w:val="center"/>
          </w:tcPr>
          <w:p w14:paraId="24A49981">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分类</w:t>
            </w:r>
          </w:p>
        </w:tc>
        <w:tc>
          <w:tcPr>
            <w:tcW w:w="1635" w:type="dxa"/>
            <w:tcBorders>
              <w:tl2br w:val="nil"/>
              <w:tr2bl w:val="nil"/>
            </w:tcBorders>
            <w:noWrap w:val="0"/>
            <w:vAlign w:val="center"/>
          </w:tcPr>
          <w:p w14:paraId="117A59B3">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电压等级</w:t>
            </w:r>
          </w:p>
        </w:tc>
        <w:tc>
          <w:tcPr>
            <w:tcW w:w="1018" w:type="dxa"/>
            <w:tcBorders>
              <w:tl2br w:val="nil"/>
              <w:tr2bl w:val="nil"/>
            </w:tcBorders>
            <w:noWrap w:val="0"/>
            <w:vAlign w:val="center"/>
          </w:tcPr>
          <w:p w14:paraId="271F242C">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工程</w:t>
            </w:r>
          </w:p>
        </w:tc>
        <w:tc>
          <w:tcPr>
            <w:tcW w:w="3773" w:type="dxa"/>
            <w:tcBorders>
              <w:tl2br w:val="nil"/>
              <w:tr2bl w:val="nil"/>
            </w:tcBorders>
            <w:noWrap w:val="0"/>
            <w:vAlign w:val="center"/>
          </w:tcPr>
          <w:p w14:paraId="35083264">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条件</w:t>
            </w:r>
          </w:p>
        </w:tc>
        <w:tc>
          <w:tcPr>
            <w:tcW w:w="1557" w:type="dxa"/>
            <w:tcBorders>
              <w:tl2br w:val="nil"/>
              <w:tr2bl w:val="nil"/>
            </w:tcBorders>
            <w:noWrap w:val="0"/>
            <w:vAlign w:val="center"/>
          </w:tcPr>
          <w:p w14:paraId="0326E31B">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评价工作等级</w:t>
            </w:r>
          </w:p>
        </w:tc>
      </w:tr>
      <w:tr w14:paraId="0FD23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4" w:type="dxa"/>
            <w:vMerge w:val="restart"/>
            <w:tcBorders>
              <w:tl2br w:val="nil"/>
              <w:tr2bl w:val="nil"/>
            </w:tcBorders>
            <w:noWrap w:val="0"/>
            <w:vAlign w:val="center"/>
          </w:tcPr>
          <w:p w14:paraId="65FF636B">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交流</w:t>
            </w:r>
          </w:p>
        </w:tc>
        <w:tc>
          <w:tcPr>
            <w:tcW w:w="1635" w:type="dxa"/>
            <w:vMerge w:val="restart"/>
            <w:tcBorders>
              <w:tl2br w:val="nil"/>
              <w:tr2bl w:val="nil"/>
            </w:tcBorders>
            <w:noWrap w:val="0"/>
            <w:vAlign w:val="center"/>
          </w:tcPr>
          <w:p w14:paraId="6A3AEE13">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220kV</w:t>
            </w:r>
          </w:p>
        </w:tc>
        <w:tc>
          <w:tcPr>
            <w:tcW w:w="1018" w:type="dxa"/>
            <w:vMerge w:val="restart"/>
            <w:tcBorders>
              <w:tl2br w:val="nil"/>
              <w:tr2bl w:val="nil"/>
            </w:tcBorders>
            <w:noWrap w:val="0"/>
            <w:vAlign w:val="center"/>
          </w:tcPr>
          <w:p w14:paraId="6FD8753C">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rPr>
              <w:t>输电线路</w:t>
            </w:r>
          </w:p>
        </w:tc>
        <w:tc>
          <w:tcPr>
            <w:tcW w:w="3773" w:type="dxa"/>
            <w:tcBorders>
              <w:tl2br w:val="nil"/>
              <w:tr2bl w:val="nil"/>
            </w:tcBorders>
            <w:noWrap w:val="0"/>
            <w:vAlign w:val="center"/>
          </w:tcPr>
          <w:p w14:paraId="5D160F48">
            <w:pPr>
              <w:keepNext w:val="0"/>
              <w:keepLines w:val="0"/>
              <w:pageBreakBefore w:val="0"/>
              <w:suppressLineNumbers w:val="0"/>
              <w:kinsoku/>
              <w:wordWrap w:val="0"/>
              <w:overflowPunct/>
              <w:bidi w:val="0"/>
              <w:spacing w:before="0" w:beforeAutospacing="0" w:after="0" w:afterAutospacing="0" w:line="240" w:lineRule="auto"/>
              <w:ind w:left="0" w:right="0"/>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b w:val="0"/>
                <w:bCs w:val="0"/>
                <w:color w:val="auto"/>
                <w:spacing w:val="6"/>
                <w:sz w:val="21"/>
                <w:szCs w:val="21"/>
                <w:highlight w:val="none"/>
                <w:lang w:val="en-US" w:eastAsia="zh-CN"/>
              </w:rPr>
              <w:t>1、</w:t>
            </w:r>
            <w:r>
              <w:rPr>
                <w:rFonts w:hint="default" w:ascii="Times New Roman" w:hAnsi="Times New Roman" w:eastAsia="宋体" w:cs="Times New Roman"/>
                <w:b w:val="0"/>
                <w:bCs w:val="0"/>
                <w:color w:val="auto"/>
                <w:spacing w:val="6"/>
                <w:sz w:val="21"/>
                <w:szCs w:val="21"/>
                <w:highlight w:val="none"/>
              </w:rPr>
              <w:t>地下电缆</w:t>
            </w:r>
          </w:p>
          <w:p w14:paraId="243B9E8E">
            <w:pPr>
              <w:keepNext w:val="0"/>
              <w:keepLines w:val="0"/>
              <w:pageBreakBefore w:val="0"/>
              <w:suppressLineNumbers w:val="0"/>
              <w:kinsoku/>
              <w:wordWrap w:val="0"/>
              <w:overflowPunct/>
              <w:bidi w:val="0"/>
              <w:spacing w:before="0" w:beforeAutospacing="0" w:after="0" w:afterAutospacing="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2、</w:t>
            </w:r>
            <w:r>
              <w:rPr>
                <w:rFonts w:hint="default" w:ascii="Times New Roman" w:hAnsi="Times New Roman" w:eastAsia="宋体" w:cs="Times New Roman"/>
                <w:b w:val="0"/>
                <w:bCs w:val="0"/>
                <w:color w:val="auto"/>
                <w:spacing w:val="6"/>
                <w:sz w:val="21"/>
                <w:szCs w:val="21"/>
                <w:highlight w:val="none"/>
              </w:rPr>
              <w:t>边导线地面投影外两侧各1</w:t>
            </w:r>
            <w:r>
              <w:rPr>
                <w:rFonts w:hint="default" w:ascii="Times New Roman" w:hAnsi="Times New Roman" w:eastAsia="宋体" w:cs="Times New Roman"/>
                <w:b w:val="0"/>
                <w:bCs w:val="0"/>
                <w:color w:val="auto"/>
                <w:spacing w:val="6"/>
                <w:sz w:val="21"/>
                <w:szCs w:val="21"/>
                <w:highlight w:val="none"/>
                <w:lang w:val="en-US" w:eastAsia="zh-CN"/>
              </w:rPr>
              <w:t>5</w:t>
            </w:r>
            <w:r>
              <w:rPr>
                <w:rFonts w:hint="default" w:ascii="Times New Roman" w:hAnsi="Times New Roman" w:eastAsia="宋体" w:cs="Times New Roman"/>
                <w:b w:val="0"/>
                <w:bCs w:val="0"/>
                <w:color w:val="auto"/>
                <w:spacing w:val="6"/>
                <w:sz w:val="21"/>
                <w:szCs w:val="21"/>
                <w:highlight w:val="none"/>
              </w:rPr>
              <w:t>m范围内无电磁环境敏感目标的架空线</w:t>
            </w:r>
            <w:r>
              <w:rPr>
                <w:rFonts w:hint="default" w:ascii="Times New Roman" w:hAnsi="Times New Roman" w:eastAsia="宋体" w:cs="Times New Roman"/>
                <w:b w:val="0"/>
                <w:bCs w:val="0"/>
                <w:color w:val="auto"/>
                <w:spacing w:val="6"/>
                <w:sz w:val="21"/>
                <w:szCs w:val="21"/>
                <w:highlight w:val="none"/>
                <w:lang w:eastAsia="zh-CN"/>
              </w:rPr>
              <w:t>。</w:t>
            </w:r>
          </w:p>
        </w:tc>
        <w:tc>
          <w:tcPr>
            <w:tcW w:w="1557" w:type="dxa"/>
            <w:tcBorders>
              <w:tl2br w:val="nil"/>
              <w:tr2bl w:val="nil"/>
            </w:tcBorders>
            <w:noWrap w:val="0"/>
            <w:vAlign w:val="center"/>
          </w:tcPr>
          <w:p w14:paraId="566877CD">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三级</w:t>
            </w:r>
          </w:p>
        </w:tc>
      </w:tr>
      <w:tr w14:paraId="2C3FF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4" w:type="dxa"/>
            <w:vMerge w:val="continue"/>
            <w:tcBorders>
              <w:tl2br w:val="nil"/>
              <w:tr2bl w:val="nil"/>
            </w:tcBorders>
            <w:noWrap w:val="0"/>
            <w:vAlign w:val="center"/>
          </w:tcPr>
          <w:p w14:paraId="4B790597">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635" w:type="dxa"/>
            <w:vMerge w:val="continue"/>
            <w:tcBorders>
              <w:tl2br w:val="nil"/>
              <w:tr2bl w:val="nil"/>
            </w:tcBorders>
            <w:noWrap w:val="0"/>
            <w:vAlign w:val="center"/>
          </w:tcPr>
          <w:p w14:paraId="5589FFD7">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018" w:type="dxa"/>
            <w:vMerge w:val="continue"/>
            <w:tcBorders>
              <w:tl2br w:val="nil"/>
              <w:tr2bl w:val="nil"/>
            </w:tcBorders>
            <w:noWrap w:val="0"/>
            <w:vAlign w:val="center"/>
          </w:tcPr>
          <w:p w14:paraId="45D0BA22">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3773" w:type="dxa"/>
            <w:tcBorders>
              <w:tl2br w:val="nil"/>
              <w:tr2bl w:val="nil"/>
            </w:tcBorders>
            <w:noWrap w:val="0"/>
            <w:vAlign w:val="center"/>
          </w:tcPr>
          <w:p w14:paraId="38087716">
            <w:pPr>
              <w:keepNext w:val="0"/>
              <w:keepLines w:val="0"/>
              <w:pageBreakBefore w:val="0"/>
              <w:suppressLineNumbers w:val="0"/>
              <w:kinsoku/>
              <w:wordWrap w:val="0"/>
              <w:overflowPunct/>
              <w:bidi w:val="0"/>
              <w:spacing w:before="0" w:beforeAutospacing="0" w:after="0" w:afterAutospacing="0" w:line="240" w:lineRule="auto"/>
              <w:ind w:left="0" w:right="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rPr>
              <w:t>边导线地面投影外两侧各1</w:t>
            </w:r>
            <w:r>
              <w:rPr>
                <w:rFonts w:hint="default" w:ascii="Times New Roman" w:hAnsi="Times New Roman" w:eastAsia="宋体" w:cs="Times New Roman"/>
                <w:b w:val="0"/>
                <w:bCs w:val="0"/>
                <w:color w:val="auto"/>
                <w:spacing w:val="6"/>
                <w:sz w:val="21"/>
                <w:szCs w:val="21"/>
                <w:highlight w:val="none"/>
                <w:lang w:val="en-US" w:eastAsia="zh-CN"/>
              </w:rPr>
              <w:t>5</w:t>
            </w:r>
            <w:r>
              <w:rPr>
                <w:rFonts w:hint="default" w:ascii="Times New Roman" w:hAnsi="Times New Roman" w:eastAsia="宋体" w:cs="Times New Roman"/>
                <w:b w:val="0"/>
                <w:bCs w:val="0"/>
                <w:color w:val="auto"/>
                <w:spacing w:val="6"/>
                <w:sz w:val="21"/>
                <w:szCs w:val="21"/>
                <w:highlight w:val="none"/>
              </w:rPr>
              <w:t>m范围内有电磁环境敏感目标的架空线</w:t>
            </w:r>
            <w:r>
              <w:rPr>
                <w:rFonts w:hint="default" w:ascii="Times New Roman" w:hAnsi="Times New Roman" w:eastAsia="宋体" w:cs="Times New Roman"/>
                <w:b w:val="0"/>
                <w:bCs w:val="0"/>
                <w:color w:val="auto"/>
                <w:spacing w:val="6"/>
                <w:sz w:val="21"/>
                <w:szCs w:val="21"/>
                <w:highlight w:val="none"/>
                <w:lang w:eastAsia="zh-CN"/>
              </w:rPr>
              <w:t>。</w:t>
            </w:r>
          </w:p>
        </w:tc>
        <w:tc>
          <w:tcPr>
            <w:tcW w:w="1557" w:type="dxa"/>
            <w:tcBorders>
              <w:tl2br w:val="nil"/>
              <w:tr2bl w:val="nil"/>
            </w:tcBorders>
            <w:noWrap w:val="0"/>
            <w:vAlign w:val="center"/>
          </w:tcPr>
          <w:p w14:paraId="49DB2F9B">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rPr>
              <w:t>二级</w:t>
            </w:r>
          </w:p>
        </w:tc>
      </w:tr>
      <w:tr w14:paraId="2AEF6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4" w:type="dxa"/>
            <w:vMerge w:val="restart"/>
            <w:tcBorders>
              <w:tl2br w:val="nil"/>
              <w:tr2bl w:val="nil"/>
            </w:tcBorders>
            <w:shd w:val="clear" w:color="auto" w:fill="auto"/>
            <w:noWrap w:val="0"/>
            <w:vAlign w:val="center"/>
          </w:tcPr>
          <w:p w14:paraId="44AC1CAE">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en-US"/>
              </w:rPr>
              <w:t>交流</w:t>
            </w:r>
          </w:p>
        </w:tc>
        <w:tc>
          <w:tcPr>
            <w:tcW w:w="1635" w:type="dxa"/>
            <w:vMerge w:val="restart"/>
            <w:tcBorders>
              <w:tl2br w:val="nil"/>
              <w:tr2bl w:val="nil"/>
            </w:tcBorders>
            <w:shd w:val="clear" w:color="auto" w:fill="auto"/>
            <w:noWrap w:val="0"/>
            <w:vAlign w:val="center"/>
          </w:tcPr>
          <w:p w14:paraId="30CFD10F">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eastAsia="en-US"/>
              </w:rPr>
              <w:t>220kV~330kV</w:t>
            </w:r>
          </w:p>
        </w:tc>
        <w:tc>
          <w:tcPr>
            <w:tcW w:w="1018" w:type="dxa"/>
            <w:vMerge w:val="restart"/>
            <w:tcBorders>
              <w:tl2br w:val="nil"/>
              <w:tr2bl w:val="nil"/>
            </w:tcBorders>
            <w:shd w:val="clear" w:color="auto" w:fill="auto"/>
            <w:noWrap w:val="0"/>
            <w:vAlign w:val="center"/>
          </w:tcPr>
          <w:p w14:paraId="6CD4BCBF">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en-US"/>
              </w:rPr>
              <w:t>变电站</w:t>
            </w:r>
          </w:p>
        </w:tc>
        <w:tc>
          <w:tcPr>
            <w:tcW w:w="3773" w:type="dxa"/>
            <w:tcBorders>
              <w:tl2br w:val="nil"/>
              <w:tr2bl w:val="nil"/>
            </w:tcBorders>
            <w:shd w:val="clear" w:color="auto" w:fill="auto"/>
            <w:noWrap w:val="0"/>
            <w:vAlign w:val="center"/>
          </w:tcPr>
          <w:p w14:paraId="4F51109A">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en-US"/>
              </w:rPr>
            </w:pPr>
            <w:r>
              <w:rPr>
                <w:rFonts w:hint="default" w:ascii="Times New Roman" w:hAnsi="Times New Roman" w:eastAsia="宋体" w:cs="Times New Roman"/>
                <w:b w:val="0"/>
                <w:bCs w:val="0"/>
                <w:color w:val="auto"/>
                <w:spacing w:val="6"/>
                <w:sz w:val="21"/>
                <w:szCs w:val="21"/>
                <w:highlight w:val="none"/>
                <w:lang w:val="en-US" w:eastAsia="en-US"/>
              </w:rPr>
              <w:t>户内式、地下式</w:t>
            </w:r>
          </w:p>
        </w:tc>
        <w:tc>
          <w:tcPr>
            <w:tcW w:w="1557" w:type="dxa"/>
            <w:tcBorders>
              <w:tl2br w:val="nil"/>
              <w:tr2bl w:val="nil"/>
            </w:tcBorders>
            <w:shd w:val="clear" w:color="auto" w:fill="auto"/>
            <w:noWrap w:val="0"/>
            <w:vAlign w:val="center"/>
          </w:tcPr>
          <w:p w14:paraId="34941104">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en-US"/>
              </w:rPr>
            </w:pPr>
            <w:r>
              <w:rPr>
                <w:rFonts w:hint="default" w:ascii="Times New Roman" w:hAnsi="Times New Roman" w:eastAsia="宋体" w:cs="Times New Roman"/>
                <w:b/>
                <w:bCs/>
                <w:color w:val="auto"/>
                <w:spacing w:val="6"/>
                <w:sz w:val="21"/>
                <w:szCs w:val="21"/>
                <w:highlight w:val="none"/>
                <w:lang w:val="en-US" w:eastAsia="en-US"/>
              </w:rPr>
              <w:t>三级</w:t>
            </w:r>
          </w:p>
        </w:tc>
      </w:tr>
      <w:tr w14:paraId="24196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4" w:type="dxa"/>
            <w:vMerge w:val="continue"/>
            <w:vAlign w:val="center"/>
          </w:tcPr>
          <w:p w14:paraId="74F8694E">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zh-CN"/>
              </w:rPr>
            </w:pPr>
          </w:p>
        </w:tc>
        <w:tc>
          <w:tcPr>
            <w:tcW w:w="1635" w:type="dxa"/>
            <w:vMerge w:val="continue"/>
            <w:vAlign w:val="center"/>
          </w:tcPr>
          <w:p w14:paraId="76738C0E">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zh-CN"/>
              </w:rPr>
            </w:pPr>
          </w:p>
        </w:tc>
        <w:tc>
          <w:tcPr>
            <w:tcW w:w="1018" w:type="dxa"/>
            <w:vMerge w:val="continue"/>
            <w:vAlign w:val="center"/>
          </w:tcPr>
          <w:p w14:paraId="14087921">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zh-CN"/>
              </w:rPr>
            </w:pPr>
          </w:p>
        </w:tc>
        <w:tc>
          <w:tcPr>
            <w:tcW w:w="3773" w:type="dxa"/>
            <w:shd w:val="clear" w:color="auto" w:fill="auto"/>
            <w:vAlign w:val="center"/>
          </w:tcPr>
          <w:p w14:paraId="37994903">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en-US"/>
              </w:rPr>
            </w:pPr>
            <w:r>
              <w:rPr>
                <w:rFonts w:hint="default" w:ascii="Times New Roman" w:hAnsi="Times New Roman" w:eastAsia="宋体" w:cs="Times New Roman"/>
                <w:b w:val="0"/>
                <w:bCs w:val="0"/>
                <w:color w:val="auto"/>
                <w:spacing w:val="6"/>
                <w:sz w:val="21"/>
                <w:szCs w:val="21"/>
                <w:highlight w:val="none"/>
                <w:lang w:val="en-US" w:eastAsia="en-US"/>
              </w:rPr>
              <w:t>户外式</w:t>
            </w:r>
          </w:p>
        </w:tc>
        <w:tc>
          <w:tcPr>
            <w:tcW w:w="0" w:type="auto"/>
            <w:shd w:val="clear" w:color="auto" w:fill="auto"/>
            <w:vAlign w:val="center"/>
          </w:tcPr>
          <w:p w14:paraId="39A06C49">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b w:val="0"/>
                <w:bCs w:val="0"/>
                <w:color w:val="auto"/>
                <w:spacing w:val="6"/>
                <w:sz w:val="21"/>
                <w:szCs w:val="21"/>
                <w:highlight w:val="none"/>
                <w:lang w:val="en-US" w:eastAsia="en-US"/>
              </w:rPr>
            </w:pPr>
            <w:r>
              <w:rPr>
                <w:rFonts w:hint="default" w:ascii="Times New Roman" w:hAnsi="Times New Roman" w:eastAsia="宋体" w:cs="Times New Roman"/>
                <w:b w:val="0"/>
                <w:bCs w:val="0"/>
                <w:color w:val="auto"/>
                <w:spacing w:val="6"/>
                <w:sz w:val="21"/>
                <w:szCs w:val="21"/>
                <w:highlight w:val="none"/>
                <w:lang w:val="en-US" w:eastAsia="en-US"/>
              </w:rPr>
              <w:t>二级</w:t>
            </w:r>
          </w:p>
        </w:tc>
      </w:tr>
    </w:tbl>
    <w:p w14:paraId="77F2ABEF">
      <w:pPr>
        <w:keepNext w:val="0"/>
        <w:keepLines w:val="0"/>
        <w:pageBreakBefore w:val="0"/>
        <w:kinsoku/>
        <w:wordWrap w:val="0"/>
        <w:overflowPunct/>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本工程220kV输电线路边导线地面投影外两侧15m范围内</w:t>
      </w:r>
      <w:r>
        <w:rPr>
          <w:rFonts w:hint="eastAsia" w:ascii="Times New Roman" w:hAnsi="Times New Roman" w:eastAsia="宋体"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lang w:val="en-US" w:eastAsia="zh-CN"/>
        </w:rPr>
        <w:t>电磁环境敏感目标，因此输电线路电磁环境影响评价等级为</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级</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本项目220kV升压站主变设置方式为户</w:t>
      </w:r>
      <w:r>
        <w:rPr>
          <w:rFonts w:hint="eastAsia"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val="en-US" w:eastAsia="zh-CN"/>
        </w:rPr>
        <w:t>式，确定本项目升压站电磁环境影响评价等级为</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级。</w:t>
      </w:r>
    </w:p>
    <w:p w14:paraId="1E10213D">
      <w:pPr>
        <w:keepNext w:val="0"/>
        <w:keepLines w:val="0"/>
        <w:pageBreakBefore w:val="0"/>
        <w:kinsoku/>
        <w:wordWrap w:val="0"/>
        <w:overflowPunct/>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依据《环境影响评价技术导则 输变电》（HJ24-2020），本工程220kV输电线路架空线路评价范围确定为边导线地面投影外两侧各40m带状区域</w:t>
      </w:r>
      <w:r>
        <w:rPr>
          <w:rFonts w:hint="eastAsia" w:ascii="Times New Roman" w:hAnsi="Times New Roman" w:eastAsia="宋体" w:cs="Times New Roman"/>
          <w:color w:val="auto"/>
          <w:sz w:val="24"/>
          <w:szCs w:val="24"/>
          <w:highlight w:val="none"/>
          <w:lang w:val="en-US" w:eastAsia="zh-CN"/>
        </w:rPr>
        <w:t>，变电站电磁环境影响评价范围为站外40m范围内</w:t>
      </w:r>
      <w:r>
        <w:rPr>
          <w:rFonts w:hint="default" w:ascii="Times New Roman" w:hAnsi="Times New Roman" w:eastAsia="宋体" w:cs="Times New Roman"/>
          <w:color w:val="auto"/>
          <w:sz w:val="24"/>
          <w:szCs w:val="24"/>
          <w:highlight w:val="none"/>
          <w:lang w:val="en-US" w:eastAsia="zh-CN"/>
        </w:rPr>
        <w:t>。</w:t>
      </w:r>
    </w:p>
    <w:p w14:paraId="370F26AF">
      <w:pPr>
        <w:keepNext w:val="0"/>
        <w:keepLines w:val="0"/>
        <w:pageBreakBefore w:val="0"/>
        <w:kinsoku/>
        <w:wordWrap w:val="0"/>
        <w:overflowPunct/>
        <w:bidi w:val="0"/>
        <w:spacing w:line="240" w:lineRule="auto"/>
        <w:ind w:firstLine="422" w:firstLineChars="20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bCs w:val="0"/>
          <w:color w:val="auto"/>
          <w:sz w:val="21"/>
          <w:szCs w:val="21"/>
          <w:highlight w:val="none"/>
        </w:rPr>
        <w:t>表1</w:t>
      </w:r>
      <w:r>
        <w:rPr>
          <w:rFonts w:hint="default" w:ascii="Times New Roman" w:hAnsi="Times New Roman" w:eastAsia="宋体"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3-2</w:t>
      </w:r>
      <w:r>
        <w:rPr>
          <w:rFonts w:hint="default" w:ascii="Times New Roman" w:hAnsi="Times New Roman" w:eastAsia="宋体" w:cs="Times New Roman"/>
          <w:b/>
          <w:bCs w:val="0"/>
          <w:color w:val="auto"/>
          <w:sz w:val="21"/>
          <w:szCs w:val="21"/>
          <w:highlight w:val="none"/>
        </w:rPr>
        <w:t xml:space="preserve">  评价因子</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1"/>
        <w:gridCol w:w="1564"/>
        <w:gridCol w:w="2932"/>
        <w:gridCol w:w="2932"/>
      </w:tblGrid>
      <w:tr w14:paraId="6C72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61" w:type="dxa"/>
            <w:tcBorders>
              <w:tl2br w:val="nil"/>
              <w:tr2bl w:val="nil"/>
            </w:tcBorders>
            <w:noWrap w:val="0"/>
            <w:vAlign w:val="center"/>
          </w:tcPr>
          <w:p w14:paraId="229AA7BF">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评价阶段</w:t>
            </w:r>
          </w:p>
        </w:tc>
        <w:tc>
          <w:tcPr>
            <w:tcW w:w="1564" w:type="dxa"/>
            <w:tcBorders>
              <w:tl2br w:val="nil"/>
              <w:tr2bl w:val="nil"/>
            </w:tcBorders>
            <w:noWrap w:val="0"/>
            <w:vAlign w:val="center"/>
          </w:tcPr>
          <w:p w14:paraId="07317FDD">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评价项目</w:t>
            </w:r>
          </w:p>
        </w:tc>
        <w:tc>
          <w:tcPr>
            <w:tcW w:w="2932" w:type="dxa"/>
            <w:tcBorders>
              <w:tl2br w:val="nil"/>
              <w:tr2bl w:val="nil"/>
            </w:tcBorders>
            <w:noWrap w:val="0"/>
            <w:vAlign w:val="center"/>
          </w:tcPr>
          <w:p w14:paraId="18AA42BE">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现状评价因子</w:t>
            </w:r>
          </w:p>
        </w:tc>
        <w:tc>
          <w:tcPr>
            <w:tcW w:w="2932" w:type="dxa"/>
            <w:tcBorders>
              <w:tl2br w:val="nil"/>
              <w:tr2bl w:val="nil"/>
            </w:tcBorders>
            <w:noWrap w:val="0"/>
            <w:vAlign w:val="center"/>
          </w:tcPr>
          <w:p w14:paraId="3EC6D194">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预测评价因子</w:t>
            </w:r>
          </w:p>
        </w:tc>
      </w:tr>
      <w:tr w14:paraId="78193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61" w:type="dxa"/>
            <w:tcBorders>
              <w:tl2br w:val="nil"/>
              <w:tr2bl w:val="nil"/>
            </w:tcBorders>
            <w:noWrap w:val="0"/>
            <w:vAlign w:val="center"/>
          </w:tcPr>
          <w:p w14:paraId="0523B38A">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运行阶段</w:t>
            </w:r>
          </w:p>
        </w:tc>
        <w:tc>
          <w:tcPr>
            <w:tcW w:w="1564" w:type="dxa"/>
            <w:tcBorders>
              <w:tl2br w:val="nil"/>
              <w:tr2bl w:val="nil"/>
            </w:tcBorders>
            <w:noWrap w:val="0"/>
            <w:vAlign w:val="center"/>
          </w:tcPr>
          <w:p w14:paraId="04E9EE89">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2932" w:type="dxa"/>
            <w:tcBorders>
              <w:tl2br w:val="nil"/>
              <w:tr2bl w:val="nil"/>
            </w:tcBorders>
            <w:noWrap w:val="0"/>
            <w:vAlign w:val="center"/>
          </w:tcPr>
          <w:p w14:paraId="49BE83A2">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w:t>
            </w:r>
          </w:p>
        </w:tc>
        <w:tc>
          <w:tcPr>
            <w:tcW w:w="2932" w:type="dxa"/>
            <w:tcBorders>
              <w:tl2br w:val="nil"/>
              <w:tr2bl w:val="nil"/>
            </w:tcBorders>
            <w:noWrap w:val="0"/>
            <w:vAlign w:val="center"/>
          </w:tcPr>
          <w:p w14:paraId="387C59AE">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w:t>
            </w:r>
          </w:p>
        </w:tc>
      </w:tr>
    </w:tbl>
    <w:p w14:paraId="1D74D92C">
      <w:pPr>
        <w:keepNext w:val="0"/>
        <w:keepLines w:val="0"/>
        <w:pageBreakBefore w:val="0"/>
        <w:kinsoku/>
        <w:wordWrap w:val="0"/>
        <w:overflowPunct/>
        <w:bidi w:val="0"/>
        <w:spacing w:line="240" w:lineRule="auto"/>
        <w:ind w:firstLine="482" w:firstLineChars="200"/>
        <w:jc w:val="center"/>
        <w:rPr>
          <w:rFonts w:hint="default" w:ascii="Times New Roman" w:hAnsi="Times New Roman" w:eastAsia="宋体" w:cs="Times New Roman"/>
          <w:b/>
          <w:bCs w:val="0"/>
          <w:color w:val="auto"/>
          <w:sz w:val="24"/>
          <w:szCs w:val="24"/>
          <w:highlight w:val="none"/>
        </w:rPr>
      </w:pPr>
    </w:p>
    <w:p w14:paraId="1A4DAAAC">
      <w:pPr>
        <w:keepNext w:val="0"/>
        <w:keepLines w:val="0"/>
        <w:pageBreakBefore w:val="0"/>
        <w:kinsoku/>
        <w:wordWrap w:val="0"/>
        <w:overflowPunct/>
        <w:bidi w:val="0"/>
        <w:spacing w:line="240" w:lineRule="auto"/>
        <w:ind w:firstLine="422" w:firstLineChars="20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bCs w:val="0"/>
          <w:color w:val="auto"/>
          <w:sz w:val="21"/>
          <w:szCs w:val="21"/>
          <w:highlight w:val="none"/>
        </w:rPr>
        <w:t>表1</w:t>
      </w:r>
      <w:r>
        <w:rPr>
          <w:rFonts w:hint="default"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rPr>
        <w:t>3</w:t>
      </w:r>
      <w:r>
        <w:rPr>
          <w:rFonts w:hint="eastAsia"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rPr>
        <w:t xml:space="preserve">  评价范围</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0"/>
        <w:gridCol w:w="1130"/>
        <w:gridCol w:w="1200"/>
        <w:gridCol w:w="4919"/>
      </w:tblGrid>
      <w:tr w14:paraId="3DB12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0" w:type="dxa"/>
            <w:tcBorders>
              <w:tl2br w:val="nil"/>
              <w:tr2bl w:val="nil"/>
            </w:tcBorders>
            <w:noWrap w:val="0"/>
            <w:vAlign w:val="center"/>
          </w:tcPr>
          <w:p w14:paraId="03A5B45F">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工程名称</w:t>
            </w:r>
          </w:p>
        </w:tc>
        <w:tc>
          <w:tcPr>
            <w:tcW w:w="1130" w:type="dxa"/>
            <w:tcBorders>
              <w:tl2br w:val="nil"/>
              <w:tr2bl w:val="nil"/>
            </w:tcBorders>
            <w:noWrap w:val="0"/>
            <w:vAlign w:val="center"/>
          </w:tcPr>
          <w:p w14:paraId="20FB5049">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电压等级</w:t>
            </w:r>
          </w:p>
        </w:tc>
        <w:tc>
          <w:tcPr>
            <w:tcW w:w="1200" w:type="dxa"/>
            <w:tcBorders>
              <w:tl2br w:val="nil"/>
              <w:tr2bl w:val="nil"/>
            </w:tcBorders>
            <w:noWrap w:val="0"/>
            <w:vAlign w:val="center"/>
          </w:tcPr>
          <w:p w14:paraId="5C639F33">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评价项目</w:t>
            </w:r>
          </w:p>
        </w:tc>
        <w:tc>
          <w:tcPr>
            <w:tcW w:w="4919" w:type="dxa"/>
            <w:tcBorders>
              <w:tl2br w:val="nil"/>
              <w:tr2bl w:val="nil"/>
            </w:tcBorders>
            <w:noWrap w:val="0"/>
            <w:vAlign w:val="center"/>
          </w:tcPr>
          <w:p w14:paraId="17B3C3AC">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r>
      <w:tr w14:paraId="3D5BB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1540" w:type="dxa"/>
            <w:tcBorders>
              <w:tl2br w:val="nil"/>
              <w:tr2bl w:val="nil"/>
            </w:tcBorders>
            <w:noWrap w:val="0"/>
            <w:vAlign w:val="center"/>
          </w:tcPr>
          <w:p w14:paraId="158B552B">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线路工程</w:t>
            </w:r>
          </w:p>
        </w:tc>
        <w:tc>
          <w:tcPr>
            <w:tcW w:w="1130" w:type="dxa"/>
            <w:tcBorders>
              <w:tl2br w:val="nil"/>
              <w:tr2bl w:val="nil"/>
            </w:tcBorders>
            <w:noWrap w:val="0"/>
            <w:vAlign w:val="center"/>
          </w:tcPr>
          <w:p w14:paraId="5E38085D">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kV</w:t>
            </w:r>
          </w:p>
        </w:tc>
        <w:tc>
          <w:tcPr>
            <w:tcW w:w="1200" w:type="dxa"/>
            <w:tcBorders>
              <w:tl2br w:val="nil"/>
              <w:tr2bl w:val="nil"/>
            </w:tcBorders>
            <w:noWrap w:val="0"/>
            <w:vAlign w:val="center"/>
          </w:tcPr>
          <w:p w14:paraId="7418758E">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w:t>
            </w:r>
          </w:p>
          <w:p w14:paraId="1A72B99D">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tc>
        <w:tc>
          <w:tcPr>
            <w:tcW w:w="4919" w:type="dxa"/>
            <w:tcBorders>
              <w:tl2br w:val="nil"/>
              <w:tr2bl w:val="nil"/>
            </w:tcBorders>
            <w:noWrap w:val="0"/>
            <w:vAlign w:val="center"/>
          </w:tcPr>
          <w:p w14:paraId="5F303AC5">
            <w:pPr>
              <w:keepNext w:val="0"/>
              <w:keepLines w:val="0"/>
              <w:pageBreakBefore w:val="0"/>
              <w:suppressLineNumbers w:val="0"/>
              <w:kinsoku/>
              <w:wordWrap w:val="0"/>
              <w:overflowPunct/>
              <w:bidi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架空输电线路边导线地面投影外两侧各</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m区域</w:t>
            </w:r>
            <w:r>
              <w:rPr>
                <w:rFonts w:hint="eastAsia" w:ascii="Times New Roman" w:hAnsi="Times New Roman" w:eastAsia="宋体" w:cs="Times New Roman"/>
                <w:color w:val="auto"/>
                <w:sz w:val="21"/>
                <w:szCs w:val="21"/>
                <w:highlight w:val="none"/>
                <w:lang w:eastAsia="zh-CN"/>
              </w:rPr>
              <w:t>。</w:t>
            </w:r>
          </w:p>
        </w:tc>
      </w:tr>
      <w:tr w14:paraId="28EC0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1540" w:type="dxa"/>
            <w:tcBorders>
              <w:tl2br w:val="nil"/>
              <w:tr2bl w:val="nil"/>
            </w:tcBorders>
            <w:noWrap w:val="0"/>
            <w:vAlign w:val="center"/>
          </w:tcPr>
          <w:p w14:paraId="75C9F878">
            <w:pPr>
              <w:keepNext w:val="0"/>
              <w:keepLines w:val="0"/>
              <w:pageBreakBefore w:val="0"/>
              <w:suppressLineNumbers w:val="0"/>
              <w:kinsoku/>
              <w:wordWrap w:val="0"/>
              <w:overflowPunct/>
              <w:bidi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变电站</w:t>
            </w:r>
          </w:p>
        </w:tc>
        <w:tc>
          <w:tcPr>
            <w:tcW w:w="1130" w:type="dxa"/>
            <w:tcBorders>
              <w:tl2br w:val="nil"/>
              <w:tr2bl w:val="nil"/>
            </w:tcBorders>
            <w:shd w:val="clear" w:color="auto" w:fill="auto"/>
            <w:noWrap w:val="0"/>
            <w:vAlign w:val="center"/>
          </w:tcPr>
          <w:p w14:paraId="7A23B50D">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kV</w:t>
            </w:r>
          </w:p>
        </w:tc>
        <w:tc>
          <w:tcPr>
            <w:tcW w:w="1200" w:type="dxa"/>
            <w:tcBorders>
              <w:tl2br w:val="nil"/>
              <w:tr2bl w:val="nil"/>
            </w:tcBorders>
            <w:shd w:val="clear" w:color="auto" w:fill="auto"/>
            <w:noWrap w:val="0"/>
            <w:vAlign w:val="center"/>
          </w:tcPr>
          <w:p w14:paraId="2C4C38C1">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w:t>
            </w:r>
          </w:p>
          <w:p w14:paraId="5F1AEF66">
            <w:pPr>
              <w:keepNext w:val="0"/>
              <w:keepLines w:val="0"/>
              <w:pageBreakBefore w:val="0"/>
              <w:suppressLineNumbers w:val="0"/>
              <w:kinsoku/>
              <w:wordWrap w:val="0"/>
              <w:overflowPunct/>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环境</w:t>
            </w:r>
          </w:p>
        </w:tc>
        <w:tc>
          <w:tcPr>
            <w:tcW w:w="4919" w:type="dxa"/>
            <w:tcBorders>
              <w:tl2br w:val="nil"/>
              <w:tr2bl w:val="nil"/>
            </w:tcBorders>
            <w:noWrap w:val="0"/>
            <w:vAlign w:val="center"/>
          </w:tcPr>
          <w:p w14:paraId="4F95084B">
            <w:pPr>
              <w:keepNext w:val="0"/>
              <w:keepLines w:val="0"/>
              <w:pageBreakBefore w:val="0"/>
              <w:suppressLineNumbers w:val="0"/>
              <w:kinsoku/>
              <w:wordWrap w:val="0"/>
              <w:overflowPunct/>
              <w:bidi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站外40m范围。</w:t>
            </w:r>
          </w:p>
        </w:tc>
      </w:tr>
    </w:tbl>
    <w:p w14:paraId="126C0915">
      <w:pPr>
        <w:keepNext w:val="0"/>
        <w:keepLines w:val="0"/>
        <w:pageBreakBefore w:val="0"/>
        <w:kinsoku/>
        <w:wordWrap w:val="0"/>
        <w:overflowPunct/>
        <w:bidi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工程概况</w:t>
      </w:r>
    </w:p>
    <w:p w14:paraId="7B2506CC">
      <w:pPr>
        <w:keepNext w:val="0"/>
        <w:keepLines w:val="0"/>
        <w:pageBreakBefore w:val="0"/>
        <w:widowControl w:val="0"/>
        <w:kinsoku/>
        <w:wordWrap w:val="0"/>
        <w:overflowPunct/>
        <w:topLinePunct w:val="0"/>
        <w:autoSpaceDE/>
        <w:autoSpaceDN/>
        <w:bidi w:val="0"/>
        <w:adjustRightInd/>
        <w:snapToGrid/>
        <w:spacing w:line="460" w:lineRule="exact"/>
        <w:ind w:left="0" w:leftChars="0"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本工程为</w:t>
      </w:r>
      <w:r>
        <w:rPr>
          <w:rFonts w:hint="eastAsia" w:ascii="Times New Roman" w:hAnsi="Times New Roman" w:eastAsia="宋体" w:cs="Times New Roman"/>
          <w:b w:val="0"/>
          <w:bCs w:val="0"/>
          <w:color w:val="auto"/>
          <w:kern w:val="0"/>
          <w:sz w:val="24"/>
          <w:szCs w:val="24"/>
          <w:highlight w:val="none"/>
          <w:lang w:val="en-US" w:eastAsia="zh-CN"/>
        </w:rPr>
        <w:t>火山云太行算力中心项目二期扩容220kV输变电工程，包括：二期扩容220kV全户内变电站</w:t>
      </w:r>
      <w:r>
        <w:rPr>
          <w:rFonts w:hint="default" w:ascii="Times New Roman" w:hAnsi="Times New Roman" w:eastAsia="宋体" w:cs="Times New Roman"/>
          <w:b w:val="0"/>
          <w:bCs w:val="0"/>
          <w:color w:val="auto"/>
          <w:kern w:val="0"/>
          <w:sz w:val="24"/>
          <w:szCs w:val="24"/>
          <w:highlight w:val="none"/>
          <w:lang w:val="en-US" w:eastAsia="zh-CN"/>
        </w:rPr>
        <w:t>工程</w:t>
      </w:r>
      <w:r>
        <w:rPr>
          <w:rFonts w:hint="eastAsia" w:ascii="Times New Roman" w:hAnsi="Times New Roman" w:eastAsia="宋体" w:cs="Times New Roman"/>
          <w:b w:val="0"/>
          <w:bCs w:val="0"/>
          <w:color w:val="auto"/>
          <w:kern w:val="0"/>
          <w:sz w:val="24"/>
          <w:szCs w:val="24"/>
          <w:highlight w:val="none"/>
          <w:lang w:val="en-US" w:eastAsia="zh-CN"/>
        </w:rPr>
        <w:t>、过渡方案（“π”入火山云二期至壶泉站的220kV线路）、终期方案（线路起于拟建大同东500kV汇集站，止于拟建二期扩容220kV变电站与二期220kV变电站）。</w:t>
      </w:r>
    </w:p>
    <w:p w14:paraId="4DFBD2F3">
      <w:pPr>
        <w:keepNext w:val="0"/>
        <w:keepLines w:val="0"/>
        <w:pageBreakBefore w:val="0"/>
        <w:widowControl w:val="0"/>
        <w:kinsoku/>
        <w:wordWrap w:val="0"/>
        <w:overflowPunct/>
        <w:topLinePunct w:val="0"/>
        <w:bidi w:val="0"/>
        <w:spacing w:line="460" w:lineRule="exact"/>
        <w:ind w:left="0" w:leftChars="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 电磁环境现状</w:t>
      </w:r>
    </w:p>
    <w:p w14:paraId="1BD4DE5A">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（1）监测单位</w:t>
      </w:r>
    </w:p>
    <w:p w14:paraId="246F2240">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为了解本项目周围的电磁环境现状，委托山西志源生态环境科技有限公司对本项目周围的工频电场、工频磁感应强度环境进行了现状监测。</w:t>
      </w:r>
    </w:p>
    <w:p w14:paraId="277F2F49">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（2）监测因子</w:t>
      </w:r>
    </w:p>
    <w:p w14:paraId="15676EB3">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工频电场、工频磁场。</w:t>
      </w:r>
    </w:p>
    <w:p w14:paraId="59CBDB19">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（3）监测依据</w:t>
      </w:r>
    </w:p>
    <w:p w14:paraId="47210F85">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 xml:space="preserve">《交流输变电工程电磁环境监测方法》（试行）（HJ681-2013）。 </w:t>
      </w:r>
    </w:p>
    <w:p w14:paraId="6FE89614">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（4）监测方法</w:t>
      </w:r>
    </w:p>
    <w:p w14:paraId="552DD50E">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根据《交流输变电工程电磁环境监测方法（试行）》HJ681-2013“4.4”的要求，即</w:t>
      </w:r>
    </w:p>
    <w:p w14:paraId="1615F7EC">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1）选在地势平坦、远离树木、没有其他电力线路、通信线路及广播线路的空地上。</w:t>
      </w:r>
    </w:p>
    <w:p w14:paraId="67E24698">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2）探头应架设在地面上方1.5m的高度处。</w:t>
      </w:r>
    </w:p>
    <w:p w14:paraId="41DEE100">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3）监测人员与监测仪器探头距离不小于2.5m，监测仪器与固定物体的距离不小于1m。</w:t>
      </w:r>
    </w:p>
    <w:p w14:paraId="4D576058">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（5）布点原则及监测条件</w:t>
      </w:r>
    </w:p>
    <w:p w14:paraId="182CD881">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80" w:firstLineChars="200"/>
        <w:jc w:val="both"/>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拟建输电线路沿线关注点处，距地面高1.5m以上。</w:t>
      </w:r>
    </w:p>
    <w:p w14:paraId="2D8460B1">
      <w:pPr>
        <w:keepNext w:val="0"/>
        <w:keepLines w:val="0"/>
        <w:pageBreakBefore w:val="0"/>
        <w:widowControl w:val="0"/>
        <w:kinsoku/>
        <w:wordWrap w:val="0"/>
        <w:overflowPunct/>
        <w:topLinePunct w:val="0"/>
        <w:autoSpaceDE w:val="0"/>
        <w:autoSpaceDN w:val="0"/>
        <w:bidi w:val="0"/>
        <w:adjustRightInd w:val="0"/>
        <w:snapToGrid w:val="0"/>
        <w:spacing w:line="460" w:lineRule="exact"/>
        <w:ind w:left="0" w:leftChars="0" w:firstLine="422" w:firstLineChars="20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表3.1</w:t>
      </w:r>
      <w:r>
        <w:rPr>
          <w:rFonts w:hint="eastAsia" w:ascii="Times New Roman" w:hAnsi="Times New Roman" w:eastAsia="宋体" w:cs="Times New Roman"/>
          <w:b/>
          <w:bCs w:val="0"/>
          <w:color w:val="auto"/>
          <w:kern w:val="0"/>
          <w:sz w:val="21"/>
          <w:szCs w:val="21"/>
          <w:highlight w:val="none"/>
          <w:lang w:val="en-US" w:eastAsia="zh-CN"/>
        </w:rPr>
        <w:t>-1</w:t>
      </w:r>
      <w:r>
        <w:rPr>
          <w:rFonts w:hint="default" w:ascii="Times New Roman" w:hAnsi="Times New Roman" w:eastAsia="宋体" w:cs="Times New Roman"/>
          <w:b/>
          <w:bCs w:val="0"/>
          <w:color w:val="auto"/>
          <w:kern w:val="0"/>
          <w:sz w:val="21"/>
          <w:szCs w:val="21"/>
          <w:highlight w:val="none"/>
          <w:lang w:val="en-US" w:eastAsia="zh-CN"/>
        </w:rPr>
        <w:t xml:space="preserve">  工程工频电磁场监测布点一览表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22"/>
        <w:gridCol w:w="5673"/>
        <w:gridCol w:w="2051"/>
      </w:tblGrid>
      <w:tr w14:paraId="05B3D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22" w:type="dxa"/>
            <w:tcBorders>
              <w:tl2br w:val="nil"/>
              <w:tr2bl w:val="nil"/>
            </w:tcBorders>
            <w:noWrap w:val="0"/>
            <w:vAlign w:val="center"/>
          </w:tcPr>
          <w:p w14:paraId="6D700F73">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监测因子</w:t>
            </w:r>
          </w:p>
        </w:tc>
        <w:tc>
          <w:tcPr>
            <w:tcW w:w="5673" w:type="dxa"/>
            <w:tcBorders>
              <w:tl2br w:val="nil"/>
              <w:tr2bl w:val="nil"/>
            </w:tcBorders>
            <w:noWrap w:val="0"/>
            <w:vAlign w:val="center"/>
          </w:tcPr>
          <w:p w14:paraId="186A4C04">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监测时间及气象条件</w:t>
            </w:r>
          </w:p>
        </w:tc>
        <w:tc>
          <w:tcPr>
            <w:tcW w:w="2051" w:type="dxa"/>
            <w:tcBorders>
              <w:tl2br w:val="nil"/>
              <w:tr2bl w:val="nil"/>
            </w:tcBorders>
            <w:noWrap w:val="0"/>
            <w:vAlign w:val="center"/>
          </w:tcPr>
          <w:p w14:paraId="3AD7E6FA">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r>
      <w:tr w14:paraId="3ECCD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322" w:type="dxa"/>
            <w:tcBorders>
              <w:tl2br w:val="nil"/>
              <w:tr2bl w:val="nil"/>
            </w:tcBorders>
            <w:noWrap w:val="0"/>
            <w:vAlign w:val="center"/>
          </w:tcPr>
          <w:p w14:paraId="2B086963">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工频电场</w:t>
            </w:r>
          </w:p>
          <w:p w14:paraId="153223B3">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工频磁场</w:t>
            </w:r>
          </w:p>
        </w:tc>
        <w:tc>
          <w:tcPr>
            <w:tcW w:w="5673" w:type="dxa"/>
            <w:tcBorders>
              <w:tl2br w:val="nil"/>
              <w:tr2bl w:val="nil"/>
            </w:tcBorders>
            <w:noWrap w:val="0"/>
            <w:vAlign w:val="center"/>
          </w:tcPr>
          <w:p w14:paraId="4B6C46BE">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日</w:t>
            </w:r>
          </w:p>
          <w:p w14:paraId="36365C9C">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温度：</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℃；湿度：</w:t>
            </w:r>
            <w:r>
              <w:rPr>
                <w:rFonts w:hint="eastAsia" w:ascii="Times New Roman" w:hAnsi="Times New Roman" w:eastAsia="宋体" w:cs="Times New Roman"/>
                <w:color w:val="auto"/>
                <w:sz w:val="21"/>
                <w:szCs w:val="21"/>
                <w:highlight w:val="none"/>
                <w:lang w:val="en-US" w:eastAsia="zh-CN"/>
              </w:rPr>
              <w:t>47</w:t>
            </w:r>
            <w:r>
              <w:rPr>
                <w:rFonts w:hint="default" w:ascii="Times New Roman" w:hAnsi="Times New Roman" w:eastAsia="宋体" w:cs="Times New Roman"/>
                <w:color w:val="auto"/>
                <w:sz w:val="21"/>
                <w:szCs w:val="21"/>
                <w:highlight w:val="none"/>
                <w:lang w:val="en-US" w:eastAsia="zh-CN"/>
              </w:rPr>
              <w:t>%；天气：晴</w:t>
            </w:r>
          </w:p>
        </w:tc>
        <w:tc>
          <w:tcPr>
            <w:tcW w:w="2051" w:type="dxa"/>
            <w:tcBorders>
              <w:tl2br w:val="nil"/>
              <w:tr2bl w:val="nil"/>
            </w:tcBorders>
            <w:noWrap w:val="0"/>
            <w:vAlign w:val="center"/>
          </w:tcPr>
          <w:p w14:paraId="73CAE229">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高1.5m处</w:t>
            </w:r>
          </w:p>
        </w:tc>
      </w:tr>
    </w:tbl>
    <w:p w14:paraId="4C28268F">
      <w:pPr>
        <w:keepNext w:val="0"/>
        <w:keepLines w:val="0"/>
        <w:pageBreakBefore w:val="0"/>
        <w:widowControl w:val="0"/>
        <w:kinsoku/>
        <w:wordWrap w:val="0"/>
        <w:overflowPunct/>
        <w:topLinePunct w:val="0"/>
        <w:autoSpaceDE w:val="0"/>
        <w:autoSpaceDN w:val="0"/>
        <w:bidi w:val="0"/>
        <w:adjustRightInd w:val="0"/>
        <w:snapToGrid w:val="0"/>
        <w:spacing w:line="44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（6）监测仪器</w:t>
      </w:r>
    </w:p>
    <w:p w14:paraId="6C0C5C12">
      <w:pPr>
        <w:keepNext w:val="0"/>
        <w:keepLines w:val="0"/>
        <w:pageBreakBefore w:val="0"/>
        <w:widowControl w:val="0"/>
        <w:kinsoku/>
        <w:wordWrap w:val="0"/>
        <w:overflowPunct/>
        <w:topLinePunct w:val="0"/>
        <w:autoSpaceDE w:val="0"/>
        <w:autoSpaceDN w:val="0"/>
        <w:bidi w:val="0"/>
        <w:adjustRightInd w:val="0"/>
        <w:snapToGrid w:val="0"/>
        <w:spacing w:line="440" w:lineRule="exact"/>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本项目监测采用的仪器经过国家计量标定，且均在有效期内，详见下表。</w:t>
      </w:r>
    </w:p>
    <w:p w14:paraId="15D64126">
      <w:pPr>
        <w:keepNext w:val="0"/>
        <w:keepLines w:val="0"/>
        <w:pageBreakBefore w:val="0"/>
        <w:widowControl w:val="0"/>
        <w:kinsoku/>
        <w:wordWrap w:val="0"/>
        <w:overflowPunct/>
        <w:topLinePunct w:val="0"/>
        <w:autoSpaceDE w:val="0"/>
        <w:autoSpaceDN w:val="0"/>
        <w:bidi w:val="0"/>
        <w:adjustRightInd w:val="0"/>
        <w:snapToGrid w:val="0"/>
        <w:spacing w:line="440" w:lineRule="exact"/>
        <w:ind w:firstLine="422" w:firstLineChars="20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w:t>
      </w:r>
      <w:r>
        <w:rPr>
          <w:rFonts w:hint="eastAsia" w:ascii="Times New Roman" w:hAnsi="Times New Roman" w:eastAsia="宋体" w:cs="Times New Roman"/>
          <w:b/>
          <w:bCs w:val="0"/>
          <w:color w:val="auto"/>
          <w:kern w:val="0"/>
          <w:sz w:val="21"/>
          <w:szCs w:val="21"/>
          <w:highlight w:val="none"/>
          <w:lang w:val="en-US" w:eastAsia="zh-CN"/>
        </w:rPr>
        <w:t>1-2</w:t>
      </w:r>
      <w:r>
        <w:rPr>
          <w:rFonts w:hint="default" w:ascii="Times New Roman" w:hAnsi="Times New Roman" w:eastAsia="宋体" w:cs="Times New Roman"/>
          <w:b/>
          <w:bCs w:val="0"/>
          <w:color w:val="auto"/>
          <w:kern w:val="0"/>
          <w:sz w:val="21"/>
          <w:szCs w:val="21"/>
          <w:highlight w:val="none"/>
          <w:lang w:val="en-US" w:eastAsia="zh-CN"/>
        </w:rPr>
        <w:t xml:space="preserve">  项目监测仪器有效期</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97"/>
        <w:gridCol w:w="2228"/>
        <w:gridCol w:w="2544"/>
        <w:gridCol w:w="1583"/>
      </w:tblGrid>
      <w:tr w14:paraId="6D7A7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7" w:hRule="atLeast"/>
          <w:jc w:val="center"/>
        </w:trPr>
        <w:tc>
          <w:tcPr>
            <w:tcW w:w="2697" w:type="dxa"/>
            <w:tcBorders>
              <w:tl2br w:val="nil"/>
              <w:tr2bl w:val="nil"/>
            </w:tcBorders>
            <w:noWrap w:val="0"/>
            <w:vAlign w:val="center"/>
          </w:tcPr>
          <w:p w14:paraId="18B0C7EC">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监测仪器名称</w:t>
            </w:r>
          </w:p>
        </w:tc>
        <w:tc>
          <w:tcPr>
            <w:tcW w:w="2228" w:type="dxa"/>
            <w:tcBorders>
              <w:tl2br w:val="nil"/>
              <w:tr2bl w:val="nil"/>
            </w:tcBorders>
            <w:noWrap w:val="0"/>
            <w:vAlign w:val="center"/>
          </w:tcPr>
          <w:p w14:paraId="18732B0C">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设备编号</w:t>
            </w:r>
          </w:p>
        </w:tc>
        <w:tc>
          <w:tcPr>
            <w:tcW w:w="2544" w:type="dxa"/>
            <w:tcBorders>
              <w:tl2br w:val="nil"/>
              <w:tr2bl w:val="nil"/>
            </w:tcBorders>
            <w:noWrap w:val="0"/>
            <w:vAlign w:val="center"/>
          </w:tcPr>
          <w:p w14:paraId="2916F834">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仪器性能</w:t>
            </w:r>
          </w:p>
        </w:tc>
        <w:tc>
          <w:tcPr>
            <w:tcW w:w="1583" w:type="dxa"/>
            <w:tcBorders>
              <w:tl2br w:val="nil"/>
              <w:tr2bl w:val="nil"/>
            </w:tcBorders>
            <w:noWrap w:val="0"/>
            <w:vAlign w:val="center"/>
          </w:tcPr>
          <w:p w14:paraId="67E27A5A">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有效期</w:t>
            </w:r>
          </w:p>
        </w:tc>
      </w:tr>
      <w:tr w14:paraId="2C6A5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2697" w:type="dxa"/>
            <w:tcBorders>
              <w:tl2br w:val="nil"/>
              <w:tr2bl w:val="nil"/>
            </w:tcBorders>
            <w:noWrap w:val="0"/>
            <w:vAlign w:val="center"/>
          </w:tcPr>
          <w:p w14:paraId="0073A5EB">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电磁辐射分析仪（含工频探头）SEM-600/LF-04D</w:t>
            </w:r>
          </w:p>
        </w:tc>
        <w:tc>
          <w:tcPr>
            <w:tcW w:w="2228" w:type="dxa"/>
            <w:tcBorders>
              <w:tl2br w:val="nil"/>
              <w:tr2bl w:val="nil"/>
            </w:tcBorders>
            <w:noWrap w:val="0"/>
            <w:vAlign w:val="center"/>
          </w:tcPr>
          <w:p w14:paraId="73E108EF">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ZYYQ-JC-01</w:t>
            </w:r>
          </w:p>
        </w:tc>
        <w:tc>
          <w:tcPr>
            <w:tcW w:w="2544" w:type="dxa"/>
            <w:tcBorders>
              <w:tl2br w:val="nil"/>
              <w:tr2bl w:val="nil"/>
            </w:tcBorders>
            <w:noWrap w:val="0"/>
            <w:vAlign w:val="center"/>
          </w:tcPr>
          <w:p w14:paraId="5358ED51">
            <w:pPr>
              <w:keepNext w:val="0"/>
              <w:keepLines w:val="0"/>
              <w:pageBreakBefore w:val="0"/>
              <w:suppressLineNumbers w:val="0"/>
              <w:kinsoku/>
              <w:wordWrap w:val="0"/>
              <w:overflowPunct/>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1Hz-400kHz</w:t>
            </w:r>
          </w:p>
        </w:tc>
        <w:tc>
          <w:tcPr>
            <w:tcW w:w="1583" w:type="dxa"/>
            <w:tcBorders>
              <w:tl2br w:val="nil"/>
              <w:tr2bl w:val="nil"/>
            </w:tcBorders>
            <w:noWrap w:val="0"/>
            <w:vAlign w:val="center"/>
          </w:tcPr>
          <w:p w14:paraId="23CD18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17</w:t>
            </w:r>
          </w:p>
        </w:tc>
      </w:tr>
    </w:tbl>
    <w:p w14:paraId="064C4BD9">
      <w:pPr>
        <w:keepNext w:val="0"/>
        <w:keepLines w:val="0"/>
        <w:pageBreakBefore w:val="0"/>
        <w:kinsoku/>
        <w:wordWrap w:val="0"/>
        <w:overflow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（7）质量保证</w:t>
      </w:r>
    </w:p>
    <w:p w14:paraId="6BE69354">
      <w:pPr>
        <w:keepNext w:val="0"/>
        <w:keepLines w:val="0"/>
        <w:pageBreakBefore w:val="0"/>
        <w:kinsoku/>
        <w:wordWrap w:val="0"/>
        <w:overflow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1）监测仪器经国家法定计量单位检定合格，仪器工作状态良好；</w:t>
      </w:r>
    </w:p>
    <w:p w14:paraId="5A385040">
      <w:pPr>
        <w:keepNext w:val="0"/>
        <w:keepLines w:val="0"/>
        <w:pageBreakBefore w:val="0"/>
        <w:kinsoku/>
        <w:wordWrap w:val="0"/>
        <w:overflow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2）监测人员经过上岗培训，持有上岗证；</w:t>
      </w:r>
    </w:p>
    <w:p w14:paraId="18D50451">
      <w:pPr>
        <w:keepNext w:val="0"/>
        <w:keepLines w:val="0"/>
        <w:pageBreakBefore w:val="0"/>
        <w:kinsoku/>
        <w:wordWrap w:val="0"/>
        <w:overflow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3）严格按照操作规程和技术规范要求操作仪器，认真做好记录；</w:t>
      </w:r>
    </w:p>
    <w:p w14:paraId="1C35D7CC">
      <w:pPr>
        <w:keepNext w:val="0"/>
        <w:keepLines w:val="0"/>
        <w:pageBreakBefore w:val="0"/>
        <w:kinsoku/>
        <w:wordWrap w:val="0"/>
        <w:overflow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4）专人负责质量保证及质量检查工作。</w:t>
      </w:r>
    </w:p>
    <w:p w14:paraId="3A38FE3A">
      <w:pPr>
        <w:keepNext w:val="0"/>
        <w:keepLines w:val="0"/>
        <w:pageBreakBefore w:val="0"/>
        <w:kinsoku/>
        <w:wordWrap w:val="0"/>
        <w:overflow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（8）监测结果</w:t>
      </w:r>
    </w:p>
    <w:p w14:paraId="4A46EB28">
      <w:pPr>
        <w:keepNext w:val="0"/>
        <w:keepLines w:val="0"/>
        <w:pageBreakBefore w:val="0"/>
        <w:kinsoku/>
        <w:wordWrap w:val="0"/>
        <w:overflowPunct/>
        <w:autoSpaceDE w:val="0"/>
        <w:autoSpaceDN w:val="0"/>
        <w:bidi w:val="0"/>
        <w:adjustRightInd w:val="0"/>
        <w:snapToGrid w:val="0"/>
        <w:spacing w:line="240" w:lineRule="auto"/>
        <w:ind w:firstLine="422" w:firstLineChars="20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w:t>
      </w:r>
      <w:r>
        <w:rPr>
          <w:rFonts w:hint="eastAsia" w:ascii="Times New Roman" w:hAnsi="Times New Roman" w:eastAsia="宋体" w:cs="Times New Roman"/>
          <w:b/>
          <w:bCs w:val="0"/>
          <w:color w:val="auto"/>
          <w:kern w:val="0"/>
          <w:sz w:val="21"/>
          <w:szCs w:val="21"/>
          <w:highlight w:val="none"/>
          <w:lang w:val="en-US" w:eastAsia="zh-CN"/>
        </w:rPr>
        <w:t>1-3</w:t>
      </w:r>
      <w:r>
        <w:rPr>
          <w:rFonts w:hint="default" w:ascii="Times New Roman" w:hAnsi="Times New Roman" w:eastAsia="宋体" w:cs="Times New Roman"/>
          <w:b/>
          <w:bCs w:val="0"/>
          <w:color w:val="auto"/>
          <w:kern w:val="0"/>
          <w:sz w:val="21"/>
          <w:szCs w:val="21"/>
          <w:highlight w:val="none"/>
          <w:lang w:val="en-US" w:eastAsia="zh-CN"/>
        </w:rPr>
        <w:t xml:space="preserve">  项目工频电磁场监测结果</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3657"/>
        <w:gridCol w:w="2326"/>
        <w:gridCol w:w="935"/>
        <w:gridCol w:w="1514"/>
      </w:tblGrid>
      <w:tr w14:paraId="09D6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459" w:type="pct"/>
            <w:noWrap w:val="0"/>
            <w:vAlign w:val="center"/>
          </w:tcPr>
          <w:p w14:paraId="1751394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序号</w:t>
            </w:r>
          </w:p>
        </w:tc>
        <w:tc>
          <w:tcPr>
            <w:tcW w:w="1968" w:type="pct"/>
            <w:noWrap w:val="0"/>
            <w:vAlign w:val="center"/>
          </w:tcPr>
          <w:p w14:paraId="42A0895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检测点位描述</w:t>
            </w:r>
          </w:p>
        </w:tc>
        <w:tc>
          <w:tcPr>
            <w:tcW w:w="1252" w:type="pct"/>
            <w:noWrap w:val="0"/>
            <w:vAlign w:val="center"/>
          </w:tcPr>
          <w:p w14:paraId="3C3EA29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检测项目</w:t>
            </w:r>
          </w:p>
        </w:tc>
        <w:tc>
          <w:tcPr>
            <w:tcW w:w="503" w:type="pct"/>
            <w:tcBorders>
              <w:left w:val="single" w:color="auto" w:sz="4" w:space="0"/>
              <w:right w:val="single" w:color="auto" w:sz="4" w:space="0"/>
            </w:tcBorders>
            <w:noWrap w:val="0"/>
            <w:vAlign w:val="center"/>
          </w:tcPr>
          <w:p w14:paraId="69D4E52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单位</w:t>
            </w:r>
          </w:p>
        </w:tc>
        <w:tc>
          <w:tcPr>
            <w:tcW w:w="815" w:type="pct"/>
            <w:tcBorders>
              <w:left w:val="single" w:color="auto" w:sz="4" w:space="0"/>
              <w:bottom w:val="single" w:color="000000" w:sz="4" w:space="0"/>
            </w:tcBorders>
            <w:noWrap w:val="0"/>
            <w:vAlign w:val="center"/>
          </w:tcPr>
          <w:p w14:paraId="484CA05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检测结果</w:t>
            </w:r>
          </w:p>
        </w:tc>
      </w:tr>
      <w:tr w14:paraId="36DE3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286D9D9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w:t>
            </w:r>
          </w:p>
        </w:tc>
        <w:tc>
          <w:tcPr>
            <w:tcW w:w="1968" w:type="pct"/>
            <w:vMerge w:val="restart"/>
            <w:noWrap w:val="0"/>
            <w:vAlign w:val="center"/>
          </w:tcPr>
          <w:p w14:paraId="04ACC5A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二期220kV变电站北侧围墙外5m</w:t>
            </w:r>
          </w:p>
        </w:tc>
        <w:tc>
          <w:tcPr>
            <w:tcW w:w="1252" w:type="pct"/>
            <w:noWrap w:val="0"/>
            <w:vAlign w:val="center"/>
          </w:tcPr>
          <w:p w14:paraId="0B14047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16ACAB6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3E71047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4.584</w:t>
            </w:r>
          </w:p>
        </w:tc>
      </w:tr>
      <w:tr w14:paraId="11FAE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05231D4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059CB1D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5FF2E50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0430C1C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739BCF6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0.0991</w:t>
            </w:r>
          </w:p>
        </w:tc>
      </w:tr>
      <w:tr w14:paraId="2562D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5C2E3A4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2</w:t>
            </w:r>
          </w:p>
        </w:tc>
        <w:tc>
          <w:tcPr>
            <w:tcW w:w="1968" w:type="pct"/>
            <w:vMerge w:val="restart"/>
            <w:noWrap w:val="0"/>
            <w:vAlign w:val="center"/>
          </w:tcPr>
          <w:p w14:paraId="41E56F8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二期220kV变电站西侧围墙外5m</w:t>
            </w:r>
          </w:p>
        </w:tc>
        <w:tc>
          <w:tcPr>
            <w:tcW w:w="1252" w:type="pct"/>
            <w:noWrap w:val="0"/>
            <w:vAlign w:val="center"/>
          </w:tcPr>
          <w:p w14:paraId="1144488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1D789E4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69E723B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1.802</w:t>
            </w:r>
          </w:p>
        </w:tc>
      </w:tr>
      <w:tr w14:paraId="3C426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78E8CFE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058206A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19BCF48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16630C6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685C84D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0.2947</w:t>
            </w:r>
          </w:p>
        </w:tc>
      </w:tr>
      <w:tr w14:paraId="14051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5F424D9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w:t>
            </w:r>
          </w:p>
        </w:tc>
        <w:tc>
          <w:tcPr>
            <w:tcW w:w="1968" w:type="pct"/>
            <w:vMerge w:val="restart"/>
            <w:noWrap w:val="0"/>
            <w:vAlign w:val="center"/>
          </w:tcPr>
          <w:p w14:paraId="5F54AF1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二期220kV变电站南侧围墙外5m</w:t>
            </w:r>
          </w:p>
        </w:tc>
        <w:tc>
          <w:tcPr>
            <w:tcW w:w="1252" w:type="pct"/>
            <w:noWrap w:val="0"/>
            <w:vAlign w:val="center"/>
          </w:tcPr>
          <w:p w14:paraId="38CFBD4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7871571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3C8F6A9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11.08</w:t>
            </w:r>
          </w:p>
        </w:tc>
      </w:tr>
      <w:tr w14:paraId="5C973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32CBC8E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14F7EAB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61EAE07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18D3853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4FDB528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0.0928</w:t>
            </w:r>
          </w:p>
        </w:tc>
      </w:tr>
      <w:tr w14:paraId="5AC94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1401234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w:t>
            </w:r>
          </w:p>
        </w:tc>
        <w:tc>
          <w:tcPr>
            <w:tcW w:w="1968" w:type="pct"/>
            <w:vMerge w:val="restart"/>
            <w:noWrap w:val="0"/>
            <w:vAlign w:val="center"/>
          </w:tcPr>
          <w:p w14:paraId="6AC5EA5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二期220kV变电站东侧围墙外5m</w:t>
            </w:r>
          </w:p>
        </w:tc>
        <w:tc>
          <w:tcPr>
            <w:tcW w:w="1252" w:type="pct"/>
            <w:noWrap w:val="0"/>
            <w:vAlign w:val="center"/>
          </w:tcPr>
          <w:p w14:paraId="4D5BDE4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04DD671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788B5B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164.7</w:t>
            </w:r>
          </w:p>
        </w:tc>
      </w:tr>
      <w:tr w14:paraId="72208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6CBA06C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5BE1C2F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0F77BD8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1278370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52AD98C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0.1876</w:t>
            </w:r>
          </w:p>
        </w:tc>
      </w:tr>
      <w:tr w14:paraId="58728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1ECAF41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5</w:t>
            </w:r>
          </w:p>
        </w:tc>
        <w:tc>
          <w:tcPr>
            <w:tcW w:w="1968" w:type="pct"/>
            <w:vMerge w:val="restart"/>
            <w:noWrap w:val="0"/>
            <w:vAlign w:val="center"/>
          </w:tcPr>
          <w:p w14:paraId="251B794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二期扩容220kV变电站中心处</w:t>
            </w:r>
          </w:p>
        </w:tc>
        <w:tc>
          <w:tcPr>
            <w:tcW w:w="1252" w:type="pct"/>
            <w:noWrap w:val="0"/>
            <w:vAlign w:val="center"/>
          </w:tcPr>
          <w:p w14:paraId="7451533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612BC7E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29DA36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3.185</w:t>
            </w:r>
          </w:p>
        </w:tc>
      </w:tr>
      <w:tr w14:paraId="372E3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40B3D67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00211F1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0D3622F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32EE49E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D4B876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0.0868</w:t>
            </w:r>
          </w:p>
        </w:tc>
      </w:tr>
      <w:tr w14:paraId="1118F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31205D8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6</w:t>
            </w:r>
          </w:p>
        </w:tc>
        <w:tc>
          <w:tcPr>
            <w:tcW w:w="1968" w:type="pct"/>
            <w:vMerge w:val="restart"/>
            <w:noWrap w:val="0"/>
            <w:vAlign w:val="center"/>
          </w:tcPr>
          <w:p w14:paraId="5F791BA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过渡方案输变线路工程塔基LG30</w:t>
            </w:r>
          </w:p>
        </w:tc>
        <w:tc>
          <w:tcPr>
            <w:tcW w:w="1252" w:type="pct"/>
            <w:noWrap w:val="0"/>
            <w:vAlign w:val="center"/>
          </w:tcPr>
          <w:p w14:paraId="478CB59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6FFC8FA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69BAE03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1039</w:t>
            </w:r>
          </w:p>
        </w:tc>
      </w:tr>
      <w:tr w14:paraId="21475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55CFCEB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6C9D670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695527E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3643617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2FBF0EB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0.2124</w:t>
            </w:r>
          </w:p>
        </w:tc>
      </w:tr>
      <w:tr w14:paraId="70BE9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49CFDCE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7</w:t>
            </w:r>
          </w:p>
        </w:tc>
        <w:tc>
          <w:tcPr>
            <w:tcW w:w="1968" w:type="pct"/>
            <w:vMerge w:val="restart"/>
            <w:noWrap w:val="0"/>
            <w:vAlign w:val="center"/>
          </w:tcPr>
          <w:p w14:paraId="59C3CF8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过渡方案输变线路工程塔基G27</w:t>
            </w:r>
          </w:p>
        </w:tc>
        <w:tc>
          <w:tcPr>
            <w:tcW w:w="1252" w:type="pct"/>
            <w:noWrap w:val="0"/>
            <w:vAlign w:val="center"/>
          </w:tcPr>
          <w:p w14:paraId="7ED286C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659569B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5AC4F3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581.7</w:t>
            </w:r>
          </w:p>
        </w:tc>
      </w:tr>
      <w:tr w14:paraId="5195B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7D23D19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6FA4081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4043253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386391F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20B8FEC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0.2520</w:t>
            </w:r>
          </w:p>
        </w:tc>
      </w:tr>
      <w:tr w14:paraId="4A91F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4B9DEC4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8</w:t>
            </w:r>
          </w:p>
        </w:tc>
        <w:tc>
          <w:tcPr>
            <w:tcW w:w="1968" w:type="pct"/>
            <w:vMerge w:val="restart"/>
            <w:noWrap w:val="0"/>
            <w:vAlign w:val="center"/>
          </w:tcPr>
          <w:p w14:paraId="04D3FA4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黄龙村</w:t>
            </w:r>
          </w:p>
        </w:tc>
        <w:tc>
          <w:tcPr>
            <w:tcW w:w="1252" w:type="pct"/>
            <w:noWrap w:val="0"/>
            <w:vAlign w:val="center"/>
          </w:tcPr>
          <w:p w14:paraId="5F8BA89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66119571">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7009203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18.84</w:t>
            </w:r>
          </w:p>
        </w:tc>
      </w:tr>
      <w:tr w14:paraId="6BD73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3E16012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734FBA7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722D33D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0268C7E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1B5E03C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0.0856</w:t>
            </w:r>
          </w:p>
        </w:tc>
      </w:tr>
      <w:tr w14:paraId="2E42D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747BD7DF">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9</w:t>
            </w:r>
          </w:p>
        </w:tc>
        <w:tc>
          <w:tcPr>
            <w:tcW w:w="1968" w:type="pct"/>
            <w:vMerge w:val="restart"/>
            <w:noWrap w:val="0"/>
            <w:vAlign w:val="center"/>
          </w:tcPr>
          <w:p w14:paraId="7541B093">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黄龙新庄村</w:t>
            </w:r>
          </w:p>
        </w:tc>
        <w:tc>
          <w:tcPr>
            <w:tcW w:w="1252" w:type="pct"/>
            <w:noWrap w:val="0"/>
            <w:vAlign w:val="center"/>
          </w:tcPr>
          <w:p w14:paraId="58F92300">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460E748A">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2BE4966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0.865</w:t>
            </w:r>
          </w:p>
        </w:tc>
      </w:tr>
      <w:tr w14:paraId="635B1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351E254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2BBDBCF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263AC16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49380CE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572BD4E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0.0847</w:t>
            </w:r>
          </w:p>
        </w:tc>
      </w:tr>
      <w:tr w14:paraId="61120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0B8CD54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10</w:t>
            </w:r>
          </w:p>
        </w:tc>
        <w:tc>
          <w:tcPr>
            <w:tcW w:w="1968" w:type="pct"/>
            <w:vMerge w:val="restart"/>
            <w:noWrap w:val="0"/>
            <w:vAlign w:val="center"/>
          </w:tcPr>
          <w:p w14:paraId="7C5E4F6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塔基G51南侧的工厂</w:t>
            </w:r>
          </w:p>
        </w:tc>
        <w:tc>
          <w:tcPr>
            <w:tcW w:w="1252" w:type="pct"/>
            <w:noWrap w:val="0"/>
            <w:vAlign w:val="center"/>
          </w:tcPr>
          <w:p w14:paraId="6763E66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373F5BE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60B1BFE5">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8.910</w:t>
            </w:r>
          </w:p>
        </w:tc>
      </w:tr>
      <w:tr w14:paraId="6052E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42E1B989">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3AAC6F2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5F6273F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0676EA8C">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6CE1D45E">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0.0859</w:t>
            </w:r>
          </w:p>
        </w:tc>
      </w:tr>
      <w:tr w14:paraId="4AFDC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restart"/>
            <w:noWrap w:val="0"/>
            <w:vAlign w:val="center"/>
          </w:tcPr>
          <w:p w14:paraId="2B895E3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11</w:t>
            </w:r>
          </w:p>
        </w:tc>
        <w:tc>
          <w:tcPr>
            <w:tcW w:w="1968" w:type="pct"/>
            <w:vMerge w:val="restart"/>
            <w:noWrap w:val="0"/>
            <w:vAlign w:val="center"/>
          </w:tcPr>
          <w:p w14:paraId="393E53F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塔基G45南侧的工厂</w:t>
            </w:r>
          </w:p>
        </w:tc>
        <w:tc>
          <w:tcPr>
            <w:tcW w:w="1252" w:type="pct"/>
            <w:noWrap w:val="0"/>
            <w:vAlign w:val="center"/>
          </w:tcPr>
          <w:p w14:paraId="780FECBD">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工频电场强度</w:t>
            </w:r>
          </w:p>
        </w:tc>
        <w:tc>
          <w:tcPr>
            <w:tcW w:w="503" w:type="pct"/>
            <w:tcBorders>
              <w:left w:val="single" w:color="auto" w:sz="4" w:space="0"/>
              <w:right w:val="single" w:color="auto" w:sz="4" w:space="0"/>
            </w:tcBorders>
            <w:noWrap w:val="0"/>
            <w:vAlign w:val="center"/>
          </w:tcPr>
          <w:p w14:paraId="378565A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V/m</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696353D4">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0.315</w:t>
            </w:r>
          </w:p>
        </w:tc>
      </w:tr>
      <w:tr w14:paraId="7370D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exact"/>
          <w:jc w:val="center"/>
        </w:trPr>
        <w:tc>
          <w:tcPr>
            <w:tcW w:w="459" w:type="pct"/>
            <w:vMerge w:val="continue"/>
            <w:noWrap w:val="0"/>
            <w:vAlign w:val="center"/>
          </w:tcPr>
          <w:p w14:paraId="0D450F52">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968" w:type="pct"/>
            <w:vMerge w:val="continue"/>
            <w:noWrap w:val="0"/>
            <w:vAlign w:val="center"/>
          </w:tcPr>
          <w:p w14:paraId="5DE75216">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252" w:type="pct"/>
            <w:noWrap w:val="0"/>
            <w:vAlign w:val="center"/>
          </w:tcPr>
          <w:p w14:paraId="41B8184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工频磁感应强度</w:t>
            </w:r>
          </w:p>
        </w:tc>
        <w:tc>
          <w:tcPr>
            <w:tcW w:w="503" w:type="pct"/>
            <w:tcBorders>
              <w:left w:val="single" w:color="auto" w:sz="4" w:space="0"/>
              <w:right w:val="single" w:color="auto" w:sz="4" w:space="0"/>
            </w:tcBorders>
            <w:noWrap w:val="0"/>
            <w:vAlign w:val="center"/>
          </w:tcPr>
          <w:p w14:paraId="7B9884A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μT</w:t>
            </w:r>
          </w:p>
        </w:tc>
        <w:tc>
          <w:tcPr>
            <w:tcW w:w="815" w:type="pct"/>
            <w:tcBorders>
              <w:top w:val="single" w:color="000000" w:sz="4" w:space="0"/>
              <w:left w:val="single" w:color="000000" w:sz="4" w:space="0"/>
              <w:bottom w:val="single" w:color="000000" w:sz="4" w:space="0"/>
              <w:right w:val="single" w:color="000000" w:sz="4" w:space="0"/>
            </w:tcBorders>
            <w:noWrap w:val="0"/>
            <w:vAlign w:val="center"/>
          </w:tcPr>
          <w:p w14:paraId="47334A18">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0.0863</w:t>
            </w:r>
          </w:p>
        </w:tc>
      </w:tr>
    </w:tbl>
    <w:p w14:paraId="6B6D869F">
      <w:pPr>
        <w:keepNext w:val="0"/>
        <w:keepLines w:val="0"/>
        <w:pageBreakBefore w:val="0"/>
        <w:widowControl w:val="0"/>
        <w:kinsoku/>
        <w:wordWrap w:val="0"/>
        <w:overflowPunct/>
        <w:topLinePunct w:val="0"/>
        <w:autoSpaceDE w:val="0"/>
        <w:autoSpaceDN w:val="0"/>
        <w:bidi w:val="0"/>
        <w:adjustRightInd w:val="0"/>
        <w:snapToGrid w:val="0"/>
        <w:spacing w:line="46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（9）现状质量分析</w:t>
      </w:r>
    </w:p>
    <w:p w14:paraId="169DE334">
      <w:pPr>
        <w:keepNext w:val="0"/>
        <w:keepLines w:val="0"/>
        <w:pageBreakBefore w:val="0"/>
        <w:widowControl w:val="0"/>
        <w:kinsoku/>
        <w:wordWrap w:val="0"/>
        <w:overflowPunct/>
        <w:topLinePunct w:val="0"/>
        <w:bidi w:val="0"/>
        <w:spacing w:line="460" w:lineRule="exact"/>
        <w:ind w:left="0" w:lef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根据山西志源生态环境科技有限公司进行的现状监测结果可知：拟建变电站及线路沿线各监测点位工频电场强度为（0.</w:t>
      </w:r>
      <w:r>
        <w:rPr>
          <w:rFonts w:hint="eastAsia" w:ascii="Times New Roman" w:hAnsi="Times New Roman" w:eastAsia="宋体" w:cs="Times New Roman"/>
          <w:color w:val="auto"/>
          <w:kern w:val="0"/>
          <w:sz w:val="24"/>
          <w:szCs w:val="24"/>
          <w:highlight w:val="none"/>
          <w:lang w:val="en-US" w:eastAsia="zh-CN" w:bidi="ar-SA"/>
        </w:rPr>
        <w:t>315</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1039</w:t>
      </w:r>
      <w:r>
        <w:rPr>
          <w:rFonts w:hint="default" w:ascii="Times New Roman" w:hAnsi="Times New Roman" w:eastAsia="宋体" w:cs="Times New Roman"/>
          <w:color w:val="auto"/>
          <w:kern w:val="0"/>
          <w:sz w:val="24"/>
          <w:szCs w:val="24"/>
          <w:highlight w:val="none"/>
          <w:lang w:val="en-US" w:eastAsia="zh-CN" w:bidi="ar-SA"/>
        </w:rPr>
        <w:t>）V/m，工频磁感应强度为（0.0</w:t>
      </w:r>
      <w:r>
        <w:rPr>
          <w:rFonts w:hint="eastAsia" w:ascii="Times New Roman" w:hAnsi="Times New Roman" w:eastAsia="宋体" w:cs="Times New Roman"/>
          <w:color w:val="auto"/>
          <w:kern w:val="0"/>
          <w:sz w:val="24"/>
          <w:szCs w:val="24"/>
          <w:highlight w:val="none"/>
          <w:lang w:val="en-US" w:eastAsia="zh-CN" w:bidi="ar-SA"/>
        </w:rPr>
        <w:t>847</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0.2520</w:t>
      </w:r>
      <w:r>
        <w:rPr>
          <w:rFonts w:hint="default" w:ascii="Times New Roman" w:hAnsi="Times New Roman" w:eastAsia="宋体" w:cs="Times New Roman"/>
          <w:color w:val="auto"/>
          <w:kern w:val="0"/>
          <w:sz w:val="24"/>
          <w:szCs w:val="24"/>
          <w:highlight w:val="none"/>
          <w:lang w:val="en-US" w:eastAsia="zh-CN" w:bidi="ar-SA"/>
        </w:rPr>
        <w:t>）μT，二期220kV变电站周围工频电场强度为（</w:t>
      </w:r>
      <w:r>
        <w:rPr>
          <w:rFonts w:hint="eastAsia" w:ascii="Times New Roman" w:hAnsi="Times New Roman" w:eastAsia="宋体" w:cs="Times New Roman"/>
          <w:color w:val="auto"/>
          <w:kern w:val="0"/>
          <w:sz w:val="24"/>
          <w:szCs w:val="24"/>
          <w:highlight w:val="none"/>
          <w:lang w:val="en-US" w:eastAsia="zh-CN" w:bidi="ar-SA"/>
        </w:rPr>
        <w:t>1.802</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164.7</w:t>
      </w:r>
      <w:r>
        <w:rPr>
          <w:rFonts w:hint="default" w:ascii="Times New Roman" w:hAnsi="Times New Roman" w:eastAsia="宋体" w:cs="Times New Roman"/>
          <w:color w:val="auto"/>
          <w:kern w:val="0"/>
          <w:sz w:val="24"/>
          <w:szCs w:val="24"/>
          <w:highlight w:val="none"/>
          <w:lang w:val="en-US" w:eastAsia="zh-CN" w:bidi="ar-SA"/>
        </w:rPr>
        <w:t>）V/m，工频磁感应强度为（0.0</w:t>
      </w:r>
      <w:r>
        <w:rPr>
          <w:rFonts w:hint="eastAsia" w:ascii="Times New Roman" w:hAnsi="Times New Roman" w:eastAsia="宋体" w:cs="Times New Roman"/>
          <w:color w:val="auto"/>
          <w:kern w:val="0"/>
          <w:sz w:val="24"/>
          <w:szCs w:val="24"/>
          <w:highlight w:val="none"/>
          <w:lang w:val="en-US" w:eastAsia="zh-CN" w:bidi="ar-SA"/>
        </w:rPr>
        <w:t>928</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0.2947</w:t>
      </w:r>
      <w:r>
        <w:rPr>
          <w:rFonts w:hint="default" w:ascii="Times New Roman" w:hAnsi="Times New Roman" w:eastAsia="宋体" w:cs="Times New Roman"/>
          <w:color w:val="auto"/>
          <w:kern w:val="0"/>
          <w:sz w:val="24"/>
          <w:szCs w:val="24"/>
          <w:highlight w:val="none"/>
          <w:lang w:val="en-US" w:eastAsia="zh-CN" w:bidi="ar-SA"/>
        </w:rPr>
        <w:t>）μT，均满足《电磁环境控制限值》（GB8702-2014）中规定的工频电场强度小于4kV/m、工频磁感应强度100μT，架空输电线路线下的旱地、果园、其他林地、住宅用地、水浇地等场所，其频率50Hz的电场强度控制限值为10kV/m的控制限值。</w:t>
      </w:r>
    </w:p>
    <w:p w14:paraId="728B3C12">
      <w:pPr>
        <w:keepNext w:val="0"/>
        <w:keepLines w:val="0"/>
        <w:pageBreakBefore w:val="0"/>
        <w:widowControl w:val="0"/>
        <w:numPr>
          <w:ilvl w:val="0"/>
          <w:numId w:val="0"/>
        </w:numPr>
        <w:kinsoku/>
        <w:wordWrap w:val="0"/>
        <w:overflowPunct/>
        <w:topLinePunct w:val="0"/>
        <w:bidi w:val="0"/>
        <w:spacing w:line="460" w:lineRule="exact"/>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 电磁环境影响预测与评价</w:t>
      </w:r>
    </w:p>
    <w:p w14:paraId="123FA5CC">
      <w:pPr>
        <w:keepNext w:val="0"/>
        <w:keepLines w:val="0"/>
        <w:pageBreakBefore w:val="0"/>
        <w:kinsoku/>
        <w:wordWrap w:val="0"/>
        <w:overflowPunct/>
        <w:topLinePunct w:val="0"/>
        <w:bidi w:val="0"/>
        <w:spacing w:line="460" w:lineRule="exac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 xml:space="preserve">4.1 </w:t>
      </w:r>
      <w:r>
        <w:rPr>
          <w:rFonts w:hint="default" w:ascii="Times New Roman" w:hAnsi="Times New Roman" w:eastAsia="宋体" w:cs="Times New Roman"/>
          <w:b/>
          <w:color w:val="auto"/>
          <w:sz w:val="24"/>
          <w:szCs w:val="24"/>
          <w:highlight w:val="none"/>
          <w:lang w:eastAsia="zh-CN"/>
        </w:rPr>
        <w:t>架空线路</w:t>
      </w:r>
      <w:r>
        <w:rPr>
          <w:rFonts w:hint="default" w:ascii="Times New Roman" w:hAnsi="Times New Roman" w:eastAsia="宋体" w:cs="Times New Roman"/>
          <w:b/>
          <w:color w:val="auto"/>
          <w:sz w:val="24"/>
          <w:szCs w:val="24"/>
          <w:highlight w:val="none"/>
        </w:rPr>
        <w:t>电磁环境影响分析</w:t>
      </w:r>
    </w:p>
    <w:p w14:paraId="7C2E7A4F">
      <w:pPr>
        <w:keepNext w:val="0"/>
        <w:keepLines w:val="0"/>
        <w:pageBreakBefore w:val="0"/>
        <w:kinsoku/>
        <w:wordWrap w:val="0"/>
        <w:overflowPunct/>
        <w:topLinePunct w:val="0"/>
        <w:bidi w:val="0"/>
        <w:spacing w:line="460" w:lineRule="exact"/>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eastAsia="zh-CN"/>
        </w:rPr>
        <w:t>计算模式</w:t>
      </w:r>
    </w:p>
    <w:p w14:paraId="4174DFAF">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r>
        <w:rPr>
          <w:rFonts w:hint="default" w:ascii="Times New Roman" w:hAnsi="Times New Roman" w:eastAsia="宋体" w:cs="Times New Roman"/>
          <w:color w:val="auto"/>
          <w:spacing w:val="6"/>
          <w:kern w:val="0"/>
          <w:sz w:val="24"/>
          <w:szCs w:val="24"/>
          <w:highlight w:val="none"/>
        </w:rPr>
        <w:t>本项目送电线路的工频电场、</w:t>
      </w:r>
      <w:r>
        <w:rPr>
          <w:rFonts w:hint="default" w:ascii="Times New Roman" w:hAnsi="Times New Roman" w:eastAsia="宋体" w:cs="Times New Roman"/>
          <w:color w:val="auto"/>
          <w:spacing w:val="6"/>
          <w:sz w:val="24"/>
          <w:szCs w:val="24"/>
          <w:highlight w:val="none"/>
        </w:rPr>
        <w:t>工频磁感应强度</w:t>
      </w:r>
      <w:r>
        <w:rPr>
          <w:rFonts w:hint="default" w:ascii="Times New Roman" w:hAnsi="Times New Roman" w:eastAsia="宋体" w:cs="Times New Roman"/>
          <w:color w:val="auto"/>
          <w:spacing w:val="6"/>
          <w:kern w:val="0"/>
          <w:sz w:val="24"/>
          <w:szCs w:val="24"/>
          <w:highlight w:val="none"/>
        </w:rPr>
        <w:t>的理论计算分别是根据《</w:t>
      </w:r>
      <w:r>
        <w:rPr>
          <w:rFonts w:hint="default" w:ascii="Times New Roman" w:hAnsi="Times New Roman" w:eastAsia="宋体" w:cs="Times New Roman"/>
          <w:color w:val="auto"/>
          <w:spacing w:val="6"/>
          <w:kern w:val="0"/>
          <w:sz w:val="24"/>
          <w:szCs w:val="24"/>
          <w:highlight w:val="none"/>
          <w:lang w:eastAsia="zh-CN"/>
        </w:rPr>
        <w:t>环境影响评价技术导则  输变电</w:t>
      </w:r>
      <w:r>
        <w:rPr>
          <w:rFonts w:hint="default" w:ascii="Times New Roman" w:hAnsi="Times New Roman" w:eastAsia="宋体" w:cs="Times New Roman"/>
          <w:color w:val="auto"/>
          <w:spacing w:val="6"/>
          <w:kern w:val="0"/>
          <w:sz w:val="24"/>
          <w:szCs w:val="24"/>
          <w:highlight w:val="none"/>
        </w:rPr>
        <w:t>》（</w:t>
      </w:r>
      <w:r>
        <w:rPr>
          <w:rFonts w:hint="default" w:ascii="Times New Roman" w:hAnsi="Times New Roman" w:eastAsia="宋体" w:cs="Times New Roman"/>
          <w:color w:val="auto"/>
          <w:spacing w:val="6"/>
          <w:kern w:val="0"/>
          <w:sz w:val="24"/>
          <w:szCs w:val="24"/>
          <w:highlight w:val="none"/>
          <w:lang w:eastAsia="zh-CN"/>
        </w:rPr>
        <w:t>HJ24-2020</w:t>
      </w:r>
      <w:r>
        <w:rPr>
          <w:rFonts w:hint="default" w:ascii="Times New Roman" w:hAnsi="Times New Roman" w:eastAsia="宋体" w:cs="Times New Roman"/>
          <w:color w:val="auto"/>
          <w:spacing w:val="6"/>
          <w:kern w:val="0"/>
          <w:sz w:val="24"/>
          <w:szCs w:val="24"/>
          <w:highlight w:val="none"/>
        </w:rPr>
        <w:t>）附录C、D推荐的计算模式进行的。</w:t>
      </w:r>
    </w:p>
    <w:p w14:paraId="23E3BB53">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r>
        <w:rPr>
          <w:rFonts w:hint="default" w:ascii="Times New Roman" w:hAnsi="Times New Roman" w:eastAsia="宋体" w:cs="Times New Roman"/>
          <w:color w:val="auto"/>
          <w:spacing w:val="6"/>
          <w:kern w:val="0"/>
          <w:sz w:val="24"/>
          <w:szCs w:val="24"/>
          <w:highlight w:val="none"/>
        </w:rPr>
        <w:t>①高压送电线路空间电场强度分布的理论计算</w:t>
      </w:r>
    </w:p>
    <w:p w14:paraId="044B376C">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r>
        <w:rPr>
          <w:rFonts w:hint="default" w:ascii="Times New Roman" w:hAnsi="Times New Roman" w:eastAsia="宋体" w:cs="Times New Roman"/>
          <w:color w:val="auto"/>
          <w:spacing w:val="6"/>
          <w:kern w:val="0"/>
          <w:sz w:val="24"/>
          <w:szCs w:val="24"/>
          <w:highlight w:val="none"/>
        </w:rPr>
        <w:t>单位长度导线下等效电荷的计算</w:t>
      </w:r>
    </w:p>
    <w:p w14:paraId="18FF1313">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r>
        <w:rPr>
          <w:rFonts w:hint="default" w:ascii="Times New Roman" w:hAnsi="Times New Roman" w:eastAsia="宋体" w:cs="Times New Roman"/>
          <w:color w:val="auto"/>
          <w:spacing w:val="6"/>
          <w:kern w:val="0"/>
          <w:sz w:val="24"/>
          <w:szCs w:val="24"/>
          <w:highlight w:val="none"/>
        </w:rPr>
        <w:t>高压送电线上的等效电荷是线电荷，由于高压送电导线半径r远小于架设高度h，因此等效电荷可以认为是在送电导线的几何中心。</w:t>
      </w:r>
    </w:p>
    <w:p w14:paraId="36FC043D">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r>
        <w:rPr>
          <w:rFonts w:hint="default" w:ascii="Times New Roman" w:hAnsi="Times New Roman" w:eastAsia="宋体" w:cs="Times New Roman"/>
          <w:color w:val="auto"/>
          <w:spacing w:val="6"/>
          <w:kern w:val="0"/>
          <w:sz w:val="24"/>
          <w:szCs w:val="24"/>
          <w:highlight w:val="none"/>
        </w:rPr>
        <w:t>假设送电线路无限长且平行于地面，地面可视为良导体，利用镜像法计算送电导线上的等效电荷。</w:t>
      </w:r>
    </w:p>
    <w:p w14:paraId="22E80DD2">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r>
        <w:rPr>
          <w:rFonts w:hint="default" w:ascii="Times New Roman" w:hAnsi="Times New Roman" w:eastAsia="宋体" w:cs="Times New Roman"/>
          <w:color w:val="auto"/>
          <w:spacing w:val="6"/>
          <w:kern w:val="0"/>
          <w:sz w:val="24"/>
          <w:szCs w:val="24"/>
          <w:highlight w:val="none"/>
        </w:rPr>
        <w:t>多导线线路中导线上的等效电荷由下列矩阵方程计算：</w:t>
      </w:r>
    </w:p>
    <w:p w14:paraId="693EC314">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p>
    <w:p w14:paraId="35FB8226">
      <w:pPr>
        <w:keepNext w:val="0"/>
        <w:keepLines w:val="0"/>
        <w:pageBreakBefore w:val="0"/>
        <w:widowControl/>
        <w:kinsoku/>
        <w:wordWrap w:val="0"/>
        <w:overflowPunct/>
        <w:topLinePunct w:val="0"/>
        <w:bidi w:val="0"/>
        <w:snapToGrid w:val="0"/>
        <w:spacing w:line="460" w:lineRule="exact"/>
        <w:ind w:firstLine="504" w:firstLineChars="200"/>
        <w:textAlignment w:val="auto"/>
        <w:rPr>
          <w:rFonts w:hint="default" w:ascii="Times New Roman" w:hAnsi="Times New Roman" w:eastAsia="宋体" w:cs="Times New Roman"/>
          <w:color w:val="auto"/>
          <w:spacing w:val="6"/>
          <w:kern w:val="0"/>
          <w:sz w:val="24"/>
          <w:szCs w:val="24"/>
          <w:highlight w:val="none"/>
        </w:rPr>
      </w:pPr>
    </w:p>
    <w:p w14:paraId="7666CE4C">
      <w:pPr>
        <w:keepNext w:val="0"/>
        <w:keepLines w:val="0"/>
        <w:pageBreakBefore w:val="0"/>
        <w:kinsoku/>
        <w:wordWrap w:val="0"/>
        <w:overflowPunct/>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68"/>
          <w:szCs w:val="21"/>
          <w:highlight w:val="none"/>
        </w:rPr>
        <w:pict>
          <v:shape id="Object 2" o:spid="_x0000_s1028" o:spt="75" type="#_x0000_t75" style="position:absolute;left:0pt;margin-left:146.25pt;margin-top:5.3pt;height:77.45pt;width:172.45pt;z-index:251663360;mso-width-relative:page;mso-height-relative:page;" o:ole="t" filled="f" o:preferrelative="t" stroked="f" coordsize="21600,21600">
            <v:path/>
            <v:fill on="f" focussize="0,0"/>
            <v:stroke on="f"/>
            <v:imagedata r:id="rId22" o:title=""/>
            <o:lock v:ext="edit" aspectratio="t"/>
          </v:shape>
          <o:OLEObject Type="Embed" ProgID="" ShapeID="Object 2" DrawAspect="Content" ObjectID="_1468075725" r:id="rId21">
            <o:LockedField>false</o:LockedField>
          </o:OLEObject>
        </w:pict>
      </w:r>
    </w:p>
    <w:p w14:paraId="6BBA888E">
      <w:pPr>
        <w:widowControl w:val="0"/>
        <w:autoSpaceDE w:val="0"/>
        <w:autoSpaceDN w:val="0"/>
        <w:adjustRightInd w:val="0"/>
        <w:rPr>
          <w:rFonts w:hint="default" w:ascii="Times New Roman" w:hAnsi="Times New Roman" w:eastAsia="宋体" w:cs="Times New Roman"/>
          <w:color w:val="auto"/>
          <w:kern w:val="2"/>
          <w:sz w:val="21"/>
          <w:szCs w:val="21"/>
          <w:highlight w:val="none"/>
          <w:lang w:val="en-US" w:eastAsia="zh-CN" w:bidi="ar-SA"/>
        </w:rPr>
      </w:pPr>
    </w:p>
    <w:p w14:paraId="7AD97555">
      <w:pPr>
        <w:widowControl w:val="0"/>
        <w:jc w:val="both"/>
        <w:rPr>
          <w:rFonts w:hint="default" w:ascii="Times New Roman" w:hAnsi="Times New Roman" w:eastAsia="宋体" w:cs="Times New Roman"/>
          <w:color w:val="auto"/>
          <w:kern w:val="2"/>
          <w:sz w:val="21"/>
          <w:szCs w:val="21"/>
          <w:highlight w:val="none"/>
          <w:lang w:val="en-US" w:eastAsia="zh-CN" w:bidi="ar-SA"/>
        </w:rPr>
      </w:pPr>
    </w:p>
    <w:p w14:paraId="6B02DC5B">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4085654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39C95392">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式中：U——各导线对地电压的单列矩阵；</w:t>
      </w:r>
    </w:p>
    <w:p w14:paraId="24F46A08">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Q——各导线上等效电荷的单列矩阵；</w:t>
      </w:r>
    </w:p>
    <w:p w14:paraId="13206C61">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λ ——各导线的电位系数组成的m阶方阵（m为导线数目）。</w:t>
      </w:r>
    </w:p>
    <w:p w14:paraId="39ABBF6E">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矩阵可由输电线的电压和相位确定，从环境保护考虑以额定电压的1.05倍作为计算电压。</w:t>
      </w:r>
    </w:p>
    <w:p w14:paraId="3A4A9DAE">
      <w:pPr>
        <w:widowControl w:val="0"/>
        <w:autoSpaceDE w:val="0"/>
        <w:autoSpaceDN w:val="0"/>
        <w:adjustRightInd w:val="0"/>
        <w:jc w:val="center"/>
        <w:rPr>
          <w:rFonts w:hint="default" w:ascii="Times New Roman" w:hAnsi="Times New Roman" w:eastAsia="宋体" w:cs="Times New Roman"/>
          <w:color w:val="auto"/>
          <w:spacing w:val="6"/>
          <w:kern w:val="0"/>
          <w:sz w:val="24"/>
          <w:szCs w:val="24"/>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drawing>
          <wp:inline distT="0" distB="0" distL="114300" distR="114300">
            <wp:extent cx="2068195" cy="1793240"/>
            <wp:effectExtent l="0" t="0" r="8255" b="16510"/>
            <wp:docPr id="204" name="图片 3" descr="QQ截图20150430140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 descr="QQ截图20150430140337.png"/>
                    <pic:cNvPicPr>
                      <a:picLocks noChangeAspect="1"/>
                    </pic:cNvPicPr>
                  </pic:nvPicPr>
                  <pic:blipFill>
                    <a:blip r:embed="rId23"/>
                    <a:stretch>
                      <a:fillRect/>
                    </a:stretch>
                  </pic:blipFill>
                  <pic:spPr>
                    <a:xfrm>
                      <a:off x="0" y="0"/>
                      <a:ext cx="2068195" cy="1793240"/>
                    </a:xfrm>
                    <a:prstGeom prst="rect">
                      <a:avLst/>
                    </a:prstGeom>
                    <a:noFill/>
                    <a:ln>
                      <a:noFill/>
                    </a:ln>
                  </pic:spPr>
                </pic:pic>
              </a:graphicData>
            </a:graphic>
          </wp:inline>
        </w:drawing>
      </w:r>
    </w:p>
    <w:p w14:paraId="0C2B763F">
      <w:pPr>
        <w:keepNext w:val="0"/>
        <w:keepLines w:val="0"/>
        <w:pageBreakBefore w:val="0"/>
        <w:widowControl/>
        <w:kinsoku/>
        <w:wordWrap w:val="0"/>
        <w:overflowPunct/>
        <w:bidi w:val="0"/>
        <w:spacing w:line="360" w:lineRule="auto"/>
        <w:ind w:firstLine="422" w:firstLineChars="200"/>
        <w:jc w:val="center"/>
        <w:rPr>
          <w:rFonts w:hint="default" w:ascii="Times New Roman" w:hAnsi="Times New Roman" w:eastAsia="宋体" w:cs="Times New Roman"/>
          <w:color w:val="auto"/>
          <w:spacing w:val="6"/>
          <w:kern w:val="0"/>
          <w:sz w:val="21"/>
          <w:szCs w:val="21"/>
          <w:highlight w:val="none"/>
        </w:rPr>
      </w:pPr>
      <w:r>
        <w:rPr>
          <w:rFonts w:hint="default" w:ascii="Times New Roman" w:hAnsi="Times New Roman" w:eastAsia="宋体" w:cs="Times New Roman"/>
          <w:b/>
          <w:color w:val="auto"/>
          <w:sz w:val="21"/>
          <w:szCs w:val="21"/>
          <w:highlight w:val="none"/>
          <w:lang w:val="zh-CN"/>
        </w:rPr>
        <w:t>图</w:t>
      </w:r>
      <w:r>
        <w:rPr>
          <w:rFonts w:hint="default" w:ascii="Times New Roman" w:hAnsi="Times New Roman" w:eastAsia="宋体" w:cs="Times New Roman"/>
          <w:b/>
          <w:color w:val="auto"/>
          <w:sz w:val="21"/>
          <w:szCs w:val="21"/>
          <w:highlight w:val="none"/>
          <w:lang w:val="en-US" w:eastAsia="zh-CN"/>
        </w:rPr>
        <w:t>4.1</w:t>
      </w:r>
      <w:r>
        <w:rPr>
          <w:rFonts w:hint="eastAsia" w:ascii="Times New Roman" w:hAnsi="Times New Roman" w:eastAsia="宋体"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zh-CN"/>
        </w:rPr>
        <w:t xml:space="preserve">  对地电压计算图</w:t>
      </w:r>
    </w:p>
    <w:p w14:paraId="08D354AF">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对于三相导线，各相导线对地电压为：</w:t>
      </w:r>
    </w:p>
    <w:p w14:paraId="6AB4016A">
      <w:pPr>
        <w:autoSpaceDE w:val="0"/>
        <w:autoSpaceDN w:val="0"/>
        <w:adjustRightInd w:val="0"/>
        <w:spacing w:line="360" w:lineRule="auto"/>
        <w:ind w:firstLine="1440"/>
        <w:rPr>
          <w:rFonts w:hint="default" w:ascii="Times New Roman" w:hAnsi="Times New Roman" w:eastAsia="宋体" w:cs="Times New Roman"/>
          <w:color w:val="auto"/>
          <w:kern w:val="0"/>
          <w:szCs w:val="21"/>
          <w:highlight w:val="none"/>
          <w:lang w:val="zh-CN"/>
        </w:rPr>
      </w:pPr>
      <w:r>
        <w:rPr>
          <w:rFonts w:hint="default" w:ascii="Times New Roman" w:hAnsi="Times New Roman" w:eastAsia="宋体" w:cs="Times New Roman"/>
          <w:color w:val="auto"/>
          <w:kern w:val="0"/>
          <w:position w:val="-14"/>
          <w:szCs w:val="21"/>
          <w:highlight w:val="none"/>
          <w:lang w:val="zh-CN"/>
        </w:rPr>
        <w:object>
          <v:shape id="_x0000_i1025" o:spt="75" type="#_x0000_t75" style="height:20.55pt;width:223.5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6" r:id="rId24">
            <o:LockedField>false</o:LockedField>
          </o:OLEObject>
        </w:object>
      </w:r>
    </w:p>
    <w:p w14:paraId="56DD2E7D">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zh-CN"/>
        </w:rPr>
        <w:t>0kV各相导线对地电压分量为：</w:t>
      </w:r>
    </w:p>
    <w:p w14:paraId="33B8034A">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jc w:val="center"/>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UA=（133.4+j0）kV</w:t>
      </w:r>
    </w:p>
    <w:p w14:paraId="414AE1FE">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jc w:val="center"/>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UB=（-66.7+j115.5）kV</w:t>
      </w:r>
    </w:p>
    <w:p w14:paraId="0540F6FE">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jc w:val="center"/>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UC=（-66.7-j115.5）kV</w:t>
      </w:r>
    </w:p>
    <w:p w14:paraId="2FF8BBD8">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 xml:space="preserve"> [λ]矩阵由镜像原理求得。地面为电位等于零的平面，地面的感应电荷可由对应地面导线的镜像电荷代替，用i，j，…表示相互平行的实际导线，用i’，j’，…表示他们的镜像，电位系数可写为：</w:t>
      </w:r>
    </w:p>
    <w:p w14:paraId="43886300">
      <w:pPr>
        <w:autoSpaceDE w:val="0"/>
        <w:autoSpaceDN w:val="0"/>
        <w:adjustRightInd w:val="0"/>
        <w:spacing w:line="360" w:lineRule="auto"/>
        <w:ind w:firstLine="2640"/>
        <w:rPr>
          <w:rFonts w:hint="default" w:ascii="Times New Roman" w:hAnsi="Times New Roman" w:eastAsia="宋体" w:cs="Times New Roman"/>
          <w:color w:val="auto"/>
          <w:kern w:val="0"/>
          <w:szCs w:val="21"/>
          <w:highlight w:val="none"/>
          <w:lang w:val="zh-CN"/>
        </w:rPr>
      </w:pPr>
      <w:r>
        <w:rPr>
          <w:rFonts w:hint="default" w:ascii="Times New Roman" w:hAnsi="Times New Roman" w:eastAsia="宋体" w:cs="Times New Roman"/>
          <w:color w:val="auto"/>
          <w:kern w:val="0"/>
          <w:szCs w:val="21"/>
          <w:highlight w:val="none"/>
          <w:lang w:val="zh-CN"/>
        </w:rPr>
        <w:object>
          <v:shape id="_x0000_i1026" o:spt="75" type="#_x0000_t75" style="height:35.55pt;width:85.1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7" r:id="rId26">
            <o:LockedField>false</o:LockedField>
          </o:OLEObject>
        </w:object>
      </w:r>
    </w:p>
    <w:p w14:paraId="45B89B03">
      <w:pPr>
        <w:autoSpaceDE w:val="0"/>
        <w:autoSpaceDN w:val="0"/>
        <w:adjustRightInd w:val="0"/>
        <w:spacing w:line="360" w:lineRule="auto"/>
        <w:ind w:firstLine="2640"/>
        <w:rPr>
          <w:rFonts w:hint="default" w:ascii="Times New Roman" w:hAnsi="Times New Roman" w:eastAsia="宋体" w:cs="Times New Roman"/>
          <w:color w:val="auto"/>
          <w:kern w:val="0"/>
          <w:szCs w:val="21"/>
          <w:highlight w:val="none"/>
          <w:lang w:val="zh-CN"/>
        </w:rPr>
      </w:pPr>
      <w:r>
        <w:rPr>
          <w:rFonts w:hint="default" w:ascii="Times New Roman" w:hAnsi="Times New Roman" w:eastAsia="宋体" w:cs="Times New Roman"/>
          <w:color w:val="auto"/>
          <w:kern w:val="0"/>
          <w:szCs w:val="21"/>
          <w:highlight w:val="none"/>
          <w:lang w:val="zh-CN"/>
        </w:rPr>
        <w:object>
          <v:shape id="_x0000_i1027" o:spt="75" type="#_x0000_t75" style="height:36.45pt;width:84.15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8" r:id="rId28">
            <o:LockedField>false</o:LockedField>
          </o:OLEObject>
        </w:object>
      </w:r>
      <w:r>
        <w:rPr>
          <w:rFonts w:hint="default" w:ascii="Times New Roman" w:hAnsi="Times New Roman" w:eastAsia="宋体" w:cs="Times New Roman"/>
          <w:color w:val="auto"/>
          <w:kern w:val="0"/>
          <w:szCs w:val="21"/>
          <w:highlight w:val="none"/>
          <w:lang w:val="zh-CN"/>
        </w:rPr>
        <w:t xml:space="preserve">  </w:t>
      </w:r>
    </w:p>
    <w:p w14:paraId="23BD855F">
      <w:pPr>
        <w:autoSpaceDE w:val="0"/>
        <w:autoSpaceDN w:val="0"/>
        <w:adjustRightInd w:val="0"/>
        <w:spacing w:line="360" w:lineRule="auto"/>
        <w:ind w:firstLine="2880"/>
        <w:rPr>
          <w:rFonts w:hint="default" w:ascii="Times New Roman" w:hAnsi="Times New Roman" w:eastAsia="宋体" w:cs="Times New Roman"/>
          <w:color w:val="auto"/>
          <w:kern w:val="0"/>
          <w:szCs w:val="21"/>
          <w:highlight w:val="none"/>
          <w:lang w:val="zh-CN"/>
        </w:rPr>
      </w:pPr>
      <w:r>
        <w:rPr>
          <w:rFonts w:hint="default" w:ascii="Times New Roman" w:hAnsi="Times New Roman" w:eastAsia="宋体" w:cs="Times New Roman"/>
          <w:color w:val="auto"/>
          <w:kern w:val="0"/>
          <w:szCs w:val="21"/>
          <w:highlight w:val="none"/>
          <w:lang w:val="zh-CN"/>
        </w:rPr>
        <w:t>λ</w:t>
      </w:r>
      <w:r>
        <w:rPr>
          <w:rFonts w:hint="default" w:ascii="Times New Roman" w:hAnsi="Times New Roman" w:eastAsia="宋体" w:cs="Times New Roman"/>
          <w:color w:val="auto"/>
          <w:kern w:val="0"/>
          <w:szCs w:val="21"/>
          <w:highlight w:val="none"/>
          <w:vertAlign w:val="subscript"/>
          <w:lang w:val="zh-CN"/>
        </w:rPr>
        <w:t>i j</w:t>
      </w:r>
      <w:r>
        <w:rPr>
          <w:rFonts w:hint="default" w:ascii="Times New Roman" w:hAnsi="Times New Roman" w:eastAsia="宋体" w:cs="Times New Roman"/>
          <w:color w:val="auto"/>
          <w:kern w:val="0"/>
          <w:szCs w:val="21"/>
          <w:highlight w:val="none"/>
          <w:lang w:val="zh-CN"/>
        </w:rPr>
        <w:t>= λ</w:t>
      </w:r>
      <w:r>
        <w:rPr>
          <w:rFonts w:hint="default" w:ascii="Times New Roman" w:hAnsi="Times New Roman" w:eastAsia="宋体" w:cs="Times New Roman"/>
          <w:color w:val="auto"/>
          <w:kern w:val="0"/>
          <w:szCs w:val="21"/>
          <w:highlight w:val="none"/>
          <w:vertAlign w:val="subscript"/>
          <w:lang w:val="zh-CN"/>
        </w:rPr>
        <w:t>ji</w:t>
      </w:r>
    </w:p>
    <w:p w14:paraId="525AADD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式中：</w:t>
      </w:r>
      <w:r>
        <w:rPr>
          <w:rFonts w:hint="default" w:ascii="Times New Roman" w:hAnsi="Times New Roman" w:eastAsia="宋体" w:cs="Times New Roman"/>
          <w:color w:val="auto"/>
          <w:sz w:val="24"/>
          <w:szCs w:val="24"/>
          <w:highlight w:val="none"/>
          <w:lang w:val="zh-CN"/>
        </w:rPr>
        <w:object>
          <v:shape id="_x0000_i1028" o:spt="75" type="#_x0000_t75" style="height:18.7pt;width:14.05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9" r:id="rId30">
            <o:LockedField>false</o:LockedField>
          </o:OLEObject>
        </w:object>
      </w:r>
      <w:r>
        <w:rPr>
          <w:rFonts w:hint="default" w:ascii="Times New Roman" w:hAnsi="Times New Roman" w:eastAsia="宋体" w:cs="Times New Roman"/>
          <w:color w:val="auto"/>
          <w:sz w:val="24"/>
          <w:szCs w:val="24"/>
          <w:highlight w:val="none"/>
          <w:lang w:val="zh-CN"/>
        </w:rPr>
        <w:t>：空气的介电常数；</w:t>
      </w:r>
      <w:r>
        <w:rPr>
          <w:rFonts w:hint="default" w:ascii="Times New Roman" w:hAnsi="Times New Roman" w:eastAsia="宋体" w:cs="Times New Roman"/>
          <w:color w:val="auto"/>
          <w:sz w:val="24"/>
          <w:szCs w:val="24"/>
          <w:highlight w:val="none"/>
          <w:lang w:val="zh-CN"/>
        </w:rPr>
        <w:object>
          <v:shape id="_x0000_i1029" o:spt="75" type="#_x0000_t75" style="height:33.65pt;width:115.95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30" r:id="rId32">
            <o:LockedField>false</o:LockedField>
          </o:OLEObject>
        </w:object>
      </w:r>
      <w:r>
        <w:rPr>
          <w:rFonts w:hint="default" w:ascii="Times New Roman" w:hAnsi="Times New Roman" w:eastAsia="宋体" w:cs="Times New Roman"/>
          <w:color w:val="auto"/>
          <w:sz w:val="24"/>
          <w:szCs w:val="24"/>
          <w:highlight w:val="none"/>
          <w:lang w:val="zh-CN"/>
        </w:rPr>
        <w:t>；</w:t>
      </w:r>
    </w:p>
    <w:p w14:paraId="11A313B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hi：导线与地面的距离；</w:t>
      </w:r>
    </w:p>
    <w:p w14:paraId="179ADE0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Lij：第i根导线与第j根导线的间距；</w:t>
      </w:r>
    </w:p>
    <w:p w14:paraId="324A353A">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object>
          <v:shape id="_x0000_i1030" o:spt="75" type="#_x0000_t75" style="height:18.7pt;width:13.1pt;" o:ole="t" filled="f" o:preferrelative="t" stroked="f" coordsize="21600,21600">
            <v:path/>
            <v:fill on="f" focussize="0,0"/>
            <v:stroke on="f" joinstyle="miter"/>
            <v:imagedata r:id="rId35" o:title=""/>
            <o:lock v:ext="edit" aspectratio="t"/>
            <w10:wrap type="none"/>
            <w10:anchorlock/>
          </v:shape>
          <o:OLEObject Type="Embed" ProgID="Equation.3" ShapeID="_x0000_i1030" DrawAspect="Content" ObjectID="_1468075731" r:id="rId34">
            <o:LockedField>false</o:LockedField>
          </o:OLEObject>
        </w:object>
      </w:r>
      <w:r>
        <w:rPr>
          <w:rFonts w:hint="default" w:ascii="Times New Roman" w:hAnsi="Times New Roman" w:eastAsia="宋体" w:cs="Times New Roman"/>
          <w:color w:val="auto"/>
          <w:sz w:val="24"/>
          <w:szCs w:val="24"/>
          <w:highlight w:val="none"/>
          <w:lang w:val="zh-CN"/>
        </w:rPr>
        <w:t>：第i根导线与第j根导线的镜像导线的间距；</w:t>
      </w:r>
    </w:p>
    <w:p w14:paraId="4B6B64D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contextualSpacing/>
        <w:textAlignment w:val="auto"/>
        <w:outlineLvl w:val="9"/>
        <w:rPr>
          <w:rFonts w:hint="default" w:ascii="Times New Roman" w:hAnsi="Times New Roman" w:eastAsia="宋体" w:cs="Times New Roman"/>
          <w:color w:val="auto"/>
          <w:kern w:val="0"/>
          <w:position w:val="-26"/>
          <w:szCs w:val="21"/>
          <w:highlight w:val="none"/>
          <w:lang w:val="zh-CN"/>
        </w:rPr>
      </w:pPr>
      <w:r>
        <w:rPr>
          <w:rFonts w:hint="default" w:ascii="Times New Roman" w:hAnsi="Times New Roman" w:eastAsia="宋体" w:cs="Times New Roman"/>
          <w:color w:val="auto"/>
          <w:sz w:val="24"/>
          <w:szCs w:val="24"/>
          <w:highlight w:val="none"/>
          <w:lang w:val="zh-CN"/>
        </w:rPr>
        <w:t>Ri：输电导线半径，对于分裂导线可用等效单根导线半径带入Ri计算式为：</w:t>
      </w:r>
    </w:p>
    <w:p w14:paraId="0D2628ED">
      <w:pPr>
        <w:autoSpaceDE w:val="0"/>
        <w:autoSpaceDN w:val="0"/>
        <w:adjustRightInd w:val="0"/>
        <w:spacing w:line="360" w:lineRule="auto"/>
        <w:ind w:firstLine="630" w:firstLineChars="300"/>
        <w:jc w:val="center"/>
        <w:rPr>
          <w:rFonts w:hint="default" w:ascii="Times New Roman" w:hAnsi="Times New Roman" w:eastAsia="宋体" w:cs="Times New Roman"/>
          <w:color w:val="auto"/>
          <w:kern w:val="0"/>
          <w:szCs w:val="21"/>
          <w:highlight w:val="none"/>
          <w:lang w:val="zh-CN"/>
        </w:rPr>
      </w:pPr>
      <w:r>
        <w:rPr>
          <w:rFonts w:hint="default" w:ascii="Times New Roman" w:hAnsi="Times New Roman" w:eastAsia="宋体" w:cs="Times New Roman"/>
          <w:color w:val="auto"/>
          <w:kern w:val="0"/>
          <w:position w:val="-26"/>
          <w:szCs w:val="21"/>
          <w:highlight w:val="none"/>
          <w:lang w:val="zh-CN"/>
        </w:rPr>
        <w:object>
          <v:shape id="_x0000_i1031" o:spt="75" type="#_x0000_t75" style="height:35.55pt;width:58.9pt;" o:ole="t" filled="f" o:preferrelative="t" stroked="f" coordsize="21600,21600">
            <v:path/>
            <v:fill on="f" focussize="0,0"/>
            <v:stroke on="f" joinstyle="miter"/>
            <v:imagedata r:id="rId37" o:title=""/>
            <o:lock v:ext="edit" aspectratio="t"/>
            <w10:wrap type="none"/>
            <w10:anchorlock/>
          </v:shape>
          <o:OLEObject Type="Embed" ProgID="Equation.3" ShapeID="_x0000_i1031" DrawAspect="Content" ObjectID="_1468075732" r:id="rId36">
            <o:LockedField>false</o:LockedField>
          </o:OLEObject>
        </w:object>
      </w:r>
    </w:p>
    <w:p w14:paraId="254BCC15">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式中：R：分裂导线半径；</w:t>
      </w:r>
    </w:p>
    <w:p w14:paraId="334AF07B">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 xml:space="preserve">      n：次导线根数；</w:t>
      </w:r>
    </w:p>
    <w:p w14:paraId="2E1BA8BB">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 xml:space="preserve">      r：次导线半径。</w:t>
      </w:r>
    </w:p>
    <w:tbl>
      <w:tblPr>
        <w:tblStyle w:val="2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256"/>
        <w:gridCol w:w="4256"/>
      </w:tblGrid>
      <w:tr w14:paraId="20F5A54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31" w:hRule="atLeast"/>
          <w:jc w:val="center"/>
        </w:trPr>
        <w:tc>
          <w:tcPr>
            <w:tcW w:w="4256" w:type="dxa"/>
            <w:noWrap w:val="0"/>
            <w:vAlign w:val="center"/>
          </w:tcPr>
          <w:p w14:paraId="329BF163">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rPr>
              <w:drawing>
                <wp:inline distT="0" distB="0" distL="114300" distR="114300">
                  <wp:extent cx="2171700" cy="2295525"/>
                  <wp:effectExtent l="0" t="0" r="0" b="9525"/>
                  <wp:docPr id="1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6"/>
                          <pic:cNvPicPr>
                            <a:picLocks noChangeAspect="1"/>
                          </pic:cNvPicPr>
                        </pic:nvPicPr>
                        <pic:blipFill>
                          <a:blip r:embed="rId38"/>
                          <a:srcRect t="3200"/>
                          <a:stretch>
                            <a:fillRect/>
                          </a:stretch>
                        </pic:blipFill>
                        <pic:spPr>
                          <a:xfrm>
                            <a:off x="0" y="0"/>
                            <a:ext cx="2171700" cy="2295525"/>
                          </a:xfrm>
                          <a:prstGeom prst="rect">
                            <a:avLst/>
                          </a:prstGeom>
                          <a:noFill/>
                          <a:ln>
                            <a:noFill/>
                          </a:ln>
                        </pic:spPr>
                      </pic:pic>
                    </a:graphicData>
                  </a:graphic>
                </wp:inline>
              </w:drawing>
            </w:r>
          </w:p>
          <w:p w14:paraId="0499151F">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电位系数计算图</w:t>
            </w:r>
          </w:p>
        </w:tc>
        <w:tc>
          <w:tcPr>
            <w:tcW w:w="4256" w:type="dxa"/>
            <w:noWrap w:val="0"/>
            <w:vAlign w:val="center"/>
          </w:tcPr>
          <w:p w14:paraId="360AC8EA">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rPr>
              <w:drawing>
                <wp:inline distT="0" distB="0" distL="114300" distR="114300">
                  <wp:extent cx="2219325" cy="2209800"/>
                  <wp:effectExtent l="0" t="0" r="9525" b="0"/>
                  <wp:docPr id="2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7"/>
                          <pic:cNvPicPr>
                            <a:picLocks noChangeAspect="1"/>
                          </pic:cNvPicPr>
                        </pic:nvPicPr>
                        <pic:blipFill>
                          <a:blip r:embed="rId39"/>
                          <a:srcRect l="3203" t="3830" r="5901"/>
                          <a:stretch>
                            <a:fillRect/>
                          </a:stretch>
                        </pic:blipFill>
                        <pic:spPr>
                          <a:xfrm>
                            <a:off x="0" y="0"/>
                            <a:ext cx="2219325" cy="2209800"/>
                          </a:xfrm>
                          <a:prstGeom prst="rect">
                            <a:avLst/>
                          </a:prstGeom>
                          <a:noFill/>
                          <a:ln>
                            <a:noFill/>
                          </a:ln>
                        </pic:spPr>
                      </pic:pic>
                    </a:graphicData>
                  </a:graphic>
                </wp:inline>
              </w:drawing>
            </w:r>
          </w:p>
          <w:p w14:paraId="328550D0">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等效半径计算图</w:t>
            </w:r>
          </w:p>
        </w:tc>
      </w:tr>
    </w:tbl>
    <w:p w14:paraId="6115B967">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由[U]矩阵和[λ]，利用等效电荷矩阵方程即可求出[Q]矩阵。空间任意一点的电场强度可根据迭加原理计算得出，在</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x，y</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点的电场强度分量Ex和Ey可表示为：</w:t>
      </w:r>
    </w:p>
    <w:p w14:paraId="2FA4D1EA">
      <w:pPr>
        <w:autoSpaceDE w:val="0"/>
        <w:autoSpaceDN w:val="0"/>
        <w:adjustRightInd w:val="0"/>
        <w:spacing w:line="360" w:lineRule="auto"/>
        <w:ind w:firstLine="1920"/>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kern w:val="0"/>
          <w:szCs w:val="21"/>
          <w:highlight w:val="none"/>
          <w:lang w:val="zh-CN"/>
        </w:rPr>
        <w:object>
          <v:shape id="_x0000_i1032" o:spt="75" type="#_x0000_t75" style="height:35.55pt;width:158.05pt;" o:ole="t" filled="f" o:preferrelative="t" stroked="f" coordsize="21600,21600">
            <v:path/>
            <v:fill on="f" focussize="0,0"/>
            <v:stroke on="f" joinstyle="miter"/>
            <v:imagedata r:id="rId41" o:title=""/>
            <o:lock v:ext="edit" aspectratio="t"/>
            <w10:wrap type="none"/>
            <w10:anchorlock/>
          </v:shape>
          <o:OLEObject Type="Embed" ProgID="Equation.3" ShapeID="_x0000_i1032" DrawAspect="Content" ObjectID="_1468075733" r:id="rId40">
            <o:LockedField>false</o:LockedField>
          </o:OLEObject>
        </w:object>
      </w:r>
      <w:r>
        <w:rPr>
          <w:rFonts w:hint="default" w:ascii="Times New Roman" w:hAnsi="Times New Roman" w:eastAsia="宋体" w:cs="Times New Roman"/>
          <w:color w:val="auto"/>
          <w:szCs w:val="21"/>
          <w:highlight w:val="none"/>
          <w:lang w:val="zh-CN"/>
        </w:rPr>
        <w:t xml:space="preserve">         </w:t>
      </w:r>
    </w:p>
    <w:p w14:paraId="40969ED1">
      <w:pPr>
        <w:autoSpaceDE w:val="0"/>
        <w:autoSpaceDN w:val="0"/>
        <w:adjustRightInd w:val="0"/>
        <w:spacing w:line="360" w:lineRule="auto"/>
        <w:ind w:firstLine="1920"/>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kern w:val="0"/>
          <w:position w:val="-32"/>
          <w:szCs w:val="21"/>
          <w:highlight w:val="none"/>
          <w:lang w:val="zh-CN"/>
        </w:rPr>
        <w:object>
          <v:shape id="_x0000_i1033" o:spt="75" type="#_x0000_t75" style="height:36.45pt;width:199.15pt;" o:ole="t" filled="f" o:preferrelative="t" stroked="f" coordsize="21600,21600">
            <v:path/>
            <v:fill on="f" focussize="0,0"/>
            <v:stroke on="f" joinstyle="miter"/>
            <v:imagedata r:id="rId43" o:title=""/>
            <o:lock v:ext="edit" aspectratio="t"/>
            <w10:wrap type="none"/>
            <w10:anchorlock/>
          </v:shape>
          <o:OLEObject Type="Embed" ProgID="Equation.3" ShapeID="_x0000_i1033" DrawAspect="Content" ObjectID="_1468075734" r:id="rId42">
            <o:LockedField>false</o:LockedField>
          </o:OLEObject>
        </w:object>
      </w:r>
    </w:p>
    <w:p w14:paraId="7E3E1964">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式中：xi、yi：导线i的坐标</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i=1、2、…m</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w:t>
      </w:r>
    </w:p>
    <w:p w14:paraId="7FC247B1">
      <w:pPr>
        <w:keepNext w:val="0"/>
        <w:keepLines w:val="0"/>
        <w:pageBreakBefore w:val="0"/>
        <w:widowControl w:val="0"/>
        <w:kinsoku/>
        <w:wordWrap/>
        <w:overflowPunct/>
        <w:topLinePunct w:val="0"/>
        <w:bidi w:val="0"/>
        <w:adjustRightInd/>
        <w:snapToGrid/>
        <w:spacing w:line="360" w:lineRule="auto"/>
        <w:ind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m：导线数目；</w:t>
      </w:r>
    </w:p>
    <w:p w14:paraId="1B852370">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 xml:space="preserve"> </w:t>
      </w:r>
      <w:r>
        <w:rPr>
          <w:rFonts w:hint="default" w:ascii="Times New Roman" w:hAnsi="Times New Roman" w:eastAsia="宋体" w:cs="Times New Roman"/>
          <w:color w:val="auto"/>
          <w:sz w:val="24"/>
          <w:szCs w:val="24"/>
          <w:highlight w:val="none"/>
          <w:lang w:val="zh-CN"/>
        </w:rPr>
        <w:object>
          <v:shape id="_x0000_i1034" o:spt="75" type="#_x0000_t75" style="height:18.7pt;width:13.1pt;" o:ole="t" filled="f" o:preferrelative="t" stroked="f" coordsize="21600,21600">
            <v:path/>
            <v:fill on="f" focussize="0,0"/>
            <v:stroke on="f" joinstyle="miter"/>
            <v:imagedata r:id="rId45" o:title=""/>
            <o:lock v:ext="edit" aspectratio="t"/>
            <w10:wrap type="none"/>
            <w10:anchorlock/>
          </v:shape>
          <o:OLEObject Type="Embed" ProgID="Equation.3" ShapeID="_x0000_i1034" DrawAspect="Content" ObjectID="_1468075735" r:id="rId44">
            <o:LockedField>false</o:LockedField>
          </o:OLEObject>
        </w:object>
      </w:r>
      <w:r>
        <w:rPr>
          <w:rFonts w:hint="default" w:ascii="Times New Roman" w:hAnsi="Times New Roman" w:eastAsia="宋体" w:cs="Times New Roman"/>
          <w:color w:val="auto"/>
          <w:sz w:val="24"/>
          <w:szCs w:val="24"/>
          <w:highlight w:val="none"/>
          <w:lang w:val="zh-CN"/>
        </w:rPr>
        <w:t>和</w:t>
      </w:r>
      <w:r>
        <w:rPr>
          <w:rFonts w:hint="default" w:ascii="Times New Roman" w:hAnsi="Times New Roman" w:eastAsia="宋体" w:cs="Times New Roman"/>
          <w:color w:val="auto"/>
          <w:sz w:val="24"/>
          <w:szCs w:val="24"/>
          <w:highlight w:val="none"/>
          <w:lang w:val="zh-CN"/>
        </w:rPr>
        <w:object>
          <v:shape id="_x0000_i1035" o:spt="75" type="#_x0000_t75" style="height:18.7pt;width:14.05pt;" o:ole="t" filled="f" o:preferrelative="t" stroked="f" coordsize="21600,21600">
            <v:path/>
            <v:fill on="f" focussize="0,0"/>
            <v:stroke on="f" joinstyle="miter"/>
            <v:imagedata r:id="rId47" o:title=""/>
            <o:lock v:ext="edit" aspectratio="t"/>
            <w10:wrap type="none"/>
            <w10:anchorlock/>
          </v:shape>
          <o:OLEObject Type="Embed" ProgID="Equation.3" ShapeID="_x0000_i1035" DrawAspect="Content" ObjectID="_1468075736" r:id="rId46">
            <o:LockedField>false</o:LockedField>
          </o:OLEObject>
        </w:object>
      </w:r>
      <w:r>
        <w:rPr>
          <w:rFonts w:hint="default" w:ascii="Times New Roman" w:hAnsi="Times New Roman" w:eastAsia="宋体" w:cs="Times New Roman"/>
          <w:color w:val="auto"/>
          <w:sz w:val="24"/>
          <w:szCs w:val="24"/>
          <w:highlight w:val="none"/>
          <w:lang w:val="zh-CN"/>
        </w:rPr>
        <w:t>：分别为导线i及其镜像至计算点的距离。</w:t>
      </w:r>
    </w:p>
    <w:p w14:paraId="75CB699C">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contextualSpacing/>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对于三相交流线路，可根据求得的电荷计算空间任一点电场强度的水平和垂直分量为：</w:t>
      </w:r>
    </w:p>
    <w:p w14:paraId="29E65821">
      <w:pPr>
        <w:autoSpaceDE w:val="0"/>
        <w:autoSpaceDN w:val="0"/>
        <w:adjustRightInd w:val="0"/>
        <w:spacing w:line="360" w:lineRule="auto"/>
        <w:ind w:firstLine="1920"/>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kern w:val="0"/>
          <w:szCs w:val="21"/>
          <w:highlight w:val="none"/>
          <w:lang w:val="zh-CN"/>
        </w:rPr>
        <w:object>
          <v:shape id="_x0000_i1036" o:spt="75" type="#_x0000_t75" style="height:29.9pt;width:163.65pt;" o:ole="t" filled="f" o:preferrelative="t" stroked="f" coordsize="21600,21600">
            <v:path/>
            <v:fill on="f" focussize="0,0"/>
            <v:stroke on="f" joinstyle="miter"/>
            <v:imagedata r:id="rId49" o:title=""/>
            <o:lock v:ext="edit" aspectratio="t"/>
            <w10:wrap type="none"/>
            <w10:anchorlock/>
          </v:shape>
          <o:OLEObject Type="Embed" ProgID="Equation.3" ShapeID="_x0000_i1036" DrawAspect="Content" ObjectID="_1468075737" r:id="rId48">
            <o:LockedField>false</o:LockedField>
          </o:OLEObject>
        </w:object>
      </w:r>
    </w:p>
    <w:p w14:paraId="72D733DE">
      <w:pPr>
        <w:autoSpaceDE w:val="0"/>
        <w:autoSpaceDN w:val="0"/>
        <w:adjustRightInd w:val="0"/>
        <w:spacing w:line="360" w:lineRule="auto"/>
        <w:ind w:firstLine="1920"/>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kern w:val="0"/>
          <w:szCs w:val="21"/>
          <w:highlight w:val="none"/>
          <w:lang w:val="zh-CN"/>
        </w:rPr>
        <w:object>
          <v:shape id="_x0000_i1037" o:spt="75" type="#_x0000_t75" style="height:29.9pt;width:164.55pt;" o:ole="t" filled="f" o:preferrelative="t" stroked="f" coordsize="21600,21600">
            <v:path/>
            <v:fill on="f" focussize="0,0"/>
            <v:stroke on="f" joinstyle="miter"/>
            <v:imagedata r:id="rId51" o:title=""/>
            <o:lock v:ext="edit" aspectratio="t"/>
            <w10:wrap type="none"/>
            <w10:anchorlock/>
          </v:shape>
          <o:OLEObject Type="Embed" ProgID="Equation.3" ShapeID="_x0000_i1037" DrawAspect="Content" ObjectID="_1468075738" r:id="rId50">
            <o:LockedField>false</o:LockedField>
          </o:OLEObject>
        </w:object>
      </w:r>
    </w:p>
    <w:p w14:paraId="5BBD0EC8">
      <w:pPr>
        <w:autoSpaceDE w:val="0"/>
        <w:autoSpaceDN w:val="0"/>
        <w:adjustRightInd w:val="0"/>
        <w:spacing w:line="360" w:lineRule="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式中：E</w:t>
      </w:r>
      <w:r>
        <w:rPr>
          <w:rFonts w:hint="default" w:ascii="Times New Roman" w:hAnsi="Times New Roman" w:eastAsia="宋体" w:cs="Times New Roman"/>
          <w:color w:val="auto"/>
          <w:sz w:val="24"/>
          <w:szCs w:val="24"/>
          <w:highlight w:val="none"/>
          <w:vertAlign w:val="subscript"/>
          <w:lang w:val="zh-CN"/>
        </w:rPr>
        <w:t>xR</w:t>
      </w:r>
      <w:r>
        <w:rPr>
          <w:rFonts w:hint="default" w:ascii="Times New Roman" w:hAnsi="Times New Roman" w:eastAsia="宋体" w:cs="Times New Roman"/>
          <w:color w:val="auto"/>
          <w:sz w:val="24"/>
          <w:szCs w:val="24"/>
          <w:highlight w:val="none"/>
          <w:lang w:val="zh-CN"/>
        </w:rPr>
        <w:t>：由各导线的实部电荷在该点产生场强的水平分量</w:t>
      </w:r>
    </w:p>
    <w:p w14:paraId="332833BA">
      <w:pPr>
        <w:autoSpaceDE w:val="0"/>
        <w:autoSpaceDN w:val="0"/>
        <w:adjustRightInd w:val="0"/>
        <w:spacing w:line="360" w:lineRule="auto"/>
        <w:ind w:firstLine="72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E</w:t>
      </w:r>
      <w:r>
        <w:rPr>
          <w:rFonts w:hint="default" w:ascii="Times New Roman" w:hAnsi="Times New Roman" w:eastAsia="宋体" w:cs="Times New Roman"/>
          <w:color w:val="auto"/>
          <w:sz w:val="24"/>
          <w:szCs w:val="24"/>
          <w:highlight w:val="none"/>
          <w:vertAlign w:val="subscript"/>
          <w:lang w:val="zh-CN"/>
        </w:rPr>
        <w:t>xI</w:t>
      </w:r>
      <w:r>
        <w:rPr>
          <w:rFonts w:hint="default" w:ascii="Times New Roman" w:hAnsi="Times New Roman" w:eastAsia="宋体" w:cs="Times New Roman"/>
          <w:color w:val="auto"/>
          <w:sz w:val="24"/>
          <w:szCs w:val="24"/>
          <w:highlight w:val="none"/>
          <w:lang w:val="zh-CN"/>
        </w:rPr>
        <w:t>：由各导线的虚部电荷在该点产生场强的水平分量</w:t>
      </w:r>
    </w:p>
    <w:p w14:paraId="3ABD2278">
      <w:pPr>
        <w:autoSpaceDE w:val="0"/>
        <w:autoSpaceDN w:val="0"/>
        <w:adjustRightInd w:val="0"/>
        <w:spacing w:line="360" w:lineRule="auto"/>
        <w:ind w:firstLine="72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E</w:t>
      </w:r>
      <w:r>
        <w:rPr>
          <w:rFonts w:hint="default" w:ascii="Times New Roman" w:hAnsi="Times New Roman" w:eastAsia="宋体" w:cs="Times New Roman"/>
          <w:color w:val="auto"/>
          <w:sz w:val="24"/>
          <w:szCs w:val="24"/>
          <w:highlight w:val="none"/>
          <w:vertAlign w:val="subscript"/>
          <w:lang w:val="zh-CN"/>
        </w:rPr>
        <w:t>yR</w:t>
      </w:r>
      <w:r>
        <w:rPr>
          <w:rFonts w:hint="default" w:ascii="Times New Roman" w:hAnsi="Times New Roman" w:eastAsia="宋体" w:cs="Times New Roman"/>
          <w:color w:val="auto"/>
          <w:sz w:val="24"/>
          <w:szCs w:val="24"/>
          <w:highlight w:val="none"/>
          <w:lang w:val="zh-CN"/>
        </w:rPr>
        <w:t>：由各导线的实部电荷在该点产生场强的垂直分量</w:t>
      </w:r>
    </w:p>
    <w:p w14:paraId="79BB8305">
      <w:pPr>
        <w:autoSpaceDE w:val="0"/>
        <w:autoSpaceDN w:val="0"/>
        <w:adjustRightInd w:val="0"/>
        <w:spacing w:line="360" w:lineRule="auto"/>
        <w:ind w:firstLine="72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E</w:t>
      </w:r>
      <w:r>
        <w:rPr>
          <w:rFonts w:hint="default" w:ascii="Times New Roman" w:hAnsi="Times New Roman" w:eastAsia="宋体" w:cs="Times New Roman"/>
          <w:color w:val="auto"/>
          <w:sz w:val="24"/>
          <w:szCs w:val="24"/>
          <w:highlight w:val="none"/>
          <w:vertAlign w:val="subscript"/>
          <w:lang w:val="zh-CN"/>
        </w:rPr>
        <w:t>yI</w:t>
      </w:r>
      <w:r>
        <w:rPr>
          <w:rFonts w:hint="default" w:ascii="Times New Roman" w:hAnsi="Times New Roman" w:eastAsia="宋体" w:cs="Times New Roman"/>
          <w:color w:val="auto"/>
          <w:sz w:val="24"/>
          <w:szCs w:val="24"/>
          <w:highlight w:val="none"/>
          <w:lang w:val="zh-CN"/>
        </w:rPr>
        <w:t>：由各导线的虚部电荷在该点产生场强的垂直分量</w:t>
      </w:r>
    </w:p>
    <w:p w14:paraId="3FBF01C3">
      <w:pPr>
        <w:autoSpaceDE w:val="0"/>
        <w:autoSpaceDN w:val="0"/>
        <w:adjustRightInd w:val="0"/>
        <w:spacing w:line="360"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该点的合成场为：</w:t>
      </w:r>
    </w:p>
    <w:p w14:paraId="52C2AB07">
      <w:pPr>
        <w:autoSpaceDE w:val="0"/>
        <w:autoSpaceDN w:val="0"/>
        <w:adjustRightInd w:val="0"/>
        <w:spacing w:line="360" w:lineRule="auto"/>
        <w:ind w:firstLine="960"/>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kern w:val="0"/>
          <w:szCs w:val="21"/>
          <w:highlight w:val="none"/>
          <w:lang w:val="zh-CN"/>
        </w:rPr>
        <w:object>
          <v:shape id="_x0000_i1038" o:spt="75" type="#_x0000_t75" style="height:20.55pt;width:252.45pt;" o:ole="t" filled="f" o:preferrelative="t" stroked="f" coordsize="21600,21600">
            <v:path/>
            <v:fill on="f" focussize="0,0"/>
            <v:stroke on="f" joinstyle="miter"/>
            <v:imagedata r:id="rId53" o:title=""/>
            <o:lock v:ext="edit" aspectratio="t"/>
            <w10:wrap type="none"/>
            <w10:anchorlock/>
          </v:shape>
          <o:OLEObject Type="Embed" ProgID="Equation.3" ShapeID="_x0000_i1038" DrawAspect="Content" ObjectID="_1468075739" r:id="rId52">
            <o:LockedField>false</o:LockedField>
          </o:OLEObject>
        </w:object>
      </w:r>
    </w:p>
    <w:p w14:paraId="7A2095A5">
      <w:pPr>
        <w:autoSpaceDE w:val="0"/>
        <w:autoSpaceDN w:val="0"/>
        <w:adjustRightInd w:val="0"/>
        <w:spacing w:line="360"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式中：</w:t>
      </w:r>
    </w:p>
    <w:p w14:paraId="6195A782">
      <w:pPr>
        <w:autoSpaceDE w:val="0"/>
        <w:autoSpaceDN w:val="0"/>
        <w:adjustRightInd w:val="0"/>
        <w:spacing w:line="360" w:lineRule="auto"/>
        <w:ind w:firstLine="2160"/>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kern w:val="0"/>
          <w:szCs w:val="21"/>
          <w:highlight w:val="none"/>
          <w:lang w:val="zh-CN"/>
        </w:rPr>
        <w:object>
          <v:shape id="_x0000_i1039" o:spt="75" type="#_x0000_t75" style="height:22.45pt;width:85.1pt;" o:ole="t" filled="f" o:preferrelative="t" stroked="f" coordsize="21600,21600">
            <v:path/>
            <v:fill on="f" focussize="0,0"/>
            <v:stroke on="f" joinstyle="miter"/>
            <v:imagedata r:id="rId55" o:title=""/>
            <o:lock v:ext="edit" aspectratio="t"/>
            <w10:wrap type="none"/>
            <w10:anchorlock/>
          </v:shape>
          <o:OLEObject Type="Embed" ProgID="Equation.3" ShapeID="_x0000_i1039" DrawAspect="Content" ObjectID="_1468075740" r:id="rId54">
            <o:LockedField>false</o:LockedField>
          </o:OLEObject>
        </w:object>
      </w:r>
    </w:p>
    <w:p w14:paraId="5ADFA510">
      <w:pPr>
        <w:spacing w:line="440" w:lineRule="exact"/>
        <w:ind w:firstLine="2205" w:firstLineChars="105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val="zh-CN"/>
        </w:rPr>
        <w:object>
          <v:shape id="_x0000_i1040" o:spt="75" type="#_x0000_t75" style="height:23.4pt;width:86.05pt;" o:ole="t" filled="f" o:preferrelative="t" stroked="f" coordsize="21600,21600">
            <v:path/>
            <v:fill on="f" focussize="0,0"/>
            <v:stroke on="f" joinstyle="miter"/>
            <v:imagedata r:id="rId57" o:title=""/>
            <o:lock v:ext="edit" aspectratio="t"/>
            <w10:wrap type="none"/>
            <w10:anchorlock/>
          </v:shape>
          <o:OLEObject Type="Embed" ProgID="Equation.3" ShapeID="_x0000_i1040" DrawAspect="Content" ObjectID="_1468075741" r:id="rId56">
            <o:LockedField>false</o:LockedField>
          </o:OLEObject>
        </w:object>
      </w:r>
    </w:p>
    <w:p w14:paraId="7B3CF988">
      <w:pPr>
        <w:autoSpaceDE w:val="0"/>
        <w:autoSpaceDN w:val="0"/>
        <w:adjustRightInd w:val="0"/>
        <w:spacing w:line="360"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②高压送电线下空间工频磁感应强度强度分布的理论计算（附录D）</w:t>
      </w:r>
    </w:p>
    <w:p w14:paraId="2D8B229B">
      <w:pPr>
        <w:autoSpaceDE w:val="0"/>
        <w:autoSpaceDN w:val="0"/>
        <w:adjustRightInd w:val="0"/>
        <w:spacing w:line="360"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由于工频情况下电磁性能具有准静态特性，线路的磁场仅由电流产生，应用安培定律，将计算结果按矢量叠加，可得出导线周围的磁场强度。</w:t>
      </w:r>
    </w:p>
    <w:p w14:paraId="116A4996">
      <w:pPr>
        <w:autoSpaceDE w:val="0"/>
        <w:autoSpaceDN w:val="0"/>
        <w:adjustRightInd w:val="0"/>
        <w:spacing w:line="360" w:lineRule="auto"/>
        <w:ind w:firstLine="48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szCs w:val="24"/>
          <w:highlight w:val="none"/>
          <w:lang w:val="zh-CN"/>
        </w:rPr>
        <w:t xml:space="preserve">和电场强度计算不同的是关于镜像导线的考虑，与导线所处高度相比这些镜像导线位于地下很深的距离d： </w:t>
      </w:r>
    </w:p>
    <w:p w14:paraId="5E2C2D7D">
      <w:pPr>
        <w:autoSpaceDE w:val="0"/>
        <w:autoSpaceDN w:val="0"/>
        <w:adjustRightInd w:val="0"/>
        <w:spacing w:line="360" w:lineRule="auto"/>
        <w:ind w:firstLine="48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highlight w:val="none"/>
        </w:rPr>
        <w:drawing>
          <wp:inline distT="0" distB="0" distL="114300" distR="114300">
            <wp:extent cx="971550" cy="466725"/>
            <wp:effectExtent l="0" t="0" r="0" b="8890"/>
            <wp:docPr id="2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7"/>
                    <pic:cNvPicPr>
                      <a:picLocks noChangeAspect="1"/>
                    </pic:cNvPicPr>
                  </pic:nvPicPr>
                  <pic:blipFill>
                    <a:blip r:embed="rId58"/>
                    <a:stretch>
                      <a:fillRect/>
                    </a:stretch>
                  </pic:blipFill>
                  <pic:spPr>
                    <a:xfrm>
                      <a:off x="0" y="0"/>
                      <a:ext cx="971550" cy="466725"/>
                    </a:xfrm>
                    <a:prstGeom prst="rect">
                      <a:avLst/>
                    </a:prstGeom>
                    <a:noFill/>
                    <a:ln>
                      <a:noFill/>
                    </a:ln>
                  </pic:spPr>
                </pic:pic>
              </a:graphicData>
            </a:graphic>
          </wp:inline>
        </w:drawing>
      </w:r>
    </w:p>
    <w:p w14:paraId="39576839">
      <w:pPr>
        <w:autoSpaceDE w:val="0"/>
        <w:autoSpaceDN w:val="0"/>
        <w:adjustRightInd w:val="0"/>
        <w:spacing w:line="360" w:lineRule="auto"/>
        <w:ind w:firstLine="480"/>
        <w:jc w:val="left"/>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rPr>
        <w:drawing>
          <wp:inline distT="0" distB="0" distL="114300" distR="114300">
            <wp:extent cx="2257425" cy="647700"/>
            <wp:effectExtent l="0" t="0" r="9525" b="0"/>
            <wp:docPr id="212" name="图片 38" descr="QQ截图2015043014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8" descr="QQ截图20150430141941.png"/>
                    <pic:cNvPicPr>
                      <a:picLocks noChangeAspect="1"/>
                    </pic:cNvPicPr>
                  </pic:nvPicPr>
                  <pic:blipFill>
                    <a:blip r:embed="rId59"/>
                    <a:stretch>
                      <a:fillRect/>
                    </a:stretch>
                  </pic:blipFill>
                  <pic:spPr>
                    <a:xfrm>
                      <a:off x="0" y="0"/>
                      <a:ext cx="2257425" cy="647700"/>
                    </a:xfrm>
                    <a:prstGeom prst="rect">
                      <a:avLst/>
                    </a:prstGeom>
                    <a:noFill/>
                    <a:ln>
                      <a:noFill/>
                    </a:ln>
                  </pic:spPr>
                </pic:pic>
              </a:graphicData>
            </a:graphic>
          </wp:inline>
        </w:drawing>
      </w:r>
    </w:p>
    <w:p w14:paraId="14C79B2A">
      <w:pPr>
        <w:autoSpaceDE w:val="0"/>
        <w:autoSpaceDN w:val="0"/>
        <w:adjustRightInd w:val="0"/>
        <w:spacing w:line="360"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 xml:space="preserve">在很多情况下，只考虑处于空间的实际导线，忽略它的镜像进行计算，其结果已足够符合实际。不考虑导线i的镜像时，可计算在A点其产生的磁场强度： </w:t>
      </w:r>
    </w:p>
    <w:p w14:paraId="0735C158">
      <w:pPr>
        <w:widowControl w:val="0"/>
        <w:spacing w:line="360" w:lineRule="auto"/>
        <w:ind w:firstLine="2891" w:firstLineChars="1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position w:val="-4"/>
          <w:sz w:val="24"/>
          <w:szCs w:val="32"/>
          <w:highlight w:val="none"/>
          <w:lang w:val="en-US" w:eastAsia="zh-CN" w:bidi="ar-SA"/>
        </w:rPr>
        <w:object>
          <v:shape id="_x0000_i1041" o:spt="75" type="#_x0000_t75" style="height:12.4pt;width:14.05pt;" o:ole="t" filled="f" o:preferrelative="t" stroked="f" coordsize="21600,21600">
            <v:path/>
            <v:fill on="f" focussize="0,0"/>
            <v:stroke on="f"/>
            <v:imagedata r:id="rId61" o:title=""/>
            <o:lock v:ext="edit" grouping="f" rotation="f" text="f" aspectratio="t"/>
            <w10:wrap type="none"/>
            <w10:anchorlock/>
          </v:shape>
          <o:OLEObject Type="Embed" ProgID="Equation.3" ShapeID="_x0000_i1041" DrawAspect="Content" ObjectID="_1468075742" r:id="rId60">
            <o:LockedField>false</o:LockedField>
          </o:OLEObject>
        </w:object>
      </w:r>
      <w:r>
        <w:rPr>
          <w:rFonts w:hint="default" w:ascii="Times New Roman" w:hAnsi="Times New Roman" w:eastAsia="宋体" w:cs="Times New Roman"/>
          <w:b/>
          <w:bCs/>
          <w:color w:val="auto"/>
          <w:kern w:val="2"/>
          <w:sz w:val="24"/>
          <w:szCs w:val="32"/>
          <w:highlight w:val="none"/>
          <w:lang w:val="en-US" w:eastAsia="zh-CN" w:bidi="ar-SA"/>
        </w:rPr>
        <w:t>＝</w:t>
      </w:r>
      <w:r>
        <w:rPr>
          <w:rFonts w:hint="default" w:ascii="Times New Roman" w:hAnsi="Times New Roman" w:eastAsia="宋体" w:cs="Times New Roman"/>
          <w:b/>
          <w:bCs/>
          <w:color w:val="auto"/>
          <w:kern w:val="2"/>
          <w:position w:val="-30"/>
          <w:sz w:val="24"/>
          <w:szCs w:val="32"/>
          <w:highlight w:val="none"/>
          <w:lang w:val="en-US" w:eastAsia="zh-CN" w:bidi="ar-SA"/>
        </w:rPr>
        <w:object>
          <v:shape id="_x0000_i1042" o:spt="75" type="#_x0000_t75" style="height:33.95pt;width:62.05pt;" o:ole="t" filled="f" o:preferrelative="t" stroked="f" coordsize="21600,21600">
            <v:path/>
            <v:fill on="f" focussize="0,0"/>
            <v:stroke on="f"/>
            <v:imagedata r:id="rId63" o:title=""/>
            <o:lock v:ext="edit" grouping="f" rotation="f" text="f" aspectratio="t"/>
            <w10:wrap type="none"/>
            <w10:anchorlock/>
          </v:shape>
          <o:OLEObject Type="Embed" ProgID="Equation.3" ShapeID="_x0000_i1042" DrawAspect="Content" ObjectID="_1468075743" r:id="rId62">
            <o:LockedField>false</o:LockedField>
          </o:OLEObject>
        </w:object>
      </w:r>
      <w:r>
        <w:rPr>
          <w:rFonts w:hint="default" w:ascii="Times New Roman" w:hAnsi="Times New Roman" w:eastAsia="宋体" w:cs="Times New Roman"/>
          <w:b/>
          <w:bCs/>
          <w:color w:val="auto"/>
          <w:kern w:val="2"/>
          <w:sz w:val="24"/>
          <w:szCs w:val="32"/>
          <w:highlight w:val="none"/>
          <w:lang w:val="en-US" w:eastAsia="zh-CN" w:bidi="ar-SA"/>
        </w:rPr>
        <w:t xml:space="preserve"> （A/m）      </w:t>
      </w:r>
    </w:p>
    <w:p w14:paraId="779432C6">
      <w:pPr>
        <w:widowControl w:val="0"/>
        <w:spacing w:line="360" w:lineRule="auto"/>
        <w:ind w:firstLine="1200" w:firstLineChars="5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式中：I——导线i中的电流值，A；</w:t>
      </w:r>
    </w:p>
    <w:p w14:paraId="6AB7E779">
      <w:pPr>
        <w:widowControl w:val="0"/>
        <w:spacing w:line="360" w:lineRule="auto"/>
        <w:ind w:firstLine="1920" w:firstLineChars="8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h——导线与预测点的高差，m；</w:t>
      </w:r>
    </w:p>
    <w:p w14:paraId="433FE269">
      <w:pPr>
        <w:widowControl w:val="0"/>
        <w:spacing w:line="360" w:lineRule="auto"/>
        <w:ind w:firstLine="1920" w:firstLineChars="800"/>
        <w:jc w:val="left"/>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L ——导线与预测点水平距离，m。</w:t>
      </w:r>
    </w:p>
    <w:p w14:paraId="4F504C6A">
      <w:pPr>
        <w:autoSpaceDE w:val="0"/>
        <w:autoSpaceDN w:val="0"/>
        <w:adjustRightInd w:val="0"/>
        <w:spacing w:line="360" w:lineRule="auto"/>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对于三相线路</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由相位不同形成的磁场强度水平和垂直分量都必须分别考虑电流间的相角，按相位矢量来合成。一般来说合成矢量对时间段轨迹是一个椭圆。</w:t>
      </w:r>
    </w:p>
    <w:p w14:paraId="7F29EA25">
      <w:pPr>
        <w:autoSpaceDE w:val="0"/>
        <w:autoSpaceDN w:val="0"/>
        <w:adjustRightInd w:val="0"/>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2965450" cy="1275715"/>
            <wp:effectExtent l="0" t="0" r="6350" b="635"/>
            <wp:docPr id="1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1"/>
                    <pic:cNvPicPr>
                      <a:picLocks noChangeAspect="1"/>
                    </pic:cNvPicPr>
                  </pic:nvPicPr>
                  <pic:blipFill>
                    <a:blip r:embed="rId64"/>
                    <a:stretch>
                      <a:fillRect/>
                    </a:stretch>
                  </pic:blipFill>
                  <pic:spPr>
                    <a:xfrm>
                      <a:off x="0" y="0"/>
                      <a:ext cx="2965450" cy="1275715"/>
                    </a:xfrm>
                    <a:prstGeom prst="rect">
                      <a:avLst/>
                    </a:prstGeom>
                    <a:noFill/>
                    <a:ln>
                      <a:noFill/>
                    </a:ln>
                  </pic:spPr>
                </pic:pic>
              </a:graphicData>
            </a:graphic>
          </wp:inline>
        </w:drawing>
      </w:r>
    </w:p>
    <w:p w14:paraId="2D9C3F55">
      <w:pPr>
        <w:autoSpaceDE w:val="0"/>
        <w:autoSpaceDN w:val="0"/>
        <w:adjustRightInd w:val="0"/>
        <w:spacing w:line="360" w:lineRule="auto"/>
        <w:jc w:val="center"/>
        <w:rPr>
          <w:rFonts w:hint="default" w:ascii="Times New Roman" w:hAnsi="Times New Roman" w:eastAsia="宋体" w:cs="Times New Roman"/>
          <w:b w:val="0"/>
          <w:bCs/>
          <w:color w:val="auto"/>
          <w:spacing w:val="6"/>
          <w:sz w:val="21"/>
          <w:szCs w:val="21"/>
          <w:highlight w:val="none"/>
        </w:rPr>
      </w:pPr>
      <w:r>
        <w:rPr>
          <w:rFonts w:hint="default" w:ascii="Times New Roman" w:hAnsi="Times New Roman" w:eastAsia="宋体" w:cs="Times New Roman"/>
          <w:b/>
          <w:bCs/>
          <w:color w:val="auto"/>
          <w:sz w:val="21"/>
          <w:szCs w:val="21"/>
          <w:highlight w:val="none"/>
          <w:lang w:val="zh-CN"/>
        </w:rPr>
        <w:t>图</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zh-CN"/>
        </w:rPr>
        <w:t xml:space="preserve"> 磁场向量图</w:t>
      </w:r>
    </w:p>
    <w:p w14:paraId="517E504C">
      <w:pPr>
        <w:keepNext w:val="0"/>
        <w:keepLines w:val="0"/>
        <w:pageBreakBefore w:val="0"/>
        <w:kinsoku/>
        <w:wordWrap w:val="0"/>
        <w:overflowPunct/>
        <w:bidi w:val="0"/>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eastAsia="zh-CN"/>
        </w:rPr>
        <w:t>）预测工况及环境条件的选择</w:t>
      </w:r>
    </w:p>
    <w:p w14:paraId="707F2C84">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220kV输电线路运行产生的工频电场、工频磁场主要由导线的线间距离、导线对地高度、导线型式和线路运行工况（电压、电流等）决定的。</w:t>
      </w:r>
    </w:p>
    <w:p w14:paraId="0C368174">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参照《环境影响评价技术导则 输变电》（HJ 24-2020）中推荐的计算模式，在其他参数一致的情况下，输电线路的相线间距将影响到线路运行产生的工频电场强度、工频磁感应强度。根据预测模式，线间距越大，产生的工频电场、工频磁感应强度越大。据此，本次预测选取线间距相对较大的塔型的最低弧垂处进行预测。</w:t>
      </w:r>
    </w:p>
    <w:p w14:paraId="56F68A57">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val="0"/>
          <w:bCs/>
          <w:color w:val="auto"/>
          <w:spacing w:val="6"/>
          <w:sz w:val="24"/>
          <w:szCs w:val="24"/>
          <w:highlight w:val="none"/>
          <w:lang w:eastAsia="zh-CN"/>
        </w:rPr>
        <w:t>（</w:t>
      </w:r>
      <w:r>
        <w:rPr>
          <w:rFonts w:hint="default" w:ascii="Times New Roman" w:hAnsi="Times New Roman" w:eastAsia="宋体" w:cs="Times New Roman"/>
          <w:b w:val="0"/>
          <w:bCs/>
          <w:color w:val="auto"/>
          <w:spacing w:val="6"/>
          <w:sz w:val="24"/>
          <w:szCs w:val="24"/>
          <w:highlight w:val="none"/>
          <w:lang w:val="en-US" w:eastAsia="zh-CN"/>
        </w:rPr>
        <w:t>3</w:t>
      </w:r>
      <w:r>
        <w:rPr>
          <w:rFonts w:hint="default" w:ascii="Times New Roman" w:hAnsi="Times New Roman" w:eastAsia="宋体" w:cs="Times New Roman"/>
          <w:b w:val="0"/>
          <w:bCs/>
          <w:color w:val="auto"/>
          <w:spacing w:val="6"/>
          <w:sz w:val="24"/>
          <w:szCs w:val="24"/>
          <w:highlight w:val="none"/>
          <w:lang w:eastAsia="zh-CN"/>
        </w:rPr>
        <w:t>）预测参数及预测结果</w:t>
      </w:r>
    </w:p>
    <w:p w14:paraId="7D09144B">
      <w:pPr>
        <w:keepNext w:val="0"/>
        <w:keepLines w:val="0"/>
        <w:pageBreakBefore w:val="0"/>
        <w:widowControl w:val="0"/>
        <w:kinsoku/>
        <w:wordWrap/>
        <w:overflowPunct/>
        <w:topLinePunct w:val="0"/>
        <w:autoSpaceDE/>
        <w:autoSpaceDN/>
        <w:bidi w:val="0"/>
        <w:adjustRightInd/>
        <w:snapToGrid/>
        <w:spacing w:line="360" w:lineRule="auto"/>
        <w:ind w:firstLine="506" w:firstLineChars="200"/>
        <w:textAlignment w:val="auto"/>
        <w:outlineLvl w:val="9"/>
        <w:rPr>
          <w:rFonts w:hint="default" w:ascii="Times New Roman" w:hAnsi="Times New Roman" w:eastAsia="宋体" w:cs="Times New Roman"/>
          <w:b/>
          <w:bCs w:val="0"/>
          <w:color w:val="auto"/>
          <w:spacing w:val="6"/>
          <w:sz w:val="24"/>
          <w:szCs w:val="24"/>
          <w:highlight w:val="none"/>
          <w:lang w:val="en-US" w:eastAsia="zh-CN"/>
        </w:rPr>
      </w:pPr>
      <w:r>
        <w:rPr>
          <w:rFonts w:hint="eastAsia" w:ascii="Times New Roman" w:hAnsi="Times New Roman" w:eastAsia="宋体" w:cs="Times New Roman"/>
          <w:b/>
          <w:bCs w:val="0"/>
          <w:color w:val="auto"/>
          <w:spacing w:val="6"/>
          <w:sz w:val="24"/>
          <w:szCs w:val="24"/>
          <w:highlight w:val="none"/>
          <w:lang w:val="en-US" w:eastAsia="zh-CN"/>
        </w:rPr>
        <w:t>1）过渡方案220kv单回线路预测</w:t>
      </w:r>
    </w:p>
    <w:p w14:paraId="1B43B5A2">
      <w:pPr>
        <w:widowControl w:val="0"/>
        <w:adjustRightInd w:val="0"/>
        <w:snapToGrid w:val="0"/>
        <w:spacing w:before="60" w:beforeLines="25" w:after="60" w:afterLines="25" w:line="240" w:lineRule="auto"/>
        <w:ind w:firstLine="422" w:firstLineChars="200"/>
        <w:jc w:val="center"/>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表4.1</w:t>
      </w:r>
      <w:r>
        <w:rPr>
          <w:rFonts w:hint="eastAsia" w:ascii="Times New Roman" w:hAnsi="Times New Roman" w:eastAsia="宋体" w:cs="Times New Roman"/>
          <w:b/>
          <w:bCs w:val="0"/>
          <w:color w:val="auto"/>
          <w:kern w:val="2"/>
          <w:sz w:val="21"/>
          <w:szCs w:val="21"/>
          <w:highlight w:val="none"/>
          <w:lang w:val="en-US" w:eastAsia="zh-CN" w:bidi="ar-SA"/>
        </w:rPr>
        <w:t>-1</w:t>
      </w:r>
      <w:r>
        <w:rPr>
          <w:rFonts w:hint="default" w:ascii="Times New Roman" w:hAnsi="Times New Roman" w:eastAsia="宋体" w:cs="Times New Roman"/>
          <w:b/>
          <w:bCs w:val="0"/>
          <w:color w:val="auto"/>
          <w:kern w:val="2"/>
          <w:sz w:val="21"/>
          <w:szCs w:val="21"/>
          <w:highlight w:val="none"/>
          <w:lang w:val="en-US" w:eastAsia="zh-CN" w:bidi="ar-SA"/>
        </w:rPr>
        <w:t xml:space="preserve">  </w:t>
      </w:r>
      <w:r>
        <w:rPr>
          <w:rFonts w:hint="eastAsia" w:ascii="Times New Roman" w:hAnsi="Times New Roman" w:eastAsia="宋体" w:cs="Times New Roman"/>
          <w:b/>
          <w:bCs w:val="0"/>
          <w:color w:val="auto"/>
          <w:kern w:val="2"/>
          <w:sz w:val="21"/>
          <w:szCs w:val="21"/>
          <w:highlight w:val="none"/>
          <w:lang w:val="en-US" w:eastAsia="zh-CN" w:bidi="ar-SA"/>
        </w:rPr>
        <w:t>过渡方案：</w:t>
      </w:r>
      <w:r>
        <w:rPr>
          <w:rFonts w:hint="default" w:ascii="Times New Roman" w:hAnsi="Times New Roman" w:eastAsia="宋体" w:cs="Times New Roman"/>
          <w:b/>
          <w:bCs w:val="0"/>
          <w:color w:val="auto"/>
          <w:kern w:val="2"/>
          <w:sz w:val="21"/>
          <w:szCs w:val="21"/>
          <w:highlight w:val="none"/>
          <w:lang w:val="en-US" w:eastAsia="zh-CN" w:bidi="ar-SA"/>
        </w:rPr>
        <w:t>“π”入火山云二期至壶泉站的220kV线路计算参数</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17"/>
        <w:gridCol w:w="5671"/>
      </w:tblGrid>
      <w:tr w14:paraId="7D8A4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2D806D3F">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线路</w:t>
            </w:r>
          </w:p>
        </w:tc>
        <w:tc>
          <w:tcPr>
            <w:tcW w:w="5671" w:type="dxa"/>
            <w:tcBorders>
              <w:tl2br w:val="nil"/>
              <w:tr2bl w:val="nil"/>
            </w:tcBorders>
            <w:noWrap w:val="0"/>
            <w:vAlign w:val="center"/>
          </w:tcPr>
          <w:p w14:paraId="311B0143">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kV单回</w:t>
            </w:r>
            <w:r>
              <w:rPr>
                <w:rFonts w:hint="default" w:ascii="Times New Roman" w:hAnsi="Times New Roman" w:eastAsia="宋体" w:cs="Times New Roman"/>
                <w:color w:val="auto"/>
                <w:sz w:val="21"/>
                <w:szCs w:val="21"/>
                <w:highlight w:val="none"/>
              </w:rPr>
              <w:t>线路</w:t>
            </w:r>
          </w:p>
        </w:tc>
      </w:tr>
      <w:tr w14:paraId="44D0C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69EC7D05">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采用导线型号</w:t>
            </w:r>
          </w:p>
        </w:tc>
        <w:tc>
          <w:tcPr>
            <w:tcW w:w="5671" w:type="dxa"/>
            <w:tcBorders>
              <w:tl2br w:val="nil"/>
              <w:tr2bl w:val="nil"/>
            </w:tcBorders>
            <w:noWrap w:val="0"/>
            <w:vAlign w:val="center"/>
          </w:tcPr>
          <w:p w14:paraId="31ECB48F">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2×JL/G1A-400/35 钢芯铝绞线</w:t>
            </w:r>
          </w:p>
        </w:tc>
      </w:tr>
      <w:tr w14:paraId="18F8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3218D498">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导线计算截面</w:t>
            </w:r>
          </w:p>
        </w:tc>
        <w:tc>
          <w:tcPr>
            <w:tcW w:w="5671" w:type="dxa"/>
            <w:tcBorders>
              <w:tl2br w:val="nil"/>
              <w:tr2bl w:val="nil"/>
            </w:tcBorders>
            <w:noWrap w:val="0"/>
            <w:vAlign w:val="center"/>
          </w:tcPr>
          <w:p w14:paraId="7A80C8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425</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vertAlign w:val="superscript"/>
              </w:rPr>
              <w:t>2</w:t>
            </w:r>
          </w:p>
        </w:tc>
      </w:tr>
      <w:tr w14:paraId="17F6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71251DCC">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导线直径</w:t>
            </w:r>
          </w:p>
        </w:tc>
        <w:tc>
          <w:tcPr>
            <w:tcW w:w="5671" w:type="dxa"/>
            <w:tcBorders>
              <w:tl2br w:val="nil"/>
              <w:tr2bl w:val="nil"/>
            </w:tcBorders>
            <w:noWrap w:val="0"/>
            <w:vAlign w:val="center"/>
          </w:tcPr>
          <w:p w14:paraId="7F4817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26.8</w:t>
            </w:r>
            <w:r>
              <w:rPr>
                <w:rFonts w:hint="default" w:ascii="Times New Roman" w:hAnsi="Times New Roman" w:eastAsia="宋体" w:cs="Times New Roman"/>
                <w:color w:val="auto"/>
                <w:sz w:val="21"/>
                <w:szCs w:val="21"/>
                <w:highlight w:val="none"/>
              </w:rPr>
              <w:t>mm</w:t>
            </w:r>
          </w:p>
        </w:tc>
      </w:tr>
      <w:tr w14:paraId="3D37A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27800F60">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排列</w:t>
            </w:r>
            <w:r>
              <w:rPr>
                <w:rFonts w:hint="default" w:ascii="Times New Roman" w:hAnsi="Times New Roman" w:eastAsia="宋体" w:cs="Times New Roman"/>
                <w:color w:val="auto"/>
                <w:sz w:val="21"/>
                <w:szCs w:val="21"/>
                <w:highlight w:val="none"/>
              </w:rPr>
              <w:t>方式</w:t>
            </w:r>
          </w:p>
        </w:tc>
        <w:tc>
          <w:tcPr>
            <w:tcW w:w="5671" w:type="dxa"/>
            <w:tcBorders>
              <w:tl2br w:val="nil"/>
              <w:tr2bl w:val="nil"/>
            </w:tcBorders>
            <w:noWrap w:val="0"/>
            <w:vAlign w:val="center"/>
          </w:tcPr>
          <w:p w14:paraId="7A630D2E">
            <w:pPr>
              <w:keepNext w:val="0"/>
              <w:keepLines w:val="0"/>
              <w:suppressLineNumbers w:val="0"/>
              <w:snapToGrid w:val="0"/>
              <w:spacing w:before="0" w:beforeAutospacing="0" w:after="0" w:afterAutospacing="0" w:line="288" w:lineRule="auto"/>
              <w:ind w:left="0" w:right="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三角</w:t>
            </w:r>
            <w:r>
              <w:rPr>
                <w:rFonts w:hint="eastAsia" w:ascii="Times New Roman" w:hAnsi="Times New Roman" w:eastAsia="宋体" w:cs="Times New Roman"/>
                <w:color w:val="auto"/>
                <w:kern w:val="0"/>
                <w:sz w:val="21"/>
                <w:szCs w:val="21"/>
                <w:highlight w:val="none"/>
                <w:lang w:val="en-US" w:eastAsia="zh-CN"/>
              </w:rPr>
              <w:t>排列</w:t>
            </w:r>
          </w:p>
        </w:tc>
      </w:tr>
      <w:tr w14:paraId="48965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71146C72">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相间距</w:t>
            </w:r>
          </w:p>
        </w:tc>
        <w:tc>
          <w:tcPr>
            <w:tcW w:w="5671" w:type="dxa"/>
            <w:tcBorders>
              <w:tl2br w:val="nil"/>
              <w:tr2bl w:val="nil"/>
            </w:tcBorders>
            <w:noWrap w:val="0"/>
            <w:vAlign w:val="center"/>
          </w:tcPr>
          <w:p w14:paraId="5881643D">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A</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-6.5，18），B（0，23），C（6.5，18）</w:t>
            </w:r>
          </w:p>
        </w:tc>
      </w:tr>
      <w:tr w14:paraId="3BA26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530807AA">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预测选取塔型</w:t>
            </w:r>
          </w:p>
        </w:tc>
        <w:tc>
          <w:tcPr>
            <w:tcW w:w="5671" w:type="dxa"/>
            <w:tcBorders>
              <w:tl2br w:val="nil"/>
              <w:tr2bl w:val="nil"/>
            </w:tcBorders>
            <w:noWrap w:val="0"/>
            <w:vAlign w:val="center"/>
          </w:tcPr>
          <w:p w14:paraId="24EB7D4F">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220-GD22D-JC4</w:t>
            </w:r>
          </w:p>
        </w:tc>
      </w:tr>
      <w:tr w14:paraId="77A99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tcBorders>
              <w:tl2br w:val="nil"/>
              <w:tr2bl w:val="nil"/>
            </w:tcBorders>
            <w:noWrap w:val="0"/>
            <w:vAlign w:val="center"/>
          </w:tcPr>
          <w:p w14:paraId="579725F4">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导线计算高度</w:t>
            </w:r>
            <w:r>
              <w:rPr>
                <w:rFonts w:hint="default" w:ascii="Times New Roman" w:hAnsi="Times New Roman" w:eastAsia="宋体" w:cs="Times New Roman"/>
                <w:color w:val="auto"/>
                <w:sz w:val="21"/>
                <w:szCs w:val="21"/>
                <w:highlight w:val="none"/>
                <w:lang w:eastAsia="zh-CN"/>
              </w:rPr>
              <w:t>（最低弧垂）</w:t>
            </w:r>
          </w:p>
        </w:tc>
        <w:tc>
          <w:tcPr>
            <w:tcW w:w="5671" w:type="dxa"/>
            <w:tcBorders>
              <w:tl2br w:val="nil"/>
              <w:tr2bl w:val="nil"/>
            </w:tcBorders>
            <w:noWrap w:val="0"/>
            <w:vAlign w:val="center"/>
          </w:tcPr>
          <w:p w14:paraId="31DC9B8E">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6.5</w:t>
            </w:r>
            <w:r>
              <w:rPr>
                <w:rFonts w:hint="default"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lang w:val="en-US" w:eastAsia="zh-CN"/>
              </w:rPr>
              <w:t>7.5</w:t>
            </w:r>
            <w:r>
              <w:rPr>
                <w:rFonts w:hint="default" w:ascii="Times New Roman" w:hAnsi="Times New Roman" w:eastAsia="宋体" w:cs="Times New Roman"/>
                <w:color w:val="auto"/>
                <w:kern w:val="0"/>
                <w:sz w:val="21"/>
                <w:szCs w:val="21"/>
                <w:highlight w:val="none"/>
                <w:lang w:val="en-US" w:eastAsia="zh-CN"/>
              </w:rPr>
              <w:t>m</w:t>
            </w:r>
          </w:p>
        </w:tc>
      </w:tr>
    </w:tbl>
    <w:p w14:paraId="2133120B">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default" w:ascii="Times New Roman" w:hAnsi="Times New Roman" w:eastAsia="宋体" w:cs="Times New Roman"/>
          <w:b w:val="0"/>
          <w:bCs/>
          <w:color w:val="auto"/>
          <w:spacing w:val="6"/>
          <w:sz w:val="24"/>
          <w:szCs w:val="24"/>
          <w:highlight w:val="none"/>
        </w:rPr>
      </w:pPr>
      <w:r>
        <w:rPr>
          <w:rFonts w:hint="default" w:ascii="Times New Roman" w:hAnsi="Times New Roman" w:eastAsia="宋体" w:cs="Times New Roman"/>
          <w:b w:val="0"/>
          <w:bCs/>
          <w:color w:val="auto"/>
          <w:spacing w:val="6"/>
          <w:sz w:val="24"/>
          <w:szCs w:val="24"/>
          <w:highlight w:val="none"/>
          <w:lang w:val="en-US" w:eastAsia="zh-CN"/>
        </w:rPr>
        <w:t>①工频电场强度计算结果</w:t>
      </w:r>
    </w:p>
    <w:p w14:paraId="717ED6DA">
      <w:pPr>
        <w:adjustRightInd w:val="0"/>
        <w:spacing w:line="360" w:lineRule="auto"/>
        <w:ind w:firstLine="50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计算中导线对地高度</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，计算点离地面高1.5m，</w:t>
      </w:r>
      <w:r>
        <w:rPr>
          <w:rFonts w:hint="default" w:ascii="Times New Roman" w:hAnsi="Times New Roman" w:eastAsia="宋体" w:cs="Times New Roman"/>
          <w:color w:val="auto"/>
          <w:sz w:val="24"/>
          <w:szCs w:val="24"/>
          <w:highlight w:val="none"/>
          <w:lang w:val="en-US" w:eastAsia="zh-CN"/>
        </w:rPr>
        <w:t>三角排列</w:t>
      </w:r>
      <w:r>
        <w:rPr>
          <w:rFonts w:hint="default" w:ascii="Times New Roman" w:hAnsi="Times New Roman" w:eastAsia="宋体" w:cs="Times New Roman"/>
          <w:color w:val="auto"/>
          <w:sz w:val="24"/>
          <w:szCs w:val="24"/>
          <w:highlight w:val="none"/>
        </w:rPr>
        <w:t>，导线线下工频</w:t>
      </w:r>
      <w:r>
        <w:rPr>
          <w:rFonts w:hint="default" w:ascii="Times New Roman" w:hAnsi="Times New Roman" w:eastAsia="宋体" w:cs="Times New Roman"/>
          <w:color w:val="auto"/>
          <w:sz w:val="24"/>
          <w:szCs w:val="24"/>
          <w:highlight w:val="none"/>
          <w:lang w:val="en-US" w:eastAsia="zh-CN"/>
        </w:rPr>
        <w:t>电场</w:t>
      </w:r>
      <w:r>
        <w:rPr>
          <w:rFonts w:hint="default" w:ascii="Times New Roman" w:hAnsi="Times New Roman" w:eastAsia="宋体" w:cs="Times New Roman"/>
          <w:color w:val="auto"/>
          <w:sz w:val="24"/>
          <w:szCs w:val="24"/>
          <w:highlight w:val="none"/>
        </w:rPr>
        <w:t>强度的计算结果见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表，变化趋势图见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图。</w:t>
      </w:r>
    </w:p>
    <w:p w14:paraId="7480CA04">
      <w:pPr>
        <w:spacing w:line="240" w:lineRule="auto"/>
        <w:ind w:firstLine="422"/>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1-2</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过渡方案：“π”入火山云二期至壶泉站的220kV线路</w:t>
      </w:r>
      <w:r>
        <w:rPr>
          <w:rFonts w:hint="default" w:ascii="Times New Roman" w:hAnsi="Times New Roman" w:eastAsia="宋体" w:cs="Times New Roman"/>
          <w:b/>
          <w:bCs w:val="0"/>
          <w:color w:val="auto"/>
          <w:sz w:val="21"/>
          <w:szCs w:val="21"/>
          <w:highlight w:val="none"/>
        </w:rPr>
        <w:t>工频电场强度的计算结果（</w:t>
      </w:r>
      <w:r>
        <w:rPr>
          <w:rFonts w:hint="default" w:ascii="Times New Roman" w:hAnsi="Times New Roman" w:eastAsia="宋体" w:cs="Times New Roman"/>
          <w:b/>
          <w:bCs w:val="0"/>
          <w:color w:val="auto"/>
          <w:sz w:val="21"/>
          <w:szCs w:val="21"/>
          <w:highlight w:val="none"/>
          <w:lang w:eastAsia="zh-CN"/>
        </w:rPr>
        <w:t>kV</w:t>
      </w: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lang w:eastAsia="zh-CN"/>
        </w:rPr>
        <w:t>）</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3399"/>
        <w:gridCol w:w="3403"/>
      </w:tblGrid>
      <w:tr w14:paraId="6D74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337" w:type="pct"/>
            <w:tcBorders>
              <w:tl2br w:val="nil"/>
              <w:tr2bl w:val="nil"/>
            </w:tcBorders>
            <w:noWrap w:val="0"/>
            <w:vAlign w:val="center"/>
          </w:tcPr>
          <w:p w14:paraId="27FD8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距线路中心距离</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p>
        </w:tc>
        <w:tc>
          <w:tcPr>
            <w:tcW w:w="1830" w:type="pct"/>
            <w:tcBorders>
              <w:tl2br w:val="nil"/>
              <w:tr2bl w:val="nil"/>
            </w:tcBorders>
            <w:noWrap w:val="0"/>
            <w:vAlign w:val="center"/>
          </w:tcPr>
          <w:p w14:paraId="5EB27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6.5</w:t>
            </w:r>
            <w:r>
              <w:rPr>
                <w:rFonts w:hint="default" w:ascii="Times New Roman" w:hAnsi="Times New Roman" w:eastAsia="宋体" w:cs="Times New Roman"/>
                <w:bCs/>
                <w:color w:val="auto"/>
                <w:sz w:val="21"/>
                <w:szCs w:val="21"/>
                <w:highlight w:val="none"/>
              </w:rPr>
              <w:t>m</w:t>
            </w:r>
          </w:p>
        </w:tc>
        <w:tc>
          <w:tcPr>
            <w:tcW w:w="1832" w:type="pct"/>
            <w:tcBorders>
              <w:tl2br w:val="nil"/>
              <w:tr2bl w:val="nil"/>
            </w:tcBorders>
            <w:noWrap w:val="0"/>
            <w:vAlign w:val="center"/>
          </w:tcPr>
          <w:p w14:paraId="63EC4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7.5</w:t>
            </w:r>
            <w:r>
              <w:rPr>
                <w:rFonts w:hint="default" w:ascii="Times New Roman" w:hAnsi="Times New Roman" w:eastAsia="宋体" w:cs="Times New Roman"/>
                <w:bCs/>
                <w:color w:val="auto"/>
                <w:sz w:val="21"/>
                <w:szCs w:val="21"/>
                <w:highlight w:val="none"/>
              </w:rPr>
              <w:t>m</w:t>
            </w:r>
          </w:p>
        </w:tc>
      </w:tr>
      <w:tr w14:paraId="10D9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12C1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3399" w:type="dxa"/>
            <w:tcBorders>
              <w:tl2br w:val="nil"/>
              <w:tr2bl w:val="nil"/>
            </w:tcBorders>
            <w:noWrap w:val="0"/>
            <w:tcMar>
              <w:left w:w="0" w:type="dxa"/>
              <w:right w:w="0" w:type="dxa"/>
            </w:tcMar>
            <w:vAlign w:val="top"/>
          </w:tcPr>
          <w:p w14:paraId="24578A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1.70</w:t>
            </w:r>
          </w:p>
        </w:tc>
        <w:tc>
          <w:tcPr>
            <w:tcW w:w="3403" w:type="dxa"/>
            <w:tcBorders>
              <w:tl2br w:val="nil"/>
              <w:tr2bl w:val="nil"/>
            </w:tcBorders>
            <w:noWrap w:val="0"/>
            <w:tcMar>
              <w:left w:w="0" w:type="dxa"/>
              <w:right w:w="0" w:type="dxa"/>
            </w:tcMar>
            <w:vAlign w:val="top"/>
          </w:tcPr>
          <w:p w14:paraId="042C55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vertAlign w:val="baseline"/>
                <w:lang w:eastAsia="zh-CN"/>
              </w:rPr>
              <w:t>1.44</w:t>
            </w:r>
          </w:p>
        </w:tc>
      </w:tr>
      <w:tr w14:paraId="6FAC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B77F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399" w:type="dxa"/>
            <w:tcBorders>
              <w:tl2br w:val="nil"/>
              <w:tr2bl w:val="nil"/>
            </w:tcBorders>
            <w:noWrap w:val="0"/>
            <w:tcMar>
              <w:left w:w="0" w:type="dxa"/>
              <w:right w:w="0" w:type="dxa"/>
            </w:tcMar>
            <w:vAlign w:val="top"/>
          </w:tcPr>
          <w:p w14:paraId="22A717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1.71</w:t>
            </w:r>
          </w:p>
        </w:tc>
        <w:tc>
          <w:tcPr>
            <w:tcW w:w="3403" w:type="dxa"/>
            <w:tcBorders>
              <w:tl2br w:val="nil"/>
              <w:tr2bl w:val="nil"/>
            </w:tcBorders>
            <w:noWrap w:val="0"/>
            <w:tcMar>
              <w:left w:w="0" w:type="dxa"/>
              <w:right w:w="0" w:type="dxa"/>
            </w:tcMar>
            <w:vAlign w:val="top"/>
          </w:tcPr>
          <w:p w14:paraId="468740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1.45</w:t>
            </w:r>
          </w:p>
        </w:tc>
      </w:tr>
      <w:tr w14:paraId="2876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B8E0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3399" w:type="dxa"/>
            <w:tcBorders>
              <w:tl2br w:val="nil"/>
              <w:tr2bl w:val="nil"/>
            </w:tcBorders>
            <w:noWrap w:val="0"/>
            <w:tcMar>
              <w:left w:w="0" w:type="dxa"/>
              <w:right w:w="0" w:type="dxa"/>
            </w:tcMar>
            <w:vAlign w:val="top"/>
          </w:tcPr>
          <w:p w14:paraId="6CC33E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1.74</w:t>
            </w:r>
          </w:p>
        </w:tc>
        <w:tc>
          <w:tcPr>
            <w:tcW w:w="3403" w:type="dxa"/>
            <w:tcBorders>
              <w:tl2br w:val="nil"/>
              <w:tr2bl w:val="nil"/>
            </w:tcBorders>
            <w:noWrap w:val="0"/>
            <w:tcMar>
              <w:left w:w="0" w:type="dxa"/>
              <w:right w:w="0" w:type="dxa"/>
            </w:tcMar>
            <w:vAlign w:val="top"/>
          </w:tcPr>
          <w:p w14:paraId="2376F0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1.48</w:t>
            </w:r>
          </w:p>
        </w:tc>
      </w:tr>
      <w:tr w14:paraId="554A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334B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399" w:type="dxa"/>
            <w:tcBorders>
              <w:tl2br w:val="nil"/>
              <w:tr2bl w:val="nil"/>
            </w:tcBorders>
            <w:noWrap w:val="0"/>
            <w:tcMar>
              <w:left w:w="0" w:type="dxa"/>
              <w:right w:w="0" w:type="dxa"/>
            </w:tcMar>
            <w:vAlign w:val="top"/>
          </w:tcPr>
          <w:p w14:paraId="1812A1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1.79</w:t>
            </w:r>
          </w:p>
        </w:tc>
        <w:tc>
          <w:tcPr>
            <w:tcW w:w="3403" w:type="dxa"/>
            <w:tcBorders>
              <w:tl2br w:val="nil"/>
              <w:tr2bl w:val="nil"/>
            </w:tcBorders>
            <w:noWrap w:val="0"/>
            <w:tcMar>
              <w:left w:w="0" w:type="dxa"/>
              <w:right w:w="0" w:type="dxa"/>
            </w:tcMar>
            <w:vAlign w:val="top"/>
          </w:tcPr>
          <w:p w14:paraId="679ED7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1.53</w:t>
            </w:r>
          </w:p>
        </w:tc>
      </w:tr>
      <w:tr w14:paraId="7298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B65D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3399" w:type="dxa"/>
            <w:tcBorders>
              <w:tl2br w:val="nil"/>
              <w:tr2bl w:val="nil"/>
            </w:tcBorders>
            <w:noWrap w:val="0"/>
            <w:tcMar>
              <w:left w:w="0" w:type="dxa"/>
              <w:right w:w="0" w:type="dxa"/>
            </w:tcMar>
            <w:vAlign w:val="top"/>
          </w:tcPr>
          <w:p w14:paraId="1BC1E2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1.83</w:t>
            </w:r>
          </w:p>
        </w:tc>
        <w:tc>
          <w:tcPr>
            <w:tcW w:w="3403" w:type="dxa"/>
            <w:tcBorders>
              <w:tl2br w:val="nil"/>
              <w:tr2bl w:val="nil"/>
            </w:tcBorders>
            <w:noWrap w:val="0"/>
            <w:tcMar>
              <w:left w:w="0" w:type="dxa"/>
              <w:right w:w="0" w:type="dxa"/>
            </w:tcMar>
            <w:vAlign w:val="top"/>
          </w:tcPr>
          <w:p w14:paraId="64959D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1.58</w:t>
            </w:r>
          </w:p>
        </w:tc>
      </w:tr>
      <w:tr w14:paraId="67F3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46F3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3399" w:type="dxa"/>
            <w:tcBorders>
              <w:tl2br w:val="nil"/>
              <w:tr2bl w:val="nil"/>
            </w:tcBorders>
            <w:noWrap w:val="0"/>
            <w:tcMar>
              <w:left w:w="0" w:type="dxa"/>
              <w:right w:w="0" w:type="dxa"/>
            </w:tcMar>
            <w:vAlign w:val="top"/>
          </w:tcPr>
          <w:p w14:paraId="22E1B0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1.88</w:t>
            </w:r>
          </w:p>
        </w:tc>
        <w:tc>
          <w:tcPr>
            <w:tcW w:w="3403" w:type="dxa"/>
            <w:tcBorders>
              <w:tl2br w:val="nil"/>
              <w:tr2bl w:val="nil"/>
            </w:tcBorders>
            <w:noWrap w:val="0"/>
            <w:tcMar>
              <w:left w:w="0" w:type="dxa"/>
              <w:right w:w="0" w:type="dxa"/>
            </w:tcMar>
            <w:vAlign w:val="top"/>
          </w:tcPr>
          <w:p w14:paraId="6E7B9D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1.64</w:t>
            </w:r>
          </w:p>
        </w:tc>
      </w:tr>
      <w:tr w14:paraId="6603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29E0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3399" w:type="dxa"/>
            <w:tcBorders>
              <w:tl2br w:val="nil"/>
              <w:tr2bl w:val="nil"/>
            </w:tcBorders>
            <w:noWrap w:val="0"/>
            <w:tcMar>
              <w:left w:w="0" w:type="dxa"/>
              <w:right w:w="0" w:type="dxa"/>
            </w:tcMar>
            <w:vAlign w:val="top"/>
          </w:tcPr>
          <w:p w14:paraId="46F83B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1.91</w:t>
            </w:r>
          </w:p>
        </w:tc>
        <w:tc>
          <w:tcPr>
            <w:tcW w:w="3403" w:type="dxa"/>
            <w:tcBorders>
              <w:tl2br w:val="nil"/>
              <w:tr2bl w:val="nil"/>
            </w:tcBorders>
            <w:noWrap w:val="0"/>
            <w:tcMar>
              <w:left w:w="0" w:type="dxa"/>
              <w:right w:w="0" w:type="dxa"/>
            </w:tcMar>
            <w:vAlign w:val="top"/>
          </w:tcPr>
          <w:p w14:paraId="63558D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1.68</w:t>
            </w:r>
          </w:p>
        </w:tc>
      </w:tr>
      <w:tr w14:paraId="1517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132D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3399" w:type="dxa"/>
            <w:tcBorders>
              <w:tl2br w:val="nil"/>
              <w:tr2bl w:val="nil"/>
            </w:tcBorders>
            <w:noWrap w:val="0"/>
            <w:tcMar>
              <w:left w:w="0" w:type="dxa"/>
              <w:right w:w="0" w:type="dxa"/>
            </w:tcMar>
            <w:vAlign w:val="top"/>
          </w:tcPr>
          <w:p w14:paraId="6BEDA0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1.92</w:t>
            </w:r>
          </w:p>
        </w:tc>
        <w:tc>
          <w:tcPr>
            <w:tcW w:w="3403" w:type="dxa"/>
            <w:tcBorders>
              <w:tl2br w:val="nil"/>
              <w:tr2bl w:val="nil"/>
            </w:tcBorders>
            <w:noWrap w:val="0"/>
            <w:tcMar>
              <w:left w:w="0" w:type="dxa"/>
              <w:right w:w="0" w:type="dxa"/>
            </w:tcMar>
            <w:vAlign w:val="top"/>
          </w:tcPr>
          <w:p w14:paraId="41F99D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1.71</w:t>
            </w:r>
          </w:p>
        </w:tc>
      </w:tr>
      <w:tr w14:paraId="26F9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CD7B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3399" w:type="dxa"/>
            <w:tcBorders>
              <w:tl2br w:val="nil"/>
              <w:tr2bl w:val="nil"/>
            </w:tcBorders>
            <w:noWrap w:val="0"/>
            <w:tcMar>
              <w:left w:w="0" w:type="dxa"/>
              <w:right w:w="0" w:type="dxa"/>
            </w:tcMar>
            <w:vAlign w:val="top"/>
          </w:tcPr>
          <w:p w14:paraId="0F0372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1.91</w:t>
            </w:r>
          </w:p>
        </w:tc>
        <w:tc>
          <w:tcPr>
            <w:tcW w:w="3403" w:type="dxa"/>
            <w:tcBorders>
              <w:tl2br w:val="nil"/>
              <w:tr2bl w:val="nil"/>
            </w:tcBorders>
            <w:noWrap w:val="0"/>
            <w:tcMar>
              <w:left w:w="0" w:type="dxa"/>
              <w:right w:w="0" w:type="dxa"/>
            </w:tcMar>
            <w:vAlign w:val="top"/>
          </w:tcPr>
          <w:p w14:paraId="4E2F20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1.71</w:t>
            </w:r>
          </w:p>
        </w:tc>
      </w:tr>
      <w:tr w14:paraId="26B5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BD70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3399" w:type="dxa"/>
            <w:tcBorders>
              <w:tl2br w:val="nil"/>
              <w:tr2bl w:val="nil"/>
            </w:tcBorders>
            <w:noWrap w:val="0"/>
            <w:tcMar>
              <w:left w:w="0" w:type="dxa"/>
              <w:right w:w="0" w:type="dxa"/>
            </w:tcMar>
            <w:vAlign w:val="top"/>
          </w:tcPr>
          <w:p w14:paraId="604563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1.88</w:t>
            </w:r>
          </w:p>
        </w:tc>
        <w:tc>
          <w:tcPr>
            <w:tcW w:w="3403" w:type="dxa"/>
            <w:tcBorders>
              <w:tl2br w:val="nil"/>
              <w:tr2bl w:val="nil"/>
            </w:tcBorders>
            <w:noWrap w:val="0"/>
            <w:tcMar>
              <w:left w:w="0" w:type="dxa"/>
              <w:right w:w="0" w:type="dxa"/>
            </w:tcMar>
            <w:vAlign w:val="top"/>
          </w:tcPr>
          <w:p w14:paraId="228C9B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1.70</w:t>
            </w:r>
          </w:p>
        </w:tc>
      </w:tr>
      <w:tr w14:paraId="580B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5AD5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3399" w:type="dxa"/>
            <w:tcBorders>
              <w:tl2br w:val="nil"/>
              <w:tr2bl w:val="nil"/>
            </w:tcBorders>
            <w:noWrap w:val="0"/>
            <w:tcMar>
              <w:left w:w="0" w:type="dxa"/>
              <w:right w:w="0" w:type="dxa"/>
            </w:tcMar>
            <w:vAlign w:val="top"/>
          </w:tcPr>
          <w:p w14:paraId="0638C8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1.83</w:t>
            </w:r>
          </w:p>
        </w:tc>
        <w:tc>
          <w:tcPr>
            <w:tcW w:w="3403" w:type="dxa"/>
            <w:tcBorders>
              <w:tl2br w:val="nil"/>
              <w:tr2bl w:val="nil"/>
            </w:tcBorders>
            <w:noWrap w:val="0"/>
            <w:tcMar>
              <w:left w:w="0" w:type="dxa"/>
              <w:right w:w="0" w:type="dxa"/>
            </w:tcMar>
            <w:vAlign w:val="top"/>
          </w:tcPr>
          <w:p w14:paraId="578A7A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1.67</w:t>
            </w:r>
          </w:p>
        </w:tc>
      </w:tr>
      <w:tr w14:paraId="113A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F8FCBB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11</w:t>
            </w:r>
          </w:p>
        </w:tc>
        <w:tc>
          <w:tcPr>
            <w:tcW w:w="3399" w:type="dxa"/>
            <w:tcBorders>
              <w:tl2br w:val="nil"/>
              <w:tr2bl w:val="nil"/>
            </w:tcBorders>
            <w:noWrap w:val="0"/>
            <w:tcMar>
              <w:left w:w="0" w:type="dxa"/>
              <w:right w:w="0" w:type="dxa"/>
            </w:tcMar>
            <w:vAlign w:val="top"/>
          </w:tcPr>
          <w:p w14:paraId="1E146E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1.76</w:t>
            </w:r>
          </w:p>
        </w:tc>
        <w:tc>
          <w:tcPr>
            <w:tcW w:w="3403" w:type="dxa"/>
            <w:tcBorders>
              <w:tl2br w:val="nil"/>
              <w:tr2bl w:val="nil"/>
            </w:tcBorders>
            <w:noWrap w:val="0"/>
            <w:tcMar>
              <w:left w:w="0" w:type="dxa"/>
              <w:right w:w="0" w:type="dxa"/>
            </w:tcMar>
            <w:vAlign w:val="top"/>
          </w:tcPr>
          <w:p w14:paraId="6BB2F7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1.63</w:t>
            </w:r>
          </w:p>
        </w:tc>
      </w:tr>
      <w:tr w14:paraId="5318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F9D377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12</w:t>
            </w:r>
          </w:p>
        </w:tc>
        <w:tc>
          <w:tcPr>
            <w:tcW w:w="3399" w:type="dxa"/>
            <w:tcBorders>
              <w:tl2br w:val="nil"/>
              <w:tr2bl w:val="nil"/>
            </w:tcBorders>
            <w:noWrap w:val="0"/>
            <w:tcMar>
              <w:left w:w="0" w:type="dxa"/>
              <w:right w:w="0" w:type="dxa"/>
            </w:tcMar>
            <w:vAlign w:val="top"/>
          </w:tcPr>
          <w:p w14:paraId="3E311A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1.68</w:t>
            </w:r>
          </w:p>
        </w:tc>
        <w:tc>
          <w:tcPr>
            <w:tcW w:w="3403" w:type="dxa"/>
            <w:tcBorders>
              <w:tl2br w:val="nil"/>
              <w:tr2bl w:val="nil"/>
            </w:tcBorders>
            <w:noWrap w:val="0"/>
            <w:tcMar>
              <w:left w:w="0" w:type="dxa"/>
              <w:right w:w="0" w:type="dxa"/>
            </w:tcMar>
            <w:vAlign w:val="top"/>
          </w:tcPr>
          <w:p w14:paraId="3B3973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1.57</w:t>
            </w:r>
          </w:p>
        </w:tc>
      </w:tr>
      <w:tr w14:paraId="7B4F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EDD0B8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13</w:t>
            </w:r>
          </w:p>
        </w:tc>
        <w:tc>
          <w:tcPr>
            <w:tcW w:w="3399" w:type="dxa"/>
            <w:tcBorders>
              <w:tl2br w:val="nil"/>
              <w:tr2bl w:val="nil"/>
            </w:tcBorders>
            <w:noWrap w:val="0"/>
            <w:tcMar>
              <w:left w:w="0" w:type="dxa"/>
              <w:right w:w="0" w:type="dxa"/>
            </w:tcMar>
            <w:vAlign w:val="top"/>
          </w:tcPr>
          <w:p w14:paraId="0F010A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1.59</w:t>
            </w:r>
          </w:p>
        </w:tc>
        <w:tc>
          <w:tcPr>
            <w:tcW w:w="3403" w:type="dxa"/>
            <w:tcBorders>
              <w:tl2br w:val="nil"/>
              <w:tr2bl w:val="nil"/>
            </w:tcBorders>
            <w:noWrap w:val="0"/>
            <w:tcMar>
              <w:left w:w="0" w:type="dxa"/>
              <w:right w:w="0" w:type="dxa"/>
            </w:tcMar>
            <w:vAlign w:val="top"/>
          </w:tcPr>
          <w:p w14:paraId="7C7ED3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1.50</w:t>
            </w:r>
          </w:p>
        </w:tc>
      </w:tr>
      <w:tr w14:paraId="6A7E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95CE46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14</w:t>
            </w:r>
          </w:p>
        </w:tc>
        <w:tc>
          <w:tcPr>
            <w:tcW w:w="3399" w:type="dxa"/>
            <w:tcBorders>
              <w:tl2br w:val="nil"/>
              <w:tr2bl w:val="nil"/>
            </w:tcBorders>
            <w:noWrap w:val="0"/>
            <w:tcMar>
              <w:left w:w="0" w:type="dxa"/>
              <w:right w:w="0" w:type="dxa"/>
            </w:tcMar>
            <w:vAlign w:val="top"/>
          </w:tcPr>
          <w:p w14:paraId="12039E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1.50</w:t>
            </w:r>
          </w:p>
        </w:tc>
        <w:tc>
          <w:tcPr>
            <w:tcW w:w="3403" w:type="dxa"/>
            <w:tcBorders>
              <w:tl2br w:val="nil"/>
              <w:tr2bl w:val="nil"/>
            </w:tcBorders>
            <w:noWrap w:val="0"/>
            <w:tcMar>
              <w:left w:w="0" w:type="dxa"/>
              <w:right w:w="0" w:type="dxa"/>
            </w:tcMar>
            <w:vAlign w:val="top"/>
          </w:tcPr>
          <w:p w14:paraId="1333AE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1.43</w:t>
            </w:r>
          </w:p>
        </w:tc>
      </w:tr>
      <w:tr w14:paraId="76D1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25A6B5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w:t>
            </w:r>
          </w:p>
        </w:tc>
        <w:tc>
          <w:tcPr>
            <w:tcW w:w="3399" w:type="dxa"/>
            <w:tcBorders>
              <w:tl2br w:val="nil"/>
              <w:tr2bl w:val="nil"/>
            </w:tcBorders>
            <w:noWrap w:val="0"/>
            <w:tcMar>
              <w:left w:w="0" w:type="dxa"/>
              <w:right w:w="0" w:type="dxa"/>
            </w:tcMar>
            <w:vAlign w:val="top"/>
          </w:tcPr>
          <w:p w14:paraId="1F7012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1.41</w:t>
            </w:r>
          </w:p>
        </w:tc>
        <w:tc>
          <w:tcPr>
            <w:tcW w:w="3403" w:type="dxa"/>
            <w:tcBorders>
              <w:tl2br w:val="nil"/>
              <w:tr2bl w:val="nil"/>
            </w:tcBorders>
            <w:noWrap w:val="0"/>
            <w:tcMar>
              <w:left w:w="0" w:type="dxa"/>
              <w:right w:w="0" w:type="dxa"/>
            </w:tcMar>
            <w:vAlign w:val="top"/>
          </w:tcPr>
          <w:p w14:paraId="018ECB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1.35</w:t>
            </w:r>
          </w:p>
        </w:tc>
      </w:tr>
      <w:tr w14:paraId="3F42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A13415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16</w:t>
            </w:r>
          </w:p>
        </w:tc>
        <w:tc>
          <w:tcPr>
            <w:tcW w:w="3399" w:type="dxa"/>
            <w:tcBorders>
              <w:tl2br w:val="nil"/>
              <w:tr2bl w:val="nil"/>
            </w:tcBorders>
            <w:noWrap w:val="0"/>
            <w:tcMar>
              <w:left w:w="0" w:type="dxa"/>
              <w:right w:w="0" w:type="dxa"/>
            </w:tcMar>
            <w:vAlign w:val="top"/>
          </w:tcPr>
          <w:p w14:paraId="49E437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1.32</w:t>
            </w:r>
          </w:p>
        </w:tc>
        <w:tc>
          <w:tcPr>
            <w:tcW w:w="3403" w:type="dxa"/>
            <w:tcBorders>
              <w:tl2br w:val="nil"/>
              <w:tr2bl w:val="nil"/>
            </w:tcBorders>
            <w:noWrap w:val="0"/>
            <w:tcMar>
              <w:left w:w="0" w:type="dxa"/>
              <w:right w:w="0" w:type="dxa"/>
            </w:tcMar>
            <w:vAlign w:val="top"/>
          </w:tcPr>
          <w:p w14:paraId="535DB9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1.27</w:t>
            </w:r>
          </w:p>
        </w:tc>
      </w:tr>
      <w:tr w14:paraId="386E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76A00B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17</w:t>
            </w:r>
          </w:p>
        </w:tc>
        <w:tc>
          <w:tcPr>
            <w:tcW w:w="3399" w:type="dxa"/>
            <w:tcBorders>
              <w:tl2br w:val="nil"/>
              <w:tr2bl w:val="nil"/>
            </w:tcBorders>
            <w:noWrap w:val="0"/>
            <w:tcMar>
              <w:left w:w="0" w:type="dxa"/>
              <w:right w:w="0" w:type="dxa"/>
            </w:tcMar>
            <w:vAlign w:val="top"/>
          </w:tcPr>
          <w:p w14:paraId="434F21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1.23</w:t>
            </w:r>
          </w:p>
        </w:tc>
        <w:tc>
          <w:tcPr>
            <w:tcW w:w="3403" w:type="dxa"/>
            <w:tcBorders>
              <w:tl2br w:val="nil"/>
              <w:tr2bl w:val="nil"/>
            </w:tcBorders>
            <w:noWrap w:val="0"/>
            <w:tcMar>
              <w:left w:w="0" w:type="dxa"/>
              <w:right w:w="0" w:type="dxa"/>
            </w:tcMar>
            <w:vAlign w:val="top"/>
          </w:tcPr>
          <w:p w14:paraId="304CC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1.19</w:t>
            </w:r>
          </w:p>
        </w:tc>
      </w:tr>
      <w:tr w14:paraId="44AE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39542E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18</w:t>
            </w:r>
          </w:p>
        </w:tc>
        <w:tc>
          <w:tcPr>
            <w:tcW w:w="3399" w:type="dxa"/>
            <w:tcBorders>
              <w:tl2br w:val="nil"/>
              <w:tr2bl w:val="nil"/>
            </w:tcBorders>
            <w:noWrap w:val="0"/>
            <w:tcMar>
              <w:left w:w="0" w:type="dxa"/>
              <w:right w:w="0" w:type="dxa"/>
            </w:tcMar>
            <w:vAlign w:val="top"/>
          </w:tcPr>
          <w:p w14:paraId="44BC9F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1.14</w:t>
            </w:r>
          </w:p>
        </w:tc>
        <w:tc>
          <w:tcPr>
            <w:tcW w:w="3403" w:type="dxa"/>
            <w:tcBorders>
              <w:tl2br w:val="nil"/>
              <w:tr2bl w:val="nil"/>
            </w:tcBorders>
            <w:noWrap w:val="0"/>
            <w:tcMar>
              <w:left w:w="0" w:type="dxa"/>
              <w:right w:w="0" w:type="dxa"/>
            </w:tcMar>
            <w:vAlign w:val="top"/>
          </w:tcPr>
          <w:p w14:paraId="45C9EC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1.11</w:t>
            </w:r>
          </w:p>
        </w:tc>
      </w:tr>
      <w:tr w14:paraId="2F9A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3AD660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19</w:t>
            </w:r>
          </w:p>
        </w:tc>
        <w:tc>
          <w:tcPr>
            <w:tcW w:w="3399" w:type="dxa"/>
            <w:tcBorders>
              <w:tl2br w:val="nil"/>
              <w:tr2bl w:val="nil"/>
            </w:tcBorders>
            <w:noWrap w:val="0"/>
            <w:tcMar>
              <w:left w:w="0" w:type="dxa"/>
              <w:right w:w="0" w:type="dxa"/>
            </w:tcMar>
            <w:vAlign w:val="top"/>
          </w:tcPr>
          <w:p w14:paraId="24FAB2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1.06</w:t>
            </w:r>
          </w:p>
        </w:tc>
        <w:tc>
          <w:tcPr>
            <w:tcW w:w="3403" w:type="dxa"/>
            <w:tcBorders>
              <w:tl2br w:val="nil"/>
              <w:tr2bl w:val="nil"/>
            </w:tcBorders>
            <w:noWrap w:val="0"/>
            <w:tcMar>
              <w:left w:w="0" w:type="dxa"/>
              <w:right w:w="0" w:type="dxa"/>
            </w:tcMar>
            <w:vAlign w:val="top"/>
          </w:tcPr>
          <w:p w14:paraId="7CDD0F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1.04</w:t>
            </w:r>
          </w:p>
        </w:tc>
      </w:tr>
      <w:tr w14:paraId="1F37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14E3A1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20</w:t>
            </w:r>
          </w:p>
        </w:tc>
        <w:tc>
          <w:tcPr>
            <w:tcW w:w="3399" w:type="dxa"/>
            <w:tcBorders>
              <w:tl2br w:val="nil"/>
              <w:tr2bl w:val="nil"/>
            </w:tcBorders>
            <w:noWrap w:val="0"/>
            <w:tcMar>
              <w:left w:w="0" w:type="dxa"/>
              <w:right w:w="0" w:type="dxa"/>
            </w:tcMar>
            <w:vAlign w:val="top"/>
          </w:tcPr>
          <w:p w14:paraId="630DC2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0.98</w:t>
            </w:r>
          </w:p>
        </w:tc>
        <w:tc>
          <w:tcPr>
            <w:tcW w:w="3403" w:type="dxa"/>
            <w:tcBorders>
              <w:tl2br w:val="nil"/>
              <w:tr2bl w:val="nil"/>
            </w:tcBorders>
            <w:noWrap w:val="0"/>
            <w:tcMar>
              <w:left w:w="0" w:type="dxa"/>
              <w:right w:w="0" w:type="dxa"/>
            </w:tcMar>
            <w:vAlign w:val="top"/>
          </w:tcPr>
          <w:p w14:paraId="300567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0.97</w:t>
            </w:r>
          </w:p>
        </w:tc>
      </w:tr>
      <w:tr w14:paraId="76A1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33405A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21</w:t>
            </w:r>
          </w:p>
        </w:tc>
        <w:tc>
          <w:tcPr>
            <w:tcW w:w="3399" w:type="dxa"/>
            <w:tcBorders>
              <w:tl2br w:val="nil"/>
              <w:tr2bl w:val="nil"/>
            </w:tcBorders>
            <w:noWrap w:val="0"/>
            <w:tcMar>
              <w:left w:w="0" w:type="dxa"/>
              <w:right w:w="0" w:type="dxa"/>
            </w:tcMar>
            <w:vAlign w:val="top"/>
          </w:tcPr>
          <w:p w14:paraId="5A801D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0.91</w:t>
            </w:r>
          </w:p>
        </w:tc>
        <w:tc>
          <w:tcPr>
            <w:tcW w:w="3403" w:type="dxa"/>
            <w:tcBorders>
              <w:tl2br w:val="nil"/>
              <w:tr2bl w:val="nil"/>
            </w:tcBorders>
            <w:noWrap w:val="0"/>
            <w:tcMar>
              <w:left w:w="0" w:type="dxa"/>
              <w:right w:w="0" w:type="dxa"/>
            </w:tcMar>
            <w:vAlign w:val="top"/>
          </w:tcPr>
          <w:p w14:paraId="152A6A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0.90</w:t>
            </w:r>
          </w:p>
        </w:tc>
      </w:tr>
      <w:tr w14:paraId="60EC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0B4502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w:t>
            </w:r>
          </w:p>
        </w:tc>
        <w:tc>
          <w:tcPr>
            <w:tcW w:w="3399" w:type="dxa"/>
            <w:tcBorders>
              <w:tl2br w:val="nil"/>
              <w:tr2bl w:val="nil"/>
            </w:tcBorders>
            <w:noWrap w:val="0"/>
            <w:tcMar>
              <w:left w:w="0" w:type="dxa"/>
              <w:right w:w="0" w:type="dxa"/>
            </w:tcMar>
            <w:vAlign w:val="top"/>
          </w:tcPr>
          <w:p w14:paraId="1E55F4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0.85</w:t>
            </w:r>
          </w:p>
        </w:tc>
        <w:tc>
          <w:tcPr>
            <w:tcW w:w="3403" w:type="dxa"/>
            <w:tcBorders>
              <w:tl2br w:val="nil"/>
              <w:tr2bl w:val="nil"/>
            </w:tcBorders>
            <w:noWrap w:val="0"/>
            <w:tcMar>
              <w:left w:w="0" w:type="dxa"/>
              <w:right w:w="0" w:type="dxa"/>
            </w:tcMar>
            <w:vAlign w:val="top"/>
          </w:tcPr>
          <w:p w14:paraId="1EA79D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0.84</w:t>
            </w:r>
          </w:p>
        </w:tc>
      </w:tr>
      <w:tr w14:paraId="352A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A5F973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23</w:t>
            </w:r>
          </w:p>
        </w:tc>
        <w:tc>
          <w:tcPr>
            <w:tcW w:w="3399" w:type="dxa"/>
            <w:tcBorders>
              <w:tl2br w:val="nil"/>
              <w:tr2bl w:val="nil"/>
            </w:tcBorders>
            <w:noWrap w:val="0"/>
            <w:tcMar>
              <w:left w:w="0" w:type="dxa"/>
              <w:right w:w="0" w:type="dxa"/>
            </w:tcMar>
            <w:vAlign w:val="top"/>
          </w:tcPr>
          <w:p w14:paraId="77A551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0.78</w:t>
            </w:r>
          </w:p>
        </w:tc>
        <w:tc>
          <w:tcPr>
            <w:tcW w:w="3403" w:type="dxa"/>
            <w:tcBorders>
              <w:tl2br w:val="nil"/>
              <w:tr2bl w:val="nil"/>
            </w:tcBorders>
            <w:noWrap w:val="0"/>
            <w:tcMar>
              <w:left w:w="0" w:type="dxa"/>
              <w:right w:w="0" w:type="dxa"/>
            </w:tcMar>
            <w:vAlign w:val="top"/>
          </w:tcPr>
          <w:p w14:paraId="59899B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0.78</w:t>
            </w:r>
          </w:p>
        </w:tc>
      </w:tr>
      <w:tr w14:paraId="2654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5134D3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3399" w:type="dxa"/>
            <w:tcBorders>
              <w:tl2br w:val="nil"/>
              <w:tr2bl w:val="nil"/>
            </w:tcBorders>
            <w:noWrap w:val="0"/>
            <w:tcMar>
              <w:left w:w="0" w:type="dxa"/>
              <w:right w:w="0" w:type="dxa"/>
            </w:tcMar>
            <w:vAlign w:val="top"/>
          </w:tcPr>
          <w:p w14:paraId="7A4893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0.73</w:t>
            </w:r>
          </w:p>
        </w:tc>
        <w:tc>
          <w:tcPr>
            <w:tcW w:w="3403" w:type="dxa"/>
            <w:tcBorders>
              <w:tl2br w:val="nil"/>
              <w:tr2bl w:val="nil"/>
            </w:tcBorders>
            <w:noWrap w:val="0"/>
            <w:tcMar>
              <w:left w:w="0" w:type="dxa"/>
              <w:right w:w="0" w:type="dxa"/>
            </w:tcMar>
            <w:vAlign w:val="top"/>
          </w:tcPr>
          <w:p w14:paraId="4DE1DD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0.72</w:t>
            </w:r>
          </w:p>
        </w:tc>
      </w:tr>
      <w:tr w14:paraId="4DE8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02313A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25</w:t>
            </w:r>
          </w:p>
        </w:tc>
        <w:tc>
          <w:tcPr>
            <w:tcW w:w="3399" w:type="dxa"/>
            <w:tcBorders>
              <w:tl2br w:val="nil"/>
              <w:tr2bl w:val="nil"/>
            </w:tcBorders>
            <w:noWrap w:val="0"/>
            <w:tcMar>
              <w:left w:w="0" w:type="dxa"/>
              <w:right w:w="0" w:type="dxa"/>
            </w:tcMar>
            <w:vAlign w:val="top"/>
          </w:tcPr>
          <w:p w14:paraId="41454C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0.68</w:t>
            </w:r>
          </w:p>
        </w:tc>
        <w:tc>
          <w:tcPr>
            <w:tcW w:w="3403" w:type="dxa"/>
            <w:tcBorders>
              <w:tl2br w:val="nil"/>
              <w:tr2bl w:val="nil"/>
            </w:tcBorders>
            <w:noWrap w:val="0"/>
            <w:tcMar>
              <w:left w:w="0" w:type="dxa"/>
              <w:right w:w="0" w:type="dxa"/>
            </w:tcMar>
            <w:vAlign w:val="top"/>
          </w:tcPr>
          <w:p w14:paraId="3CF5D6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0.67</w:t>
            </w:r>
          </w:p>
        </w:tc>
      </w:tr>
      <w:tr w14:paraId="7AEA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2B66D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3399" w:type="dxa"/>
            <w:tcBorders>
              <w:tl2br w:val="nil"/>
              <w:tr2bl w:val="nil"/>
            </w:tcBorders>
            <w:noWrap w:val="0"/>
            <w:tcMar>
              <w:left w:w="0" w:type="dxa"/>
              <w:right w:w="0" w:type="dxa"/>
            </w:tcMar>
            <w:vAlign w:val="top"/>
          </w:tcPr>
          <w:p w14:paraId="4B1F2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0.63</w:t>
            </w:r>
          </w:p>
        </w:tc>
        <w:tc>
          <w:tcPr>
            <w:tcW w:w="3403" w:type="dxa"/>
            <w:tcBorders>
              <w:tl2br w:val="nil"/>
              <w:tr2bl w:val="nil"/>
            </w:tcBorders>
            <w:noWrap w:val="0"/>
            <w:tcMar>
              <w:left w:w="0" w:type="dxa"/>
              <w:right w:w="0" w:type="dxa"/>
            </w:tcMar>
            <w:vAlign w:val="top"/>
          </w:tcPr>
          <w:p w14:paraId="432FB4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0.63</w:t>
            </w:r>
          </w:p>
        </w:tc>
      </w:tr>
      <w:tr w14:paraId="6E5F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EBF7E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3399" w:type="dxa"/>
            <w:tcBorders>
              <w:tl2br w:val="nil"/>
              <w:tr2bl w:val="nil"/>
            </w:tcBorders>
            <w:noWrap w:val="0"/>
            <w:tcMar>
              <w:left w:w="0" w:type="dxa"/>
              <w:right w:w="0" w:type="dxa"/>
            </w:tcMar>
            <w:vAlign w:val="top"/>
          </w:tcPr>
          <w:p w14:paraId="3CD145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0.58</w:t>
            </w:r>
          </w:p>
        </w:tc>
        <w:tc>
          <w:tcPr>
            <w:tcW w:w="3403" w:type="dxa"/>
            <w:tcBorders>
              <w:tl2br w:val="nil"/>
              <w:tr2bl w:val="nil"/>
            </w:tcBorders>
            <w:noWrap w:val="0"/>
            <w:tcMar>
              <w:left w:w="0" w:type="dxa"/>
              <w:right w:w="0" w:type="dxa"/>
            </w:tcMar>
            <w:vAlign w:val="top"/>
          </w:tcPr>
          <w:p w14:paraId="0BD4BB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0.58</w:t>
            </w:r>
          </w:p>
        </w:tc>
      </w:tr>
      <w:tr w14:paraId="338A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1BDBC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3399" w:type="dxa"/>
            <w:tcBorders>
              <w:tl2br w:val="nil"/>
              <w:tr2bl w:val="nil"/>
            </w:tcBorders>
            <w:noWrap w:val="0"/>
            <w:tcMar>
              <w:left w:w="0" w:type="dxa"/>
              <w:right w:w="0" w:type="dxa"/>
            </w:tcMar>
            <w:vAlign w:val="top"/>
          </w:tcPr>
          <w:p w14:paraId="57C266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0.54</w:t>
            </w:r>
          </w:p>
        </w:tc>
        <w:tc>
          <w:tcPr>
            <w:tcW w:w="3403" w:type="dxa"/>
            <w:tcBorders>
              <w:tl2br w:val="nil"/>
              <w:tr2bl w:val="nil"/>
            </w:tcBorders>
            <w:noWrap w:val="0"/>
            <w:tcMar>
              <w:left w:w="0" w:type="dxa"/>
              <w:right w:w="0" w:type="dxa"/>
            </w:tcMar>
            <w:vAlign w:val="top"/>
          </w:tcPr>
          <w:p w14:paraId="6C7CF3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0.54</w:t>
            </w:r>
          </w:p>
        </w:tc>
      </w:tr>
      <w:tr w14:paraId="1E2D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122CE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3399" w:type="dxa"/>
            <w:tcBorders>
              <w:tl2br w:val="nil"/>
              <w:tr2bl w:val="nil"/>
            </w:tcBorders>
            <w:noWrap w:val="0"/>
            <w:tcMar>
              <w:left w:w="0" w:type="dxa"/>
              <w:right w:w="0" w:type="dxa"/>
            </w:tcMar>
            <w:vAlign w:val="top"/>
          </w:tcPr>
          <w:p w14:paraId="6F0D20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0.51</w:t>
            </w:r>
          </w:p>
        </w:tc>
        <w:tc>
          <w:tcPr>
            <w:tcW w:w="3403" w:type="dxa"/>
            <w:tcBorders>
              <w:tl2br w:val="nil"/>
              <w:tr2bl w:val="nil"/>
            </w:tcBorders>
            <w:noWrap w:val="0"/>
            <w:tcMar>
              <w:left w:w="0" w:type="dxa"/>
              <w:right w:w="0" w:type="dxa"/>
            </w:tcMar>
            <w:vAlign w:val="top"/>
          </w:tcPr>
          <w:p w14:paraId="4D503C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0.51</w:t>
            </w:r>
          </w:p>
        </w:tc>
      </w:tr>
      <w:tr w14:paraId="01FC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BFF0B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399" w:type="dxa"/>
            <w:tcBorders>
              <w:tl2br w:val="nil"/>
              <w:tr2bl w:val="nil"/>
            </w:tcBorders>
            <w:noWrap w:val="0"/>
            <w:tcMar>
              <w:left w:w="0" w:type="dxa"/>
              <w:right w:w="0" w:type="dxa"/>
            </w:tcMar>
            <w:vAlign w:val="top"/>
          </w:tcPr>
          <w:p w14:paraId="128A3D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0.47</w:t>
            </w:r>
          </w:p>
        </w:tc>
        <w:tc>
          <w:tcPr>
            <w:tcW w:w="3403" w:type="dxa"/>
            <w:tcBorders>
              <w:tl2br w:val="nil"/>
              <w:tr2bl w:val="nil"/>
            </w:tcBorders>
            <w:noWrap w:val="0"/>
            <w:tcMar>
              <w:left w:w="0" w:type="dxa"/>
              <w:right w:w="0" w:type="dxa"/>
            </w:tcMar>
            <w:vAlign w:val="top"/>
          </w:tcPr>
          <w:p w14:paraId="7648CF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0.47</w:t>
            </w:r>
          </w:p>
        </w:tc>
      </w:tr>
      <w:tr w14:paraId="25DF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0815B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w:t>
            </w:r>
          </w:p>
        </w:tc>
        <w:tc>
          <w:tcPr>
            <w:tcW w:w="3399" w:type="dxa"/>
            <w:tcBorders>
              <w:tl2br w:val="nil"/>
              <w:tr2bl w:val="nil"/>
            </w:tcBorders>
            <w:noWrap w:val="0"/>
            <w:tcMar>
              <w:left w:w="0" w:type="dxa"/>
              <w:right w:w="0" w:type="dxa"/>
            </w:tcMar>
            <w:vAlign w:val="top"/>
          </w:tcPr>
          <w:p w14:paraId="3468A3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0.44</w:t>
            </w:r>
          </w:p>
        </w:tc>
        <w:tc>
          <w:tcPr>
            <w:tcW w:w="3403" w:type="dxa"/>
            <w:tcBorders>
              <w:tl2br w:val="nil"/>
              <w:tr2bl w:val="nil"/>
            </w:tcBorders>
            <w:noWrap w:val="0"/>
            <w:tcMar>
              <w:left w:w="0" w:type="dxa"/>
              <w:right w:w="0" w:type="dxa"/>
            </w:tcMar>
            <w:vAlign w:val="top"/>
          </w:tcPr>
          <w:p w14:paraId="4BB0AC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0.44</w:t>
            </w:r>
          </w:p>
        </w:tc>
      </w:tr>
      <w:tr w14:paraId="2F1E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784F4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32</w:t>
            </w:r>
          </w:p>
        </w:tc>
        <w:tc>
          <w:tcPr>
            <w:tcW w:w="3399" w:type="dxa"/>
            <w:tcBorders>
              <w:tl2br w:val="nil"/>
              <w:tr2bl w:val="nil"/>
            </w:tcBorders>
            <w:noWrap w:val="0"/>
            <w:tcMar>
              <w:left w:w="0" w:type="dxa"/>
              <w:right w:w="0" w:type="dxa"/>
            </w:tcMar>
            <w:vAlign w:val="top"/>
          </w:tcPr>
          <w:p w14:paraId="0D525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0.41</w:t>
            </w:r>
          </w:p>
        </w:tc>
        <w:tc>
          <w:tcPr>
            <w:tcW w:w="3403" w:type="dxa"/>
            <w:tcBorders>
              <w:tl2br w:val="nil"/>
              <w:tr2bl w:val="nil"/>
            </w:tcBorders>
            <w:noWrap w:val="0"/>
            <w:tcMar>
              <w:left w:w="0" w:type="dxa"/>
              <w:right w:w="0" w:type="dxa"/>
            </w:tcMar>
            <w:vAlign w:val="top"/>
          </w:tcPr>
          <w:p w14:paraId="5B7658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0.41</w:t>
            </w:r>
          </w:p>
        </w:tc>
      </w:tr>
      <w:tr w14:paraId="2C06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798F7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33</w:t>
            </w:r>
          </w:p>
        </w:tc>
        <w:tc>
          <w:tcPr>
            <w:tcW w:w="3399" w:type="dxa"/>
            <w:tcBorders>
              <w:tl2br w:val="nil"/>
              <w:tr2bl w:val="nil"/>
            </w:tcBorders>
            <w:noWrap w:val="0"/>
            <w:tcMar>
              <w:left w:w="0" w:type="dxa"/>
              <w:right w:w="0" w:type="dxa"/>
            </w:tcMar>
            <w:vAlign w:val="top"/>
          </w:tcPr>
          <w:p w14:paraId="5BCBD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0.38</w:t>
            </w:r>
          </w:p>
        </w:tc>
        <w:tc>
          <w:tcPr>
            <w:tcW w:w="3403" w:type="dxa"/>
            <w:tcBorders>
              <w:tl2br w:val="nil"/>
              <w:tr2bl w:val="nil"/>
            </w:tcBorders>
            <w:noWrap w:val="0"/>
            <w:tcMar>
              <w:left w:w="0" w:type="dxa"/>
              <w:right w:w="0" w:type="dxa"/>
            </w:tcMar>
            <w:vAlign w:val="top"/>
          </w:tcPr>
          <w:p w14:paraId="5CC3E3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0.39</w:t>
            </w:r>
          </w:p>
        </w:tc>
      </w:tr>
      <w:tr w14:paraId="7F8B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8A47B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w:t>
            </w:r>
          </w:p>
        </w:tc>
        <w:tc>
          <w:tcPr>
            <w:tcW w:w="3399" w:type="dxa"/>
            <w:tcBorders>
              <w:tl2br w:val="nil"/>
              <w:tr2bl w:val="nil"/>
            </w:tcBorders>
            <w:noWrap w:val="0"/>
            <w:tcMar>
              <w:left w:w="0" w:type="dxa"/>
              <w:right w:w="0" w:type="dxa"/>
            </w:tcMar>
            <w:vAlign w:val="top"/>
          </w:tcPr>
          <w:p w14:paraId="794B6E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0.36</w:t>
            </w:r>
          </w:p>
        </w:tc>
        <w:tc>
          <w:tcPr>
            <w:tcW w:w="3403" w:type="dxa"/>
            <w:tcBorders>
              <w:tl2br w:val="nil"/>
              <w:tr2bl w:val="nil"/>
            </w:tcBorders>
            <w:noWrap w:val="0"/>
            <w:tcMar>
              <w:left w:w="0" w:type="dxa"/>
              <w:right w:w="0" w:type="dxa"/>
            </w:tcMar>
            <w:vAlign w:val="top"/>
          </w:tcPr>
          <w:p w14:paraId="064ECA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0.36</w:t>
            </w:r>
          </w:p>
        </w:tc>
      </w:tr>
      <w:tr w14:paraId="7223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73912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w:t>
            </w:r>
          </w:p>
        </w:tc>
        <w:tc>
          <w:tcPr>
            <w:tcW w:w="3399" w:type="dxa"/>
            <w:tcBorders>
              <w:tl2br w:val="nil"/>
              <w:tr2bl w:val="nil"/>
            </w:tcBorders>
            <w:noWrap w:val="0"/>
            <w:tcMar>
              <w:left w:w="0" w:type="dxa"/>
              <w:right w:w="0" w:type="dxa"/>
            </w:tcMar>
            <w:vAlign w:val="top"/>
          </w:tcPr>
          <w:p w14:paraId="5C7EA5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0.34</w:t>
            </w:r>
          </w:p>
        </w:tc>
        <w:tc>
          <w:tcPr>
            <w:tcW w:w="3403" w:type="dxa"/>
            <w:tcBorders>
              <w:tl2br w:val="nil"/>
              <w:tr2bl w:val="nil"/>
            </w:tcBorders>
            <w:noWrap w:val="0"/>
            <w:tcMar>
              <w:left w:w="0" w:type="dxa"/>
              <w:right w:w="0" w:type="dxa"/>
            </w:tcMar>
            <w:vAlign w:val="top"/>
          </w:tcPr>
          <w:p w14:paraId="7D963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0.34</w:t>
            </w:r>
          </w:p>
        </w:tc>
      </w:tr>
      <w:tr w14:paraId="0464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B22C9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w:t>
            </w:r>
          </w:p>
        </w:tc>
        <w:tc>
          <w:tcPr>
            <w:tcW w:w="3399" w:type="dxa"/>
            <w:tcBorders>
              <w:tl2br w:val="nil"/>
              <w:tr2bl w:val="nil"/>
            </w:tcBorders>
            <w:noWrap w:val="0"/>
            <w:tcMar>
              <w:left w:w="0" w:type="dxa"/>
              <w:right w:w="0" w:type="dxa"/>
            </w:tcMar>
            <w:vAlign w:val="top"/>
          </w:tcPr>
          <w:p w14:paraId="749746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0.32</w:t>
            </w:r>
          </w:p>
        </w:tc>
        <w:tc>
          <w:tcPr>
            <w:tcW w:w="3403" w:type="dxa"/>
            <w:tcBorders>
              <w:tl2br w:val="nil"/>
              <w:tr2bl w:val="nil"/>
            </w:tcBorders>
            <w:noWrap w:val="0"/>
            <w:tcMar>
              <w:left w:w="0" w:type="dxa"/>
              <w:right w:w="0" w:type="dxa"/>
            </w:tcMar>
            <w:vAlign w:val="top"/>
          </w:tcPr>
          <w:p w14:paraId="4E0C99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0.32</w:t>
            </w:r>
          </w:p>
        </w:tc>
      </w:tr>
      <w:tr w14:paraId="663D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79EBF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37</w:t>
            </w:r>
          </w:p>
        </w:tc>
        <w:tc>
          <w:tcPr>
            <w:tcW w:w="3399" w:type="dxa"/>
            <w:tcBorders>
              <w:tl2br w:val="nil"/>
              <w:tr2bl w:val="nil"/>
            </w:tcBorders>
            <w:noWrap w:val="0"/>
            <w:tcMar>
              <w:left w:w="0" w:type="dxa"/>
              <w:right w:w="0" w:type="dxa"/>
            </w:tcMar>
            <w:vAlign w:val="top"/>
          </w:tcPr>
          <w:p w14:paraId="7404F1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0.30</w:t>
            </w:r>
          </w:p>
        </w:tc>
        <w:tc>
          <w:tcPr>
            <w:tcW w:w="3403" w:type="dxa"/>
            <w:tcBorders>
              <w:tl2br w:val="nil"/>
              <w:tr2bl w:val="nil"/>
            </w:tcBorders>
            <w:noWrap w:val="0"/>
            <w:tcMar>
              <w:left w:w="0" w:type="dxa"/>
              <w:right w:w="0" w:type="dxa"/>
            </w:tcMar>
            <w:vAlign w:val="top"/>
          </w:tcPr>
          <w:p w14:paraId="46F125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0.30</w:t>
            </w:r>
          </w:p>
        </w:tc>
      </w:tr>
      <w:tr w14:paraId="5494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6238A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38</w:t>
            </w:r>
          </w:p>
        </w:tc>
        <w:tc>
          <w:tcPr>
            <w:tcW w:w="3399" w:type="dxa"/>
            <w:tcBorders>
              <w:tl2br w:val="nil"/>
              <w:tr2bl w:val="nil"/>
            </w:tcBorders>
            <w:noWrap w:val="0"/>
            <w:tcMar>
              <w:left w:w="0" w:type="dxa"/>
              <w:right w:w="0" w:type="dxa"/>
            </w:tcMar>
            <w:vAlign w:val="top"/>
          </w:tcPr>
          <w:p w14:paraId="2B37BD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0.28</w:t>
            </w:r>
          </w:p>
        </w:tc>
        <w:tc>
          <w:tcPr>
            <w:tcW w:w="3403" w:type="dxa"/>
            <w:tcBorders>
              <w:tl2br w:val="nil"/>
              <w:tr2bl w:val="nil"/>
            </w:tcBorders>
            <w:noWrap w:val="0"/>
            <w:tcMar>
              <w:left w:w="0" w:type="dxa"/>
              <w:right w:w="0" w:type="dxa"/>
            </w:tcMar>
            <w:vAlign w:val="top"/>
          </w:tcPr>
          <w:p w14:paraId="7BBF32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0.28</w:t>
            </w:r>
          </w:p>
        </w:tc>
      </w:tr>
      <w:tr w14:paraId="79C0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8D5F4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p>
        </w:tc>
        <w:tc>
          <w:tcPr>
            <w:tcW w:w="3399" w:type="dxa"/>
            <w:tcBorders>
              <w:tl2br w:val="nil"/>
              <w:tr2bl w:val="nil"/>
            </w:tcBorders>
            <w:noWrap w:val="0"/>
            <w:tcMar>
              <w:left w:w="0" w:type="dxa"/>
              <w:right w:w="0" w:type="dxa"/>
            </w:tcMar>
            <w:vAlign w:val="top"/>
          </w:tcPr>
          <w:p w14:paraId="0595A5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0.26</w:t>
            </w:r>
          </w:p>
        </w:tc>
        <w:tc>
          <w:tcPr>
            <w:tcW w:w="3403" w:type="dxa"/>
            <w:tcBorders>
              <w:tl2br w:val="nil"/>
              <w:tr2bl w:val="nil"/>
            </w:tcBorders>
            <w:noWrap w:val="0"/>
            <w:tcMar>
              <w:left w:w="0" w:type="dxa"/>
              <w:right w:w="0" w:type="dxa"/>
            </w:tcMar>
            <w:vAlign w:val="top"/>
          </w:tcPr>
          <w:p w14:paraId="2510AF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0.26</w:t>
            </w:r>
          </w:p>
        </w:tc>
      </w:tr>
      <w:tr w14:paraId="4C39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4EC6B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w:t>
            </w:r>
          </w:p>
        </w:tc>
        <w:tc>
          <w:tcPr>
            <w:tcW w:w="3399" w:type="dxa"/>
            <w:tcBorders>
              <w:tl2br w:val="nil"/>
              <w:tr2bl w:val="nil"/>
            </w:tcBorders>
            <w:noWrap w:val="0"/>
            <w:tcMar>
              <w:left w:w="0" w:type="dxa"/>
              <w:right w:w="0" w:type="dxa"/>
            </w:tcMar>
            <w:vAlign w:val="top"/>
          </w:tcPr>
          <w:p w14:paraId="0CF81D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0.25</w:t>
            </w:r>
          </w:p>
        </w:tc>
        <w:tc>
          <w:tcPr>
            <w:tcW w:w="3403" w:type="dxa"/>
            <w:tcBorders>
              <w:tl2br w:val="nil"/>
              <w:tr2bl w:val="nil"/>
            </w:tcBorders>
            <w:noWrap w:val="0"/>
            <w:tcMar>
              <w:left w:w="0" w:type="dxa"/>
              <w:right w:w="0" w:type="dxa"/>
            </w:tcMar>
            <w:vAlign w:val="top"/>
          </w:tcPr>
          <w:p w14:paraId="0801D0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0.25</w:t>
            </w:r>
          </w:p>
        </w:tc>
      </w:tr>
    </w:tbl>
    <w:p w14:paraId="77442C06">
      <w:pPr>
        <w:keepNext w:val="0"/>
        <w:keepLines w:val="0"/>
        <w:pageBreakBefore w:val="0"/>
        <w:widowControl w:val="0"/>
        <w:kinsoku/>
        <w:wordWrap/>
        <w:overflowPunct/>
        <w:topLinePunct w:val="0"/>
        <w:autoSpaceDE/>
        <w:autoSpaceDN/>
        <w:bidi w:val="0"/>
        <w:adjustRightInd w:val="0"/>
        <w:snapToGrid/>
        <w:spacing w:before="34" w:beforeLines="10" w:line="240" w:lineRule="auto"/>
        <w:ind w:firstLine="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drawing>
          <wp:inline distT="0" distB="0" distL="114300" distR="114300">
            <wp:extent cx="4025265" cy="2952115"/>
            <wp:effectExtent l="0" t="0" r="13335" b="635"/>
            <wp:docPr id="1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0"/>
                    <pic:cNvPicPr>
                      <a:picLocks noChangeAspect="1"/>
                    </pic:cNvPicPr>
                  </pic:nvPicPr>
                  <pic:blipFill>
                    <a:blip r:embed="rId65"/>
                    <a:stretch>
                      <a:fillRect/>
                    </a:stretch>
                  </pic:blipFill>
                  <pic:spPr>
                    <a:xfrm>
                      <a:off x="0" y="0"/>
                      <a:ext cx="4025265" cy="2952115"/>
                    </a:xfrm>
                    <a:prstGeom prst="rect">
                      <a:avLst/>
                    </a:prstGeom>
                    <a:noFill/>
                    <a:ln>
                      <a:noFill/>
                    </a:ln>
                  </pic:spPr>
                </pic:pic>
              </a:graphicData>
            </a:graphic>
          </wp:inline>
        </w:drawing>
      </w:r>
    </w:p>
    <w:p w14:paraId="590ACDE7">
      <w:pPr>
        <w:keepNext w:val="0"/>
        <w:keepLines w:val="0"/>
        <w:pageBreakBefore w:val="0"/>
        <w:widowControl w:val="0"/>
        <w:kinsoku/>
        <w:wordWrap/>
        <w:overflowPunct/>
        <w:topLinePunct w:val="0"/>
        <w:autoSpaceDE/>
        <w:autoSpaceDN/>
        <w:bidi w:val="0"/>
        <w:adjustRightInd w:val="0"/>
        <w:snapToGrid/>
        <w:spacing w:line="240" w:lineRule="auto"/>
        <w:ind w:firstLine="505"/>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1-3</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0kV单回线路下工频</w:t>
      </w:r>
      <w:r>
        <w:rPr>
          <w:rFonts w:hint="default" w:ascii="Times New Roman" w:hAnsi="Times New Roman" w:eastAsia="宋体" w:cs="Times New Roman"/>
          <w:b/>
          <w:color w:val="auto"/>
          <w:sz w:val="21"/>
          <w:szCs w:val="21"/>
          <w:highlight w:val="none"/>
          <w:lang w:val="en-US" w:eastAsia="zh-CN"/>
        </w:rPr>
        <w:t>电场</w:t>
      </w:r>
      <w:r>
        <w:rPr>
          <w:rFonts w:hint="default" w:ascii="Times New Roman" w:hAnsi="Times New Roman" w:eastAsia="宋体" w:cs="Times New Roman"/>
          <w:b/>
          <w:color w:val="auto"/>
          <w:sz w:val="21"/>
          <w:szCs w:val="21"/>
          <w:highlight w:val="none"/>
        </w:rPr>
        <w:t>强度变化趋势图</w:t>
      </w:r>
      <w:r>
        <w:rPr>
          <w:rFonts w:hint="default" w:ascii="Times New Roman" w:hAnsi="Times New Roman" w:eastAsia="宋体" w:cs="Times New Roman"/>
          <w:b/>
          <w:color w:val="auto"/>
          <w:sz w:val="21"/>
          <w:szCs w:val="21"/>
          <w:highlight w:val="none"/>
          <w:lang w:eastAsia="zh-CN"/>
        </w:rPr>
        <w:t>（导线对地距离</w:t>
      </w:r>
      <w:r>
        <w:rPr>
          <w:rFonts w:hint="eastAsia" w:ascii="Times New Roman" w:hAnsi="Times New Roman" w:eastAsia="宋体" w:cs="Times New Roman"/>
          <w:b/>
          <w:color w:val="auto"/>
          <w:sz w:val="21"/>
          <w:szCs w:val="21"/>
          <w:highlight w:val="none"/>
          <w:lang w:val="en-US" w:eastAsia="zh-CN"/>
        </w:rPr>
        <w:t>6.5</w:t>
      </w:r>
      <w:r>
        <w:rPr>
          <w:rFonts w:hint="default" w:ascii="Times New Roman" w:hAnsi="Times New Roman" w:eastAsia="宋体" w:cs="Times New Roman"/>
          <w:b/>
          <w:color w:val="auto"/>
          <w:sz w:val="21"/>
          <w:szCs w:val="21"/>
          <w:highlight w:val="none"/>
          <w:lang w:eastAsia="zh-CN"/>
        </w:rPr>
        <w:t>m）</w:t>
      </w:r>
    </w:p>
    <w:p w14:paraId="7685FF24">
      <w:pPr>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drawing>
          <wp:inline distT="0" distB="0" distL="114300" distR="114300">
            <wp:extent cx="4133850" cy="3023870"/>
            <wp:effectExtent l="0" t="0" r="0" b="5080"/>
            <wp:docPr id="1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1"/>
                    <pic:cNvPicPr>
                      <a:picLocks noChangeAspect="1"/>
                    </pic:cNvPicPr>
                  </pic:nvPicPr>
                  <pic:blipFill>
                    <a:blip r:embed="rId66"/>
                    <a:stretch>
                      <a:fillRect/>
                    </a:stretch>
                  </pic:blipFill>
                  <pic:spPr>
                    <a:xfrm>
                      <a:off x="0" y="0"/>
                      <a:ext cx="4133850" cy="3023870"/>
                    </a:xfrm>
                    <a:prstGeom prst="rect">
                      <a:avLst/>
                    </a:prstGeom>
                    <a:noFill/>
                    <a:ln>
                      <a:noFill/>
                    </a:ln>
                  </pic:spPr>
                </pic:pic>
              </a:graphicData>
            </a:graphic>
          </wp:inline>
        </w:drawing>
      </w:r>
    </w:p>
    <w:p w14:paraId="4AF79592">
      <w:pPr>
        <w:keepNext w:val="0"/>
        <w:keepLines w:val="0"/>
        <w:pageBreakBefore w:val="0"/>
        <w:widowControl w:val="0"/>
        <w:kinsoku/>
        <w:wordWrap/>
        <w:overflowPunct/>
        <w:topLinePunct w:val="0"/>
        <w:autoSpaceDE/>
        <w:autoSpaceDN/>
        <w:bidi w:val="0"/>
        <w:adjustRightInd w:val="0"/>
        <w:snapToGrid/>
        <w:spacing w:line="240" w:lineRule="auto"/>
        <w:ind w:firstLine="505"/>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1-4</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0kV单回线路下工频</w:t>
      </w:r>
      <w:r>
        <w:rPr>
          <w:rFonts w:hint="default" w:ascii="Times New Roman" w:hAnsi="Times New Roman" w:eastAsia="宋体" w:cs="Times New Roman"/>
          <w:b/>
          <w:color w:val="auto"/>
          <w:sz w:val="21"/>
          <w:szCs w:val="21"/>
          <w:highlight w:val="none"/>
          <w:lang w:val="en-US" w:eastAsia="zh-CN"/>
        </w:rPr>
        <w:t>电场</w:t>
      </w:r>
      <w:r>
        <w:rPr>
          <w:rFonts w:hint="default" w:ascii="Times New Roman" w:hAnsi="Times New Roman" w:eastAsia="宋体" w:cs="Times New Roman"/>
          <w:b/>
          <w:color w:val="auto"/>
          <w:sz w:val="21"/>
          <w:szCs w:val="21"/>
          <w:highlight w:val="none"/>
        </w:rPr>
        <w:t>强度变化趋势图</w:t>
      </w:r>
      <w:r>
        <w:rPr>
          <w:rFonts w:hint="default" w:ascii="Times New Roman" w:hAnsi="Times New Roman" w:eastAsia="宋体" w:cs="Times New Roman"/>
          <w:b/>
          <w:color w:val="auto"/>
          <w:sz w:val="21"/>
          <w:szCs w:val="21"/>
          <w:highlight w:val="none"/>
          <w:lang w:eastAsia="zh-CN"/>
        </w:rPr>
        <w:t>（导线对地距离</w:t>
      </w:r>
      <w:r>
        <w:rPr>
          <w:rFonts w:hint="eastAsia" w:ascii="Times New Roman" w:hAnsi="Times New Roman" w:eastAsia="宋体" w:cs="Times New Roman"/>
          <w:b/>
          <w:color w:val="auto"/>
          <w:sz w:val="21"/>
          <w:szCs w:val="21"/>
          <w:highlight w:val="none"/>
          <w:lang w:val="en-US" w:eastAsia="zh-CN"/>
        </w:rPr>
        <w:t>7.5</w:t>
      </w:r>
      <w:r>
        <w:rPr>
          <w:rFonts w:hint="default" w:ascii="Times New Roman" w:hAnsi="Times New Roman" w:eastAsia="宋体" w:cs="Times New Roman"/>
          <w:b/>
          <w:color w:val="auto"/>
          <w:sz w:val="21"/>
          <w:szCs w:val="21"/>
          <w:highlight w:val="none"/>
          <w:lang w:eastAsia="zh-CN"/>
        </w:rPr>
        <w:t>m）</w:t>
      </w:r>
    </w:p>
    <w:p w14:paraId="0770CDC3">
      <w:pPr>
        <w:keepNext w:val="0"/>
        <w:keepLines w:val="0"/>
        <w:pageBreakBefore w:val="0"/>
        <w:widowControl w:val="0"/>
        <w:kinsoku/>
        <w:wordWrap/>
        <w:overflowPunct/>
        <w:topLinePunct w:val="0"/>
        <w:autoSpaceDE/>
        <w:autoSpaceDN/>
        <w:bidi w:val="0"/>
        <w:adjustRightInd w:val="0"/>
        <w:snapToGrid/>
        <w:spacing w:line="460" w:lineRule="exact"/>
        <w:ind w:firstLine="504"/>
        <w:jc w:val="both"/>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根据表</w:t>
      </w:r>
      <w:r>
        <w:rPr>
          <w:rFonts w:hint="default" w:ascii="Times New Roman" w:hAnsi="Times New Roman" w:eastAsia="宋体" w:cs="Times New Roman"/>
          <w:color w:val="auto"/>
          <w:spacing w:val="6"/>
          <w:sz w:val="24"/>
          <w:szCs w:val="24"/>
          <w:highlight w:val="none"/>
          <w:lang w:val="en-US" w:eastAsia="zh-CN"/>
        </w:rPr>
        <w:t>4.</w:t>
      </w:r>
      <w:r>
        <w:rPr>
          <w:rFonts w:hint="eastAsia" w:ascii="Times New Roman" w:hAnsi="Times New Roman" w:eastAsia="宋体" w:cs="Times New Roman"/>
          <w:color w:val="auto"/>
          <w:spacing w:val="6"/>
          <w:sz w:val="24"/>
          <w:szCs w:val="24"/>
          <w:highlight w:val="none"/>
          <w:lang w:val="en-US" w:eastAsia="zh-CN"/>
        </w:rPr>
        <w:t>1-2</w:t>
      </w:r>
      <w:r>
        <w:rPr>
          <w:rFonts w:hint="default" w:ascii="Times New Roman" w:hAnsi="Times New Roman" w:eastAsia="宋体" w:cs="Times New Roman"/>
          <w:color w:val="auto"/>
          <w:spacing w:val="6"/>
          <w:sz w:val="24"/>
          <w:szCs w:val="24"/>
          <w:highlight w:val="none"/>
        </w:rPr>
        <w:t>、图</w:t>
      </w:r>
      <w:r>
        <w:rPr>
          <w:rFonts w:hint="default" w:ascii="Times New Roman" w:hAnsi="Times New Roman" w:eastAsia="宋体" w:cs="Times New Roman"/>
          <w:color w:val="auto"/>
          <w:spacing w:val="6"/>
          <w:sz w:val="24"/>
          <w:szCs w:val="24"/>
          <w:highlight w:val="none"/>
          <w:lang w:val="en-US" w:eastAsia="zh-CN"/>
        </w:rPr>
        <w:t>4.</w:t>
      </w:r>
      <w:r>
        <w:rPr>
          <w:rFonts w:hint="eastAsia" w:ascii="Times New Roman" w:hAnsi="Times New Roman" w:eastAsia="宋体" w:cs="Times New Roman"/>
          <w:color w:val="auto"/>
          <w:spacing w:val="6"/>
          <w:sz w:val="24"/>
          <w:szCs w:val="24"/>
          <w:highlight w:val="none"/>
          <w:lang w:val="en-US" w:eastAsia="zh-CN"/>
        </w:rPr>
        <w:t>1-3、图4.1-4</w:t>
      </w:r>
      <w:r>
        <w:rPr>
          <w:rFonts w:hint="default" w:ascii="Times New Roman" w:hAnsi="Times New Roman" w:eastAsia="宋体" w:cs="Times New Roman"/>
          <w:color w:val="auto"/>
          <w:spacing w:val="6"/>
          <w:sz w:val="24"/>
          <w:szCs w:val="24"/>
          <w:highlight w:val="none"/>
        </w:rPr>
        <w:t>可知，当导线高</w:t>
      </w:r>
      <w:r>
        <w:rPr>
          <w:rFonts w:hint="eastAsia" w:ascii="Times New Roman" w:hAnsi="Times New Roman" w:eastAsia="宋体" w:cs="Times New Roman"/>
          <w:color w:val="auto"/>
          <w:spacing w:val="6"/>
          <w:sz w:val="24"/>
          <w:szCs w:val="24"/>
          <w:highlight w:val="none"/>
          <w:lang w:val="en-US" w:eastAsia="zh-CN"/>
        </w:rPr>
        <w:t>6</w:t>
      </w:r>
      <w:r>
        <w:rPr>
          <w:rFonts w:hint="default" w:ascii="Times New Roman" w:hAnsi="Times New Roman" w:eastAsia="宋体" w:cs="Times New Roman"/>
          <w:color w:val="auto"/>
          <w:spacing w:val="6"/>
          <w:sz w:val="24"/>
          <w:szCs w:val="24"/>
          <w:highlight w:val="none"/>
        </w:rPr>
        <w:t>.5m 时，本项目220kV 输电线路工频电场强度随着距中心距离增加而增大，在距中心线</w:t>
      </w:r>
      <w:r>
        <w:rPr>
          <w:rFonts w:hint="eastAsia" w:ascii="Times New Roman" w:hAnsi="Times New Roman" w:eastAsia="宋体" w:cs="Times New Roman"/>
          <w:color w:val="auto"/>
          <w:spacing w:val="6"/>
          <w:sz w:val="24"/>
          <w:szCs w:val="24"/>
          <w:highlight w:val="none"/>
          <w:lang w:val="en-US" w:eastAsia="zh-CN"/>
        </w:rPr>
        <w:t>7</w:t>
      </w:r>
      <w:r>
        <w:rPr>
          <w:rFonts w:hint="default" w:ascii="Times New Roman" w:hAnsi="Times New Roman" w:eastAsia="宋体" w:cs="Times New Roman"/>
          <w:color w:val="auto"/>
          <w:spacing w:val="6"/>
          <w:sz w:val="24"/>
          <w:szCs w:val="24"/>
          <w:highlight w:val="none"/>
        </w:rPr>
        <w:t>m 处到达峰值（</w:t>
      </w:r>
      <w:r>
        <w:rPr>
          <w:rFonts w:hint="eastAsia" w:ascii="Times New Roman" w:hAnsi="Times New Roman" w:eastAsia="宋体" w:cs="Times New Roman"/>
          <w:color w:val="auto"/>
          <w:spacing w:val="6"/>
          <w:sz w:val="24"/>
          <w:szCs w:val="24"/>
          <w:highlight w:val="none"/>
          <w:lang w:val="en-US" w:eastAsia="zh-CN"/>
        </w:rPr>
        <w:t>1.92</w:t>
      </w:r>
      <w:r>
        <w:rPr>
          <w:rFonts w:hint="default" w:ascii="Times New Roman" w:hAnsi="Times New Roman" w:eastAsia="宋体" w:cs="Times New Roman"/>
          <w:color w:val="auto"/>
          <w:spacing w:val="6"/>
          <w:sz w:val="24"/>
          <w:szCs w:val="24"/>
          <w:highlight w:val="none"/>
        </w:rPr>
        <w:t>kV/m），后随着距离增加而减小</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当导线高</w:t>
      </w:r>
      <w:r>
        <w:rPr>
          <w:rFonts w:hint="eastAsia" w:ascii="Times New Roman" w:hAnsi="Times New Roman" w:eastAsia="宋体" w:cs="Times New Roman"/>
          <w:color w:val="auto"/>
          <w:spacing w:val="6"/>
          <w:sz w:val="24"/>
          <w:szCs w:val="24"/>
          <w:highlight w:val="none"/>
          <w:lang w:val="en-US" w:eastAsia="zh-CN"/>
        </w:rPr>
        <w:t>7.5</w:t>
      </w:r>
      <w:r>
        <w:rPr>
          <w:rFonts w:hint="default" w:ascii="Times New Roman" w:hAnsi="Times New Roman" w:eastAsia="宋体" w:cs="Times New Roman"/>
          <w:color w:val="auto"/>
          <w:spacing w:val="6"/>
          <w:sz w:val="24"/>
          <w:szCs w:val="24"/>
          <w:highlight w:val="none"/>
        </w:rPr>
        <w:t>m时</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单回路220kV架空输电线路下线最大工频电场强度为</w:t>
      </w:r>
      <w:r>
        <w:rPr>
          <w:rFonts w:hint="eastAsia" w:ascii="Times New Roman" w:hAnsi="Times New Roman" w:eastAsia="宋体" w:cs="Times New Roman"/>
          <w:color w:val="auto"/>
          <w:spacing w:val="6"/>
          <w:sz w:val="24"/>
          <w:szCs w:val="24"/>
          <w:highlight w:val="none"/>
          <w:lang w:val="en-US" w:eastAsia="zh-CN"/>
        </w:rPr>
        <w:t>1.71</w:t>
      </w:r>
      <w:r>
        <w:rPr>
          <w:rFonts w:hint="default" w:ascii="Times New Roman" w:hAnsi="Times New Roman" w:eastAsia="宋体" w:cs="Times New Roman"/>
          <w:color w:val="auto"/>
          <w:spacing w:val="6"/>
          <w:sz w:val="24"/>
          <w:szCs w:val="24"/>
          <w:highlight w:val="none"/>
        </w:rPr>
        <w:t>kV/m</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其产生的工频电场强度均小于4kV/m的</w:t>
      </w:r>
      <w:r>
        <w:rPr>
          <w:rFonts w:hint="default" w:ascii="Times New Roman" w:hAnsi="Times New Roman" w:eastAsia="宋体" w:cs="Times New Roman"/>
          <w:color w:val="auto"/>
          <w:spacing w:val="6"/>
          <w:sz w:val="24"/>
          <w:szCs w:val="24"/>
          <w:highlight w:val="none"/>
          <w:lang w:eastAsia="zh-CN"/>
        </w:rPr>
        <w:t>公众曝露</w:t>
      </w:r>
      <w:r>
        <w:rPr>
          <w:rFonts w:hint="default" w:ascii="Times New Roman" w:hAnsi="Times New Roman" w:eastAsia="宋体" w:cs="Times New Roman"/>
          <w:color w:val="auto"/>
          <w:spacing w:val="6"/>
          <w:sz w:val="24"/>
          <w:szCs w:val="24"/>
          <w:highlight w:val="none"/>
        </w:rPr>
        <w:t>限值。</w:t>
      </w:r>
    </w:p>
    <w:p w14:paraId="3C854265">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b w:val="0"/>
          <w:bCs/>
          <w:color w:val="auto"/>
          <w:sz w:val="24"/>
          <w:szCs w:val="24"/>
          <w:highlight w:val="none"/>
          <w:lang w:val="zh-CN"/>
        </w:rPr>
      </w:pPr>
      <w:r>
        <w:rPr>
          <w:rFonts w:hint="default" w:ascii="Times New Roman" w:hAnsi="Times New Roman" w:eastAsia="宋体" w:cs="Times New Roman"/>
          <w:b w:val="0"/>
          <w:bCs/>
          <w:color w:val="auto"/>
          <w:sz w:val="24"/>
          <w:szCs w:val="24"/>
          <w:highlight w:val="none"/>
          <w:lang w:val="zh-CN" w:eastAsia="zh-CN"/>
        </w:rPr>
        <w:t>②工频</w:t>
      </w:r>
      <w:r>
        <w:rPr>
          <w:rFonts w:hint="default" w:ascii="Times New Roman" w:hAnsi="Times New Roman" w:eastAsia="宋体" w:cs="Times New Roman"/>
          <w:b w:val="0"/>
          <w:bCs/>
          <w:color w:val="auto"/>
          <w:sz w:val="24"/>
          <w:szCs w:val="24"/>
          <w:highlight w:val="none"/>
          <w:lang w:val="en-US" w:eastAsia="zh-CN"/>
        </w:rPr>
        <w:t>磁感应</w:t>
      </w:r>
      <w:r>
        <w:rPr>
          <w:rFonts w:hint="default" w:ascii="Times New Roman" w:hAnsi="Times New Roman" w:eastAsia="宋体" w:cs="Times New Roman"/>
          <w:b w:val="0"/>
          <w:bCs/>
          <w:color w:val="auto"/>
          <w:sz w:val="24"/>
          <w:szCs w:val="24"/>
          <w:highlight w:val="none"/>
          <w:lang w:val="zh-CN" w:eastAsia="zh-CN"/>
        </w:rPr>
        <w:t>强度计算结果</w:t>
      </w:r>
    </w:p>
    <w:p w14:paraId="73A9574B">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b w:val="0"/>
          <w:bCs/>
          <w:color w:val="auto"/>
          <w:sz w:val="24"/>
          <w:szCs w:val="24"/>
          <w:highlight w:val="none"/>
          <w:lang w:val="zh-CN"/>
        </w:rPr>
      </w:pPr>
      <w:r>
        <w:rPr>
          <w:rFonts w:hint="default" w:ascii="Times New Roman" w:hAnsi="Times New Roman" w:eastAsia="宋体" w:cs="Times New Roman"/>
          <w:b w:val="0"/>
          <w:bCs/>
          <w:color w:val="auto"/>
          <w:sz w:val="24"/>
          <w:szCs w:val="24"/>
          <w:highlight w:val="none"/>
          <w:lang w:val="zh-CN"/>
        </w:rPr>
        <w:t>计算中导线高度为</w:t>
      </w:r>
      <w:r>
        <w:rPr>
          <w:rFonts w:hint="eastAsia" w:ascii="Times New Roman" w:hAnsi="Times New Roman" w:eastAsia="宋体" w:cs="Times New Roman"/>
          <w:b w:val="0"/>
          <w:bCs/>
          <w:color w:val="auto"/>
          <w:sz w:val="24"/>
          <w:szCs w:val="24"/>
          <w:highlight w:val="none"/>
          <w:lang w:val="en-US" w:eastAsia="zh-CN"/>
        </w:rPr>
        <w:t>6.5</w:t>
      </w:r>
      <w:r>
        <w:rPr>
          <w:rFonts w:hint="default" w:ascii="Times New Roman" w:hAnsi="Times New Roman" w:eastAsia="宋体" w:cs="Times New Roman"/>
          <w:b w:val="0"/>
          <w:bCs/>
          <w:color w:val="auto"/>
          <w:sz w:val="24"/>
          <w:szCs w:val="24"/>
          <w:highlight w:val="none"/>
          <w:lang w:val="zh-CN"/>
        </w:rPr>
        <w:t>m、</w:t>
      </w:r>
      <w:r>
        <w:rPr>
          <w:rFonts w:hint="eastAsia" w:ascii="Times New Roman" w:hAnsi="Times New Roman" w:eastAsia="宋体" w:cs="Times New Roman"/>
          <w:b w:val="0"/>
          <w:bCs/>
          <w:color w:val="auto"/>
          <w:sz w:val="24"/>
          <w:szCs w:val="24"/>
          <w:highlight w:val="none"/>
          <w:lang w:val="en-US" w:eastAsia="zh-CN"/>
        </w:rPr>
        <w:t>7.5</w:t>
      </w:r>
      <w:r>
        <w:rPr>
          <w:rFonts w:hint="default" w:ascii="Times New Roman" w:hAnsi="Times New Roman" w:eastAsia="宋体" w:cs="Times New Roman"/>
          <w:b w:val="0"/>
          <w:bCs/>
          <w:color w:val="auto"/>
          <w:sz w:val="24"/>
          <w:szCs w:val="24"/>
          <w:highlight w:val="none"/>
          <w:lang w:val="zh-CN"/>
        </w:rPr>
        <w:t>m，计算点离地面高1.5m，三角排列，其线下工频磁感应强度的计算结果见表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1-3</w:t>
      </w:r>
      <w:r>
        <w:rPr>
          <w:rFonts w:hint="default" w:ascii="Times New Roman" w:hAnsi="Times New Roman" w:eastAsia="宋体" w:cs="Times New Roman"/>
          <w:b w:val="0"/>
          <w:bCs/>
          <w:color w:val="auto"/>
          <w:sz w:val="24"/>
          <w:szCs w:val="24"/>
          <w:highlight w:val="none"/>
          <w:lang w:val="zh-CN"/>
        </w:rPr>
        <w:t>。</w:t>
      </w:r>
    </w:p>
    <w:p w14:paraId="2AC4227F">
      <w:pPr>
        <w:keepNext w:val="0"/>
        <w:keepLines w:val="0"/>
        <w:pageBreakBefore w:val="0"/>
        <w:widowControl w:val="0"/>
        <w:kinsoku/>
        <w:wordWrap/>
        <w:overflowPunct/>
        <w:topLinePunct w:val="0"/>
        <w:autoSpaceDE/>
        <w:autoSpaceDN/>
        <w:bidi w:val="0"/>
        <w:snapToGrid/>
        <w:spacing w:line="460" w:lineRule="exact"/>
        <w:ind w:firstLine="422"/>
        <w:jc w:val="center"/>
        <w:textAlignment w:val="auto"/>
        <w:rPr>
          <w:rFonts w:hint="default" w:ascii="Times New Roman" w:hAnsi="Times New Roman" w:eastAsia="宋体" w:cs="Times New Roman"/>
          <w:b w:val="0"/>
          <w:bCs/>
          <w:color w:val="auto"/>
          <w:sz w:val="21"/>
          <w:szCs w:val="21"/>
          <w:highlight w:val="none"/>
          <w:lang w:val="zh-CN"/>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1-3</w:t>
      </w:r>
      <w:r>
        <w:rPr>
          <w:rFonts w:hint="default" w:ascii="Times New Roman" w:hAnsi="Times New Roman" w:eastAsia="宋体" w:cs="Times New Roman"/>
          <w:b/>
          <w:bCs w:val="0"/>
          <w:color w:val="auto"/>
          <w:sz w:val="21"/>
          <w:szCs w:val="21"/>
          <w:highlight w:val="none"/>
        </w:rPr>
        <w:t xml:space="preserve">  火山云</w:t>
      </w:r>
      <w:r>
        <w:rPr>
          <w:rFonts w:hint="default" w:ascii="Times New Roman" w:hAnsi="Times New Roman" w:eastAsia="宋体" w:cs="Times New Roman"/>
          <w:b/>
          <w:bCs w:val="0"/>
          <w:color w:val="auto"/>
          <w:sz w:val="21"/>
          <w:szCs w:val="21"/>
          <w:highlight w:val="none"/>
          <w:lang w:val="en-US" w:eastAsia="zh-CN"/>
        </w:rPr>
        <w:t>220KV</w:t>
      </w:r>
      <w:r>
        <w:rPr>
          <w:rFonts w:hint="default" w:ascii="Times New Roman" w:hAnsi="Times New Roman" w:eastAsia="宋体" w:cs="Times New Roman"/>
          <w:b/>
          <w:bCs w:val="0"/>
          <w:color w:val="auto"/>
          <w:sz w:val="21"/>
          <w:szCs w:val="21"/>
          <w:highlight w:val="none"/>
        </w:rPr>
        <w:t>变电站~</w:t>
      </w:r>
      <w:r>
        <w:rPr>
          <w:rFonts w:hint="default" w:ascii="Times New Roman" w:hAnsi="Times New Roman" w:eastAsia="宋体" w:cs="Times New Roman"/>
          <w:b/>
          <w:bCs w:val="0"/>
          <w:color w:val="auto"/>
          <w:sz w:val="21"/>
          <w:szCs w:val="21"/>
          <w:highlight w:val="none"/>
          <w:lang w:val="en-US" w:eastAsia="zh-CN"/>
        </w:rPr>
        <w:t>史庄一回</w:t>
      </w:r>
      <w:r>
        <w:rPr>
          <w:rFonts w:hint="default" w:ascii="Times New Roman" w:hAnsi="Times New Roman" w:eastAsia="宋体" w:cs="Times New Roman"/>
          <w:b/>
          <w:bCs w:val="0"/>
          <w:color w:val="auto"/>
          <w:sz w:val="21"/>
          <w:szCs w:val="21"/>
          <w:highlight w:val="none"/>
        </w:rPr>
        <w:t>220kV</w:t>
      </w:r>
      <w:r>
        <w:rPr>
          <w:rFonts w:hint="default" w:ascii="Times New Roman" w:hAnsi="Times New Roman" w:eastAsia="宋体" w:cs="Times New Roman"/>
          <w:b/>
          <w:bCs w:val="0"/>
          <w:color w:val="auto"/>
          <w:sz w:val="21"/>
          <w:szCs w:val="21"/>
          <w:highlight w:val="none"/>
          <w:lang w:val="en-US" w:eastAsia="zh-CN"/>
        </w:rPr>
        <w:t>线</w:t>
      </w:r>
      <w:r>
        <w:rPr>
          <w:rFonts w:hint="default" w:ascii="Times New Roman" w:hAnsi="Times New Roman" w:eastAsia="宋体" w:cs="Times New Roman"/>
          <w:b/>
          <w:bCs w:val="0"/>
          <w:color w:val="auto"/>
          <w:sz w:val="21"/>
          <w:szCs w:val="21"/>
          <w:highlight w:val="none"/>
        </w:rPr>
        <w:t>路工频</w:t>
      </w:r>
      <w:r>
        <w:rPr>
          <w:rFonts w:hint="default" w:ascii="Times New Roman" w:hAnsi="Times New Roman" w:eastAsia="宋体" w:cs="Times New Roman"/>
          <w:b/>
          <w:bCs w:val="0"/>
          <w:color w:val="auto"/>
          <w:sz w:val="21"/>
          <w:szCs w:val="21"/>
          <w:highlight w:val="none"/>
          <w:lang w:val="en-US" w:eastAsia="zh-CN"/>
        </w:rPr>
        <w:t>磁感应</w:t>
      </w:r>
      <w:r>
        <w:rPr>
          <w:rFonts w:hint="default" w:ascii="Times New Roman" w:hAnsi="Times New Roman" w:eastAsia="宋体" w:cs="Times New Roman"/>
          <w:b/>
          <w:bCs w:val="0"/>
          <w:color w:val="auto"/>
          <w:sz w:val="21"/>
          <w:szCs w:val="21"/>
          <w:highlight w:val="none"/>
        </w:rPr>
        <w:t>强度的计算结果  （</w:t>
      </w:r>
      <w:r>
        <w:rPr>
          <w:rFonts w:hint="default" w:ascii="Times New Roman" w:hAnsi="Times New Roman" w:eastAsia="宋体" w:cs="Times New Roman"/>
          <w:b/>
          <w:bCs w:val="0"/>
          <w:color w:val="auto"/>
          <w:sz w:val="21"/>
          <w:szCs w:val="21"/>
          <w:highlight w:val="none"/>
          <w:lang w:eastAsia="zh-CN"/>
        </w:rPr>
        <w:t>μT）</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3399"/>
        <w:gridCol w:w="3403"/>
      </w:tblGrid>
      <w:tr w14:paraId="4030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337" w:type="pct"/>
            <w:tcBorders>
              <w:tl2br w:val="nil"/>
              <w:tr2bl w:val="nil"/>
            </w:tcBorders>
            <w:noWrap w:val="0"/>
            <w:vAlign w:val="center"/>
          </w:tcPr>
          <w:p w14:paraId="02903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距线路中心距离</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p>
        </w:tc>
        <w:tc>
          <w:tcPr>
            <w:tcW w:w="1830" w:type="pct"/>
            <w:tcBorders>
              <w:tl2br w:val="nil"/>
              <w:tr2bl w:val="nil"/>
            </w:tcBorders>
            <w:noWrap w:val="0"/>
            <w:vAlign w:val="center"/>
          </w:tcPr>
          <w:p w14:paraId="64507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default"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p>
        </w:tc>
        <w:tc>
          <w:tcPr>
            <w:tcW w:w="1832" w:type="pct"/>
            <w:tcBorders>
              <w:tl2br w:val="nil"/>
              <w:tr2bl w:val="nil"/>
            </w:tcBorders>
            <w:noWrap w:val="0"/>
            <w:vAlign w:val="center"/>
          </w:tcPr>
          <w:p w14:paraId="6B18F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7</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p>
        </w:tc>
      </w:tr>
      <w:tr w14:paraId="33D4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9323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3399" w:type="dxa"/>
            <w:tcBorders>
              <w:tl2br w:val="nil"/>
              <w:tr2bl w:val="nil"/>
            </w:tcBorders>
            <w:noWrap w:val="0"/>
            <w:tcMar>
              <w:left w:w="0" w:type="dxa"/>
              <w:right w:w="0" w:type="dxa"/>
            </w:tcMar>
            <w:vAlign w:val="top"/>
          </w:tcPr>
          <w:p w14:paraId="60318B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vertAlign w:val="baseline"/>
                <w:lang w:eastAsia="zh-CN"/>
              </w:rPr>
              <w:t>5.22</w:t>
            </w:r>
          </w:p>
        </w:tc>
        <w:tc>
          <w:tcPr>
            <w:tcW w:w="3403" w:type="dxa"/>
            <w:tcBorders>
              <w:tl2br w:val="nil"/>
              <w:tr2bl w:val="nil"/>
            </w:tcBorders>
            <w:noWrap w:val="0"/>
            <w:tcMar>
              <w:left w:w="0" w:type="dxa"/>
              <w:right w:w="0" w:type="dxa"/>
            </w:tcMar>
            <w:vAlign w:val="top"/>
          </w:tcPr>
          <w:p w14:paraId="6C987D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vertAlign w:val="baseline"/>
                <w:lang w:eastAsia="zh-CN"/>
              </w:rPr>
              <w:t>5.00</w:t>
            </w:r>
          </w:p>
        </w:tc>
      </w:tr>
      <w:tr w14:paraId="3D0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2745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399" w:type="dxa"/>
            <w:tcBorders>
              <w:tl2br w:val="nil"/>
              <w:tr2bl w:val="nil"/>
            </w:tcBorders>
            <w:noWrap w:val="0"/>
            <w:tcMar>
              <w:left w:w="0" w:type="dxa"/>
              <w:right w:w="0" w:type="dxa"/>
            </w:tcMar>
            <w:vAlign w:val="top"/>
          </w:tcPr>
          <w:p w14:paraId="7E9EDF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5.23</w:t>
            </w:r>
          </w:p>
        </w:tc>
        <w:tc>
          <w:tcPr>
            <w:tcW w:w="3403" w:type="dxa"/>
            <w:tcBorders>
              <w:tl2br w:val="nil"/>
              <w:tr2bl w:val="nil"/>
            </w:tcBorders>
            <w:noWrap w:val="0"/>
            <w:tcMar>
              <w:left w:w="0" w:type="dxa"/>
              <w:right w:w="0" w:type="dxa"/>
            </w:tcMar>
            <w:vAlign w:val="top"/>
          </w:tcPr>
          <w:p w14:paraId="498AA3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5.00</w:t>
            </w:r>
          </w:p>
        </w:tc>
      </w:tr>
      <w:tr w14:paraId="221A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2B6ED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3399" w:type="dxa"/>
            <w:tcBorders>
              <w:tl2br w:val="nil"/>
              <w:tr2bl w:val="nil"/>
            </w:tcBorders>
            <w:noWrap w:val="0"/>
            <w:tcMar>
              <w:left w:w="0" w:type="dxa"/>
              <w:right w:w="0" w:type="dxa"/>
            </w:tcMar>
            <w:vAlign w:val="top"/>
          </w:tcPr>
          <w:p w14:paraId="049D8E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5.25</w:t>
            </w:r>
          </w:p>
        </w:tc>
        <w:tc>
          <w:tcPr>
            <w:tcW w:w="3403" w:type="dxa"/>
            <w:tcBorders>
              <w:tl2br w:val="nil"/>
              <w:tr2bl w:val="nil"/>
            </w:tcBorders>
            <w:noWrap w:val="0"/>
            <w:tcMar>
              <w:left w:w="0" w:type="dxa"/>
              <w:right w:w="0" w:type="dxa"/>
            </w:tcMar>
            <w:vAlign w:val="top"/>
          </w:tcPr>
          <w:p w14:paraId="31CB5B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5.01</w:t>
            </w:r>
          </w:p>
        </w:tc>
      </w:tr>
      <w:tr w14:paraId="67E0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28DE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399" w:type="dxa"/>
            <w:tcBorders>
              <w:tl2br w:val="nil"/>
              <w:tr2bl w:val="nil"/>
            </w:tcBorders>
            <w:noWrap w:val="0"/>
            <w:tcMar>
              <w:left w:w="0" w:type="dxa"/>
              <w:right w:w="0" w:type="dxa"/>
            </w:tcMar>
            <w:vAlign w:val="top"/>
          </w:tcPr>
          <w:p w14:paraId="28F171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5.28</w:t>
            </w:r>
          </w:p>
        </w:tc>
        <w:tc>
          <w:tcPr>
            <w:tcW w:w="3403" w:type="dxa"/>
            <w:tcBorders>
              <w:tl2br w:val="nil"/>
              <w:tr2bl w:val="nil"/>
            </w:tcBorders>
            <w:noWrap w:val="0"/>
            <w:tcMar>
              <w:left w:w="0" w:type="dxa"/>
              <w:right w:w="0" w:type="dxa"/>
            </w:tcMar>
            <w:vAlign w:val="top"/>
          </w:tcPr>
          <w:p w14:paraId="23F42F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5.03</w:t>
            </w:r>
          </w:p>
        </w:tc>
      </w:tr>
      <w:tr w14:paraId="71A7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EA7A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3399" w:type="dxa"/>
            <w:tcBorders>
              <w:tl2br w:val="nil"/>
              <w:tr2bl w:val="nil"/>
            </w:tcBorders>
            <w:noWrap w:val="0"/>
            <w:tcMar>
              <w:left w:w="0" w:type="dxa"/>
              <w:right w:w="0" w:type="dxa"/>
            </w:tcMar>
            <w:vAlign w:val="top"/>
          </w:tcPr>
          <w:p w14:paraId="3D20D6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5.32</w:t>
            </w:r>
          </w:p>
        </w:tc>
        <w:tc>
          <w:tcPr>
            <w:tcW w:w="3403" w:type="dxa"/>
            <w:tcBorders>
              <w:tl2br w:val="nil"/>
              <w:tr2bl w:val="nil"/>
            </w:tcBorders>
            <w:noWrap w:val="0"/>
            <w:tcMar>
              <w:left w:w="0" w:type="dxa"/>
              <w:right w:w="0" w:type="dxa"/>
            </w:tcMar>
            <w:vAlign w:val="top"/>
          </w:tcPr>
          <w:p w14:paraId="134B63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5.04</w:t>
            </w:r>
          </w:p>
        </w:tc>
      </w:tr>
      <w:tr w14:paraId="34BA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A768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3399" w:type="dxa"/>
            <w:tcBorders>
              <w:tl2br w:val="nil"/>
              <w:tr2bl w:val="nil"/>
            </w:tcBorders>
            <w:noWrap w:val="0"/>
            <w:tcMar>
              <w:left w:w="0" w:type="dxa"/>
              <w:right w:w="0" w:type="dxa"/>
            </w:tcMar>
            <w:vAlign w:val="top"/>
          </w:tcPr>
          <w:p w14:paraId="75071B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5.34</w:t>
            </w:r>
          </w:p>
        </w:tc>
        <w:tc>
          <w:tcPr>
            <w:tcW w:w="3403" w:type="dxa"/>
            <w:tcBorders>
              <w:tl2br w:val="nil"/>
              <w:tr2bl w:val="nil"/>
            </w:tcBorders>
            <w:noWrap w:val="0"/>
            <w:tcMar>
              <w:left w:w="0" w:type="dxa"/>
              <w:right w:w="0" w:type="dxa"/>
            </w:tcMar>
            <w:vAlign w:val="top"/>
          </w:tcPr>
          <w:p w14:paraId="7139B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5.04</w:t>
            </w:r>
          </w:p>
        </w:tc>
      </w:tr>
      <w:tr w14:paraId="1D40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63E0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3399" w:type="dxa"/>
            <w:tcBorders>
              <w:tl2br w:val="nil"/>
              <w:tr2bl w:val="nil"/>
            </w:tcBorders>
            <w:noWrap w:val="0"/>
            <w:tcMar>
              <w:left w:w="0" w:type="dxa"/>
              <w:right w:w="0" w:type="dxa"/>
            </w:tcMar>
            <w:vAlign w:val="top"/>
          </w:tcPr>
          <w:p w14:paraId="7435FA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5.35</w:t>
            </w:r>
          </w:p>
        </w:tc>
        <w:tc>
          <w:tcPr>
            <w:tcW w:w="3403" w:type="dxa"/>
            <w:tcBorders>
              <w:tl2br w:val="nil"/>
              <w:tr2bl w:val="nil"/>
            </w:tcBorders>
            <w:noWrap w:val="0"/>
            <w:tcMar>
              <w:left w:w="0" w:type="dxa"/>
              <w:right w:w="0" w:type="dxa"/>
            </w:tcMar>
            <w:vAlign w:val="top"/>
          </w:tcPr>
          <w:p w14:paraId="1DC828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5.03</w:t>
            </w:r>
          </w:p>
        </w:tc>
      </w:tr>
      <w:tr w14:paraId="395C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732B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3399" w:type="dxa"/>
            <w:tcBorders>
              <w:tl2br w:val="nil"/>
              <w:tr2bl w:val="nil"/>
            </w:tcBorders>
            <w:noWrap w:val="0"/>
            <w:tcMar>
              <w:left w:w="0" w:type="dxa"/>
              <w:right w:w="0" w:type="dxa"/>
            </w:tcMar>
            <w:vAlign w:val="top"/>
          </w:tcPr>
          <w:p w14:paraId="4ACDD9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5.33</w:t>
            </w:r>
          </w:p>
        </w:tc>
        <w:tc>
          <w:tcPr>
            <w:tcW w:w="3403" w:type="dxa"/>
            <w:tcBorders>
              <w:tl2br w:val="nil"/>
              <w:tr2bl w:val="nil"/>
            </w:tcBorders>
            <w:noWrap w:val="0"/>
            <w:tcMar>
              <w:left w:w="0" w:type="dxa"/>
              <w:right w:w="0" w:type="dxa"/>
            </w:tcMar>
            <w:vAlign w:val="top"/>
          </w:tcPr>
          <w:p w14:paraId="1C461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5.00</w:t>
            </w:r>
          </w:p>
        </w:tc>
      </w:tr>
      <w:tr w14:paraId="3411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D3F3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3399" w:type="dxa"/>
            <w:tcBorders>
              <w:tl2br w:val="nil"/>
              <w:tr2bl w:val="nil"/>
            </w:tcBorders>
            <w:noWrap w:val="0"/>
            <w:tcMar>
              <w:left w:w="0" w:type="dxa"/>
              <w:right w:w="0" w:type="dxa"/>
            </w:tcMar>
            <w:vAlign w:val="top"/>
          </w:tcPr>
          <w:p w14:paraId="7FACE6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5.27</w:t>
            </w:r>
          </w:p>
        </w:tc>
        <w:tc>
          <w:tcPr>
            <w:tcW w:w="3403" w:type="dxa"/>
            <w:tcBorders>
              <w:tl2br w:val="nil"/>
              <w:tr2bl w:val="nil"/>
            </w:tcBorders>
            <w:noWrap w:val="0"/>
            <w:tcMar>
              <w:left w:w="0" w:type="dxa"/>
              <w:right w:w="0" w:type="dxa"/>
            </w:tcMar>
            <w:vAlign w:val="top"/>
          </w:tcPr>
          <w:p w14:paraId="175CA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4.95</w:t>
            </w:r>
          </w:p>
        </w:tc>
      </w:tr>
      <w:tr w14:paraId="4FF1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59E4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3399" w:type="dxa"/>
            <w:tcBorders>
              <w:tl2br w:val="nil"/>
              <w:tr2bl w:val="nil"/>
            </w:tcBorders>
            <w:noWrap w:val="0"/>
            <w:tcMar>
              <w:left w:w="0" w:type="dxa"/>
              <w:right w:w="0" w:type="dxa"/>
            </w:tcMar>
            <w:vAlign w:val="top"/>
          </w:tcPr>
          <w:p w14:paraId="2A500C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5.19</w:t>
            </w:r>
          </w:p>
        </w:tc>
        <w:tc>
          <w:tcPr>
            <w:tcW w:w="3403" w:type="dxa"/>
            <w:tcBorders>
              <w:tl2br w:val="nil"/>
              <w:tr2bl w:val="nil"/>
            </w:tcBorders>
            <w:noWrap w:val="0"/>
            <w:tcMar>
              <w:left w:w="0" w:type="dxa"/>
              <w:right w:w="0" w:type="dxa"/>
            </w:tcMar>
            <w:vAlign w:val="top"/>
          </w:tcPr>
          <w:p w14:paraId="593BC4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4.88</w:t>
            </w:r>
          </w:p>
        </w:tc>
      </w:tr>
      <w:tr w14:paraId="723F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5E95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3399" w:type="dxa"/>
            <w:tcBorders>
              <w:tl2br w:val="nil"/>
              <w:tr2bl w:val="nil"/>
            </w:tcBorders>
            <w:noWrap w:val="0"/>
            <w:tcMar>
              <w:left w:w="0" w:type="dxa"/>
              <w:right w:w="0" w:type="dxa"/>
            </w:tcMar>
            <w:vAlign w:val="top"/>
          </w:tcPr>
          <w:p w14:paraId="693E40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5.08</w:t>
            </w:r>
          </w:p>
        </w:tc>
        <w:tc>
          <w:tcPr>
            <w:tcW w:w="3403" w:type="dxa"/>
            <w:tcBorders>
              <w:tl2br w:val="nil"/>
              <w:tr2bl w:val="nil"/>
            </w:tcBorders>
            <w:noWrap w:val="0"/>
            <w:tcMar>
              <w:left w:w="0" w:type="dxa"/>
              <w:right w:w="0" w:type="dxa"/>
            </w:tcMar>
            <w:vAlign w:val="top"/>
          </w:tcPr>
          <w:p w14:paraId="35871E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4.78</w:t>
            </w:r>
          </w:p>
        </w:tc>
      </w:tr>
      <w:tr w14:paraId="364B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639246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11</w:t>
            </w:r>
          </w:p>
        </w:tc>
        <w:tc>
          <w:tcPr>
            <w:tcW w:w="3399" w:type="dxa"/>
            <w:tcBorders>
              <w:tl2br w:val="nil"/>
              <w:tr2bl w:val="nil"/>
            </w:tcBorders>
            <w:noWrap w:val="0"/>
            <w:tcMar>
              <w:left w:w="0" w:type="dxa"/>
              <w:right w:w="0" w:type="dxa"/>
            </w:tcMar>
            <w:vAlign w:val="top"/>
          </w:tcPr>
          <w:p w14:paraId="200776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4.95</w:t>
            </w:r>
          </w:p>
        </w:tc>
        <w:tc>
          <w:tcPr>
            <w:tcW w:w="3403" w:type="dxa"/>
            <w:tcBorders>
              <w:tl2br w:val="nil"/>
              <w:tr2bl w:val="nil"/>
            </w:tcBorders>
            <w:noWrap w:val="0"/>
            <w:tcMar>
              <w:left w:w="0" w:type="dxa"/>
              <w:right w:w="0" w:type="dxa"/>
            </w:tcMar>
            <w:vAlign w:val="top"/>
          </w:tcPr>
          <w:p w14:paraId="731A40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4.67</w:t>
            </w:r>
          </w:p>
        </w:tc>
      </w:tr>
      <w:tr w14:paraId="6475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4223A2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12</w:t>
            </w:r>
          </w:p>
        </w:tc>
        <w:tc>
          <w:tcPr>
            <w:tcW w:w="3399" w:type="dxa"/>
            <w:tcBorders>
              <w:tl2br w:val="nil"/>
              <w:tr2bl w:val="nil"/>
            </w:tcBorders>
            <w:noWrap w:val="0"/>
            <w:tcMar>
              <w:left w:w="0" w:type="dxa"/>
              <w:right w:w="0" w:type="dxa"/>
            </w:tcMar>
            <w:vAlign w:val="top"/>
          </w:tcPr>
          <w:p w14:paraId="0C98B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4.80</w:t>
            </w:r>
          </w:p>
        </w:tc>
        <w:tc>
          <w:tcPr>
            <w:tcW w:w="3403" w:type="dxa"/>
            <w:tcBorders>
              <w:tl2br w:val="nil"/>
              <w:tr2bl w:val="nil"/>
            </w:tcBorders>
            <w:noWrap w:val="0"/>
            <w:tcMar>
              <w:left w:w="0" w:type="dxa"/>
              <w:right w:w="0" w:type="dxa"/>
            </w:tcMar>
            <w:vAlign w:val="top"/>
          </w:tcPr>
          <w:p w14:paraId="266B5A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4.54</w:t>
            </w:r>
          </w:p>
        </w:tc>
      </w:tr>
      <w:tr w14:paraId="01D7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4D0A1B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13</w:t>
            </w:r>
          </w:p>
        </w:tc>
        <w:tc>
          <w:tcPr>
            <w:tcW w:w="3399" w:type="dxa"/>
            <w:tcBorders>
              <w:tl2br w:val="nil"/>
              <w:tr2bl w:val="nil"/>
            </w:tcBorders>
            <w:noWrap w:val="0"/>
            <w:tcMar>
              <w:left w:w="0" w:type="dxa"/>
              <w:right w:w="0" w:type="dxa"/>
            </w:tcMar>
            <w:vAlign w:val="top"/>
          </w:tcPr>
          <w:p w14:paraId="66D17C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4.64</w:t>
            </w:r>
          </w:p>
        </w:tc>
        <w:tc>
          <w:tcPr>
            <w:tcW w:w="3403" w:type="dxa"/>
            <w:tcBorders>
              <w:tl2br w:val="nil"/>
              <w:tr2bl w:val="nil"/>
            </w:tcBorders>
            <w:noWrap w:val="0"/>
            <w:tcMar>
              <w:left w:w="0" w:type="dxa"/>
              <w:right w:w="0" w:type="dxa"/>
            </w:tcMar>
            <w:vAlign w:val="top"/>
          </w:tcPr>
          <w:p w14:paraId="57CBF8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4.40</w:t>
            </w:r>
          </w:p>
        </w:tc>
      </w:tr>
      <w:tr w14:paraId="6AE7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24DDF9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14</w:t>
            </w:r>
          </w:p>
        </w:tc>
        <w:tc>
          <w:tcPr>
            <w:tcW w:w="3399" w:type="dxa"/>
            <w:tcBorders>
              <w:tl2br w:val="nil"/>
              <w:tr2bl w:val="nil"/>
            </w:tcBorders>
            <w:noWrap w:val="0"/>
            <w:tcMar>
              <w:left w:w="0" w:type="dxa"/>
              <w:right w:w="0" w:type="dxa"/>
            </w:tcMar>
            <w:vAlign w:val="top"/>
          </w:tcPr>
          <w:p w14:paraId="2D6F6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4.47</w:t>
            </w:r>
          </w:p>
        </w:tc>
        <w:tc>
          <w:tcPr>
            <w:tcW w:w="3403" w:type="dxa"/>
            <w:tcBorders>
              <w:tl2br w:val="nil"/>
              <w:tr2bl w:val="nil"/>
            </w:tcBorders>
            <w:noWrap w:val="0"/>
            <w:tcMar>
              <w:left w:w="0" w:type="dxa"/>
              <w:right w:w="0" w:type="dxa"/>
            </w:tcMar>
            <w:vAlign w:val="top"/>
          </w:tcPr>
          <w:p w14:paraId="3A99FD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4.26</w:t>
            </w:r>
          </w:p>
        </w:tc>
      </w:tr>
      <w:tr w14:paraId="4082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9F2608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w:t>
            </w:r>
          </w:p>
        </w:tc>
        <w:tc>
          <w:tcPr>
            <w:tcW w:w="3399" w:type="dxa"/>
            <w:tcBorders>
              <w:tl2br w:val="nil"/>
              <w:tr2bl w:val="nil"/>
            </w:tcBorders>
            <w:noWrap w:val="0"/>
            <w:tcMar>
              <w:left w:w="0" w:type="dxa"/>
              <w:right w:w="0" w:type="dxa"/>
            </w:tcMar>
            <w:vAlign w:val="top"/>
          </w:tcPr>
          <w:p w14:paraId="655579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4.30</w:t>
            </w:r>
          </w:p>
        </w:tc>
        <w:tc>
          <w:tcPr>
            <w:tcW w:w="3403" w:type="dxa"/>
            <w:tcBorders>
              <w:tl2br w:val="nil"/>
              <w:tr2bl w:val="nil"/>
            </w:tcBorders>
            <w:noWrap w:val="0"/>
            <w:tcMar>
              <w:left w:w="0" w:type="dxa"/>
              <w:right w:w="0" w:type="dxa"/>
            </w:tcMar>
            <w:vAlign w:val="top"/>
          </w:tcPr>
          <w:p w14:paraId="7BAFB9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4.11</w:t>
            </w:r>
          </w:p>
        </w:tc>
      </w:tr>
      <w:tr w14:paraId="2455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469567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16</w:t>
            </w:r>
          </w:p>
        </w:tc>
        <w:tc>
          <w:tcPr>
            <w:tcW w:w="3399" w:type="dxa"/>
            <w:tcBorders>
              <w:tl2br w:val="nil"/>
              <w:tr2bl w:val="nil"/>
            </w:tcBorders>
            <w:noWrap w:val="0"/>
            <w:tcMar>
              <w:left w:w="0" w:type="dxa"/>
              <w:right w:w="0" w:type="dxa"/>
            </w:tcMar>
            <w:vAlign w:val="top"/>
          </w:tcPr>
          <w:p w14:paraId="79EA76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4.13</w:t>
            </w:r>
          </w:p>
        </w:tc>
        <w:tc>
          <w:tcPr>
            <w:tcW w:w="3403" w:type="dxa"/>
            <w:tcBorders>
              <w:tl2br w:val="nil"/>
              <w:tr2bl w:val="nil"/>
            </w:tcBorders>
            <w:noWrap w:val="0"/>
            <w:tcMar>
              <w:left w:w="0" w:type="dxa"/>
              <w:right w:w="0" w:type="dxa"/>
            </w:tcMar>
            <w:vAlign w:val="top"/>
          </w:tcPr>
          <w:p w14:paraId="0E7FB2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3.97</w:t>
            </w:r>
          </w:p>
        </w:tc>
      </w:tr>
      <w:tr w14:paraId="5CB4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B156A5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17</w:t>
            </w:r>
          </w:p>
        </w:tc>
        <w:tc>
          <w:tcPr>
            <w:tcW w:w="3399" w:type="dxa"/>
            <w:tcBorders>
              <w:tl2br w:val="nil"/>
              <w:tr2bl w:val="nil"/>
            </w:tcBorders>
            <w:noWrap w:val="0"/>
            <w:tcMar>
              <w:left w:w="0" w:type="dxa"/>
              <w:right w:w="0" w:type="dxa"/>
            </w:tcMar>
            <w:vAlign w:val="top"/>
          </w:tcPr>
          <w:p w14:paraId="0CCDAF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3.97</w:t>
            </w:r>
          </w:p>
        </w:tc>
        <w:tc>
          <w:tcPr>
            <w:tcW w:w="3403" w:type="dxa"/>
            <w:tcBorders>
              <w:tl2br w:val="nil"/>
              <w:tr2bl w:val="nil"/>
            </w:tcBorders>
            <w:noWrap w:val="0"/>
            <w:tcMar>
              <w:left w:w="0" w:type="dxa"/>
              <w:right w:w="0" w:type="dxa"/>
            </w:tcMar>
            <w:vAlign w:val="top"/>
          </w:tcPr>
          <w:p w14:paraId="734687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3.82</w:t>
            </w:r>
          </w:p>
        </w:tc>
      </w:tr>
      <w:tr w14:paraId="4E64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A30001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18</w:t>
            </w:r>
          </w:p>
        </w:tc>
        <w:tc>
          <w:tcPr>
            <w:tcW w:w="3399" w:type="dxa"/>
            <w:tcBorders>
              <w:tl2br w:val="nil"/>
              <w:tr2bl w:val="nil"/>
            </w:tcBorders>
            <w:noWrap w:val="0"/>
            <w:tcMar>
              <w:left w:w="0" w:type="dxa"/>
              <w:right w:w="0" w:type="dxa"/>
            </w:tcMar>
            <w:vAlign w:val="top"/>
          </w:tcPr>
          <w:p w14:paraId="09A88F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3.81</w:t>
            </w:r>
          </w:p>
        </w:tc>
        <w:tc>
          <w:tcPr>
            <w:tcW w:w="3403" w:type="dxa"/>
            <w:tcBorders>
              <w:tl2br w:val="nil"/>
              <w:tr2bl w:val="nil"/>
            </w:tcBorders>
            <w:noWrap w:val="0"/>
            <w:tcMar>
              <w:left w:w="0" w:type="dxa"/>
              <w:right w:w="0" w:type="dxa"/>
            </w:tcMar>
            <w:vAlign w:val="top"/>
          </w:tcPr>
          <w:p w14:paraId="793392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3.68</w:t>
            </w:r>
          </w:p>
        </w:tc>
      </w:tr>
      <w:tr w14:paraId="06CA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95FC9F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19</w:t>
            </w:r>
          </w:p>
        </w:tc>
        <w:tc>
          <w:tcPr>
            <w:tcW w:w="3399" w:type="dxa"/>
            <w:tcBorders>
              <w:tl2br w:val="nil"/>
              <w:tr2bl w:val="nil"/>
            </w:tcBorders>
            <w:noWrap w:val="0"/>
            <w:tcMar>
              <w:left w:w="0" w:type="dxa"/>
              <w:right w:w="0" w:type="dxa"/>
            </w:tcMar>
            <w:vAlign w:val="top"/>
          </w:tcPr>
          <w:p w14:paraId="133DB3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3.66</w:t>
            </w:r>
          </w:p>
        </w:tc>
        <w:tc>
          <w:tcPr>
            <w:tcW w:w="3403" w:type="dxa"/>
            <w:tcBorders>
              <w:tl2br w:val="nil"/>
              <w:tr2bl w:val="nil"/>
            </w:tcBorders>
            <w:noWrap w:val="0"/>
            <w:tcMar>
              <w:left w:w="0" w:type="dxa"/>
              <w:right w:w="0" w:type="dxa"/>
            </w:tcMar>
            <w:vAlign w:val="top"/>
          </w:tcPr>
          <w:p w14:paraId="75114A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3.55</w:t>
            </w:r>
          </w:p>
        </w:tc>
      </w:tr>
      <w:tr w14:paraId="4E7E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C21B07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20</w:t>
            </w:r>
          </w:p>
        </w:tc>
        <w:tc>
          <w:tcPr>
            <w:tcW w:w="3399" w:type="dxa"/>
            <w:tcBorders>
              <w:tl2br w:val="nil"/>
              <w:tr2bl w:val="nil"/>
            </w:tcBorders>
            <w:noWrap w:val="0"/>
            <w:tcMar>
              <w:left w:w="0" w:type="dxa"/>
              <w:right w:w="0" w:type="dxa"/>
            </w:tcMar>
            <w:vAlign w:val="top"/>
          </w:tcPr>
          <w:p w14:paraId="06ACD7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3.52</w:t>
            </w:r>
          </w:p>
        </w:tc>
        <w:tc>
          <w:tcPr>
            <w:tcW w:w="3403" w:type="dxa"/>
            <w:tcBorders>
              <w:tl2br w:val="nil"/>
              <w:tr2bl w:val="nil"/>
            </w:tcBorders>
            <w:noWrap w:val="0"/>
            <w:tcMar>
              <w:left w:w="0" w:type="dxa"/>
              <w:right w:w="0" w:type="dxa"/>
            </w:tcMar>
            <w:vAlign w:val="top"/>
          </w:tcPr>
          <w:p w14:paraId="5D0802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3.42</w:t>
            </w:r>
          </w:p>
        </w:tc>
      </w:tr>
      <w:tr w14:paraId="2725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74A4DD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21</w:t>
            </w:r>
          </w:p>
        </w:tc>
        <w:tc>
          <w:tcPr>
            <w:tcW w:w="3399" w:type="dxa"/>
            <w:tcBorders>
              <w:tl2br w:val="nil"/>
              <w:tr2bl w:val="nil"/>
            </w:tcBorders>
            <w:noWrap w:val="0"/>
            <w:tcMar>
              <w:left w:w="0" w:type="dxa"/>
              <w:right w:w="0" w:type="dxa"/>
            </w:tcMar>
            <w:vAlign w:val="top"/>
          </w:tcPr>
          <w:p w14:paraId="0872B9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3.38</w:t>
            </w:r>
          </w:p>
        </w:tc>
        <w:tc>
          <w:tcPr>
            <w:tcW w:w="3403" w:type="dxa"/>
            <w:tcBorders>
              <w:tl2br w:val="nil"/>
              <w:tr2bl w:val="nil"/>
            </w:tcBorders>
            <w:noWrap w:val="0"/>
            <w:tcMar>
              <w:left w:w="0" w:type="dxa"/>
              <w:right w:w="0" w:type="dxa"/>
            </w:tcMar>
            <w:vAlign w:val="top"/>
          </w:tcPr>
          <w:p w14:paraId="066843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3.29</w:t>
            </w:r>
          </w:p>
        </w:tc>
      </w:tr>
      <w:tr w14:paraId="4B8C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38083F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w:t>
            </w:r>
          </w:p>
        </w:tc>
        <w:tc>
          <w:tcPr>
            <w:tcW w:w="3399" w:type="dxa"/>
            <w:tcBorders>
              <w:tl2br w:val="nil"/>
              <w:tr2bl w:val="nil"/>
            </w:tcBorders>
            <w:noWrap w:val="0"/>
            <w:tcMar>
              <w:left w:w="0" w:type="dxa"/>
              <w:right w:w="0" w:type="dxa"/>
            </w:tcMar>
            <w:vAlign w:val="top"/>
          </w:tcPr>
          <w:p w14:paraId="432361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3.25</w:t>
            </w:r>
          </w:p>
        </w:tc>
        <w:tc>
          <w:tcPr>
            <w:tcW w:w="3403" w:type="dxa"/>
            <w:tcBorders>
              <w:tl2br w:val="nil"/>
              <w:tr2bl w:val="nil"/>
            </w:tcBorders>
            <w:noWrap w:val="0"/>
            <w:tcMar>
              <w:left w:w="0" w:type="dxa"/>
              <w:right w:w="0" w:type="dxa"/>
            </w:tcMar>
            <w:vAlign w:val="top"/>
          </w:tcPr>
          <w:p w14:paraId="62C699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3.18</w:t>
            </w:r>
          </w:p>
        </w:tc>
      </w:tr>
      <w:tr w14:paraId="1CC0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4AF1F6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23</w:t>
            </w:r>
          </w:p>
        </w:tc>
        <w:tc>
          <w:tcPr>
            <w:tcW w:w="3399" w:type="dxa"/>
            <w:tcBorders>
              <w:tl2br w:val="nil"/>
              <w:tr2bl w:val="nil"/>
            </w:tcBorders>
            <w:noWrap w:val="0"/>
            <w:tcMar>
              <w:left w:w="0" w:type="dxa"/>
              <w:right w:w="0" w:type="dxa"/>
            </w:tcMar>
            <w:vAlign w:val="top"/>
          </w:tcPr>
          <w:p w14:paraId="26A091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3.13</w:t>
            </w:r>
          </w:p>
        </w:tc>
        <w:tc>
          <w:tcPr>
            <w:tcW w:w="3403" w:type="dxa"/>
            <w:tcBorders>
              <w:tl2br w:val="nil"/>
              <w:tr2bl w:val="nil"/>
            </w:tcBorders>
            <w:noWrap w:val="0"/>
            <w:tcMar>
              <w:left w:w="0" w:type="dxa"/>
              <w:right w:w="0" w:type="dxa"/>
            </w:tcMar>
            <w:vAlign w:val="top"/>
          </w:tcPr>
          <w:p w14:paraId="6C147E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3.07</w:t>
            </w:r>
          </w:p>
        </w:tc>
      </w:tr>
      <w:tr w14:paraId="1C02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57ADF5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3399" w:type="dxa"/>
            <w:tcBorders>
              <w:tl2br w:val="nil"/>
              <w:tr2bl w:val="nil"/>
            </w:tcBorders>
            <w:noWrap w:val="0"/>
            <w:tcMar>
              <w:left w:w="0" w:type="dxa"/>
              <w:right w:w="0" w:type="dxa"/>
            </w:tcMar>
            <w:vAlign w:val="top"/>
          </w:tcPr>
          <w:p w14:paraId="714A41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3.02</w:t>
            </w:r>
          </w:p>
        </w:tc>
        <w:tc>
          <w:tcPr>
            <w:tcW w:w="3403" w:type="dxa"/>
            <w:tcBorders>
              <w:tl2br w:val="nil"/>
              <w:tr2bl w:val="nil"/>
            </w:tcBorders>
            <w:noWrap w:val="0"/>
            <w:tcMar>
              <w:left w:w="0" w:type="dxa"/>
              <w:right w:w="0" w:type="dxa"/>
            </w:tcMar>
            <w:vAlign w:val="top"/>
          </w:tcPr>
          <w:p w14:paraId="561D8E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2.96</w:t>
            </w:r>
          </w:p>
        </w:tc>
      </w:tr>
      <w:tr w14:paraId="3332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22D324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25</w:t>
            </w:r>
          </w:p>
        </w:tc>
        <w:tc>
          <w:tcPr>
            <w:tcW w:w="3399" w:type="dxa"/>
            <w:tcBorders>
              <w:tl2br w:val="nil"/>
              <w:tr2bl w:val="nil"/>
            </w:tcBorders>
            <w:noWrap w:val="0"/>
            <w:tcMar>
              <w:left w:w="0" w:type="dxa"/>
              <w:right w:w="0" w:type="dxa"/>
            </w:tcMar>
            <w:vAlign w:val="top"/>
          </w:tcPr>
          <w:p w14:paraId="4AA6BB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2.92</w:t>
            </w:r>
          </w:p>
        </w:tc>
        <w:tc>
          <w:tcPr>
            <w:tcW w:w="3403" w:type="dxa"/>
            <w:tcBorders>
              <w:tl2br w:val="nil"/>
              <w:tr2bl w:val="nil"/>
            </w:tcBorders>
            <w:noWrap w:val="0"/>
            <w:tcMar>
              <w:left w:w="0" w:type="dxa"/>
              <w:right w:w="0" w:type="dxa"/>
            </w:tcMar>
            <w:vAlign w:val="top"/>
          </w:tcPr>
          <w:p w14:paraId="670F2F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2.86</w:t>
            </w:r>
          </w:p>
        </w:tc>
      </w:tr>
      <w:tr w14:paraId="566A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6C83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3399" w:type="dxa"/>
            <w:tcBorders>
              <w:tl2br w:val="nil"/>
              <w:tr2bl w:val="nil"/>
            </w:tcBorders>
            <w:noWrap w:val="0"/>
            <w:tcMar>
              <w:left w:w="0" w:type="dxa"/>
              <w:right w:w="0" w:type="dxa"/>
            </w:tcMar>
            <w:vAlign w:val="top"/>
          </w:tcPr>
          <w:p w14:paraId="2C84FF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2.81</w:t>
            </w:r>
          </w:p>
        </w:tc>
        <w:tc>
          <w:tcPr>
            <w:tcW w:w="3403" w:type="dxa"/>
            <w:tcBorders>
              <w:tl2br w:val="nil"/>
              <w:tr2bl w:val="nil"/>
            </w:tcBorders>
            <w:noWrap w:val="0"/>
            <w:tcMar>
              <w:left w:w="0" w:type="dxa"/>
              <w:right w:w="0" w:type="dxa"/>
            </w:tcMar>
            <w:vAlign w:val="top"/>
          </w:tcPr>
          <w:p w14:paraId="1446CD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2.77</w:t>
            </w:r>
          </w:p>
        </w:tc>
      </w:tr>
      <w:tr w14:paraId="5889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8F6BE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3399" w:type="dxa"/>
            <w:tcBorders>
              <w:tl2br w:val="nil"/>
              <w:tr2bl w:val="nil"/>
            </w:tcBorders>
            <w:noWrap w:val="0"/>
            <w:tcMar>
              <w:left w:w="0" w:type="dxa"/>
              <w:right w:w="0" w:type="dxa"/>
            </w:tcMar>
            <w:vAlign w:val="top"/>
          </w:tcPr>
          <w:p w14:paraId="4735C2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2.72</w:t>
            </w:r>
          </w:p>
        </w:tc>
        <w:tc>
          <w:tcPr>
            <w:tcW w:w="3403" w:type="dxa"/>
            <w:tcBorders>
              <w:tl2br w:val="nil"/>
              <w:tr2bl w:val="nil"/>
            </w:tcBorders>
            <w:noWrap w:val="0"/>
            <w:tcMar>
              <w:left w:w="0" w:type="dxa"/>
              <w:right w:w="0" w:type="dxa"/>
            </w:tcMar>
            <w:vAlign w:val="top"/>
          </w:tcPr>
          <w:p w14:paraId="16DE18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2.68</w:t>
            </w:r>
          </w:p>
        </w:tc>
      </w:tr>
      <w:tr w14:paraId="75E7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AB991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3399" w:type="dxa"/>
            <w:tcBorders>
              <w:tl2br w:val="nil"/>
              <w:tr2bl w:val="nil"/>
            </w:tcBorders>
            <w:noWrap w:val="0"/>
            <w:tcMar>
              <w:left w:w="0" w:type="dxa"/>
              <w:right w:w="0" w:type="dxa"/>
            </w:tcMar>
            <w:vAlign w:val="top"/>
          </w:tcPr>
          <w:p w14:paraId="10FC9A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2.63</w:t>
            </w:r>
          </w:p>
        </w:tc>
        <w:tc>
          <w:tcPr>
            <w:tcW w:w="3403" w:type="dxa"/>
            <w:tcBorders>
              <w:tl2br w:val="nil"/>
              <w:tr2bl w:val="nil"/>
            </w:tcBorders>
            <w:noWrap w:val="0"/>
            <w:tcMar>
              <w:left w:w="0" w:type="dxa"/>
              <w:right w:w="0" w:type="dxa"/>
            </w:tcMar>
            <w:vAlign w:val="top"/>
          </w:tcPr>
          <w:p w14:paraId="69E77A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2.59</w:t>
            </w:r>
          </w:p>
        </w:tc>
      </w:tr>
      <w:tr w14:paraId="60F6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3260A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3399" w:type="dxa"/>
            <w:tcBorders>
              <w:tl2br w:val="nil"/>
              <w:tr2bl w:val="nil"/>
            </w:tcBorders>
            <w:noWrap w:val="0"/>
            <w:tcMar>
              <w:left w:w="0" w:type="dxa"/>
              <w:right w:w="0" w:type="dxa"/>
            </w:tcMar>
            <w:vAlign w:val="top"/>
          </w:tcPr>
          <w:p w14:paraId="4AC2D1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2.55</w:t>
            </w:r>
          </w:p>
        </w:tc>
        <w:tc>
          <w:tcPr>
            <w:tcW w:w="3403" w:type="dxa"/>
            <w:tcBorders>
              <w:tl2br w:val="nil"/>
              <w:tr2bl w:val="nil"/>
            </w:tcBorders>
            <w:noWrap w:val="0"/>
            <w:tcMar>
              <w:left w:w="0" w:type="dxa"/>
              <w:right w:w="0" w:type="dxa"/>
            </w:tcMar>
            <w:vAlign w:val="top"/>
          </w:tcPr>
          <w:p w14:paraId="13BBC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2.51</w:t>
            </w:r>
          </w:p>
        </w:tc>
      </w:tr>
      <w:tr w14:paraId="287C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A1B06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399" w:type="dxa"/>
            <w:tcBorders>
              <w:tl2br w:val="nil"/>
              <w:tr2bl w:val="nil"/>
            </w:tcBorders>
            <w:noWrap w:val="0"/>
            <w:tcMar>
              <w:left w:w="0" w:type="dxa"/>
              <w:right w:w="0" w:type="dxa"/>
            </w:tcMar>
            <w:vAlign w:val="top"/>
          </w:tcPr>
          <w:p w14:paraId="1FDC58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2.47</w:t>
            </w:r>
          </w:p>
        </w:tc>
        <w:tc>
          <w:tcPr>
            <w:tcW w:w="3403" w:type="dxa"/>
            <w:tcBorders>
              <w:tl2br w:val="nil"/>
              <w:tr2bl w:val="nil"/>
            </w:tcBorders>
            <w:noWrap w:val="0"/>
            <w:tcMar>
              <w:left w:w="0" w:type="dxa"/>
              <w:right w:w="0" w:type="dxa"/>
            </w:tcMar>
            <w:vAlign w:val="top"/>
          </w:tcPr>
          <w:p w14:paraId="468BE2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2.44</w:t>
            </w:r>
          </w:p>
        </w:tc>
      </w:tr>
      <w:tr w14:paraId="4D2C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02D92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w:t>
            </w:r>
          </w:p>
        </w:tc>
        <w:tc>
          <w:tcPr>
            <w:tcW w:w="3399" w:type="dxa"/>
            <w:tcBorders>
              <w:tl2br w:val="nil"/>
              <w:tr2bl w:val="nil"/>
            </w:tcBorders>
            <w:noWrap w:val="0"/>
            <w:tcMar>
              <w:left w:w="0" w:type="dxa"/>
              <w:right w:w="0" w:type="dxa"/>
            </w:tcMar>
            <w:vAlign w:val="top"/>
          </w:tcPr>
          <w:p w14:paraId="414D76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2.39</w:t>
            </w:r>
          </w:p>
        </w:tc>
        <w:tc>
          <w:tcPr>
            <w:tcW w:w="3403" w:type="dxa"/>
            <w:tcBorders>
              <w:tl2br w:val="nil"/>
              <w:tr2bl w:val="nil"/>
            </w:tcBorders>
            <w:noWrap w:val="0"/>
            <w:tcMar>
              <w:left w:w="0" w:type="dxa"/>
              <w:right w:w="0" w:type="dxa"/>
            </w:tcMar>
            <w:vAlign w:val="top"/>
          </w:tcPr>
          <w:p w14:paraId="4CC5DB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2.36</w:t>
            </w:r>
          </w:p>
        </w:tc>
      </w:tr>
      <w:tr w14:paraId="5AD5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BCC8E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32</w:t>
            </w:r>
          </w:p>
        </w:tc>
        <w:tc>
          <w:tcPr>
            <w:tcW w:w="3399" w:type="dxa"/>
            <w:tcBorders>
              <w:tl2br w:val="nil"/>
              <w:tr2bl w:val="nil"/>
            </w:tcBorders>
            <w:noWrap w:val="0"/>
            <w:tcMar>
              <w:left w:w="0" w:type="dxa"/>
              <w:right w:w="0" w:type="dxa"/>
            </w:tcMar>
            <w:vAlign w:val="top"/>
          </w:tcPr>
          <w:p w14:paraId="3A1451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2.32</w:t>
            </w:r>
          </w:p>
        </w:tc>
        <w:tc>
          <w:tcPr>
            <w:tcW w:w="3403" w:type="dxa"/>
            <w:tcBorders>
              <w:tl2br w:val="nil"/>
              <w:tr2bl w:val="nil"/>
            </w:tcBorders>
            <w:noWrap w:val="0"/>
            <w:tcMar>
              <w:left w:w="0" w:type="dxa"/>
              <w:right w:w="0" w:type="dxa"/>
            </w:tcMar>
            <w:vAlign w:val="top"/>
          </w:tcPr>
          <w:p w14:paraId="7731C7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2.30</w:t>
            </w:r>
          </w:p>
        </w:tc>
      </w:tr>
      <w:tr w14:paraId="21E5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07169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33</w:t>
            </w:r>
          </w:p>
        </w:tc>
        <w:tc>
          <w:tcPr>
            <w:tcW w:w="3399" w:type="dxa"/>
            <w:tcBorders>
              <w:tl2br w:val="nil"/>
              <w:tr2bl w:val="nil"/>
            </w:tcBorders>
            <w:noWrap w:val="0"/>
            <w:tcMar>
              <w:left w:w="0" w:type="dxa"/>
              <w:right w:w="0" w:type="dxa"/>
            </w:tcMar>
            <w:vAlign w:val="top"/>
          </w:tcPr>
          <w:p w14:paraId="50923A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2.26</w:t>
            </w:r>
          </w:p>
        </w:tc>
        <w:tc>
          <w:tcPr>
            <w:tcW w:w="3403" w:type="dxa"/>
            <w:tcBorders>
              <w:tl2br w:val="nil"/>
              <w:tr2bl w:val="nil"/>
            </w:tcBorders>
            <w:noWrap w:val="0"/>
            <w:tcMar>
              <w:left w:w="0" w:type="dxa"/>
              <w:right w:w="0" w:type="dxa"/>
            </w:tcMar>
            <w:vAlign w:val="top"/>
          </w:tcPr>
          <w:p w14:paraId="27875D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2.23</w:t>
            </w:r>
          </w:p>
        </w:tc>
      </w:tr>
      <w:tr w14:paraId="53F9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74CD3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w:t>
            </w:r>
          </w:p>
        </w:tc>
        <w:tc>
          <w:tcPr>
            <w:tcW w:w="3399" w:type="dxa"/>
            <w:tcBorders>
              <w:tl2br w:val="nil"/>
              <w:tr2bl w:val="nil"/>
            </w:tcBorders>
            <w:noWrap w:val="0"/>
            <w:tcMar>
              <w:left w:w="0" w:type="dxa"/>
              <w:right w:w="0" w:type="dxa"/>
            </w:tcMar>
            <w:vAlign w:val="top"/>
          </w:tcPr>
          <w:p w14:paraId="305EB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2.19</w:t>
            </w:r>
          </w:p>
        </w:tc>
        <w:tc>
          <w:tcPr>
            <w:tcW w:w="3403" w:type="dxa"/>
            <w:tcBorders>
              <w:tl2br w:val="nil"/>
              <w:tr2bl w:val="nil"/>
            </w:tcBorders>
            <w:noWrap w:val="0"/>
            <w:tcMar>
              <w:left w:w="0" w:type="dxa"/>
              <w:right w:w="0" w:type="dxa"/>
            </w:tcMar>
            <w:vAlign w:val="top"/>
          </w:tcPr>
          <w:p w14:paraId="341420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2.17</w:t>
            </w:r>
          </w:p>
        </w:tc>
      </w:tr>
      <w:tr w14:paraId="1002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85B6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w:t>
            </w:r>
          </w:p>
        </w:tc>
        <w:tc>
          <w:tcPr>
            <w:tcW w:w="3399" w:type="dxa"/>
            <w:tcBorders>
              <w:tl2br w:val="nil"/>
              <w:tr2bl w:val="nil"/>
            </w:tcBorders>
            <w:noWrap w:val="0"/>
            <w:tcMar>
              <w:left w:w="0" w:type="dxa"/>
              <w:right w:w="0" w:type="dxa"/>
            </w:tcMar>
            <w:vAlign w:val="top"/>
          </w:tcPr>
          <w:p w14:paraId="5C04E2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2.13</w:t>
            </w:r>
          </w:p>
        </w:tc>
        <w:tc>
          <w:tcPr>
            <w:tcW w:w="3403" w:type="dxa"/>
            <w:tcBorders>
              <w:tl2br w:val="nil"/>
              <w:tr2bl w:val="nil"/>
            </w:tcBorders>
            <w:noWrap w:val="0"/>
            <w:tcMar>
              <w:left w:w="0" w:type="dxa"/>
              <w:right w:w="0" w:type="dxa"/>
            </w:tcMar>
            <w:vAlign w:val="top"/>
          </w:tcPr>
          <w:p w14:paraId="414421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2.11</w:t>
            </w:r>
          </w:p>
        </w:tc>
      </w:tr>
      <w:tr w14:paraId="59AF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B33C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w:t>
            </w:r>
          </w:p>
        </w:tc>
        <w:tc>
          <w:tcPr>
            <w:tcW w:w="3399" w:type="dxa"/>
            <w:tcBorders>
              <w:tl2br w:val="nil"/>
              <w:tr2bl w:val="nil"/>
            </w:tcBorders>
            <w:noWrap w:val="0"/>
            <w:tcMar>
              <w:left w:w="0" w:type="dxa"/>
              <w:right w:w="0" w:type="dxa"/>
            </w:tcMar>
            <w:vAlign w:val="top"/>
          </w:tcPr>
          <w:p w14:paraId="1213D1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2.08</w:t>
            </w:r>
          </w:p>
        </w:tc>
        <w:tc>
          <w:tcPr>
            <w:tcW w:w="3403" w:type="dxa"/>
            <w:tcBorders>
              <w:tl2br w:val="nil"/>
              <w:tr2bl w:val="nil"/>
            </w:tcBorders>
            <w:noWrap w:val="0"/>
            <w:tcMar>
              <w:left w:w="0" w:type="dxa"/>
              <w:right w:w="0" w:type="dxa"/>
            </w:tcMar>
            <w:vAlign w:val="top"/>
          </w:tcPr>
          <w:p w14:paraId="59A03B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2.06</w:t>
            </w:r>
          </w:p>
        </w:tc>
      </w:tr>
      <w:tr w14:paraId="1883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35F42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37</w:t>
            </w:r>
          </w:p>
        </w:tc>
        <w:tc>
          <w:tcPr>
            <w:tcW w:w="3399" w:type="dxa"/>
            <w:tcBorders>
              <w:tl2br w:val="nil"/>
              <w:tr2bl w:val="nil"/>
            </w:tcBorders>
            <w:noWrap w:val="0"/>
            <w:tcMar>
              <w:left w:w="0" w:type="dxa"/>
              <w:right w:w="0" w:type="dxa"/>
            </w:tcMar>
            <w:vAlign w:val="top"/>
          </w:tcPr>
          <w:p w14:paraId="50D800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2.02</w:t>
            </w:r>
          </w:p>
        </w:tc>
        <w:tc>
          <w:tcPr>
            <w:tcW w:w="3403" w:type="dxa"/>
            <w:tcBorders>
              <w:tl2br w:val="nil"/>
              <w:tr2bl w:val="nil"/>
            </w:tcBorders>
            <w:noWrap w:val="0"/>
            <w:tcMar>
              <w:left w:w="0" w:type="dxa"/>
              <w:right w:w="0" w:type="dxa"/>
            </w:tcMar>
            <w:vAlign w:val="top"/>
          </w:tcPr>
          <w:p w14:paraId="7866DE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2.01</w:t>
            </w:r>
          </w:p>
        </w:tc>
      </w:tr>
      <w:tr w14:paraId="2FD6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6F36D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38</w:t>
            </w:r>
          </w:p>
        </w:tc>
        <w:tc>
          <w:tcPr>
            <w:tcW w:w="3399" w:type="dxa"/>
            <w:tcBorders>
              <w:tl2br w:val="nil"/>
              <w:tr2bl w:val="nil"/>
            </w:tcBorders>
            <w:noWrap w:val="0"/>
            <w:tcMar>
              <w:left w:w="0" w:type="dxa"/>
              <w:right w:w="0" w:type="dxa"/>
            </w:tcMar>
            <w:vAlign w:val="top"/>
          </w:tcPr>
          <w:p w14:paraId="37A105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1.97</w:t>
            </w:r>
          </w:p>
        </w:tc>
        <w:tc>
          <w:tcPr>
            <w:tcW w:w="3403" w:type="dxa"/>
            <w:tcBorders>
              <w:tl2br w:val="nil"/>
              <w:tr2bl w:val="nil"/>
            </w:tcBorders>
            <w:noWrap w:val="0"/>
            <w:tcMar>
              <w:left w:w="0" w:type="dxa"/>
              <w:right w:w="0" w:type="dxa"/>
            </w:tcMar>
            <w:vAlign w:val="top"/>
          </w:tcPr>
          <w:p w14:paraId="67F96C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1.96</w:t>
            </w:r>
          </w:p>
        </w:tc>
      </w:tr>
      <w:tr w14:paraId="5D39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1FEE3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p>
        </w:tc>
        <w:tc>
          <w:tcPr>
            <w:tcW w:w="3399" w:type="dxa"/>
            <w:tcBorders>
              <w:tl2br w:val="nil"/>
              <w:tr2bl w:val="nil"/>
            </w:tcBorders>
            <w:noWrap w:val="0"/>
            <w:tcMar>
              <w:left w:w="0" w:type="dxa"/>
              <w:right w:w="0" w:type="dxa"/>
            </w:tcMar>
            <w:vAlign w:val="top"/>
          </w:tcPr>
          <w:p w14:paraId="2C337A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1.92</w:t>
            </w:r>
          </w:p>
        </w:tc>
        <w:tc>
          <w:tcPr>
            <w:tcW w:w="3403" w:type="dxa"/>
            <w:tcBorders>
              <w:tl2br w:val="nil"/>
              <w:tr2bl w:val="nil"/>
            </w:tcBorders>
            <w:noWrap w:val="0"/>
            <w:tcMar>
              <w:left w:w="0" w:type="dxa"/>
              <w:right w:w="0" w:type="dxa"/>
            </w:tcMar>
            <w:vAlign w:val="top"/>
          </w:tcPr>
          <w:p w14:paraId="306646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1.91</w:t>
            </w:r>
          </w:p>
        </w:tc>
      </w:tr>
      <w:tr w14:paraId="1DBA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05B1F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w:t>
            </w:r>
          </w:p>
        </w:tc>
        <w:tc>
          <w:tcPr>
            <w:tcW w:w="3399" w:type="dxa"/>
            <w:tcBorders>
              <w:tl2br w:val="nil"/>
              <w:tr2bl w:val="nil"/>
            </w:tcBorders>
            <w:noWrap w:val="0"/>
            <w:tcMar>
              <w:left w:w="0" w:type="dxa"/>
              <w:right w:w="0" w:type="dxa"/>
            </w:tcMar>
            <w:vAlign w:val="top"/>
          </w:tcPr>
          <w:p w14:paraId="6E0899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1.88</w:t>
            </w:r>
          </w:p>
        </w:tc>
        <w:tc>
          <w:tcPr>
            <w:tcW w:w="3403" w:type="dxa"/>
            <w:tcBorders>
              <w:tl2br w:val="nil"/>
              <w:tr2bl w:val="nil"/>
            </w:tcBorders>
            <w:noWrap w:val="0"/>
            <w:tcMar>
              <w:left w:w="0" w:type="dxa"/>
              <w:right w:w="0" w:type="dxa"/>
            </w:tcMar>
            <w:vAlign w:val="top"/>
          </w:tcPr>
          <w:p w14:paraId="171540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1.86</w:t>
            </w:r>
          </w:p>
        </w:tc>
      </w:tr>
    </w:tbl>
    <w:p w14:paraId="3BFC3A87">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5395595" cy="3970020"/>
            <wp:effectExtent l="0" t="0" r="1460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5395595" cy="3970020"/>
                    </a:xfrm>
                    <a:prstGeom prst="rect">
                      <a:avLst/>
                    </a:prstGeom>
                    <a:noFill/>
                    <a:ln>
                      <a:noFill/>
                    </a:ln>
                  </pic:spPr>
                </pic:pic>
              </a:graphicData>
            </a:graphic>
          </wp:inline>
        </w:drawing>
      </w:r>
    </w:p>
    <w:p w14:paraId="62D75347">
      <w:pPr>
        <w:keepNext w:val="0"/>
        <w:keepLines w:val="0"/>
        <w:pageBreakBefore w:val="0"/>
        <w:widowControl w:val="0"/>
        <w:kinsoku/>
        <w:wordWrap/>
        <w:overflowPunct/>
        <w:topLinePunct w:val="0"/>
        <w:autoSpaceDE/>
        <w:autoSpaceDN/>
        <w:bidi w:val="0"/>
        <w:adjustRightInd w:val="0"/>
        <w:snapToGrid/>
        <w:spacing w:line="460" w:lineRule="exact"/>
        <w:ind w:firstLine="504"/>
        <w:jc w:val="center"/>
        <w:textAlignment w:val="auto"/>
        <w:rPr>
          <w:rFonts w:hint="default" w:ascii="Times New Roman" w:hAnsi="Times New Roman" w:eastAsia="宋体" w:cs="Times New Roman"/>
          <w:b/>
          <w:color w:val="auto"/>
          <w:sz w:val="21"/>
          <w:szCs w:val="21"/>
          <w:highlight w:val="none"/>
          <w:lang w:val="zh-CN" w:eastAsia="zh-CN"/>
        </w:rPr>
      </w:pPr>
      <w:r>
        <w:rPr>
          <w:rFonts w:hint="default" w:ascii="Times New Roman" w:hAnsi="Times New Roman" w:eastAsia="宋体" w:cs="Times New Roman"/>
          <w:b/>
          <w:color w:val="auto"/>
          <w:sz w:val="21"/>
          <w:szCs w:val="21"/>
          <w:highlight w:val="none"/>
          <w:lang w:val="zh-CN" w:eastAsia="zh-CN"/>
        </w:rPr>
        <w:t>图4.</w:t>
      </w:r>
      <w:r>
        <w:rPr>
          <w:rFonts w:hint="eastAsia" w:ascii="Times New Roman" w:hAnsi="Times New Roman" w:eastAsia="宋体" w:cs="Times New Roman"/>
          <w:b/>
          <w:color w:val="auto"/>
          <w:sz w:val="21"/>
          <w:szCs w:val="21"/>
          <w:highlight w:val="none"/>
          <w:lang w:val="en-US" w:eastAsia="zh-CN"/>
        </w:rPr>
        <w:t>1-5</w:t>
      </w:r>
      <w:r>
        <w:rPr>
          <w:rFonts w:hint="default" w:ascii="Times New Roman" w:hAnsi="Times New Roman" w:eastAsia="宋体" w:cs="Times New Roman"/>
          <w:b/>
          <w:color w:val="auto"/>
          <w:sz w:val="21"/>
          <w:szCs w:val="21"/>
          <w:highlight w:val="none"/>
          <w:lang w:val="zh-CN" w:eastAsia="zh-CN"/>
        </w:rPr>
        <w:t xml:space="preserve">  220kV单回线路下工频磁感应强度变化趋势图（导线对地距离</w:t>
      </w:r>
      <w:r>
        <w:rPr>
          <w:rFonts w:hint="eastAsia" w:ascii="Times New Roman" w:hAnsi="Times New Roman"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zh-CN" w:eastAsia="zh-CN"/>
        </w:rPr>
        <w:t>.5m）</w:t>
      </w:r>
    </w:p>
    <w:p w14:paraId="3C112E42">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drawing>
          <wp:inline distT="0" distB="0" distL="114300" distR="114300">
            <wp:extent cx="5273675" cy="3879850"/>
            <wp:effectExtent l="0" t="0" r="3175" b="635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68"/>
                    <a:stretch>
                      <a:fillRect/>
                    </a:stretch>
                  </pic:blipFill>
                  <pic:spPr>
                    <a:xfrm>
                      <a:off x="0" y="0"/>
                      <a:ext cx="5273675" cy="3879850"/>
                    </a:xfrm>
                    <a:prstGeom prst="rect">
                      <a:avLst/>
                    </a:prstGeom>
                    <a:noFill/>
                    <a:ln>
                      <a:noFill/>
                    </a:ln>
                  </pic:spPr>
                </pic:pic>
              </a:graphicData>
            </a:graphic>
          </wp:inline>
        </w:drawing>
      </w:r>
    </w:p>
    <w:p w14:paraId="664E7738">
      <w:pPr>
        <w:keepNext w:val="0"/>
        <w:keepLines w:val="0"/>
        <w:pageBreakBefore w:val="0"/>
        <w:widowControl w:val="0"/>
        <w:kinsoku/>
        <w:wordWrap/>
        <w:overflowPunct/>
        <w:topLinePunct w:val="0"/>
        <w:autoSpaceDE/>
        <w:autoSpaceDN/>
        <w:bidi w:val="0"/>
        <w:adjustRightInd/>
        <w:snapToGrid/>
        <w:spacing w:line="460" w:lineRule="exact"/>
        <w:ind w:firstLine="0"/>
        <w:jc w:val="center"/>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lang w:val="en-US" w:eastAsia="zh-CN"/>
        </w:rPr>
        <w:t>1-6</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0kV单回线路下工频</w:t>
      </w:r>
      <w:r>
        <w:rPr>
          <w:rFonts w:hint="default" w:ascii="Times New Roman" w:hAnsi="Times New Roman" w:eastAsia="宋体" w:cs="Times New Roman"/>
          <w:b/>
          <w:color w:val="auto"/>
          <w:sz w:val="21"/>
          <w:szCs w:val="21"/>
          <w:highlight w:val="none"/>
          <w:lang w:val="en-US" w:eastAsia="zh-CN"/>
        </w:rPr>
        <w:t>磁感应</w:t>
      </w:r>
      <w:r>
        <w:rPr>
          <w:rFonts w:hint="default" w:ascii="Times New Roman" w:hAnsi="Times New Roman" w:eastAsia="宋体" w:cs="Times New Roman"/>
          <w:b/>
          <w:color w:val="auto"/>
          <w:sz w:val="21"/>
          <w:szCs w:val="21"/>
          <w:highlight w:val="none"/>
        </w:rPr>
        <w:t>强度变化趋势图</w:t>
      </w:r>
      <w:r>
        <w:rPr>
          <w:rFonts w:hint="default" w:ascii="Times New Roman" w:hAnsi="Times New Roman" w:eastAsia="宋体" w:cs="Times New Roman"/>
          <w:b/>
          <w:color w:val="auto"/>
          <w:sz w:val="21"/>
          <w:szCs w:val="21"/>
          <w:highlight w:val="none"/>
          <w:lang w:eastAsia="zh-CN"/>
        </w:rPr>
        <w:t>（导线对地距离</w:t>
      </w:r>
      <w:r>
        <w:rPr>
          <w:rFonts w:hint="eastAsia" w:ascii="Times New Roman" w:hAnsi="Times New Roman" w:eastAsia="宋体" w:cs="Times New Roman"/>
          <w:b/>
          <w:color w:val="auto"/>
          <w:sz w:val="21"/>
          <w:szCs w:val="21"/>
          <w:highlight w:val="none"/>
          <w:lang w:val="en-US" w:eastAsia="zh-CN"/>
        </w:rPr>
        <w:t>7.5</w:t>
      </w:r>
      <w:r>
        <w:rPr>
          <w:rFonts w:hint="default" w:ascii="Times New Roman" w:hAnsi="Times New Roman" w:eastAsia="宋体" w:cs="Times New Roman"/>
          <w:b/>
          <w:color w:val="auto"/>
          <w:sz w:val="21"/>
          <w:szCs w:val="21"/>
          <w:highlight w:val="none"/>
          <w:lang w:eastAsia="zh-CN"/>
        </w:rPr>
        <w:t>m）</w:t>
      </w:r>
    </w:p>
    <w:p w14:paraId="0F102B0A">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b w:val="0"/>
          <w:bCs/>
          <w:color w:val="auto"/>
          <w:sz w:val="24"/>
          <w:szCs w:val="24"/>
          <w:highlight w:val="none"/>
          <w:lang w:val="zh-CN"/>
        </w:rPr>
      </w:pPr>
      <w:r>
        <w:rPr>
          <w:rFonts w:hint="default" w:ascii="Times New Roman" w:hAnsi="Times New Roman" w:eastAsia="宋体" w:cs="Times New Roman"/>
          <w:b w:val="0"/>
          <w:bCs/>
          <w:color w:val="auto"/>
          <w:sz w:val="24"/>
          <w:szCs w:val="24"/>
          <w:highlight w:val="none"/>
          <w:lang w:val="zh-CN"/>
        </w:rPr>
        <w:t>根据表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1-3</w:t>
      </w:r>
      <w:r>
        <w:rPr>
          <w:rFonts w:hint="default" w:ascii="Times New Roman" w:hAnsi="Times New Roman" w:eastAsia="宋体" w:cs="Times New Roman"/>
          <w:b w:val="0"/>
          <w:bCs/>
          <w:color w:val="auto"/>
          <w:sz w:val="24"/>
          <w:szCs w:val="24"/>
          <w:highlight w:val="none"/>
          <w:lang w:val="zh-CN"/>
        </w:rPr>
        <w:t>、图4</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1-5</w:t>
      </w:r>
      <w:r>
        <w:rPr>
          <w:rFonts w:hint="default" w:ascii="Times New Roman" w:hAnsi="Times New Roman" w:eastAsia="宋体" w:cs="Times New Roman"/>
          <w:b w:val="0"/>
          <w:bCs/>
          <w:color w:val="auto"/>
          <w:sz w:val="24"/>
          <w:szCs w:val="24"/>
          <w:highlight w:val="none"/>
          <w:lang w:val="zh-CN"/>
        </w:rPr>
        <w:t>、图</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1-6</w:t>
      </w:r>
      <w:r>
        <w:rPr>
          <w:rFonts w:hint="default" w:ascii="Times New Roman" w:hAnsi="Times New Roman" w:eastAsia="宋体" w:cs="Times New Roman"/>
          <w:b w:val="0"/>
          <w:bCs/>
          <w:color w:val="auto"/>
          <w:sz w:val="24"/>
          <w:szCs w:val="24"/>
          <w:highlight w:val="none"/>
          <w:lang w:val="zh-CN"/>
        </w:rPr>
        <w:t xml:space="preserve"> 可知，当导线高</w:t>
      </w:r>
      <w:r>
        <w:rPr>
          <w:rFonts w:hint="eastAsia"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zh-CN"/>
        </w:rPr>
        <w:t>m 时，最大工频磁感应强度为</w:t>
      </w:r>
      <w:r>
        <w:rPr>
          <w:rFonts w:hint="eastAsia" w:ascii="Times New Roman" w:hAnsi="Times New Roman" w:eastAsia="宋体" w:cs="Times New Roman"/>
          <w:b w:val="0"/>
          <w:bCs/>
          <w:color w:val="auto"/>
          <w:sz w:val="24"/>
          <w:szCs w:val="24"/>
          <w:highlight w:val="none"/>
          <w:lang w:val="en-US" w:eastAsia="zh-CN"/>
        </w:rPr>
        <w:t>5.35</w:t>
      </w:r>
      <w:r>
        <w:rPr>
          <w:rFonts w:hint="default" w:ascii="Times New Roman" w:hAnsi="Times New Roman" w:eastAsia="宋体" w:cs="Times New Roman"/>
          <w:b w:val="0"/>
          <w:bCs/>
          <w:color w:val="auto"/>
          <w:sz w:val="24"/>
          <w:szCs w:val="24"/>
          <w:highlight w:val="none"/>
          <w:lang w:val="zh-CN"/>
        </w:rPr>
        <w:t>μT；</w:t>
      </w:r>
      <w:r>
        <w:rPr>
          <w:rFonts w:hint="default" w:ascii="Times New Roman" w:hAnsi="Times New Roman" w:eastAsia="宋体" w:cs="Times New Roman"/>
          <w:b w:val="0"/>
          <w:bCs/>
          <w:color w:val="auto"/>
          <w:sz w:val="24"/>
          <w:szCs w:val="24"/>
          <w:highlight w:val="none"/>
          <w:lang w:val="zh-CN" w:eastAsia="zh-CN"/>
        </w:rPr>
        <w:t>当导线高</w:t>
      </w:r>
      <w:r>
        <w:rPr>
          <w:rFonts w:hint="eastAsia" w:ascii="Times New Roman" w:hAnsi="Times New Roman" w:eastAsia="宋体" w:cs="Times New Roman"/>
          <w:b w:val="0"/>
          <w:bCs/>
          <w:color w:val="auto"/>
          <w:sz w:val="24"/>
          <w:szCs w:val="24"/>
          <w:highlight w:val="none"/>
          <w:lang w:val="en-US" w:eastAsia="zh-CN"/>
        </w:rPr>
        <w:t>7.5</w:t>
      </w:r>
      <w:r>
        <w:rPr>
          <w:rFonts w:hint="default" w:ascii="Times New Roman" w:hAnsi="Times New Roman" w:eastAsia="宋体" w:cs="Times New Roman"/>
          <w:b w:val="0"/>
          <w:bCs/>
          <w:color w:val="auto"/>
          <w:sz w:val="24"/>
          <w:szCs w:val="24"/>
          <w:highlight w:val="none"/>
          <w:lang w:val="zh-CN" w:eastAsia="zh-CN"/>
        </w:rPr>
        <w:t>m时，线路架设的最大工频磁感应强度为</w:t>
      </w:r>
      <w:r>
        <w:rPr>
          <w:rFonts w:hint="eastAsia" w:ascii="Times New Roman" w:hAnsi="Times New Roman" w:eastAsia="宋体" w:cs="Times New Roman"/>
          <w:b w:val="0"/>
          <w:bCs/>
          <w:color w:val="auto"/>
          <w:sz w:val="24"/>
          <w:szCs w:val="24"/>
          <w:highlight w:val="none"/>
          <w:lang w:val="en-US" w:eastAsia="zh-CN"/>
        </w:rPr>
        <w:t>5.04</w:t>
      </w:r>
      <w:r>
        <w:rPr>
          <w:rFonts w:hint="default" w:ascii="Times New Roman" w:hAnsi="Times New Roman" w:eastAsia="宋体" w:cs="Times New Roman"/>
          <w:b w:val="0"/>
          <w:bCs/>
          <w:color w:val="auto"/>
          <w:sz w:val="24"/>
          <w:szCs w:val="24"/>
          <w:highlight w:val="none"/>
          <w:lang w:val="zh-CN" w:eastAsia="zh-CN"/>
        </w:rPr>
        <w:t>μT，随着导线对地高度的增加，产生的工频磁感应强度也不断降低，而且在不同高度下产生的工频磁感应强度均远小于0.1mT限值。</w:t>
      </w:r>
      <w:r>
        <w:rPr>
          <w:rFonts w:hint="default" w:ascii="Times New Roman" w:hAnsi="Times New Roman" w:eastAsia="宋体" w:cs="Times New Roman"/>
          <w:b w:val="0"/>
          <w:bCs/>
          <w:color w:val="auto"/>
          <w:sz w:val="24"/>
          <w:szCs w:val="24"/>
          <w:highlight w:val="none"/>
          <w:lang w:val="zh-CN"/>
        </w:rPr>
        <w:t>经预测，产生的最大工频磁感应强度均小于100μT 的控制限值，满足《电磁环境控制限值》（GB 8702-2014）的要求。</w:t>
      </w:r>
    </w:p>
    <w:p w14:paraId="43474536">
      <w:pPr>
        <w:keepNext w:val="0"/>
        <w:keepLines w:val="0"/>
        <w:pageBreakBefore w:val="0"/>
        <w:widowControl w:val="0"/>
        <w:numPr>
          <w:ilvl w:val="0"/>
          <w:numId w:val="0"/>
        </w:numPr>
        <w:kinsoku/>
        <w:wordWrap w:val="0"/>
        <w:overflowPunct/>
        <w:topLinePunct w:val="0"/>
        <w:bidi w:val="0"/>
        <w:spacing w:line="460" w:lineRule="exact"/>
        <w:ind w:lef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终期</w:t>
      </w:r>
      <w:r>
        <w:rPr>
          <w:rFonts w:hint="default" w:ascii="Times New Roman" w:hAnsi="Times New Roman" w:eastAsia="宋体" w:cs="Times New Roman"/>
          <w:b/>
          <w:bCs/>
          <w:color w:val="auto"/>
          <w:kern w:val="2"/>
          <w:sz w:val="24"/>
          <w:szCs w:val="24"/>
          <w:highlight w:val="none"/>
          <w:lang w:val="en-US" w:eastAsia="zh-CN" w:bidi="ar-SA"/>
        </w:rPr>
        <w:t>方案220kv</w:t>
      </w:r>
      <w:r>
        <w:rPr>
          <w:rFonts w:hint="eastAsia" w:ascii="Times New Roman" w:hAnsi="Times New Roman" w:eastAsia="宋体" w:cs="Times New Roman"/>
          <w:b/>
          <w:bCs/>
          <w:color w:val="auto"/>
          <w:kern w:val="2"/>
          <w:sz w:val="24"/>
          <w:szCs w:val="24"/>
          <w:highlight w:val="none"/>
          <w:lang w:val="en-US" w:eastAsia="zh-CN" w:bidi="ar-SA"/>
        </w:rPr>
        <w:t>双</w:t>
      </w:r>
      <w:r>
        <w:rPr>
          <w:rFonts w:hint="default" w:ascii="Times New Roman" w:hAnsi="Times New Roman" w:eastAsia="宋体" w:cs="Times New Roman"/>
          <w:b/>
          <w:bCs/>
          <w:color w:val="auto"/>
          <w:kern w:val="2"/>
          <w:sz w:val="24"/>
          <w:szCs w:val="24"/>
          <w:highlight w:val="none"/>
          <w:lang w:val="en-US" w:eastAsia="zh-CN" w:bidi="ar-SA"/>
        </w:rPr>
        <w:t>回线路预测</w:t>
      </w:r>
    </w:p>
    <w:p w14:paraId="12D15091">
      <w:pPr>
        <w:widowControl w:val="0"/>
        <w:adjustRightInd w:val="0"/>
        <w:snapToGrid w:val="0"/>
        <w:spacing w:before="60" w:beforeLines="25" w:after="60" w:afterLines="25" w:line="240" w:lineRule="auto"/>
        <w:ind w:firstLine="422" w:firstLineChars="20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表4.1</w:t>
      </w:r>
      <w:r>
        <w:rPr>
          <w:rFonts w:hint="eastAsia" w:ascii="Times New Roman" w:hAnsi="Times New Roman" w:eastAsia="宋体" w:cs="Times New Roman"/>
          <w:b/>
          <w:bCs w:val="0"/>
          <w:color w:val="auto"/>
          <w:kern w:val="2"/>
          <w:sz w:val="21"/>
          <w:szCs w:val="21"/>
          <w:highlight w:val="none"/>
          <w:lang w:val="en-US" w:eastAsia="zh-CN" w:bidi="ar-SA"/>
        </w:rPr>
        <w:t>-4</w:t>
      </w:r>
      <w:r>
        <w:rPr>
          <w:rFonts w:hint="default" w:ascii="Times New Roman" w:hAnsi="Times New Roman" w:eastAsia="宋体" w:cs="Times New Roman"/>
          <w:b/>
          <w:bCs w:val="0"/>
          <w:color w:val="auto"/>
          <w:kern w:val="2"/>
          <w:sz w:val="21"/>
          <w:szCs w:val="21"/>
          <w:highlight w:val="none"/>
          <w:lang w:val="en-US" w:eastAsia="zh-CN" w:bidi="ar-SA"/>
        </w:rPr>
        <w:t xml:space="preserve">  </w:t>
      </w:r>
      <w:r>
        <w:rPr>
          <w:rFonts w:hint="eastAsia" w:ascii="Times New Roman" w:hAnsi="Times New Roman" w:eastAsia="宋体" w:cs="Times New Roman"/>
          <w:b/>
          <w:bCs w:val="0"/>
          <w:color w:val="auto"/>
          <w:kern w:val="2"/>
          <w:sz w:val="21"/>
          <w:szCs w:val="21"/>
          <w:highlight w:val="none"/>
          <w:lang w:val="en-US" w:eastAsia="zh-CN" w:bidi="ar-SA"/>
        </w:rPr>
        <w:t>终期方案：</w:t>
      </w:r>
      <w:r>
        <w:rPr>
          <w:rFonts w:hint="default" w:ascii="Times New Roman" w:hAnsi="Times New Roman" w:eastAsia="宋体" w:cs="Times New Roman"/>
          <w:b/>
          <w:bCs w:val="0"/>
          <w:color w:val="auto"/>
          <w:kern w:val="2"/>
          <w:sz w:val="21"/>
          <w:szCs w:val="21"/>
          <w:highlight w:val="none"/>
          <w:lang w:val="en-US" w:eastAsia="zh-CN" w:bidi="ar-SA"/>
        </w:rPr>
        <w:t>线路起于拟建大同东500kV汇集站，止于拟建二期扩容220kV变电站与二期220kV变电站线路计算参数</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809"/>
        <w:gridCol w:w="5671"/>
      </w:tblGrid>
      <w:tr w14:paraId="136EF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3BDC5F4B">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线路</w:t>
            </w:r>
          </w:p>
        </w:tc>
        <w:tc>
          <w:tcPr>
            <w:tcW w:w="5671" w:type="dxa"/>
            <w:tcBorders>
              <w:tl2br w:val="nil"/>
              <w:tr2bl w:val="nil"/>
            </w:tcBorders>
            <w:noWrap w:val="0"/>
            <w:vAlign w:val="center"/>
          </w:tcPr>
          <w:p w14:paraId="696FBB45">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kV</w:t>
            </w:r>
            <w:r>
              <w:rPr>
                <w:rFonts w:hint="eastAsia" w:ascii="Times New Roman" w:hAnsi="Times New Roman" w:eastAsia="宋体" w:cs="Times New Roman"/>
                <w:color w:val="auto"/>
                <w:sz w:val="21"/>
                <w:szCs w:val="21"/>
                <w:highlight w:val="none"/>
                <w:lang w:val="en-US" w:eastAsia="zh-CN"/>
              </w:rPr>
              <w:t>双</w:t>
            </w:r>
            <w:r>
              <w:rPr>
                <w:rFonts w:hint="default" w:ascii="Times New Roman" w:hAnsi="Times New Roman" w:eastAsia="宋体" w:cs="Times New Roman"/>
                <w:color w:val="auto"/>
                <w:sz w:val="21"/>
                <w:szCs w:val="21"/>
                <w:highlight w:val="none"/>
                <w:lang w:eastAsia="zh-CN"/>
              </w:rPr>
              <w:t>回</w:t>
            </w:r>
            <w:r>
              <w:rPr>
                <w:rFonts w:hint="default" w:ascii="Times New Roman" w:hAnsi="Times New Roman" w:eastAsia="宋体" w:cs="Times New Roman"/>
                <w:color w:val="auto"/>
                <w:sz w:val="21"/>
                <w:szCs w:val="21"/>
                <w:highlight w:val="none"/>
              </w:rPr>
              <w:t>线路</w:t>
            </w:r>
          </w:p>
        </w:tc>
      </w:tr>
      <w:tr w14:paraId="05AC7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121E4181">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采用导线型号</w:t>
            </w:r>
          </w:p>
        </w:tc>
        <w:tc>
          <w:tcPr>
            <w:tcW w:w="5671" w:type="dxa"/>
            <w:tcBorders>
              <w:tl2br w:val="nil"/>
              <w:tr2bl w:val="nil"/>
            </w:tcBorders>
            <w:noWrap w:val="0"/>
            <w:vAlign w:val="center"/>
          </w:tcPr>
          <w:p w14:paraId="1F7E5073">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2×JL/G1A-400/35 钢芯铝绞线</w:t>
            </w:r>
          </w:p>
        </w:tc>
      </w:tr>
      <w:tr w14:paraId="30CB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25E2F003">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导线计算截面</w:t>
            </w:r>
          </w:p>
        </w:tc>
        <w:tc>
          <w:tcPr>
            <w:tcW w:w="5671" w:type="dxa"/>
            <w:tcBorders>
              <w:tl2br w:val="nil"/>
              <w:tr2bl w:val="nil"/>
            </w:tcBorders>
            <w:noWrap w:val="0"/>
            <w:vAlign w:val="center"/>
          </w:tcPr>
          <w:p w14:paraId="04CF83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425</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vertAlign w:val="superscript"/>
              </w:rPr>
              <w:t>2</w:t>
            </w:r>
          </w:p>
        </w:tc>
      </w:tr>
      <w:tr w14:paraId="55CA8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215DE728">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导线直径</w:t>
            </w:r>
          </w:p>
        </w:tc>
        <w:tc>
          <w:tcPr>
            <w:tcW w:w="5671" w:type="dxa"/>
            <w:tcBorders>
              <w:tl2br w:val="nil"/>
              <w:tr2bl w:val="nil"/>
            </w:tcBorders>
            <w:noWrap w:val="0"/>
            <w:vAlign w:val="center"/>
          </w:tcPr>
          <w:p w14:paraId="3D8812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26.8</w:t>
            </w:r>
            <w:r>
              <w:rPr>
                <w:rFonts w:hint="default" w:ascii="Times New Roman" w:hAnsi="Times New Roman" w:eastAsia="宋体" w:cs="Times New Roman"/>
                <w:color w:val="auto"/>
                <w:sz w:val="21"/>
                <w:szCs w:val="21"/>
                <w:highlight w:val="none"/>
              </w:rPr>
              <w:t>mm</w:t>
            </w:r>
          </w:p>
        </w:tc>
      </w:tr>
      <w:tr w14:paraId="79D21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3F4A8244">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回路数</w:t>
            </w:r>
          </w:p>
        </w:tc>
        <w:tc>
          <w:tcPr>
            <w:tcW w:w="5671" w:type="dxa"/>
            <w:tcBorders>
              <w:tl2br w:val="nil"/>
              <w:tr2bl w:val="nil"/>
            </w:tcBorders>
            <w:noWrap w:val="0"/>
            <w:vAlign w:val="center"/>
          </w:tcPr>
          <w:p w14:paraId="6B49D54F">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同塔双回</w:t>
            </w:r>
          </w:p>
        </w:tc>
      </w:tr>
      <w:tr w14:paraId="2931F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08" w:type="dxa"/>
            <w:vMerge w:val="restart"/>
            <w:tcBorders>
              <w:tl2br w:val="nil"/>
              <w:tr2bl w:val="nil"/>
            </w:tcBorders>
            <w:noWrap w:val="0"/>
            <w:vAlign w:val="center"/>
          </w:tcPr>
          <w:p w14:paraId="6422E5FF">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相间距</w:t>
            </w:r>
          </w:p>
        </w:tc>
        <w:tc>
          <w:tcPr>
            <w:tcW w:w="1809" w:type="dxa"/>
            <w:tcBorders>
              <w:tl2br w:val="nil"/>
              <w:tr2bl w:val="nil"/>
            </w:tcBorders>
            <w:noWrap w:val="0"/>
            <w:vAlign w:val="center"/>
          </w:tcPr>
          <w:p w14:paraId="13B6FF39">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水平</w:t>
            </w:r>
          </w:p>
        </w:tc>
        <w:tc>
          <w:tcPr>
            <w:tcW w:w="5671" w:type="dxa"/>
            <w:tcBorders>
              <w:tl2br w:val="nil"/>
              <w:tr2bl w:val="nil"/>
            </w:tcBorders>
            <w:noWrap w:val="0"/>
            <w:vAlign w:val="center"/>
          </w:tcPr>
          <w:p w14:paraId="6EE40643">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A：-6.7/6.7</w:t>
            </w:r>
          </w:p>
          <w:p w14:paraId="4C910771">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B：-7.7/7.7</w:t>
            </w:r>
          </w:p>
          <w:p w14:paraId="1F2B03E6">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C：-6.2/6.2</w:t>
            </w:r>
          </w:p>
        </w:tc>
      </w:tr>
      <w:tr w14:paraId="3AAE1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08" w:type="dxa"/>
            <w:vMerge w:val="continue"/>
            <w:tcBorders>
              <w:tl2br w:val="nil"/>
              <w:tr2bl w:val="nil"/>
            </w:tcBorders>
            <w:noWrap w:val="0"/>
            <w:vAlign w:val="center"/>
          </w:tcPr>
          <w:p w14:paraId="3E3ED7FE">
            <w:pPr>
              <w:keepNext w:val="0"/>
              <w:keepLines w:val="0"/>
              <w:suppressLineNumbers w:val="0"/>
              <w:snapToGrid w:val="0"/>
              <w:spacing w:before="0" w:beforeAutospacing="0" w:after="0" w:afterAutospacing="0" w:line="288" w:lineRule="auto"/>
              <w:ind w:left="0" w:right="0"/>
              <w:jc w:val="center"/>
              <w:rPr>
                <w:rFonts w:hint="eastAsia" w:ascii="Times New Roman" w:hAnsi="Times New Roman" w:eastAsia="宋体" w:cs="Times New Roman"/>
                <w:color w:val="auto"/>
                <w:sz w:val="21"/>
                <w:szCs w:val="21"/>
                <w:highlight w:val="none"/>
                <w:lang w:val="en-US" w:eastAsia="zh-CN"/>
              </w:rPr>
            </w:pPr>
          </w:p>
        </w:tc>
        <w:tc>
          <w:tcPr>
            <w:tcW w:w="1809" w:type="dxa"/>
            <w:tcBorders>
              <w:tl2br w:val="nil"/>
              <w:tr2bl w:val="nil"/>
            </w:tcBorders>
            <w:noWrap w:val="0"/>
            <w:vAlign w:val="center"/>
          </w:tcPr>
          <w:p w14:paraId="61B1B895">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垂直</w:t>
            </w:r>
          </w:p>
        </w:tc>
        <w:tc>
          <w:tcPr>
            <w:tcW w:w="5671" w:type="dxa"/>
            <w:tcBorders>
              <w:tl2br w:val="nil"/>
              <w:tr2bl w:val="nil"/>
            </w:tcBorders>
            <w:noWrap w:val="0"/>
            <w:vAlign w:val="center"/>
          </w:tcPr>
          <w:p w14:paraId="030D2A3E">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A~B：6.5</w:t>
            </w:r>
          </w:p>
          <w:p w14:paraId="5A97C1A6">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B~C：6.9</w:t>
            </w:r>
          </w:p>
        </w:tc>
      </w:tr>
      <w:tr w14:paraId="3F306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2100A73B">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预测选取塔型</w:t>
            </w:r>
          </w:p>
        </w:tc>
        <w:tc>
          <w:tcPr>
            <w:tcW w:w="5671" w:type="dxa"/>
            <w:tcBorders>
              <w:tl2br w:val="nil"/>
              <w:tr2bl w:val="nil"/>
            </w:tcBorders>
            <w:noWrap w:val="0"/>
            <w:vAlign w:val="center"/>
          </w:tcPr>
          <w:p w14:paraId="2D552527">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220-G</w:t>
            </w:r>
            <w:r>
              <w:rPr>
                <w:rFonts w:hint="eastAsia"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lang w:val="en-US" w:eastAsia="zh-CN"/>
              </w:rPr>
              <w:t>22S-</w:t>
            </w:r>
            <w:r>
              <w:rPr>
                <w:rFonts w:hint="eastAsia" w:ascii="Times New Roman" w:hAnsi="Times New Roman" w:eastAsia="宋体" w:cs="Times New Roman"/>
                <w:color w:val="auto"/>
                <w:sz w:val="21"/>
                <w:szCs w:val="21"/>
                <w:highlight w:val="none"/>
                <w:lang w:val="en-US" w:eastAsia="zh-CN"/>
              </w:rPr>
              <w:t>Z</w:t>
            </w:r>
            <w:r>
              <w:rPr>
                <w:rFonts w:hint="default" w:ascii="Times New Roman" w:hAnsi="Times New Roman" w:eastAsia="宋体" w:cs="Times New Roman"/>
                <w:color w:val="auto"/>
                <w:sz w:val="21"/>
                <w:szCs w:val="21"/>
                <w:highlight w:val="none"/>
                <w:lang w:val="en-US" w:eastAsia="zh-CN"/>
              </w:rPr>
              <w:t>2</w:t>
            </w:r>
          </w:p>
        </w:tc>
      </w:tr>
      <w:tr w14:paraId="6D0F7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617" w:type="dxa"/>
            <w:gridSpan w:val="2"/>
            <w:tcBorders>
              <w:tl2br w:val="nil"/>
              <w:tr2bl w:val="nil"/>
            </w:tcBorders>
            <w:noWrap w:val="0"/>
            <w:vAlign w:val="center"/>
          </w:tcPr>
          <w:p w14:paraId="7C9C866C">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导线计算高度</w:t>
            </w:r>
            <w:r>
              <w:rPr>
                <w:rFonts w:hint="default" w:ascii="Times New Roman" w:hAnsi="Times New Roman" w:eastAsia="宋体" w:cs="Times New Roman"/>
                <w:color w:val="auto"/>
                <w:sz w:val="21"/>
                <w:szCs w:val="21"/>
                <w:highlight w:val="none"/>
                <w:lang w:eastAsia="zh-CN"/>
              </w:rPr>
              <w:t>（最低弧垂）</w:t>
            </w:r>
          </w:p>
        </w:tc>
        <w:tc>
          <w:tcPr>
            <w:tcW w:w="5671" w:type="dxa"/>
            <w:tcBorders>
              <w:tl2br w:val="nil"/>
              <w:tr2bl w:val="nil"/>
            </w:tcBorders>
            <w:noWrap w:val="0"/>
            <w:vAlign w:val="center"/>
          </w:tcPr>
          <w:p w14:paraId="65E95F1D">
            <w:pPr>
              <w:keepNext w:val="0"/>
              <w:keepLines w:val="0"/>
              <w:suppressLineNumbers w:val="0"/>
              <w:snapToGrid w:val="0"/>
              <w:spacing w:before="0" w:beforeAutospacing="0" w:after="0" w:afterAutospacing="0" w:line="288"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6.5</w:t>
            </w:r>
            <w:r>
              <w:rPr>
                <w:rFonts w:hint="default"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lang w:val="en-US" w:eastAsia="zh-CN"/>
              </w:rPr>
              <w:t>7.5</w:t>
            </w:r>
            <w:r>
              <w:rPr>
                <w:rFonts w:hint="default" w:ascii="Times New Roman" w:hAnsi="Times New Roman" w:eastAsia="宋体" w:cs="Times New Roman"/>
                <w:color w:val="auto"/>
                <w:kern w:val="0"/>
                <w:sz w:val="21"/>
                <w:szCs w:val="21"/>
                <w:highlight w:val="none"/>
                <w:lang w:val="en-US" w:eastAsia="zh-CN"/>
              </w:rPr>
              <w:t>m</w:t>
            </w:r>
          </w:p>
        </w:tc>
      </w:tr>
    </w:tbl>
    <w:p w14:paraId="590A4AE7">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default" w:ascii="Times New Roman" w:hAnsi="Times New Roman" w:eastAsia="宋体" w:cs="Times New Roman"/>
          <w:b w:val="0"/>
          <w:bCs/>
          <w:color w:val="auto"/>
          <w:spacing w:val="6"/>
          <w:sz w:val="24"/>
          <w:szCs w:val="24"/>
          <w:highlight w:val="none"/>
        </w:rPr>
      </w:pPr>
      <w:r>
        <w:rPr>
          <w:rFonts w:hint="default" w:ascii="Times New Roman" w:hAnsi="Times New Roman" w:eastAsia="宋体" w:cs="Times New Roman"/>
          <w:b w:val="0"/>
          <w:bCs/>
          <w:color w:val="auto"/>
          <w:spacing w:val="6"/>
          <w:sz w:val="24"/>
          <w:szCs w:val="24"/>
          <w:highlight w:val="none"/>
          <w:lang w:val="en-US" w:eastAsia="zh-CN"/>
        </w:rPr>
        <w:t>①工频电场强度计算结果</w:t>
      </w:r>
    </w:p>
    <w:p w14:paraId="4548C74D">
      <w:pPr>
        <w:adjustRightInd w:val="0"/>
        <w:spacing w:line="360" w:lineRule="auto"/>
        <w:ind w:firstLine="50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计算中导线对地高度</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，计算点离地面高1.5m，导线线下工频</w:t>
      </w:r>
      <w:r>
        <w:rPr>
          <w:rFonts w:hint="default" w:ascii="Times New Roman" w:hAnsi="Times New Roman" w:eastAsia="宋体" w:cs="Times New Roman"/>
          <w:color w:val="auto"/>
          <w:sz w:val="24"/>
          <w:szCs w:val="24"/>
          <w:highlight w:val="none"/>
          <w:lang w:val="en-US" w:eastAsia="zh-CN"/>
        </w:rPr>
        <w:t>电场</w:t>
      </w:r>
      <w:r>
        <w:rPr>
          <w:rFonts w:hint="default" w:ascii="Times New Roman" w:hAnsi="Times New Roman" w:eastAsia="宋体" w:cs="Times New Roman"/>
          <w:color w:val="auto"/>
          <w:sz w:val="24"/>
          <w:szCs w:val="24"/>
          <w:highlight w:val="none"/>
        </w:rPr>
        <w:t>强度的计算结果见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表，变化趋势图见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图。</w:t>
      </w:r>
    </w:p>
    <w:p w14:paraId="622EF743">
      <w:pPr>
        <w:spacing w:line="240" w:lineRule="auto"/>
        <w:ind w:firstLine="422"/>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1-5</w:t>
      </w:r>
      <w:r>
        <w:rPr>
          <w:rFonts w:hint="default" w:ascii="Times New Roman" w:hAnsi="Times New Roman" w:eastAsia="宋体" w:cs="Times New Roman"/>
          <w:b/>
          <w:bCs w:val="0"/>
          <w:color w:val="auto"/>
          <w:sz w:val="21"/>
          <w:szCs w:val="21"/>
          <w:highlight w:val="none"/>
        </w:rPr>
        <w:t xml:space="preserve">  </w:t>
      </w:r>
      <w:r>
        <w:rPr>
          <w:rFonts w:hint="eastAsia" w:ascii="Times New Roman" w:hAnsi="Times New Roman" w:eastAsia="宋体" w:cs="Times New Roman"/>
          <w:b/>
          <w:bCs w:val="0"/>
          <w:color w:val="auto"/>
          <w:sz w:val="21"/>
          <w:szCs w:val="21"/>
          <w:highlight w:val="none"/>
          <w:lang w:val="en-US" w:eastAsia="zh-CN"/>
        </w:rPr>
        <w:t>终期</w:t>
      </w:r>
      <w:r>
        <w:rPr>
          <w:rFonts w:hint="default" w:ascii="Times New Roman" w:hAnsi="Times New Roman" w:eastAsia="宋体" w:cs="Times New Roman"/>
          <w:b/>
          <w:bCs w:val="0"/>
          <w:color w:val="auto"/>
          <w:sz w:val="21"/>
          <w:szCs w:val="21"/>
          <w:highlight w:val="none"/>
          <w:lang w:val="en-US" w:eastAsia="zh-CN"/>
        </w:rPr>
        <w:t>方案220kV</w:t>
      </w:r>
      <w:r>
        <w:rPr>
          <w:rFonts w:hint="eastAsia" w:ascii="Times New Roman" w:hAnsi="Times New Roman" w:eastAsia="宋体" w:cs="Times New Roman"/>
          <w:b/>
          <w:bCs w:val="0"/>
          <w:color w:val="auto"/>
          <w:sz w:val="21"/>
          <w:szCs w:val="21"/>
          <w:highlight w:val="none"/>
          <w:lang w:val="en-US" w:eastAsia="zh-CN"/>
        </w:rPr>
        <w:t>双回</w:t>
      </w:r>
      <w:r>
        <w:rPr>
          <w:rFonts w:hint="default" w:ascii="Times New Roman" w:hAnsi="Times New Roman" w:eastAsia="宋体" w:cs="Times New Roman"/>
          <w:b/>
          <w:bCs w:val="0"/>
          <w:color w:val="auto"/>
          <w:sz w:val="21"/>
          <w:szCs w:val="21"/>
          <w:highlight w:val="none"/>
          <w:lang w:val="en-US" w:eastAsia="zh-CN"/>
        </w:rPr>
        <w:t>线路</w:t>
      </w:r>
      <w:r>
        <w:rPr>
          <w:rFonts w:hint="default" w:ascii="Times New Roman" w:hAnsi="Times New Roman" w:eastAsia="宋体" w:cs="Times New Roman"/>
          <w:b/>
          <w:bCs w:val="0"/>
          <w:color w:val="auto"/>
          <w:sz w:val="21"/>
          <w:szCs w:val="21"/>
          <w:highlight w:val="none"/>
        </w:rPr>
        <w:t>工频电场强度的计算结果（</w:t>
      </w:r>
      <w:r>
        <w:rPr>
          <w:rFonts w:hint="default" w:ascii="Times New Roman" w:hAnsi="Times New Roman" w:eastAsia="宋体" w:cs="Times New Roman"/>
          <w:b/>
          <w:bCs w:val="0"/>
          <w:color w:val="auto"/>
          <w:sz w:val="21"/>
          <w:szCs w:val="21"/>
          <w:highlight w:val="none"/>
          <w:lang w:eastAsia="zh-CN"/>
        </w:rPr>
        <w:t>kV</w:t>
      </w: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lang w:eastAsia="zh-CN"/>
        </w:rPr>
        <w:t>）</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3399"/>
        <w:gridCol w:w="3403"/>
      </w:tblGrid>
      <w:tr w14:paraId="1B19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337" w:type="pct"/>
            <w:tcBorders>
              <w:tl2br w:val="nil"/>
              <w:tr2bl w:val="nil"/>
            </w:tcBorders>
            <w:noWrap w:val="0"/>
            <w:vAlign w:val="center"/>
          </w:tcPr>
          <w:p w14:paraId="72DF4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距线路中心距离</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p>
        </w:tc>
        <w:tc>
          <w:tcPr>
            <w:tcW w:w="1830" w:type="pct"/>
            <w:tcBorders>
              <w:tl2br w:val="nil"/>
              <w:tr2bl w:val="nil"/>
            </w:tcBorders>
            <w:noWrap w:val="0"/>
            <w:vAlign w:val="center"/>
          </w:tcPr>
          <w:p w14:paraId="06FE9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6.5</w:t>
            </w:r>
            <w:r>
              <w:rPr>
                <w:rFonts w:hint="default" w:ascii="Times New Roman" w:hAnsi="Times New Roman" w:eastAsia="宋体" w:cs="Times New Roman"/>
                <w:bCs/>
                <w:color w:val="auto"/>
                <w:sz w:val="21"/>
                <w:szCs w:val="21"/>
                <w:highlight w:val="none"/>
              </w:rPr>
              <w:t>m</w:t>
            </w:r>
          </w:p>
        </w:tc>
        <w:tc>
          <w:tcPr>
            <w:tcW w:w="1832" w:type="pct"/>
            <w:tcBorders>
              <w:tl2br w:val="nil"/>
              <w:tr2bl w:val="nil"/>
            </w:tcBorders>
            <w:noWrap w:val="0"/>
            <w:vAlign w:val="center"/>
          </w:tcPr>
          <w:p w14:paraId="38AA2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7.5</w:t>
            </w:r>
            <w:r>
              <w:rPr>
                <w:rFonts w:hint="default" w:ascii="Times New Roman" w:hAnsi="Times New Roman" w:eastAsia="宋体" w:cs="Times New Roman"/>
                <w:bCs/>
                <w:color w:val="auto"/>
                <w:sz w:val="21"/>
                <w:szCs w:val="21"/>
                <w:highlight w:val="none"/>
              </w:rPr>
              <w:t>m</w:t>
            </w:r>
          </w:p>
        </w:tc>
      </w:tr>
      <w:tr w14:paraId="286C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6AE7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3399" w:type="dxa"/>
            <w:tcBorders>
              <w:tl2br w:val="nil"/>
              <w:tr2bl w:val="nil"/>
            </w:tcBorders>
            <w:noWrap w:val="0"/>
            <w:tcMar>
              <w:left w:w="0" w:type="dxa"/>
              <w:right w:w="0" w:type="dxa"/>
            </w:tcMar>
            <w:vAlign w:val="top"/>
          </w:tcPr>
          <w:p w14:paraId="2B4FF2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2.38</w:t>
            </w:r>
          </w:p>
        </w:tc>
        <w:tc>
          <w:tcPr>
            <w:tcW w:w="3403" w:type="dxa"/>
            <w:tcBorders>
              <w:tl2br w:val="nil"/>
              <w:tr2bl w:val="nil"/>
            </w:tcBorders>
            <w:noWrap w:val="0"/>
            <w:tcMar>
              <w:left w:w="0" w:type="dxa"/>
              <w:right w:w="0" w:type="dxa"/>
            </w:tcMar>
            <w:vAlign w:val="top"/>
          </w:tcPr>
          <w:p w14:paraId="6612E5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vertAlign w:val="baseline"/>
                <w:lang w:eastAsia="zh-CN"/>
              </w:rPr>
              <w:t>2.01</w:t>
            </w:r>
          </w:p>
        </w:tc>
      </w:tr>
      <w:tr w14:paraId="4191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AA06B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399" w:type="dxa"/>
            <w:tcBorders>
              <w:tl2br w:val="nil"/>
              <w:tr2bl w:val="nil"/>
            </w:tcBorders>
            <w:noWrap w:val="0"/>
            <w:tcMar>
              <w:left w:w="0" w:type="dxa"/>
              <w:right w:w="0" w:type="dxa"/>
            </w:tcMar>
            <w:vAlign w:val="top"/>
          </w:tcPr>
          <w:p w14:paraId="183A63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2.39</w:t>
            </w:r>
          </w:p>
        </w:tc>
        <w:tc>
          <w:tcPr>
            <w:tcW w:w="3403" w:type="dxa"/>
            <w:tcBorders>
              <w:tl2br w:val="nil"/>
              <w:tr2bl w:val="nil"/>
            </w:tcBorders>
            <w:noWrap w:val="0"/>
            <w:tcMar>
              <w:left w:w="0" w:type="dxa"/>
              <w:right w:w="0" w:type="dxa"/>
            </w:tcMar>
            <w:vAlign w:val="top"/>
          </w:tcPr>
          <w:p w14:paraId="3E391D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2.02</w:t>
            </w:r>
          </w:p>
        </w:tc>
      </w:tr>
      <w:tr w14:paraId="5A71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2154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3399" w:type="dxa"/>
            <w:tcBorders>
              <w:tl2br w:val="nil"/>
              <w:tr2bl w:val="nil"/>
            </w:tcBorders>
            <w:noWrap w:val="0"/>
            <w:tcMar>
              <w:left w:w="0" w:type="dxa"/>
              <w:right w:w="0" w:type="dxa"/>
            </w:tcMar>
            <w:vAlign w:val="top"/>
          </w:tcPr>
          <w:p w14:paraId="2BE24B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2.42</w:t>
            </w:r>
          </w:p>
        </w:tc>
        <w:tc>
          <w:tcPr>
            <w:tcW w:w="3403" w:type="dxa"/>
            <w:tcBorders>
              <w:tl2br w:val="nil"/>
              <w:tr2bl w:val="nil"/>
            </w:tcBorders>
            <w:noWrap w:val="0"/>
            <w:tcMar>
              <w:left w:w="0" w:type="dxa"/>
              <w:right w:w="0" w:type="dxa"/>
            </w:tcMar>
            <w:vAlign w:val="top"/>
          </w:tcPr>
          <w:p w14:paraId="2D3C78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2.05</w:t>
            </w:r>
          </w:p>
        </w:tc>
      </w:tr>
      <w:tr w14:paraId="08E5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1C0E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399" w:type="dxa"/>
            <w:tcBorders>
              <w:tl2br w:val="nil"/>
              <w:tr2bl w:val="nil"/>
            </w:tcBorders>
            <w:noWrap w:val="0"/>
            <w:tcMar>
              <w:left w:w="0" w:type="dxa"/>
              <w:right w:w="0" w:type="dxa"/>
            </w:tcMar>
            <w:vAlign w:val="top"/>
          </w:tcPr>
          <w:p w14:paraId="727A32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2.47</w:t>
            </w:r>
          </w:p>
        </w:tc>
        <w:tc>
          <w:tcPr>
            <w:tcW w:w="3403" w:type="dxa"/>
            <w:tcBorders>
              <w:tl2br w:val="nil"/>
              <w:tr2bl w:val="nil"/>
            </w:tcBorders>
            <w:noWrap w:val="0"/>
            <w:tcMar>
              <w:left w:w="0" w:type="dxa"/>
              <w:right w:w="0" w:type="dxa"/>
            </w:tcMar>
            <w:vAlign w:val="top"/>
          </w:tcPr>
          <w:p w14:paraId="768D58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2.09</w:t>
            </w:r>
          </w:p>
        </w:tc>
      </w:tr>
      <w:tr w14:paraId="13DB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F313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3399" w:type="dxa"/>
            <w:tcBorders>
              <w:tl2br w:val="nil"/>
              <w:tr2bl w:val="nil"/>
            </w:tcBorders>
            <w:noWrap w:val="0"/>
            <w:tcMar>
              <w:left w:w="0" w:type="dxa"/>
              <w:right w:w="0" w:type="dxa"/>
            </w:tcMar>
            <w:vAlign w:val="top"/>
          </w:tcPr>
          <w:p w14:paraId="282B1A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2.51</w:t>
            </w:r>
          </w:p>
        </w:tc>
        <w:tc>
          <w:tcPr>
            <w:tcW w:w="3403" w:type="dxa"/>
            <w:tcBorders>
              <w:tl2br w:val="nil"/>
              <w:tr2bl w:val="nil"/>
            </w:tcBorders>
            <w:noWrap w:val="0"/>
            <w:tcMar>
              <w:left w:w="0" w:type="dxa"/>
              <w:right w:w="0" w:type="dxa"/>
            </w:tcMar>
            <w:vAlign w:val="top"/>
          </w:tcPr>
          <w:p w14:paraId="586D88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2.14</w:t>
            </w:r>
          </w:p>
        </w:tc>
      </w:tr>
      <w:tr w14:paraId="42A8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A8E0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3399" w:type="dxa"/>
            <w:tcBorders>
              <w:tl2br w:val="nil"/>
              <w:tr2bl w:val="nil"/>
            </w:tcBorders>
            <w:noWrap w:val="0"/>
            <w:tcMar>
              <w:left w:w="0" w:type="dxa"/>
              <w:right w:w="0" w:type="dxa"/>
            </w:tcMar>
            <w:vAlign w:val="top"/>
          </w:tcPr>
          <w:p w14:paraId="16160B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2.55</w:t>
            </w:r>
          </w:p>
        </w:tc>
        <w:tc>
          <w:tcPr>
            <w:tcW w:w="3403" w:type="dxa"/>
            <w:tcBorders>
              <w:tl2br w:val="nil"/>
              <w:tr2bl w:val="nil"/>
            </w:tcBorders>
            <w:noWrap w:val="0"/>
            <w:tcMar>
              <w:left w:w="0" w:type="dxa"/>
              <w:right w:w="0" w:type="dxa"/>
            </w:tcMar>
            <w:vAlign w:val="top"/>
          </w:tcPr>
          <w:p w14:paraId="393EE7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2.18</w:t>
            </w:r>
          </w:p>
        </w:tc>
      </w:tr>
      <w:tr w14:paraId="1AF5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9A88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3399" w:type="dxa"/>
            <w:tcBorders>
              <w:tl2br w:val="nil"/>
              <w:tr2bl w:val="nil"/>
            </w:tcBorders>
            <w:noWrap w:val="0"/>
            <w:tcMar>
              <w:left w:w="0" w:type="dxa"/>
              <w:right w:w="0" w:type="dxa"/>
            </w:tcMar>
            <w:vAlign w:val="top"/>
          </w:tcPr>
          <w:p w14:paraId="3A101C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2.56</w:t>
            </w:r>
          </w:p>
        </w:tc>
        <w:tc>
          <w:tcPr>
            <w:tcW w:w="3403" w:type="dxa"/>
            <w:tcBorders>
              <w:tl2br w:val="nil"/>
              <w:tr2bl w:val="nil"/>
            </w:tcBorders>
            <w:noWrap w:val="0"/>
            <w:tcMar>
              <w:left w:w="0" w:type="dxa"/>
              <w:right w:w="0" w:type="dxa"/>
            </w:tcMar>
            <w:vAlign w:val="top"/>
          </w:tcPr>
          <w:p w14:paraId="71F3B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2.20</w:t>
            </w:r>
          </w:p>
        </w:tc>
      </w:tr>
      <w:tr w14:paraId="3C3F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612F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3399" w:type="dxa"/>
            <w:tcBorders>
              <w:tl2br w:val="nil"/>
              <w:tr2bl w:val="nil"/>
            </w:tcBorders>
            <w:noWrap w:val="0"/>
            <w:tcMar>
              <w:left w:w="0" w:type="dxa"/>
              <w:right w:w="0" w:type="dxa"/>
            </w:tcMar>
            <w:vAlign w:val="top"/>
          </w:tcPr>
          <w:p w14:paraId="2B9432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2.54</w:t>
            </w:r>
          </w:p>
        </w:tc>
        <w:tc>
          <w:tcPr>
            <w:tcW w:w="3403" w:type="dxa"/>
            <w:tcBorders>
              <w:tl2br w:val="nil"/>
              <w:tr2bl w:val="nil"/>
            </w:tcBorders>
            <w:noWrap w:val="0"/>
            <w:tcMar>
              <w:left w:w="0" w:type="dxa"/>
              <w:right w:w="0" w:type="dxa"/>
            </w:tcMar>
            <w:vAlign w:val="top"/>
          </w:tcPr>
          <w:p w14:paraId="6DD6C7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2.20</w:t>
            </w:r>
          </w:p>
        </w:tc>
      </w:tr>
      <w:tr w14:paraId="0096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9012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3399" w:type="dxa"/>
            <w:tcBorders>
              <w:tl2br w:val="nil"/>
              <w:tr2bl w:val="nil"/>
            </w:tcBorders>
            <w:noWrap w:val="0"/>
            <w:tcMar>
              <w:left w:w="0" w:type="dxa"/>
              <w:right w:w="0" w:type="dxa"/>
            </w:tcMar>
            <w:vAlign w:val="top"/>
          </w:tcPr>
          <w:p w14:paraId="7A3D24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2.49</w:t>
            </w:r>
          </w:p>
        </w:tc>
        <w:tc>
          <w:tcPr>
            <w:tcW w:w="3403" w:type="dxa"/>
            <w:tcBorders>
              <w:tl2br w:val="nil"/>
              <w:tr2bl w:val="nil"/>
            </w:tcBorders>
            <w:noWrap w:val="0"/>
            <w:tcMar>
              <w:left w:w="0" w:type="dxa"/>
              <w:right w:w="0" w:type="dxa"/>
            </w:tcMar>
            <w:vAlign w:val="top"/>
          </w:tcPr>
          <w:p w14:paraId="33005E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2.18</w:t>
            </w:r>
          </w:p>
        </w:tc>
      </w:tr>
      <w:tr w14:paraId="12E7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EC3F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3399" w:type="dxa"/>
            <w:tcBorders>
              <w:tl2br w:val="nil"/>
              <w:tr2bl w:val="nil"/>
            </w:tcBorders>
            <w:noWrap w:val="0"/>
            <w:tcMar>
              <w:left w:w="0" w:type="dxa"/>
              <w:right w:w="0" w:type="dxa"/>
            </w:tcMar>
            <w:vAlign w:val="top"/>
          </w:tcPr>
          <w:p w14:paraId="6F69C4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2.40</w:t>
            </w:r>
          </w:p>
        </w:tc>
        <w:tc>
          <w:tcPr>
            <w:tcW w:w="3403" w:type="dxa"/>
            <w:tcBorders>
              <w:tl2br w:val="nil"/>
              <w:tr2bl w:val="nil"/>
            </w:tcBorders>
            <w:noWrap w:val="0"/>
            <w:tcMar>
              <w:left w:w="0" w:type="dxa"/>
              <w:right w:w="0" w:type="dxa"/>
            </w:tcMar>
            <w:vAlign w:val="top"/>
          </w:tcPr>
          <w:p w14:paraId="256C02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2.12</w:t>
            </w:r>
          </w:p>
        </w:tc>
      </w:tr>
      <w:tr w14:paraId="00EB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D631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3399" w:type="dxa"/>
            <w:tcBorders>
              <w:tl2br w:val="nil"/>
              <w:tr2bl w:val="nil"/>
            </w:tcBorders>
            <w:noWrap w:val="0"/>
            <w:tcMar>
              <w:left w:w="0" w:type="dxa"/>
              <w:right w:w="0" w:type="dxa"/>
            </w:tcMar>
            <w:vAlign w:val="top"/>
          </w:tcPr>
          <w:p w14:paraId="497FB6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2.28</w:t>
            </w:r>
          </w:p>
        </w:tc>
        <w:tc>
          <w:tcPr>
            <w:tcW w:w="3403" w:type="dxa"/>
            <w:tcBorders>
              <w:tl2br w:val="nil"/>
              <w:tr2bl w:val="nil"/>
            </w:tcBorders>
            <w:noWrap w:val="0"/>
            <w:tcMar>
              <w:left w:w="0" w:type="dxa"/>
              <w:right w:w="0" w:type="dxa"/>
            </w:tcMar>
            <w:vAlign w:val="top"/>
          </w:tcPr>
          <w:p w14:paraId="7C3D3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2.05</w:t>
            </w:r>
          </w:p>
        </w:tc>
      </w:tr>
      <w:tr w14:paraId="1E07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550269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11</w:t>
            </w:r>
          </w:p>
        </w:tc>
        <w:tc>
          <w:tcPr>
            <w:tcW w:w="3399" w:type="dxa"/>
            <w:tcBorders>
              <w:tl2br w:val="nil"/>
              <w:tr2bl w:val="nil"/>
            </w:tcBorders>
            <w:noWrap w:val="0"/>
            <w:tcMar>
              <w:left w:w="0" w:type="dxa"/>
              <w:right w:w="0" w:type="dxa"/>
            </w:tcMar>
            <w:vAlign w:val="top"/>
          </w:tcPr>
          <w:p w14:paraId="00633B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2.15</w:t>
            </w:r>
          </w:p>
        </w:tc>
        <w:tc>
          <w:tcPr>
            <w:tcW w:w="3403" w:type="dxa"/>
            <w:tcBorders>
              <w:tl2br w:val="nil"/>
              <w:tr2bl w:val="nil"/>
            </w:tcBorders>
            <w:noWrap w:val="0"/>
            <w:tcMar>
              <w:left w:w="0" w:type="dxa"/>
              <w:right w:w="0" w:type="dxa"/>
            </w:tcMar>
            <w:vAlign w:val="top"/>
          </w:tcPr>
          <w:p w14:paraId="38E410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1.96</w:t>
            </w:r>
          </w:p>
        </w:tc>
      </w:tr>
      <w:tr w14:paraId="21F9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2E8834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12</w:t>
            </w:r>
          </w:p>
        </w:tc>
        <w:tc>
          <w:tcPr>
            <w:tcW w:w="3399" w:type="dxa"/>
            <w:tcBorders>
              <w:tl2br w:val="nil"/>
              <w:tr2bl w:val="nil"/>
            </w:tcBorders>
            <w:noWrap w:val="0"/>
            <w:tcMar>
              <w:left w:w="0" w:type="dxa"/>
              <w:right w:w="0" w:type="dxa"/>
            </w:tcMar>
            <w:vAlign w:val="top"/>
          </w:tcPr>
          <w:p w14:paraId="5A4757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2.01</w:t>
            </w:r>
          </w:p>
        </w:tc>
        <w:tc>
          <w:tcPr>
            <w:tcW w:w="3403" w:type="dxa"/>
            <w:tcBorders>
              <w:tl2br w:val="nil"/>
              <w:tr2bl w:val="nil"/>
            </w:tcBorders>
            <w:noWrap w:val="0"/>
            <w:tcMar>
              <w:left w:w="0" w:type="dxa"/>
              <w:right w:w="0" w:type="dxa"/>
            </w:tcMar>
            <w:vAlign w:val="top"/>
          </w:tcPr>
          <w:p w14:paraId="4DC883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1.85</w:t>
            </w:r>
          </w:p>
        </w:tc>
      </w:tr>
      <w:tr w14:paraId="6E5A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D0120A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13</w:t>
            </w:r>
          </w:p>
        </w:tc>
        <w:tc>
          <w:tcPr>
            <w:tcW w:w="3399" w:type="dxa"/>
            <w:tcBorders>
              <w:tl2br w:val="nil"/>
              <w:tr2bl w:val="nil"/>
            </w:tcBorders>
            <w:noWrap w:val="0"/>
            <w:tcMar>
              <w:left w:w="0" w:type="dxa"/>
              <w:right w:w="0" w:type="dxa"/>
            </w:tcMar>
            <w:vAlign w:val="top"/>
          </w:tcPr>
          <w:p w14:paraId="05D005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1.87</w:t>
            </w:r>
          </w:p>
        </w:tc>
        <w:tc>
          <w:tcPr>
            <w:tcW w:w="3403" w:type="dxa"/>
            <w:tcBorders>
              <w:tl2br w:val="nil"/>
              <w:tr2bl w:val="nil"/>
            </w:tcBorders>
            <w:noWrap w:val="0"/>
            <w:tcMar>
              <w:left w:w="0" w:type="dxa"/>
              <w:right w:w="0" w:type="dxa"/>
            </w:tcMar>
            <w:vAlign w:val="top"/>
          </w:tcPr>
          <w:p w14:paraId="5FA539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1.74</w:t>
            </w:r>
          </w:p>
        </w:tc>
      </w:tr>
      <w:tr w14:paraId="7609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C5A46B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14</w:t>
            </w:r>
          </w:p>
        </w:tc>
        <w:tc>
          <w:tcPr>
            <w:tcW w:w="3399" w:type="dxa"/>
            <w:tcBorders>
              <w:tl2br w:val="nil"/>
              <w:tr2bl w:val="nil"/>
            </w:tcBorders>
            <w:noWrap w:val="0"/>
            <w:tcMar>
              <w:left w:w="0" w:type="dxa"/>
              <w:right w:w="0" w:type="dxa"/>
            </w:tcMar>
            <w:vAlign w:val="top"/>
          </w:tcPr>
          <w:p w14:paraId="4637A2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1.73</w:t>
            </w:r>
          </w:p>
        </w:tc>
        <w:tc>
          <w:tcPr>
            <w:tcW w:w="3403" w:type="dxa"/>
            <w:tcBorders>
              <w:tl2br w:val="nil"/>
              <w:tr2bl w:val="nil"/>
            </w:tcBorders>
            <w:noWrap w:val="0"/>
            <w:tcMar>
              <w:left w:w="0" w:type="dxa"/>
              <w:right w:w="0" w:type="dxa"/>
            </w:tcMar>
            <w:vAlign w:val="top"/>
          </w:tcPr>
          <w:p w14:paraId="7E574D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1.63</w:t>
            </w:r>
          </w:p>
        </w:tc>
      </w:tr>
      <w:tr w14:paraId="40BD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A85BDE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w:t>
            </w:r>
          </w:p>
        </w:tc>
        <w:tc>
          <w:tcPr>
            <w:tcW w:w="3399" w:type="dxa"/>
            <w:tcBorders>
              <w:tl2br w:val="nil"/>
              <w:tr2bl w:val="nil"/>
            </w:tcBorders>
            <w:noWrap w:val="0"/>
            <w:tcMar>
              <w:left w:w="0" w:type="dxa"/>
              <w:right w:w="0" w:type="dxa"/>
            </w:tcMar>
            <w:vAlign w:val="top"/>
          </w:tcPr>
          <w:p w14:paraId="671A84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1.59</w:t>
            </w:r>
          </w:p>
        </w:tc>
        <w:tc>
          <w:tcPr>
            <w:tcW w:w="3403" w:type="dxa"/>
            <w:tcBorders>
              <w:tl2br w:val="nil"/>
              <w:tr2bl w:val="nil"/>
            </w:tcBorders>
            <w:noWrap w:val="0"/>
            <w:tcMar>
              <w:left w:w="0" w:type="dxa"/>
              <w:right w:w="0" w:type="dxa"/>
            </w:tcMar>
            <w:vAlign w:val="top"/>
          </w:tcPr>
          <w:p w14:paraId="6C7874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1.51</w:t>
            </w:r>
          </w:p>
        </w:tc>
      </w:tr>
      <w:tr w14:paraId="225C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FCDCD6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16</w:t>
            </w:r>
          </w:p>
        </w:tc>
        <w:tc>
          <w:tcPr>
            <w:tcW w:w="3399" w:type="dxa"/>
            <w:tcBorders>
              <w:tl2br w:val="nil"/>
              <w:tr2bl w:val="nil"/>
            </w:tcBorders>
            <w:noWrap w:val="0"/>
            <w:tcMar>
              <w:left w:w="0" w:type="dxa"/>
              <w:right w:w="0" w:type="dxa"/>
            </w:tcMar>
            <w:vAlign w:val="top"/>
          </w:tcPr>
          <w:p w14:paraId="0B4F77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1.47</w:t>
            </w:r>
          </w:p>
        </w:tc>
        <w:tc>
          <w:tcPr>
            <w:tcW w:w="3403" w:type="dxa"/>
            <w:tcBorders>
              <w:tl2br w:val="nil"/>
              <w:tr2bl w:val="nil"/>
            </w:tcBorders>
            <w:noWrap w:val="0"/>
            <w:tcMar>
              <w:left w:w="0" w:type="dxa"/>
              <w:right w:w="0" w:type="dxa"/>
            </w:tcMar>
            <w:vAlign w:val="top"/>
          </w:tcPr>
          <w:p w14:paraId="0849DF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1.40</w:t>
            </w:r>
          </w:p>
        </w:tc>
      </w:tr>
      <w:tr w14:paraId="6CF3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E5C155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17</w:t>
            </w:r>
          </w:p>
        </w:tc>
        <w:tc>
          <w:tcPr>
            <w:tcW w:w="3399" w:type="dxa"/>
            <w:tcBorders>
              <w:tl2br w:val="nil"/>
              <w:tr2bl w:val="nil"/>
            </w:tcBorders>
            <w:noWrap w:val="0"/>
            <w:tcMar>
              <w:left w:w="0" w:type="dxa"/>
              <w:right w:w="0" w:type="dxa"/>
            </w:tcMar>
            <w:vAlign w:val="top"/>
          </w:tcPr>
          <w:p w14:paraId="45C0A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1.35</w:t>
            </w:r>
          </w:p>
        </w:tc>
        <w:tc>
          <w:tcPr>
            <w:tcW w:w="3403" w:type="dxa"/>
            <w:tcBorders>
              <w:tl2br w:val="nil"/>
              <w:tr2bl w:val="nil"/>
            </w:tcBorders>
            <w:noWrap w:val="0"/>
            <w:tcMar>
              <w:left w:w="0" w:type="dxa"/>
              <w:right w:w="0" w:type="dxa"/>
            </w:tcMar>
            <w:vAlign w:val="top"/>
          </w:tcPr>
          <w:p w14:paraId="0F5EAF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1.30</w:t>
            </w:r>
          </w:p>
        </w:tc>
      </w:tr>
      <w:tr w14:paraId="5A07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B7554E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18</w:t>
            </w:r>
          </w:p>
        </w:tc>
        <w:tc>
          <w:tcPr>
            <w:tcW w:w="3399" w:type="dxa"/>
            <w:tcBorders>
              <w:tl2br w:val="nil"/>
              <w:tr2bl w:val="nil"/>
            </w:tcBorders>
            <w:noWrap w:val="0"/>
            <w:tcMar>
              <w:left w:w="0" w:type="dxa"/>
              <w:right w:w="0" w:type="dxa"/>
            </w:tcMar>
            <w:vAlign w:val="top"/>
          </w:tcPr>
          <w:p w14:paraId="54DF3C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1.24</w:t>
            </w:r>
          </w:p>
        </w:tc>
        <w:tc>
          <w:tcPr>
            <w:tcW w:w="3403" w:type="dxa"/>
            <w:tcBorders>
              <w:tl2br w:val="nil"/>
              <w:tr2bl w:val="nil"/>
            </w:tcBorders>
            <w:noWrap w:val="0"/>
            <w:tcMar>
              <w:left w:w="0" w:type="dxa"/>
              <w:right w:w="0" w:type="dxa"/>
            </w:tcMar>
            <w:vAlign w:val="top"/>
          </w:tcPr>
          <w:p w14:paraId="5EAAC4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1.20</w:t>
            </w:r>
          </w:p>
        </w:tc>
      </w:tr>
      <w:tr w14:paraId="3D80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90E166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19</w:t>
            </w:r>
          </w:p>
        </w:tc>
        <w:tc>
          <w:tcPr>
            <w:tcW w:w="3399" w:type="dxa"/>
            <w:tcBorders>
              <w:tl2br w:val="nil"/>
              <w:tr2bl w:val="nil"/>
            </w:tcBorders>
            <w:noWrap w:val="0"/>
            <w:tcMar>
              <w:left w:w="0" w:type="dxa"/>
              <w:right w:w="0" w:type="dxa"/>
            </w:tcMar>
            <w:vAlign w:val="top"/>
          </w:tcPr>
          <w:p w14:paraId="1A3B9D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1.14</w:t>
            </w:r>
          </w:p>
        </w:tc>
        <w:tc>
          <w:tcPr>
            <w:tcW w:w="3403" w:type="dxa"/>
            <w:tcBorders>
              <w:tl2br w:val="nil"/>
              <w:tr2bl w:val="nil"/>
            </w:tcBorders>
            <w:noWrap w:val="0"/>
            <w:tcMar>
              <w:left w:w="0" w:type="dxa"/>
              <w:right w:w="0" w:type="dxa"/>
            </w:tcMar>
            <w:vAlign w:val="top"/>
          </w:tcPr>
          <w:p w14:paraId="7C823F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1.11</w:t>
            </w:r>
          </w:p>
        </w:tc>
      </w:tr>
      <w:tr w14:paraId="4C1E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C80ABC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20</w:t>
            </w:r>
          </w:p>
        </w:tc>
        <w:tc>
          <w:tcPr>
            <w:tcW w:w="3399" w:type="dxa"/>
            <w:tcBorders>
              <w:tl2br w:val="nil"/>
              <w:tr2bl w:val="nil"/>
            </w:tcBorders>
            <w:noWrap w:val="0"/>
            <w:tcMar>
              <w:left w:w="0" w:type="dxa"/>
              <w:right w:w="0" w:type="dxa"/>
            </w:tcMar>
            <w:vAlign w:val="top"/>
          </w:tcPr>
          <w:p w14:paraId="304172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1.05</w:t>
            </w:r>
          </w:p>
        </w:tc>
        <w:tc>
          <w:tcPr>
            <w:tcW w:w="3403" w:type="dxa"/>
            <w:tcBorders>
              <w:tl2br w:val="nil"/>
              <w:tr2bl w:val="nil"/>
            </w:tcBorders>
            <w:noWrap w:val="0"/>
            <w:tcMar>
              <w:left w:w="0" w:type="dxa"/>
              <w:right w:w="0" w:type="dxa"/>
            </w:tcMar>
            <w:vAlign w:val="top"/>
          </w:tcPr>
          <w:p w14:paraId="20D93B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1.03</w:t>
            </w:r>
          </w:p>
        </w:tc>
      </w:tr>
      <w:tr w14:paraId="347C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6CF29E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21</w:t>
            </w:r>
          </w:p>
        </w:tc>
        <w:tc>
          <w:tcPr>
            <w:tcW w:w="3399" w:type="dxa"/>
            <w:tcBorders>
              <w:tl2br w:val="nil"/>
              <w:tr2bl w:val="nil"/>
            </w:tcBorders>
            <w:noWrap w:val="0"/>
            <w:tcMar>
              <w:left w:w="0" w:type="dxa"/>
              <w:right w:w="0" w:type="dxa"/>
            </w:tcMar>
            <w:vAlign w:val="top"/>
          </w:tcPr>
          <w:p w14:paraId="47799B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0.96</w:t>
            </w:r>
          </w:p>
        </w:tc>
        <w:tc>
          <w:tcPr>
            <w:tcW w:w="3403" w:type="dxa"/>
            <w:tcBorders>
              <w:tl2br w:val="nil"/>
              <w:tr2bl w:val="nil"/>
            </w:tcBorders>
            <w:noWrap w:val="0"/>
            <w:tcMar>
              <w:left w:w="0" w:type="dxa"/>
              <w:right w:w="0" w:type="dxa"/>
            </w:tcMar>
            <w:vAlign w:val="top"/>
          </w:tcPr>
          <w:p w14:paraId="288396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0.95</w:t>
            </w:r>
          </w:p>
        </w:tc>
      </w:tr>
      <w:tr w14:paraId="73C1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C6066C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w:t>
            </w:r>
          </w:p>
        </w:tc>
        <w:tc>
          <w:tcPr>
            <w:tcW w:w="3399" w:type="dxa"/>
            <w:tcBorders>
              <w:tl2br w:val="nil"/>
              <w:tr2bl w:val="nil"/>
            </w:tcBorders>
            <w:noWrap w:val="0"/>
            <w:tcMar>
              <w:left w:w="0" w:type="dxa"/>
              <w:right w:w="0" w:type="dxa"/>
            </w:tcMar>
            <w:vAlign w:val="top"/>
          </w:tcPr>
          <w:p w14:paraId="72640B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0.89</w:t>
            </w:r>
          </w:p>
        </w:tc>
        <w:tc>
          <w:tcPr>
            <w:tcW w:w="3403" w:type="dxa"/>
            <w:tcBorders>
              <w:tl2br w:val="nil"/>
              <w:tr2bl w:val="nil"/>
            </w:tcBorders>
            <w:noWrap w:val="0"/>
            <w:tcMar>
              <w:left w:w="0" w:type="dxa"/>
              <w:right w:w="0" w:type="dxa"/>
            </w:tcMar>
            <w:vAlign w:val="top"/>
          </w:tcPr>
          <w:p w14:paraId="6C9538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0.88</w:t>
            </w:r>
          </w:p>
        </w:tc>
      </w:tr>
      <w:tr w14:paraId="71CD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84A447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23</w:t>
            </w:r>
          </w:p>
        </w:tc>
        <w:tc>
          <w:tcPr>
            <w:tcW w:w="3399" w:type="dxa"/>
            <w:tcBorders>
              <w:tl2br w:val="nil"/>
              <w:tr2bl w:val="nil"/>
            </w:tcBorders>
            <w:noWrap w:val="0"/>
            <w:tcMar>
              <w:left w:w="0" w:type="dxa"/>
              <w:right w:w="0" w:type="dxa"/>
            </w:tcMar>
            <w:vAlign w:val="top"/>
          </w:tcPr>
          <w:p w14:paraId="5CCA82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0.82</w:t>
            </w:r>
          </w:p>
        </w:tc>
        <w:tc>
          <w:tcPr>
            <w:tcW w:w="3403" w:type="dxa"/>
            <w:tcBorders>
              <w:tl2br w:val="nil"/>
              <w:tr2bl w:val="nil"/>
            </w:tcBorders>
            <w:noWrap w:val="0"/>
            <w:tcMar>
              <w:left w:w="0" w:type="dxa"/>
              <w:right w:w="0" w:type="dxa"/>
            </w:tcMar>
            <w:vAlign w:val="top"/>
          </w:tcPr>
          <w:p w14:paraId="1373F7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0.81</w:t>
            </w:r>
          </w:p>
        </w:tc>
      </w:tr>
      <w:tr w14:paraId="46AE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E59418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3399" w:type="dxa"/>
            <w:tcBorders>
              <w:tl2br w:val="nil"/>
              <w:tr2bl w:val="nil"/>
            </w:tcBorders>
            <w:noWrap w:val="0"/>
            <w:tcMar>
              <w:left w:w="0" w:type="dxa"/>
              <w:right w:w="0" w:type="dxa"/>
            </w:tcMar>
            <w:vAlign w:val="top"/>
          </w:tcPr>
          <w:p w14:paraId="778BB5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0.76</w:t>
            </w:r>
          </w:p>
        </w:tc>
        <w:tc>
          <w:tcPr>
            <w:tcW w:w="3403" w:type="dxa"/>
            <w:tcBorders>
              <w:tl2br w:val="nil"/>
              <w:tr2bl w:val="nil"/>
            </w:tcBorders>
            <w:noWrap w:val="0"/>
            <w:tcMar>
              <w:left w:w="0" w:type="dxa"/>
              <w:right w:w="0" w:type="dxa"/>
            </w:tcMar>
            <w:vAlign w:val="top"/>
          </w:tcPr>
          <w:p w14:paraId="0C9B1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0.75</w:t>
            </w:r>
          </w:p>
        </w:tc>
      </w:tr>
      <w:tr w14:paraId="58C4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24213C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25</w:t>
            </w:r>
          </w:p>
        </w:tc>
        <w:tc>
          <w:tcPr>
            <w:tcW w:w="3399" w:type="dxa"/>
            <w:tcBorders>
              <w:tl2br w:val="nil"/>
              <w:tr2bl w:val="nil"/>
            </w:tcBorders>
            <w:noWrap w:val="0"/>
            <w:tcMar>
              <w:left w:w="0" w:type="dxa"/>
              <w:right w:w="0" w:type="dxa"/>
            </w:tcMar>
            <w:vAlign w:val="top"/>
          </w:tcPr>
          <w:p w14:paraId="2AE65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0.70</w:t>
            </w:r>
          </w:p>
        </w:tc>
        <w:tc>
          <w:tcPr>
            <w:tcW w:w="3403" w:type="dxa"/>
            <w:tcBorders>
              <w:tl2br w:val="nil"/>
              <w:tr2bl w:val="nil"/>
            </w:tcBorders>
            <w:noWrap w:val="0"/>
            <w:tcMar>
              <w:left w:w="0" w:type="dxa"/>
              <w:right w:w="0" w:type="dxa"/>
            </w:tcMar>
            <w:vAlign w:val="top"/>
          </w:tcPr>
          <w:p w14:paraId="28FA5A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0.70</w:t>
            </w:r>
          </w:p>
        </w:tc>
      </w:tr>
      <w:tr w14:paraId="4DAD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C7C92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3399" w:type="dxa"/>
            <w:tcBorders>
              <w:tl2br w:val="nil"/>
              <w:tr2bl w:val="nil"/>
            </w:tcBorders>
            <w:noWrap w:val="0"/>
            <w:tcMar>
              <w:left w:w="0" w:type="dxa"/>
              <w:right w:w="0" w:type="dxa"/>
            </w:tcMar>
            <w:vAlign w:val="top"/>
          </w:tcPr>
          <w:p w14:paraId="167343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0.65</w:t>
            </w:r>
          </w:p>
        </w:tc>
        <w:tc>
          <w:tcPr>
            <w:tcW w:w="3403" w:type="dxa"/>
            <w:tcBorders>
              <w:tl2br w:val="nil"/>
              <w:tr2bl w:val="nil"/>
            </w:tcBorders>
            <w:noWrap w:val="0"/>
            <w:tcMar>
              <w:left w:w="0" w:type="dxa"/>
              <w:right w:w="0" w:type="dxa"/>
            </w:tcMar>
            <w:vAlign w:val="top"/>
          </w:tcPr>
          <w:p w14:paraId="294CB5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0.65</w:t>
            </w:r>
          </w:p>
        </w:tc>
      </w:tr>
      <w:tr w14:paraId="32A4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47EA4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3399" w:type="dxa"/>
            <w:tcBorders>
              <w:tl2br w:val="nil"/>
              <w:tr2bl w:val="nil"/>
            </w:tcBorders>
            <w:noWrap w:val="0"/>
            <w:tcMar>
              <w:left w:w="0" w:type="dxa"/>
              <w:right w:w="0" w:type="dxa"/>
            </w:tcMar>
            <w:vAlign w:val="top"/>
          </w:tcPr>
          <w:p w14:paraId="76104B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0.60</w:t>
            </w:r>
          </w:p>
        </w:tc>
        <w:tc>
          <w:tcPr>
            <w:tcW w:w="3403" w:type="dxa"/>
            <w:tcBorders>
              <w:tl2br w:val="nil"/>
              <w:tr2bl w:val="nil"/>
            </w:tcBorders>
            <w:noWrap w:val="0"/>
            <w:tcMar>
              <w:left w:w="0" w:type="dxa"/>
              <w:right w:w="0" w:type="dxa"/>
            </w:tcMar>
            <w:vAlign w:val="top"/>
          </w:tcPr>
          <w:p w14:paraId="552642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0.60</w:t>
            </w:r>
          </w:p>
        </w:tc>
      </w:tr>
      <w:tr w14:paraId="0C66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D68B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3399" w:type="dxa"/>
            <w:tcBorders>
              <w:tl2br w:val="nil"/>
              <w:tr2bl w:val="nil"/>
            </w:tcBorders>
            <w:noWrap w:val="0"/>
            <w:tcMar>
              <w:left w:w="0" w:type="dxa"/>
              <w:right w:w="0" w:type="dxa"/>
            </w:tcMar>
            <w:vAlign w:val="top"/>
          </w:tcPr>
          <w:p w14:paraId="7E3D2A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0.56</w:t>
            </w:r>
          </w:p>
        </w:tc>
        <w:tc>
          <w:tcPr>
            <w:tcW w:w="3403" w:type="dxa"/>
            <w:tcBorders>
              <w:tl2br w:val="nil"/>
              <w:tr2bl w:val="nil"/>
            </w:tcBorders>
            <w:noWrap w:val="0"/>
            <w:tcMar>
              <w:left w:w="0" w:type="dxa"/>
              <w:right w:w="0" w:type="dxa"/>
            </w:tcMar>
            <w:vAlign w:val="top"/>
          </w:tcPr>
          <w:p w14:paraId="6E862A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0.56</w:t>
            </w:r>
          </w:p>
        </w:tc>
      </w:tr>
      <w:tr w14:paraId="4BEE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AA2F6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3399" w:type="dxa"/>
            <w:tcBorders>
              <w:tl2br w:val="nil"/>
              <w:tr2bl w:val="nil"/>
            </w:tcBorders>
            <w:noWrap w:val="0"/>
            <w:tcMar>
              <w:left w:w="0" w:type="dxa"/>
              <w:right w:w="0" w:type="dxa"/>
            </w:tcMar>
            <w:vAlign w:val="top"/>
          </w:tcPr>
          <w:p w14:paraId="768142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0.52</w:t>
            </w:r>
          </w:p>
        </w:tc>
        <w:tc>
          <w:tcPr>
            <w:tcW w:w="3403" w:type="dxa"/>
            <w:tcBorders>
              <w:tl2br w:val="nil"/>
              <w:tr2bl w:val="nil"/>
            </w:tcBorders>
            <w:noWrap w:val="0"/>
            <w:tcMar>
              <w:left w:w="0" w:type="dxa"/>
              <w:right w:w="0" w:type="dxa"/>
            </w:tcMar>
            <w:vAlign w:val="top"/>
          </w:tcPr>
          <w:p w14:paraId="1E3623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0.52</w:t>
            </w:r>
          </w:p>
        </w:tc>
      </w:tr>
      <w:tr w14:paraId="1376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90BB6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399" w:type="dxa"/>
            <w:tcBorders>
              <w:tl2br w:val="nil"/>
              <w:tr2bl w:val="nil"/>
            </w:tcBorders>
            <w:noWrap w:val="0"/>
            <w:tcMar>
              <w:left w:w="0" w:type="dxa"/>
              <w:right w:w="0" w:type="dxa"/>
            </w:tcMar>
            <w:vAlign w:val="top"/>
          </w:tcPr>
          <w:p w14:paraId="0AE0D7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0.48</w:t>
            </w:r>
          </w:p>
        </w:tc>
        <w:tc>
          <w:tcPr>
            <w:tcW w:w="3403" w:type="dxa"/>
            <w:tcBorders>
              <w:tl2br w:val="nil"/>
              <w:tr2bl w:val="nil"/>
            </w:tcBorders>
            <w:noWrap w:val="0"/>
            <w:tcMar>
              <w:left w:w="0" w:type="dxa"/>
              <w:right w:w="0" w:type="dxa"/>
            </w:tcMar>
            <w:vAlign w:val="top"/>
          </w:tcPr>
          <w:p w14:paraId="365650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0.48</w:t>
            </w:r>
          </w:p>
        </w:tc>
      </w:tr>
      <w:tr w14:paraId="4903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3527B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w:t>
            </w:r>
          </w:p>
        </w:tc>
        <w:tc>
          <w:tcPr>
            <w:tcW w:w="3399" w:type="dxa"/>
            <w:tcBorders>
              <w:tl2br w:val="nil"/>
              <w:tr2bl w:val="nil"/>
            </w:tcBorders>
            <w:noWrap w:val="0"/>
            <w:tcMar>
              <w:left w:w="0" w:type="dxa"/>
              <w:right w:w="0" w:type="dxa"/>
            </w:tcMar>
            <w:vAlign w:val="top"/>
          </w:tcPr>
          <w:p w14:paraId="3C017E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0.45</w:t>
            </w:r>
          </w:p>
        </w:tc>
        <w:tc>
          <w:tcPr>
            <w:tcW w:w="3403" w:type="dxa"/>
            <w:tcBorders>
              <w:tl2br w:val="nil"/>
              <w:tr2bl w:val="nil"/>
            </w:tcBorders>
            <w:noWrap w:val="0"/>
            <w:tcMar>
              <w:left w:w="0" w:type="dxa"/>
              <w:right w:w="0" w:type="dxa"/>
            </w:tcMar>
            <w:vAlign w:val="top"/>
          </w:tcPr>
          <w:p w14:paraId="07B3ED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0.45</w:t>
            </w:r>
          </w:p>
        </w:tc>
      </w:tr>
      <w:tr w14:paraId="3C8F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F7251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32</w:t>
            </w:r>
          </w:p>
        </w:tc>
        <w:tc>
          <w:tcPr>
            <w:tcW w:w="3399" w:type="dxa"/>
            <w:tcBorders>
              <w:tl2br w:val="nil"/>
              <w:tr2bl w:val="nil"/>
            </w:tcBorders>
            <w:noWrap w:val="0"/>
            <w:tcMar>
              <w:left w:w="0" w:type="dxa"/>
              <w:right w:w="0" w:type="dxa"/>
            </w:tcMar>
            <w:vAlign w:val="top"/>
          </w:tcPr>
          <w:p w14:paraId="71826F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0.42</w:t>
            </w:r>
          </w:p>
        </w:tc>
        <w:tc>
          <w:tcPr>
            <w:tcW w:w="3403" w:type="dxa"/>
            <w:tcBorders>
              <w:tl2br w:val="nil"/>
              <w:tr2bl w:val="nil"/>
            </w:tcBorders>
            <w:noWrap w:val="0"/>
            <w:tcMar>
              <w:left w:w="0" w:type="dxa"/>
              <w:right w:w="0" w:type="dxa"/>
            </w:tcMar>
            <w:vAlign w:val="top"/>
          </w:tcPr>
          <w:p w14:paraId="6FAA2B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0.42</w:t>
            </w:r>
          </w:p>
        </w:tc>
      </w:tr>
      <w:tr w14:paraId="104E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BBAD2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33</w:t>
            </w:r>
          </w:p>
        </w:tc>
        <w:tc>
          <w:tcPr>
            <w:tcW w:w="3399" w:type="dxa"/>
            <w:tcBorders>
              <w:tl2br w:val="nil"/>
              <w:tr2bl w:val="nil"/>
            </w:tcBorders>
            <w:noWrap w:val="0"/>
            <w:tcMar>
              <w:left w:w="0" w:type="dxa"/>
              <w:right w:w="0" w:type="dxa"/>
            </w:tcMar>
            <w:vAlign w:val="top"/>
          </w:tcPr>
          <w:p w14:paraId="01C0E1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0.39</w:t>
            </w:r>
          </w:p>
        </w:tc>
        <w:tc>
          <w:tcPr>
            <w:tcW w:w="3403" w:type="dxa"/>
            <w:tcBorders>
              <w:tl2br w:val="nil"/>
              <w:tr2bl w:val="nil"/>
            </w:tcBorders>
            <w:noWrap w:val="0"/>
            <w:tcMar>
              <w:left w:w="0" w:type="dxa"/>
              <w:right w:w="0" w:type="dxa"/>
            </w:tcMar>
            <w:vAlign w:val="top"/>
          </w:tcPr>
          <w:p w14:paraId="3553D0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0.39</w:t>
            </w:r>
          </w:p>
        </w:tc>
      </w:tr>
      <w:tr w14:paraId="7721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9E867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w:t>
            </w:r>
          </w:p>
        </w:tc>
        <w:tc>
          <w:tcPr>
            <w:tcW w:w="3399" w:type="dxa"/>
            <w:tcBorders>
              <w:tl2br w:val="nil"/>
              <w:tr2bl w:val="nil"/>
            </w:tcBorders>
            <w:noWrap w:val="0"/>
            <w:tcMar>
              <w:left w:w="0" w:type="dxa"/>
              <w:right w:w="0" w:type="dxa"/>
            </w:tcMar>
            <w:vAlign w:val="top"/>
          </w:tcPr>
          <w:p w14:paraId="693EF6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0.37</w:t>
            </w:r>
          </w:p>
        </w:tc>
        <w:tc>
          <w:tcPr>
            <w:tcW w:w="3403" w:type="dxa"/>
            <w:tcBorders>
              <w:tl2br w:val="nil"/>
              <w:tr2bl w:val="nil"/>
            </w:tcBorders>
            <w:noWrap w:val="0"/>
            <w:tcMar>
              <w:left w:w="0" w:type="dxa"/>
              <w:right w:w="0" w:type="dxa"/>
            </w:tcMar>
            <w:vAlign w:val="top"/>
          </w:tcPr>
          <w:p w14:paraId="553277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0.37</w:t>
            </w:r>
          </w:p>
        </w:tc>
      </w:tr>
      <w:tr w14:paraId="054F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012C7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w:t>
            </w:r>
          </w:p>
        </w:tc>
        <w:tc>
          <w:tcPr>
            <w:tcW w:w="3399" w:type="dxa"/>
            <w:tcBorders>
              <w:tl2br w:val="nil"/>
              <w:tr2bl w:val="nil"/>
            </w:tcBorders>
            <w:noWrap w:val="0"/>
            <w:tcMar>
              <w:left w:w="0" w:type="dxa"/>
              <w:right w:w="0" w:type="dxa"/>
            </w:tcMar>
            <w:vAlign w:val="top"/>
          </w:tcPr>
          <w:p w14:paraId="11CA6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0.34</w:t>
            </w:r>
          </w:p>
        </w:tc>
        <w:tc>
          <w:tcPr>
            <w:tcW w:w="3403" w:type="dxa"/>
            <w:tcBorders>
              <w:tl2br w:val="nil"/>
              <w:tr2bl w:val="nil"/>
            </w:tcBorders>
            <w:noWrap w:val="0"/>
            <w:tcMar>
              <w:left w:w="0" w:type="dxa"/>
              <w:right w:w="0" w:type="dxa"/>
            </w:tcMar>
            <w:vAlign w:val="top"/>
          </w:tcPr>
          <w:p w14:paraId="2743EF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0.35</w:t>
            </w:r>
          </w:p>
        </w:tc>
      </w:tr>
      <w:tr w14:paraId="51AC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0D9E5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w:t>
            </w:r>
          </w:p>
        </w:tc>
        <w:tc>
          <w:tcPr>
            <w:tcW w:w="3399" w:type="dxa"/>
            <w:tcBorders>
              <w:tl2br w:val="nil"/>
              <w:tr2bl w:val="nil"/>
            </w:tcBorders>
            <w:noWrap w:val="0"/>
            <w:tcMar>
              <w:left w:w="0" w:type="dxa"/>
              <w:right w:w="0" w:type="dxa"/>
            </w:tcMar>
            <w:vAlign w:val="top"/>
          </w:tcPr>
          <w:p w14:paraId="1A9EBC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0.32</w:t>
            </w:r>
          </w:p>
        </w:tc>
        <w:tc>
          <w:tcPr>
            <w:tcW w:w="3403" w:type="dxa"/>
            <w:tcBorders>
              <w:tl2br w:val="nil"/>
              <w:tr2bl w:val="nil"/>
            </w:tcBorders>
            <w:noWrap w:val="0"/>
            <w:tcMar>
              <w:left w:w="0" w:type="dxa"/>
              <w:right w:w="0" w:type="dxa"/>
            </w:tcMar>
            <w:vAlign w:val="top"/>
          </w:tcPr>
          <w:p w14:paraId="6E024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0.32</w:t>
            </w:r>
          </w:p>
        </w:tc>
      </w:tr>
      <w:tr w14:paraId="3990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20073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37</w:t>
            </w:r>
          </w:p>
        </w:tc>
        <w:tc>
          <w:tcPr>
            <w:tcW w:w="3399" w:type="dxa"/>
            <w:tcBorders>
              <w:tl2br w:val="nil"/>
              <w:tr2bl w:val="nil"/>
            </w:tcBorders>
            <w:noWrap w:val="0"/>
            <w:tcMar>
              <w:left w:w="0" w:type="dxa"/>
              <w:right w:w="0" w:type="dxa"/>
            </w:tcMar>
            <w:vAlign w:val="top"/>
          </w:tcPr>
          <w:p w14:paraId="70FBB7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0.30</w:t>
            </w:r>
          </w:p>
        </w:tc>
        <w:tc>
          <w:tcPr>
            <w:tcW w:w="3403" w:type="dxa"/>
            <w:tcBorders>
              <w:tl2br w:val="nil"/>
              <w:tr2bl w:val="nil"/>
            </w:tcBorders>
            <w:noWrap w:val="0"/>
            <w:tcMar>
              <w:left w:w="0" w:type="dxa"/>
              <w:right w:w="0" w:type="dxa"/>
            </w:tcMar>
            <w:vAlign w:val="top"/>
          </w:tcPr>
          <w:p w14:paraId="115DEC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0.30</w:t>
            </w:r>
          </w:p>
        </w:tc>
      </w:tr>
      <w:tr w14:paraId="7723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B8A96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38</w:t>
            </w:r>
          </w:p>
        </w:tc>
        <w:tc>
          <w:tcPr>
            <w:tcW w:w="3399" w:type="dxa"/>
            <w:tcBorders>
              <w:tl2br w:val="nil"/>
              <w:tr2bl w:val="nil"/>
            </w:tcBorders>
            <w:noWrap w:val="0"/>
            <w:tcMar>
              <w:left w:w="0" w:type="dxa"/>
              <w:right w:w="0" w:type="dxa"/>
            </w:tcMar>
            <w:vAlign w:val="top"/>
          </w:tcPr>
          <w:p w14:paraId="0D5258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0.28</w:t>
            </w:r>
          </w:p>
        </w:tc>
        <w:tc>
          <w:tcPr>
            <w:tcW w:w="3403" w:type="dxa"/>
            <w:tcBorders>
              <w:tl2br w:val="nil"/>
              <w:tr2bl w:val="nil"/>
            </w:tcBorders>
            <w:noWrap w:val="0"/>
            <w:tcMar>
              <w:left w:w="0" w:type="dxa"/>
              <w:right w:w="0" w:type="dxa"/>
            </w:tcMar>
            <w:vAlign w:val="top"/>
          </w:tcPr>
          <w:p w14:paraId="1A7654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0.29</w:t>
            </w:r>
          </w:p>
        </w:tc>
      </w:tr>
      <w:tr w14:paraId="0D4D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E4EB8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p>
        </w:tc>
        <w:tc>
          <w:tcPr>
            <w:tcW w:w="3399" w:type="dxa"/>
            <w:tcBorders>
              <w:tl2br w:val="nil"/>
              <w:tr2bl w:val="nil"/>
            </w:tcBorders>
            <w:noWrap w:val="0"/>
            <w:tcMar>
              <w:left w:w="0" w:type="dxa"/>
              <w:right w:w="0" w:type="dxa"/>
            </w:tcMar>
            <w:vAlign w:val="top"/>
          </w:tcPr>
          <w:p w14:paraId="7FE6DD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0.27</w:t>
            </w:r>
          </w:p>
        </w:tc>
        <w:tc>
          <w:tcPr>
            <w:tcW w:w="3403" w:type="dxa"/>
            <w:tcBorders>
              <w:tl2br w:val="nil"/>
              <w:tr2bl w:val="nil"/>
            </w:tcBorders>
            <w:noWrap w:val="0"/>
            <w:tcMar>
              <w:left w:w="0" w:type="dxa"/>
              <w:right w:w="0" w:type="dxa"/>
            </w:tcMar>
            <w:vAlign w:val="top"/>
          </w:tcPr>
          <w:p w14:paraId="1D7554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0.27</w:t>
            </w:r>
          </w:p>
        </w:tc>
      </w:tr>
      <w:tr w14:paraId="7A3E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7730E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w:t>
            </w:r>
          </w:p>
        </w:tc>
        <w:tc>
          <w:tcPr>
            <w:tcW w:w="3399" w:type="dxa"/>
            <w:tcBorders>
              <w:tl2br w:val="nil"/>
              <w:tr2bl w:val="nil"/>
            </w:tcBorders>
            <w:noWrap w:val="0"/>
            <w:tcMar>
              <w:left w:w="0" w:type="dxa"/>
              <w:right w:w="0" w:type="dxa"/>
            </w:tcMar>
            <w:vAlign w:val="top"/>
          </w:tcPr>
          <w:p w14:paraId="5D3281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0.25</w:t>
            </w:r>
          </w:p>
        </w:tc>
        <w:tc>
          <w:tcPr>
            <w:tcW w:w="3403" w:type="dxa"/>
            <w:tcBorders>
              <w:tl2br w:val="nil"/>
              <w:tr2bl w:val="nil"/>
            </w:tcBorders>
            <w:noWrap w:val="0"/>
            <w:tcMar>
              <w:left w:w="0" w:type="dxa"/>
              <w:right w:w="0" w:type="dxa"/>
            </w:tcMar>
            <w:vAlign w:val="top"/>
          </w:tcPr>
          <w:p w14:paraId="55BF78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0.25</w:t>
            </w:r>
          </w:p>
        </w:tc>
      </w:tr>
    </w:tbl>
    <w:p w14:paraId="7CFC9CE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drawing>
          <wp:inline distT="0" distB="0" distL="114300" distR="114300">
            <wp:extent cx="5480050" cy="4032250"/>
            <wp:effectExtent l="0" t="0" r="6350" b="635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69"/>
                    <a:stretch>
                      <a:fillRect/>
                    </a:stretch>
                  </pic:blipFill>
                  <pic:spPr>
                    <a:xfrm>
                      <a:off x="0" y="0"/>
                      <a:ext cx="5480050" cy="4032250"/>
                    </a:xfrm>
                    <a:prstGeom prst="rect">
                      <a:avLst/>
                    </a:prstGeom>
                    <a:noFill/>
                    <a:ln>
                      <a:noFill/>
                    </a:ln>
                  </pic:spPr>
                </pic:pic>
              </a:graphicData>
            </a:graphic>
          </wp:inline>
        </w:drawing>
      </w:r>
    </w:p>
    <w:p w14:paraId="559C6EC5">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图4.</w:t>
      </w:r>
      <w:r>
        <w:rPr>
          <w:rFonts w:hint="eastAsia" w:ascii="Times New Roman" w:hAnsi="Times New Roman" w:eastAsia="宋体" w:cs="Times New Roman"/>
          <w:b/>
          <w:bCs/>
          <w:color w:val="auto"/>
          <w:kern w:val="2"/>
          <w:sz w:val="21"/>
          <w:szCs w:val="21"/>
          <w:highlight w:val="none"/>
          <w:lang w:val="en-US" w:eastAsia="zh-CN" w:bidi="ar-SA"/>
        </w:rPr>
        <w:t>1-7</w:t>
      </w:r>
      <w:r>
        <w:rPr>
          <w:rFonts w:hint="default" w:ascii="Times New Roman" w:hAnsi="Times New Roman" w:eastAsia="宋体" w:cs="Times New Roman"/>
          <w:b/>
          <w:bCs/>
          <w:color w:val="auto"/>
          <w:kern w:val="2"/>
          <w:sz w:val="21"/>
          <w:szCs w:val="21"/>
          <w:highlight w:val="none"/>
          <w:lang w:val="en-US" w:eastAsia="zh-CN" w:bidi="ar-SA"/>
        </w:rPr>
        <w:t xml:space="preserve">  220kV</w:t>
      </w:r>
      <w:r>
        <w:rPr>
          <w:rFonts w:hint="eastAsia" w:ascii="Times New Roman" w:hAnsi="Times New Roman" w:eastAsia="宋体" w:cs="Times New Roman"/>
          <w:b/>
          <w:bCs/>
          <w:color w:val="auto"/>
          <w:kern w:val="2"/>
          <w:sz w:val="21"/>
          <w:szCs w:val="21"/>
          <w:highlight w:val="none"/>
          <w:lang w:val="en-US" w:eastAsia="zh-CN" w:bidi="ar-SA"/>
        </w:rPr>
        <w:t>双</w:t>
      </w:r>
      <w:r>
        <w:rPr>
          <w:rFonts w:hint="default" w:ascii="Times New Roman" w:hAnsi="Times New Roman" w:eastAsia="宋体" w:cs="Times New Roman"/>
          <w:b/>
          <w:bCs/>
          <w:color w:val="auto"/>
          <w:kern w:val="2"/>
          <w:sz w:val="21"/>
          <w:szCs w:val="21"/>
          <w:highlight w:val="none"/>
          <w:lang w:val="en-US" w:eastAsia="zh-CN" w:bidi="ar-SA"/>
        </w:rPr>
        <w:t>回线路下工频电场强度变化趋势图（导线对地距离6.5m）</w:t>
      </w:r>
    </w:p>
    <w:p w14:paraId="60EB3903">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drawing>
          <wp:inline distT="0" distB="0" distL="114300" distR="114300">
            <wp:extent cx="5425440" cy="3996055"/>
            <wp:effectExtent l="0" t="0" r="3810" b="4445"/>
            <wp:docPr id="18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3"/>
                    <pic:cNvPicPr>
                      <a:picLocks noChangeAspect="1"/>
                    </pic:cNvPicPr>
                  </pic:nvPicPr>
                  <pic:blipFill>
                    <a:blip r:embed="rId70"/>
                    <a:stretch>
                      <a:fillRect/>
                    </a:stretch>
                  </pic:blipFill>
                  <pic:spPr>
                    <a:xfrm>
                      <a:off x="0" y="0"/>
                      <a:ext cx="5425440" cy="3996055"/>
                    </a:xfrm>
                    <a:prstGeom prst="rect">
                      <a:avLst/>
                    </a:prstGeom>
                    <a:noFill/>
                    <a:ln>
                      <a:noFill/>
                    </a:ln>
                  </pic:spPr>
                </pic:pic>
              </a:graphicData>
            </a:graphic>
          </wp:inline>
        </w:drawing>
      </w:r>
    </w:p>
    <w:p w14:paraId="0971D0B0">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图4.</w:t>
      </w:r>
      <w:r>
        <w:rPr>
          <w:rFonts w:hint="eastAsia" w:ascii="Times New Roman" w:hAnsi="Times New Roman" w:eastAsia="宋体" w:cs="Times New Roman"/>
          <w:b/>
          <w:bCs/>
          <w:color w:val="auto"/>
          <w:kern w:val="2"/>
          <w:sz w:val="21"/>
          <w:szCs w:val="21"/>
          <w:highlight w:val="none"/>
          <w:lang w:val="en-US" w:eastAsia="zh-CN" w:bidi="ar-SA"/>
        </w:rPr>
        <w:t>1-8</w:t>
      </w:r>
      <w:r>
        <w:rPr>
          <w:rFonts w:hint="default" w:ascii="Times New Roman" w:hAnsi="Times New Roman" w:eastAsia="宋体" w:cs="Times New Roman"/>
          <w:b/>
          <w:bCs/>
          <w:color w:val="auto"/>
          <w:kern w:val="2"/>
          <w:sz w:val="21"/>
          <w:szCs w:val="21"/>
          <w:highlight w:val="none"/>
          <w:lang w:val="en-US" w:eastAsia="zh-CN" w:bidi="ar-SA"/>
        </w:rPr>
        <w:t xml:space="preserve">  220kV双回线路下工频电场强度变化趋势图（导线对地距离</w:t>
      </w:r>
      <w:r>
        <w:rPr>
          <w:rFonts w:hint="eastAsia" w:ascii="Times New Roman" w:hAnsi="Times New Roman" w:eastAsia="宋体" w:cs="Times New Roman"/>
          <w:b/>
          <w:bCs/>
          <w:color w:val="auto"/>
          <w:kern w:val="2"/>
          <w:sz w:val="21"/>
          <w:szCs w:val="21"/>
          <w:highlight w:val="none"/>
          <w:lang w:val="en-US" w:eastAsia="zh-CN" w:bidi="ar-SA"/>
        </w:rPr>
        <w:t>7.5</w:t>
      </w:r>
      <w:r>
        <w:rPr>
          <w:rFonts w:hint="default" w:ascii="Times New Roman" w:hAnsi="Times New Roman" w:eastAsia="宋体" w:cs="Times New Roman"/>
          <w:b/>
          <w:bCs/>
          <w:color w:val="auto"/>
          <w:kern w:val="2"/>
          <w:sz w:val="21"/>
          <w:szCs w:val="21"/>
          <w:highlight w:val="none"/>
          <w:lang w:val="en-US" w:eastAsia="zh-CN" w:bidi="ar-SA"/>
        </w:rPr>
        <w:t>m）</w:t>
      </w:r>
    </w:p>
    <w:p w14:paraId="5A70D61D">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根据表4.</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、图4.</w:t>
      </w:r>
      <w:r>
        <w:rPr>
          <w:rFonts w:hint="eastAsia"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、图4.</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可知，当导线高6.5m 时，本项目220kV 输电线路工频电场强度随着距中心距离增加而增大，在距中心线</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 处到达峰值（</w:t>
      </w:r>
      <w:r>
        <w:rPr>
          <w:rFonts w:hint="eastAsia" w:ascii="Times New Roman" w:hAnsi="Times New Roman" w:eastAsia="宋体" w:cs="Times New Roman"/>
          <w:color w:val="auto"/>
          <w:sz w:val="24"/>
          <w:szCs w:val="24"/>
          <w:highlight w:val="none"/>
          <w:lang w:val="en-US" w:eastAsia="zh-CN"/>
        </w:rPr>
        <w:t>2.56</w:t>
      </w:r>
      <w:r>
        <w:rPr>
          <w:rFonts w:hint="default" w:ascii="Times New Roman" w:hAnsi="Times New Roman" w:eastAsia="宋体" w:cs="Times New Roman"/>
          <w:color w:val="auto"/>
          <w:sz w:val="24"/>
          <w:szCs w:val="24"/>
          <w:highlight w:val="none"/>
          <w:lang w:val="en-US" w:eastAsia="zh-CN"/>
        </w:rPr>
        <w:t>kV/m），后随着距离增加而减小；当导线高7.5m时，单回路220kV架空输电线路下线最大工频电场强度为</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kV/m，其产生的工频电场强度均小于4kV/m的公众曝露限值。</w:t>
      </w:r>
    </w:p>
    <w:p w14:paraId="74D88AA5">
      <w:pPr>
        <w:keepNext w:val="0"/>
        <w:keepLines w:val="0"/>
        <w:pageBreakBefore w:val="0"/>
        <w:widowControl w:val="0"/>
        <w:numPr>
          <w:ilvl w:val="0"/>
          <w:numId w:val="0"/>
        </w:numPr>
        <w:kinsoku/>
        <w:wordWrap w:val="0"/>
        <w:overflowPunct/>
        <w:topLinePunct w:val="0"/>
        <w:bidi w:val="0"/>
        <w:spacing w:line="460" w:lineRule="exact"/>
        <w:ind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②工频磁感应强度计算结果</w:t>
      </w:r>
    </w:p>
    <w:p w14:paraId="34685A98">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b w:val="0"/>
          <w:bCs/>
          <w:color w:val="auto"/>
          <w:sz w:val="24"/>
          <w:szCs w:val="24"/>
          <w:highlight w:val="none"/>
          <w:lang w:val="zh-CN"/>
        </w:rPr>
      </w:pPr>
      <w:r>
        <w:rPr>
          <w:rFonts w:hint="default" w:ascii="Times New Roman" w:hAnsi="Times New Roman" w:eastAsia="宋体" w:cs="Times New Roman"/>
          <w:b w:val="0"/>
          <w:bCs/>
          <w:color w:val="auto"/>
          <w:sz w:val="24"/>
          <w:szCs w:val="24"/>
          <w:highlight w:val="none"/>
          <w:lang w:val="zh-CN"/>
        </w:rPr>
        <w:t>计算中导线高度为</w:t>
      </w:r>
      <w:r>
        <w:rPr>
          <w:rFonts w:hint="eastAsia" w:ascii="Times New Roman" w:hAnsi="Times New Roman" w:eastAsia="宋体" w:cs="Times New Roman"/>
          <w:b w:val="0"/>
          <w:bCs/>
          <w:color w:val="auto"/>
          <w:sz w:val="24"/>
          <w:szCs w:val="24"/>
          <w:highlight w:val="none"/>
          <w:lang w:val="en-US" w:eastAsia="zh-CN"/>
        </w:rPr>
        <w:t>6.5</w:t>
      </w:r>
      <w:r>
        <w:rPr>
          <w:rFonts w:hint="default" w:ascii="Times New Roman" w:hAnsi="Times New Roman" w:eastAsia="宋体" w:cs="Times New Roman"/>
          <w:b w:val="0"/>
          <w:bCs/>
          <w:color w:val="auto"/>
          <w:sz w:val="24"/>
          <w:szCs w:val="24"/>
          <w:highlight w:val="none"/>
          <w:lang w:val="zh-CN"/>
        </w:rPr>
        <w:t>m、</w:t>
      </w:r>
      <w:r>
        <w:rPr>
          <w:rFonts w:hint="eastAsia" w:ascii="Times New Roman" w:hAnsi="Times New Roman" w:eastAsia="宋体" w:cs="Times New Roman"/>
          <w:b w:val="0"/>
          <w:bCs/>
          <w:color w:val="auto"/>
          <w:sz w:val="24"/>
          <w:szCs w:val="24"/>
          <w:highlight w:val="none"/>
          <w:lang w:val="en-US" w:eastAsia="zh-CN"/>
        </w:rPr>
        <w:t>7.5</w:t>
      </w:r>
      <w:r>
        <w:rPr>
          <w:rFonts w:hint="default" w:ascii="Times New Roman" w:hAnsi="Times New Roman" w:eastAsia="宋体" w:cs="Times New Roman"/>
          <w:b w:val="0"/>
          <w:bCs/>
          <w:color w:val="auto"/>
          <w:sz w:val="24"/>
          <w:szCs w:val="24"/>
          <w:highlight w:val="none"/>
          <w:lang w:val="zh-CN"/>
        </w:rPr>
        <w:t>m，计算点离地面高1.5m，其线下工频磁感应强度的计算结果见表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1-6</w:t>
      </w:r>
      <w:r>
        <w:rPr>
          <w:rFonts w:hint="default" w:ascii="Times New Roman" w:hAnsi="Times New Roman" w:eastAsia="宋体" w:cs="Times New Roman"/>
          <w:b w:val="0"/>
          <w:bCs/>
          <w:color w:val="auto"/>
          <w:sz w:val="24"/>
          <w:szCs w:val="24"/>
          <w:highlight w:val="none"/>
          <w:lang w:val="zh-CN"/>
        </w:rPr>
        <w:t>。</w:t>
      </w:r>
    </w:p>
    <w:p w14:paraId="28622B98">
      <w:pPr>
        <w:keepNext w:val="0"/>
        <w:keepLines w:val="0"/>
        <w:pageBreakBefore w:val="0"/>
        <w:widowControl w:val="0"/>
        <w:kinsoku/>
        <w:wordWrap/>
        <w:overflowPunct/>
        <w:topLinePunct w:val="0"/>
        <w:autoSpaceDE/>
        <w:autoSpaceDN/>
        <w:bidi w:val="0"/>
        <w:snapToGrid/>
        <w:spacing w:line="460" w:lineRule="exact"/>
        <w:ind w:firstLine="422"/>
        <w:jc w:val="center"/>
        <w:textAlignment w:val="auto"/>
        <w:rPr>
          <w:rFonts w:hint="default" w:ascii="Times New Roman" w:hAnsi="Times New Roman" w:eastAsia="宋体" w:cs="Times New Roman"/>
          <w:b w:val="0"/>
          <w:bCs/>
          <w:color w:val="auto"/>
          <w:sz w:val="21"/>
          <w:szCs w:val="21"/>
          <w:highlight w:val="none"/>
          <w:lang w:val="zh-CN"/>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lang w:val="en-US" w:eastAsia="zh-CN"/>
        </w:rPr>
        <w:t>1-6</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终期方案220kV双回线路</w:t>
      </w:r>
      <w:r>
        <w:rPr>
          <w:rFonts w:hint="default" w:ascii="Times New Roman" w:hAnsi="Times New Roman" w:eastAsia="宋体" w:cs="Times New Roman"/>
          <w:b/>
          <w:bCs w:val="0"/>
          <w:color w:val="auto"/>
          <w:sz w:val="21"/>
          <w:szCs w:val="21"/>
          <w:highlight w:val="none"/>
        </w:rPr>
        <w:t>工频</w:t>
      </w:r>
      <w:r>
        <w:rPr>
          <w:rFonts w:hint="default" w:ascii="Times New Roman" w:hAnsi="Times New Roman" w:eastAsia="宋体" w:cs="Times New Roman"/>
          <w:b/>
          <w:bCs w:val="0"/>
          <w:color w:val="auto"/>
          <w:sz w:val="21"/>
          <w:szCs w:val="21"/>
          <w:highlight w:val="none"/>
          <w:lang w:val="en-US" w:eastAsia="zh-CN"/>
        </w:rPr>
        <w:t>磁感应</w:t>
      </w:r>
      <w:r>
        <w:rPr>
          <w:rFonts w:hint="default" w:ascii="Times New Roman" w:hAnsi="Times New Roman" w:eastAsia="宋体" w:cs="Times New Roman"/>
          <w:b/>
          <w:bCs w:val="0"/>
          <w:color w:val="auto"/>
          <w:sz w:val="21"/>
          <w:szCs w:val="21"/>
          <w:highlight w:val="none"/>
        </w:rPr>
        <w:t>强度的计算结果  （</w:t>
      </w:r>
      <w:r>
        <w:rPr>
          <w:rFonts w:hint="default" w:ascii="Times New Roman" w:hAnsi="Times New Roman" w:eastAsia="宋体" w:cs="Times New Roman"/>
          <w:b/>
          <w:bCs w:val="0"/>
          <w:color w:val="auto"/>
          <w:sz w:val="21"/>
          <w:szCs w:val="21"/>
          <w:highlight w:val="none"/>
          <w:lang w:eastAsia="zh-CN"/>
        </w:rPr>
        <w:t>μT）</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3399"/>
        <w:gridCol w:w="3403"/>
      </w:tblGrid>
      <w:tr w14:paraId="29D6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337" w:type="pct"/>
            <w:tcBorders>
              <w:tl2br w:val="nil"/>
              <w:tr2bl w:val="nil"/>
            </w:tcBorders>
            <w:noWrap w:val="0"/>
            <w:vAlign w:val="center"/>
          </w:tcPr>
          <w:p w14:paraId="6823B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距线路中心距离</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p>
        </w:tc>
        <w:tc>
          <w:tcPr>
            <w:tcW w:w="1830" w:type="pct"/>
            <w:tcBorders>
              <w:tl2br w:val="nil"/>
              <w:tr2bl w:val="nil"/>
            </w:tcBorders>
            <w:noWrap w:val="0"/>
            <w:vAlign w:val="center"/>
          </w:tcPr>
          <w:p w14:paraId="58FAF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p>
        </w:tc>
        <w:tc>
          <w:tcPr>
            <w:tcW w:w="1832" w:type="pct"/>
            <w:tcBorders>
              <w:tl2br w:val="nil"/>
              <w:tr2bl w:val="nil"/>
            </w:tcBorders>
            <w:noWrap w:val="0"/>
            <w:vAlign w:val="center"/>
          </w:tcPr>
          <w:p w14:paraId="4EE3B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导线高</w:t>
            </w:r>
            <w:r>
              <w:rPr>
                <w:rFonts w:hint="eastAsia" w:ascii="Times New Roman" w:hAnsi="Times New Roman" w:eastAsia="宋体" w:cs="Times New Roman"/>
                <w:bCs/>
                <w:color w:val="auto"/>
                <w:sz w:val="21"/>
                <w:szCs w:val="21"/>
                <w:highlight w:val="none"/>
                <w:lang w:val="en-US" w:eastAsia="zh-CN"/>
              </w:rPr>
              <w:t>7</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p>
        </w:tc>
      </w:tr>
      <w:tr w14:paraId="4A2F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E9D9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3399" w:type="dxa"/>
            <w:tcBorders>
              <w:tl2br w:val="nil"/>
              <w:tr2bl w:val="nil"/>
            </w:tcBorders>
            <w:noWrap w:val="0"/>
            <w:tcMar>
              <w:left w:w="0" w:type="dxa"/>
              <w:right w:w="0" w:type="dxa"/>
            </w:tcMar>
            <w:vAlign w:val="top"/>
          </w:tcPr>
          <w:p w14:paraId="005CC7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vertAlign w:val="baseline"/>
                <w:lang w:eastAsia="zh-CN"/>
              </w:rPr>
              <w:t>5.50</w:t>
            </w:r>
          </w:p>
        </w:tc>
        <w:tc>
          <w:tcPr>
            <w:tcW w:w="3403" w:type="dxa"/>
            <w:tcBorders>
              <w:tl2br w:val="nil"/>
              <w:tr2bl w:val="nil"/>
            </w:tcBorders>
            <w:noWrap w:val="0"/>
            <w:tcMar>
              <w:left w:w="0" w:type="dxa"/>
              <w:right w:w="0" w:type="dxa"/>
            </w:tcMar>
            <w:vAlign w:val="top"/>
          </w:tcPr>
          <w:p w14:paraId="60745F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vertAlign w:val="baseline"/>
                <w:lang w:eastAsia="zh-CN"/>
              </w:rPr>
              <w:t>5.33</w:t>
            </w:r>
          </w:p>
        </w:tc>
      </w:tr>
      <w:tr w14:paraId="478E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9DF6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399" w:type="dxa"/>
            <w:tcBorders>
              <w:tl2br w:val="nil"/>
              <w:tr2bl w:val="nil"/>
            </w:tcBorders>
            <w:noWrap w:val="0"/>
            <w:tcMar>
              <w:left w:w="0" w:type="dxa"/>
              <w:right w:w="0" w:type="dxa"/>
            </w:tcMar>
            <w:vAlign w:val="top"/>
          </w:tcPr>
          <w:p w14:paraId="778694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5.53</w:t>
            </w:r>
          </w:p>
        </w:tc>
        <w:tc>
          <w:tcPr>
            <w:tcW w:w="3403" w:type="dxa"/>
            <w:tcBorders>
              <w:tl2br w:val="nil"/>
              <w:tr2bl w:val="nil"/>
            </w:tcBorders>
            <w:noWrap w:val="0"/>
            <w:tcMar>
              <w:left w:w="0" w:type="dxa"/>
              <w:right w:w="0" w:type="dxa"/>
            </w:tcMar>
            <w:vAlign w:val="top"/>
          </w:tcPr>
          <w:p w14:paraId="5A4855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5.35</w:t>
            </w:r>
          </w:p>
        </w:tc>
      </w:tr>
      <w:tr w14:paraId="3FED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B032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3399" w:type="dxa"/>
            <w:tcBorders>
              <w:tl2br w:val="nil"/>
              <w:tr2bl w:val="nil"/>
            </w:tcBorders>
            <w:noWrap w:val="0"/>
            <w:tcMar>
              <w:left w:w="0" w:type="dxa"/>
              <w:right w:w="0" w:type="dxa"/>
            </w:tcMar>
            <w:vAlign w:val="top"/>
          </w:tcPr>
          <w:p w14:paraId="685FA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5.61</w:t>
            </w:r>
          </w:p>
        </w:tc>
        <w:tc>
          <w:tcPr>
            <w:tcW w:w="3403" w:type="dxa"/>
            <w:tcBorders>
              <w:tl2br w:val="nil"/>
              <w:tr2bl w:val="nil"/>
            </w:tcBorders>
            <w:noWrap w:val="0"/>
            <w:tcMar>
              <w:left w:w="0" w:type="dxa"/>
              <w:right w:w="0" w:type="dxa"/>
            </w:tcMar>
            <w:vAlign w:val="top"/>
          </w:tcPr>
          <w:p w14:paraId="6DC74D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5.39</w:t>
            </w:r>
          </w:p>
        </w:tc>
      </w:tr>
      <w:tr w14:paraId="65A2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A99B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3399" w:type="dxa"/>
            <w:tcBorders>
              <w:tl2br w:val="nil"/>
              <w:tr2bl w:val="nil"/>
            </w:tcBorders>
            <w:noWrap w:val="0"/>
            <w:tcMar>
              <w:left w:w="0" w:type="dxa"/>
              <w:right w:w="0" w:type="dxa"/>
            </w:tcMar>
            <w:vAlign w:val="top"/>
          </w:tcPr>
          <w:p w14:paraId="5799E2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5.72</w:t>
            </w:r>
          </w:p>
        </w:tc>
        <w:tc>
          <w:tcPr>
            <w:tcW w:w="3403" w:type="dxa"/>
            <w:tcBorders>
              <w:tl2br w:val="nil"/>
              <w:tr2bl w:val="nil"/>
            </w:tcBorders>
            <w:noWrap w:val="0"/>
            <w:tcMar>
              <w:left w:w="0" w:type="dxa"/>
              <w:right w:w="0" w:type="dxa"/>
            </w:tcMar>
            <w:vAlign w:val="top"/>
          </w:tcPr>
          <w:p w14:paraId="5125E0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5.46</w:t>
            </w:r>
          </w:p>
        </w:tc>
      </w:tr>
      <w:tr w14:paraId="773D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AE30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3399" w:type="dxa"/>
            <w:tcBorders>
              <w:tl2br w:val="nil"/>
              <w:tr2bl w:val="nil"/>
            </w:tcBorders>
            <w:noWrap w:val="0"/>
            <w:tcMar>
              <w:left w:w="0" w:type="dxa"/>
              <w:right w:w="0" w:type="dxa"/>
            </w:tcMar>
            <w:vAlign w:val="top"/>
          </w:tcPr>
          <w:p w14:paraId="1C0A4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5.85</w:t>
            </w:r>
          </w:p>
        </w:tc>
        <w:tc>
          <w:tcPr>
            <w:tcW w:w="3403" w:type="dxa"/>
            <w:tcBorders>
              <w:tl2br w:val="nil"/>
              <w:tr2bl w:val="nil"/>
            </w:tcBorders>
            <w:noWrap w:val="0"/>
            <w:tcMar>
              <w:left w:w="0" w:type="dxa"/>
              <w:right w:w="0" w:type="dxa"/>
            </w:tcMar>
            <w:vAlign w:val="top"/>
          </w:tcPr>
          <w:p w14:paraId="26E47B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5.53</w:t>
            </w:r>
          </w:p>
        </w:tc>
      </w:tr>
      <w:tr w14:paraId="401E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0F78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3399" w:type="dxa"/>
            <w:tcBorders>
              <w:tl2br w:val="nil"/>
              <w:tr2bl w:val="nil"/>
            </w:tcBorders>
            <w:noWrap w:val="0"/>
            <w:tcMar>
              <w:left w:w="0" w:type="dxa"/>
              <w:right w:w="0" w:type="dxa"/>
            </w:tcMar>
            <w:vAlign w:val="top"/>
          </w:tcPr>
          <w:p w14:paraId="1F551C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5.97</w:t>
            </w:r>
          </w:p>
        </w:tc>
        <w:tc>
          <w:tcPr>
            <w:tcW w:w="3403" w:type="dxa"/>
            <w:tcBorders>
              <w:tl2br w:val="nil"/>
              <w:tr2bl w:val="nil"/>
            </w:tcBorders>
            <w:noWrap w:val="0"/>
            <w:tcMar>
              <w:left w:w="0" w:type="dxa"/>
              <w:right w:w="0" w:type="dxa"/>
            </w:tcMar>
            <w:vAlign w:val="top"/>
          </w:tcPr>
          <w:p w14:paraId="1FDAED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5.60</w:t>
            </w:r>
          </w:p>
        </w:tc>
      </w:tr>
      <w:tr w14:paraId="614B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658C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3399" w:type="dxa"/>
            <w:tcBorders>
              <w:tl2br w:val="nil"/>
              <w:tr2bl w:val="nil"/>
            </w:tcBorders>
            <w:noWrap w:val="0"/>
            <w:tcMar>
              <w:left w:w="0" w:type="dxa"/>
              <w:right w:w="0" w:type="dxa"/>
            </w:tcMar>
            <w:vAlign w:val="top"/>
          </w:tcPr>
          <w:p w14:paraId="585482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6.06</w:t>
            </w:r>
          </w:p>
        </w:tc>
        <w:tc>
          <w:tcPr>
            <w:tcW w:w="3403" w:type="dxa"/>
            <w:tcBorders>
              <w:tl2br w:val="nil"/>
              <w:tr2bl w:val="nil"/>
            </w:tcBorders>
            <w:noWrap w:val="0"/>
            <w:tcMar>
              <w:left w:w="0" w:type="dxa"/>
              <w:right w:w="0" w:type="dxa"/>
            </w:tcMar>
            <w:vAlign w:val="top"/>
          </w:tcPr>
          <w:p w14:paraId="0585A3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5.64</w:t>
            </w:r>
          </w:p>
        </w:tc>
      </w:tr>
      <w:tr w14:paraId="0A19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EC1B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3399" w:type="dxa"/>
            <w:tcBorders>
              <w:tl2br w:val="nil"/>
              <w:tr2bl w:val="nil"/>
            </w:tcBorders>
            <w:noWrap w:val="0"/>
            <w:tcMar>
              <w:left w:w="0" w:type="dxa"/>
              <w:right w:w="0" w:type="dxa"/>
            </w:tcMar>
            <w:vAlign w:val="top"/>
          </w:tcPr>
          <w:p w14:paraId="7D4B52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6.10</w:t>
            </w:r>
          </w:p>
        </w:tc>
        <w:tc>
          <w:tcPr>
            <w:tcW w:w="3403" w:type="dxa"/>
            <w:tcBorders>
              <w:tl2br w:val="nil"/>
              <w:tr2bl w:val="nil"/>
            </w:tcBorders>
            <w:noWrap w:val="0"/>
            <w:tcMar>
              <w:left w:w="0" w:type="dxa"/>
              <w:right w:w="0" w:type="dxa"/>
            </w:tcMar>
            <w:vAlign w:val="top"/>
          </w:tcPr>
          <w:p w14:paraId="24F35A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5.65</w:t>
            </w:r>
          </w:p>
        </w:tc>
      </w:tr>
      <w:tr w14:paraId="5194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D700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3399" w:type="dxa"/>
            <w:tcBorders>
              <w:tl2br w:val="nil"/>
              <w:tr2bl w:val="nil"/>
            </w:tcBorders>
            <w:noWrap w:val="0"/>
            <w:tcMar>
              <w:left w:w="0" w:type="dxa"/>
              <w:right w:w="0" w:type="dxa"/>
            </w:tcMar>
            <w:vAlign w:val="top"/>
          </w:tcPr>
          <w:p w14:paraId="2AEFF0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6.07</w:t>
            </w:r>
          </w:p>
        </w:tc>
        <w:tc>
          <w:tcPr>
            <w:tcW w:w="3403" w:type="dxa"/>
            <w:tcBorders>
              <w:tl2br w:val="nil"/>
              <w:tr2bl w:val="nil"/>
            </w:tcBorders>
            <w:noWrap w:val="0"/>
            <w:tcMar>
              <w:left w:w="0" w:type="dxa"/>
              <w:right w:w="0" w:type="dxa"/>
            </w:tcMar>
            <w:vAlign w:val="top"/>
          </w:tcPr>
          <w:p w14:paraId="558F27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5.62</w:t>
            </w:r>
          </w:p>
        </w:tc>
      </w:tr>
      <w:tr w14:paraId="7ACA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7961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3399" w:type="dxa"/>
            <w:tcBorders>
              <w:tl2br w:val="nil"/>
              <w:tr2bl w:val="nil"/>
            </w:tcBorders>
            <w:noWrap w:val="0"/>
            <w:tcMar>
              <w:left w:w="0" w:type="dxa"/>
              <w:right w:w="0" w:type="dxa"/>
            </w:tcMar>
            <w:vAlign w:val="top"/>
          </w:tcPr>
          <w:p w14:paraId="7D29FF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5.98</w:t>
            </w:r>
          </w:p>
        </w:tc>
        <w:tc>
          <w:tcPr>
            <w:tcW w:w="3403" w:type="dxa"/>
            <w:tcBorders>
              <w:tl2br w:val="nil"/>
              <w:tr2bl w:val="nil"/>
            </w:tcBorders>
            <w:noWrap w:val="0"/>
            <w:tcMar>
              <w:left w:w="0" w:type="dxa"/>
              <w:right w:w="0" w:type="dxa"/>
            </w:tcMar>
            <w:vAlign w:val="top"/>
          </w:tcPr>
          <w:p w14:paraId="47B802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5.54</w:t>
            </w:r>
          </w:p>
        </w:tc>
      </w:tr>
      <w:tr w14:paraId="23F8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E049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3399" w:type="dxa"/>
            <w:tcBorders>
              <w:tl2br w:val="nil"/>
              <w:tr2bl w:val="nil"/>
            </w:tcBorders>
            <w:noWrap w:val="0"/>
            <w:tcMar>
              <w:left w:w="0" w:type="dxa"/>
              <w:right w:w="0" w:type="dxa"/>
            </w:tcMar>
            <w:vAlign w:val="top"/>
          </w:tcPr>
          <w:p w14:paraId="5A1D4E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5.83</w:t>
            </w:r>
          </w:p>
        </w:tc>
        <w:tc>
          <w:tcPr>
            <w:tcW w:w="3403" w:type="dxa"/>
            <w:tcBorders>
              <w:tl2br w:val="nil"/>
              <w:tr2bl w:val="nil"/>
            </w:tcBorders>
            <w:noWrap w:val="0"/>
            <w:tcMar>
              <w:left w:w="0" w:type="dxa"/>
              <w:right w:w="0" w:type="dxa"/>
            </w:tcMar>
            <w:vAlign w:val="top"/>
          </w:tcPr>
          <w:p w14:paraId="45CEEB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5.42</w:t>
            </w:r>
          </w:p>
        </w:tc>
      </w:tr>
      <w:tr w14:paraId="2B52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51EA8B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11</w:t>
            </w:r>
          </w:p>
        </w:tc>
        <w:tc>
          <w:tcPr>
            <w:tcW w:w="3399" w:type="dxa"/>
            <w:tcBorders>
              <w:tl2br w:val="nil"/>
              <w:tr2bl w:val="nil"/>
            </w:tcBorders>
            <w:noWrap w:val="0"/>
            <w:tcMar>
              <w:left w:w="0" w:type="dxa"/>
              <w:right w:w="0" w:type="dxa"/>
            </w:tcMar>
            <w:vAlign w:val="top"/>
          </w:tcPr>
          <w:p w14:paraId="668CA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5.64</w:t>
            </w:r>
          </w:p>
        </w:tc>
        <w:tc>
          <w:tcPr>
            <w:tcW w:w="3403" w:type="dxa"/>
            <w:tcBorders>
              <w:tl2br w:val="nil"/>
              <w:tr2bl w:val="nil"/>
            </w:tcBorders>
            <w:noWrap w:val="0"/>
            <w:tcMar>
              <w:left w:w="0" w:type="dxa"/>
              <w:right w:w="0" w:type="dxa"/>
            </w:tcMar>
            <w:vAlign w:val="top"/>
          </w:tcPr>
          <w:p w14:paraId="71AD5E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5.27</w:t>
            </w:r>
          </w:p>
        </w:tc>
      </w:tr>
      <w:tr w14:paraId="1291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FF6CB3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12</w:t>
            </w:r>
          </w:p>
        </w:tc>
        <w:tc>
          <w:tcPr>
            <w:tcW w:w="3399" w:type="dxa"/>
            <w:tcBorders>
              <w:tl2br w:val="nil"/>
              <w:tr2bl w:val="nil"/>
            </w:tcBorders>
            <w:noWrap w:val="0"/>
            <w:tcMar>
              <w:left w:w="0" w:type="dxa"/>
              <w:right w:w="0" w:type="dxa"/>
            </w:tcMar>
            <w:vAlign w:val="top"/>
          </w:tcPr>
          <w:p w14:paraId="599DC6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5.43</w:t>
            </w:r>
          </w:p>
        </w:tc>
        <w:tc>
          <w:tcPr>
            <w:tcW w:w="3403" w:type="dxa"/>
            <w:tcBorders>
              <w:tl2br w:val="nil"/>
              <w:tr2bl w:val="nil"/>
            </w:tcBorders>
            <w:noWrap w:val="0"/>
            <w:tcMar>
              <w:left w:w="0" w:type="dxa"/>
              <w:right w:w="0" w:type="dxa"/>
            </w:tcMar>
            <w:vAlign w:val="top"/>
          </w:tcPr>
          <w:p w14:paraId="1FF8A6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5.09</w:t>
            </w:r>
          </w:p>
        </w:tc>
      </w:tr>
      <w:tr w14:paraId="323D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671022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13</w:t>
            </w:r>
          </w:p>
        </w:tc>
        <w:tc>
          <w:tcPr>
            <w:tcW w:w="3399" w:type="dxa"/>
            <w:tcBorders>
              <w:tl2br w:val="nil"/>
              <w:tr2bl w:val="nil"/>
            </w:tcBorders>
            <w:noWrap w:val="0"/>
            <w:tcMar>
              <w:left w:w="0" w:type="dxa"/>
              <w:right w:w="0" w:type="dxa"/>
            </w:tcMar>
            <w:vAlign w:val="top"/>
          </w:tcPr>
          <w:p w14:paraId="020BCF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5.20</w:t>
            </w:r>
          </w:p>
        </w:tc>
        <w:tc>
          <w:tcPr>
            <w:tcW w:w="3403" w:type="dxa"/>
            <w:tcBorders>
              <w:tl2br w:val="nil"/>
              <w:tr2bl w:val="nil"/>
            </w:tcBorders>
            <w:noWrap w:val="0"/>
            <w:tcMar>
              <w:left w:w="0" w:type="dxa"/>
              <w:right w:w="0" w:type="dxa"/>
            </w:tcMar>
            <w:vAlign w:val="top"/>
          </w:tcPr>
          <w:p w14:paraId="5FFC2D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4.90</w:t>
            </w:r>
          </w:p>
        </w:tc>
      </w:tr>
      <w:tr w14:paraId="44A0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C79462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14</w:t>
            </w:r>
          </w:p>
        </w:tc>
        <w:tc>
          <w:tcPr>
            <w:tcW w:w="3399" w:type="dxa"/>
            <w:tcBorders>
              <w:tl2br w:val="nil"/>
              <w:tr2bl w:val="nil"/>
            </w:tcBorders>
            <w:noWrap w:val="0"/>
            <w:tcMar>
              <w:left w:w="0" w:type="dxa"/>
              <w:right w:w="0" w:type="dxa"/>
            </w:tcMar>
            <w:vAlign w:val="top"/>
          </w:tcPr>
          <w:p w14:paraId="42126D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4.96</w:t>
            </w:r>
          </w:p>
        </w:tc>
        <w:tc>
          <w:tcPr>
            <w:tcW w:w="3403" w:type="dxa"/>
            <w:tcBorders>
              <w:tl2br w:val="nil"/>
              <w:tr2bl w:val="nil"/>
            </w:tcBorders>
            <w:noWrap w:val="0"/>
            <w:tcMar>
              <w:left w:w="0" w:type="dxa"/>
              <w:right w:w="0" w:type="dxa"/>
            </w:tcMar>
            <w:vAlign w:val="top"/>
          </w:tcPr>
          <w:p w14:paraId="1F95A0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4.71</w:t>
            </w:r>
          </w:p>
        </w:tc>
      </w:tr>
      <w:tr w14:paraId="366C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BC7779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w:t>
            </w:r>
          </w:p>
        </w:tc>
        <w:tc>
          <w:tcPr>
            <w:tcW w:w="3399" w:type="dxa"/>
            <w:tcBorders>
              <w:tl2br w:val="nil"/>
              <w:tr2bl w:val="nil"/>
            </w:tcBorders>
            <w:noWrap w:val="0"/>
            <w:tcMar>
              <w:left w:w="0" w:type="dxa"/>
              <w:right w:w="0" w:type="dxa"/>
            </w:tcMar>
            <w:vAlign w:val="top"/>
          </w:tcPr>
          <w:p w14:paraId="67A04A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4.73</w:t>
            </w:r>
          </w:p>
        </w:tc>
        <w:tc>
          <w:tcPr>
            <w:tcW w:w="3403" w:type="dxa"/>
            <w:tcBorders>
              <w:tl2br w:val="nil"/>
              <w:tr2bl w:val="nil"/>
            </w:tcBorders>
            <w:noWrap w:val="0"/>
            <w:tcMar>
              <w:left w:w="0" w:type="dxa"/>
              <w:right w:w="0" w:type="dxa"/>
            </w:tcMar>
            <w:vAlign w:val="top"/>
          </w:tcPr>
          <w:p w14:paraId="6E9643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4.51</w:t>
            </w:r>
          </w:p>
        </w:tc>
      </w:tr>
      <w:tr w14:paraId="2DF3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12C8D1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16</w:t>
            </w:r>
          </w:p>
        </w:tc>
        <w:tc>
          <w:tcPr>
            <w:tcW w:w="3399" w:type="dxa"/>
            <w:tcBorders>
              <w:tl2br w:val="nil"/>
              <w:tr2bl w:val="nil"/>
            </w:tcBorders>
            <w:noWrap w:val="0"/>
            <w:tcMar>
              <w:left w:w="0" w:type="dxa"/>
              <w:right w:w="0" w:type="dxa"/>
            </w:tcMar>
            <w:vAlign w:val="top"/>
          </w:tcPr>
          <w:p w14:paraId="1B3840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4.51</w:t>
            </w:r>
          </w:p>
        </w:tc>
        <w:tc>
          <w:tcPr>
            <w:tcW w:w="3403" w:type="dxa"/>
            <w:tcBorders>
              <w:tl2br w:val="nil"/>
              <w:tr2bl w:val="nil"/>
            </w:tcBorders>
            <w:noWrap w:val="0"/>
            <w:tcMar>
              <w:left w:w="0" w:type="dxa"/>
              <w:right w:w="0" w:type="dxa"/>
            </w:tcMar>
            <w:vAlign w:val="top"/>
          </w:tcPr>
          <w:p w14:paraId="2F51DB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4.32</w:t>
            </w:r>
          </w:p>
        </w:tc>
      </w:tr>
      <w:tr w14:paraId="5B13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09E4CB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17</w:t>
            </w:r>
          </w:p>
        </w:tc>
        <w:tc>
          <w:tcPr>
            <w:tcW w:w="3399" w:type="dxa"/>
            <w:tcBorders>
              <w:tl2br w:val="nil"/>
              <w:tr2bl w:val="nil"/>
            </w:tcBorders>
            <w:noWrap w:val="0"/>
            <w:tcMar>
              <w:left w:w="0" w:type="dxa"/>
              <w:right w:w="0" w:type="dxa"/>
            </w:tcMar>
            <w:vAlign w:val="top"/>
          </w:tcPr>
          <w:p w14:paraId="726333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4.29</w:t>
            </w:r>
          </w:p>
        </w:tc>
        <w:tc>
          <w:tcPr>
            <w:tcW w:w="3403" w:type="dxa"/>
            <w:tcBorders>
              <w:tl2br w:val="nil"/>
              <w:tr2bl w:val="nil"/>
            </w:tcBorders>
            <w:noWrap w:val="0"/>
            <w:tcMar>
              <w:left w:w="0" w:type="dxa"/>
              <w:right w:w="0" w:type="dxa"/>
            </w:tcMar>
            <w:vAlign w:val="top"/>
          </w:tcPr>
          <w:p w14:paraId="387685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4.13</w:t>
            </w:r>
          </w:p>
        </w:tc>
      </w:tr>
      <w:tr w14:paraId="699A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B0E336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18</w:t>
            </w:r>
          </w:p>
        </w:tc>
        <w:tc>
          <w:tcPr>
            <w:tcW w:w="3399" w:type="dxa"/>
            <w:tcBorders>
              <w:tl2br w:val="nil"/>
              <w:tr2bl w:val="nil"/>
            </w:tcBorders>
            <w:noWrap w:val="0"/>
            <w:tcMar>
              <w:left w:w="0" w:type="dxa"/>
              <w:right w:w="0" w:type="dxa"/>
            </w:tcMar>
            <w:vAlign w:val="top"/>
          </w:tcPr>
          <w:p w14:paraId="58729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4.09</w:t>
            </w:r>
          </w:p>
        </w:tc>
        <w:tc>
          <w:tcPr>
            <w:tcW w:w="3403" w:type="dxa"/>
            <w:tcBorders>
              <w:tl2br w:val="nil"/>
              <w:tr2bl w:val="nil"/>
            </w:tcBorders>
            <w:noWrap w:val="0"/>
            <w:tcMar>
              <w:left w:w="0" w:type="dxa"/>
              <w:right w:w="0" w:type="dxa"/>
            </w:tcMar>
            <w:vAlign w:val="top"/>
          </w:tcPr>
          <w:p w14:paraId="50E2AA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3.96</w:t>
            </w:r>
          </w:p>
        </w:tc>
      </w:tr>
      <w:tr w14:paraId="064B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A92C39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19</w:t>
            </w:r>
          </w:p>
        </w:tc>
        <w:tc>
          <w:tcPr>
            <w:tcW w:w="3399" w:type="dxa"/>
            <w:tcBorders>
              <w:tl2br w:val="nil"/>
              <w:tr2bl w:val="nil"/>
            </w:tcBorders>
            <w:noWrap w:val="0"/>
            <w:tcMar>
              <w:left w:w="0" w:type="dxa"/>
              <w:right w:w="0" w:type="dxa"/>
            </w:tcMar>
            <w:vAlign w:val="top"/>
          </w:tcPr>
          <w:p w14:paraId="4E66A3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3.91</w:t>
            </w:r>
          </w:p>
        </w:tc>
        <w:tc>
          <w:tcPr>
            <w:tcW w:w="3403" w:type="dxa"/>
            <w:tcBorders>
              <w:tl2br w:val="nil"/>
              <w:tr2bl w:val="nil"/>
            </w:tcBorders>
            <w:noWrap w:val="0"/>
            <w:tcMar>
              <w:left w:w="0" w:type="dxa"/>
              <w:right w:w="0" w:type="dxa"/>
            </w:tcMar>
            <w:vAlign w:val="top"/>
          </w:tcPr>
          <w:p w14:paraId="1E8991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3.79</w:t>
            </w:r>
          </w:p>
        </w:tc>
      </w:tr>
      <w:tr w14:paraId="3CC4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5CE534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20</w:t>
            </w:r>
          </w:p>
        </w:tc>
        <w:tc>
          <w:tcPr>
            <w:tcW w:w="3399" w:type="dxa"/>
            <w:tcBorders>
              <w:tl2br w:val="nil"/>
              <w:tr2bl w:val="nil"/>
            </w:tcBorders>
            <w:noWrap w:val="0"/>
            <w:tcMar>
              <w:left w:w="0" w:type="dxa"/>
              <w:right w:w="0" w:type="dxa"/>
            </w:tcMar>
            <w:vAlign w:val="top"/>
          </w:tcPr>
          <w:p w14:paraId="1CA1A6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3.73</w:t>
            </w:r>
          </w:p>
        </w:tc>
        <w:tc>
          <w:tcPr>
            <w:tcW w:w="3403" w:type="dxa"/>
            <w:tcBorders>
              <w:tl2br w:val="nil"/>
              <w:tr2bl w:val="nil"/>
            </w:tcBorders>
            <w:noWrap w:val="0"/>
            <w:tcMar>
              <w:left w:w="0" w:type="dxa"/>
              <w:right w:w="0" w:type="dxa"/>
            </w:tcMar>
            <w:vAlign w:val="top"/>
          </w:tcPr>
          <w:p w14:paraId="62C07F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3.63</w:t>
            </w:r>
          </w:p>
        </w:tc>
      </w:tr>
      <w:tr w14:paraId="262D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11A390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21</w:t>
            </w:r>
          </w:p>
        </w:tc>
        <w:tc>
          <w:tcPr>
            <w:tcW w:w="3399" w:type="dxa"/>
            <w:tcBorders>
              <w:tl2br w:val="nil"/>
              <w:tr2bl w:val="nil"/>
            </w:tcBorders>
            <w:noWrap w:val="0"/>
            <w:tcMar>
              <w:left w:w="0" w:type="dxa"/>
              <w:right w:w="0" w:type="dxa"/>
            </w:tcMar>
            <w:vAlign w:val="top"/>
          </w:tcPr>
          <w:p w14:paraId="5E718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3.57</w:t>
            </w:r>
          </w:p>
        </w:tc>
        <w:tc>
          <w:tcPr>
            <w:tcW w:w="3403" w:type="dxa"/>
            <w:tcBorders>
              <w:tl2br w:val="nil"/>
              <w:tr2bl w:val="nil"/>
            </w:tcBorders>
            <w:noWrap w:val="0"/>
            <w:tcMar>
              <w:left w:w="0" w:type="dxa"/>
              <w:right w:w="0" w:type="dxa"/>
            </w:tcMar>
            <w:vAlign w:val="top"/>
          </w:tcPr>
          <w:p w14:paraId="202CA1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3.48</w:t>
            </w:r>
          </w:p>
        </w:tc>
      </w:tr>
      <w:tr w14:paraId="0D1D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F4024E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w:t>
            </w:r>
          </w:p>
        </w:tc>
        <w:tc>
          <w:tcPr>
            <w:tcW w:w="3399" w:type="dxa"/>
            <w:tcBorders>
              <w:tl2br w:val="nil"/>
              <w:tr2bl w:val="nil"/>
            </w:tcBorders>
            <w:noWrap w:val="0"/>
            <w:tcMar>
              <w:left w:w="0" w:type="dxa"/>
              <w:right w:w="0" w:type="dxa"/>
            </w:tcMar>
            <w:vAlign w:val="top"/>
          </w:tcPr>
          <w:p w14:paraId="465B10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3.42</w:t>
            </w:r>
          </w:p>
        </w:tc>
        <w:tc>
          <w:tcPr>
            <w:tcW w:w="3403" w:type="dxa"/>
            <w:tcBorders>
              <w:tl2br w:val="nil"/>
              <w:tr2bl w:val="nil"/>
            </w:tcBorders>
            <w:noWrap w:val="0"/>
            <w:tcMar>
              <w:left w:w="0" w:type="dxa"/>
              <w:right w:w="0" w:type="dxa"/>
            </w:tcMar>
            <w:vAlign w:val="top"/>
          </w:tcPr>
          <w:p w14:paraId="6AF8FB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3.34</w:t>
            </w:r>
          </w:p>
        </w:tc>
      </w:tr>
      <w:tr w14:paraId="6801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19FD59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23</w:t>
            </w:r>
          </w:p>
        </w:tc>
        <w:tc>
          <w:tcPr>
            <w:tcW w:w="3399" w:type="dxa"/>
            <w:tcBorders>
              <w:tl2br w:val="nil"/>
              <w:tr2bl w:val="nil"/>
            </w:tcBorders>
            <w:noWrap w:val="0"/>
            <w:tcMar>
              <w:left w:w="0" w:type="dxa"/>
              <w:right w:w="0" w:type="dxa"/>
            </w:tcMar>
            <w:vAlign w:val="top"/>
          </w:tcPr>
          <w:p w14:paraId="3B9646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3.28</w:t>
            </w:r>
          </w:p>
        </w:tc>
        <w:tc>
          <w:tcPr>
            <w:tcW w:w="3403" w:type="dxa"/>
            <w:tcBorders>
              <w:tl2br w:val="nil"/>
              <w:tr2bl w:val="nil"/>
            </w:tcBorders>
            <w:noWrap w:val="0"/>
            <w:tcMar>
              <w:left w:w="0" w:type="dxa"/>
              <w:right w:w="0" w:type="dxa"/>
            </w:tcMar>
            <w:vAlign w:val="top"/>
          </w:tcPr>
          <w:p w14:paraId="155A50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3.21</w:t>
            </w:r>
          </w:p>
        </w:tc>
      </w:tr>
      <w:tr w14:paraId="14C7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8098DA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3399" w:type="dxa"/>
            <w:tcBorders>
              <w:tl2br w:val="nil"/>
              <w:tr2bl w:val="nil"/>
            </w:tcBorders>
            <w:noWrap w:val="0"/>
            <w:tcMar>
              <w:left w:w="0" w:type="dxa"/>
              <w:right w:w="0" w:type="dxa"/>
            </w:tcMar>
            <w:vAlign w:val="top"/>
          </w:tcPr>
          <w:p w14:paraId="51E13D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3.15</w:t>
            </w:r>
          </w:p>
        </w:tc>
        <w:tc>
          <w:tcPr>
            <w:tcW w:w="3403" w:type="dxa"/>
            <w:tcBorders>
              <w:tl2br w:val="nil"/>
              <w:tr2bl w:val="nil"/>
            </w:tcBorders>
            <w:noWrap w:val="0"/>
            <w:tcMar>
              <w:left w:w="0" w:type="dxa"/>
              <w:right w:w="0" w:type="dxa"/>
            </w:tcMar>
            <w:vAlign w:val="top"/>
          </w:tcPr>
          <w:p w14:paraId="6940D5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3.09</w:t>
            </w:r>
          </w:p>
        </w:tc>
      </w:tr>
      <w:tr w14:paraId="01D1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BE4A49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25</w:t>
            </w:r>
          </w:p>
        </w:tc>
        <w:tc>
          <w:tcPr>
            <w:tcW w:w="3399" w:type="dxa"/>
            <w:tcBorders>
              <w:tl2br w:val="nil"/>
              <w:tr2bl w:val="nil"/>
            </w:tcBorders>
            <w:noWrap w:val="0"/>
            <w:tcMar>
              <w:left w:w="0" w:type="dxa"/>
              <w:right w:w="0" w:type="dxa"/>
            </w:tcMar>
            <w:vAlign w:val="top"/>
          </w:tcPr>
          <w:p w14:paraId="431593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3.03</w:t>
            </w:r>
          </w:p>
        </w:tc>
        <w:tc>
          <w:tcPr>
            <w:tcW w:w="3403" w:type="dxa"/>
            <w:tcBorders>
              <w:tl2br w:val="nil"/>
              <w:tr2bl w:val="nil"/>
            </w:tcBorders>
            <w:noWrap w:val="0"/>
            <w:tcMar>
              <w:left w:w="0" w:type="dxa"/>
              <w:right w:w="0" w:type="dxa"/>
            </w:tcMar>
            <w:vAlign w:val="top"/>
          </w:tcPr>
          <w:p w14:paraId="0906E2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2.98</w:t>
            </w:r>
          </w:p>
        </w:tc>
      </w:tr>
      <w:tr w14:paraId="6A76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0FB3B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3399" w:type="dxa"/>
            <w:tcBorders>
              <w:tl2br w:val="nil"/>
              <w:tr2bl w:val="nil"/>
            </w:tcBorders>
            <w:noWrap w:val="0"/>
            <w:tcMar>
              <w:left w:w="0" w:type="dxa"/>
              <w:right w:w="0" w:type="dxa"/>
            </w:tcMar>
            <w:vAlign w:val="top"/>
          </w:tcPr>
          <w:p w14:paraId="6C5947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2.92</w:t>
            </w:r>
          </w:p>
        </w:tc>
        <w:tc>
          <w:tcPr>
            <w:tcW w:w="3403" w:type="dxa"/>
            <w:tcBorders>
              <w:tl2br w:val="nil"/>
              <w:tr2bl w:val="nil"/>
            </w:tcBorders>
            <w:noWrap w:val="0"/>
            <w:tcMar>
              <w:left w:w="0" w:type="dxa"/>
              <w:right w:w="0" w:type="dxa"/>
            </w:tcMar>
            <w:vAlign w:val="top"/>
          </w:tcPr>
          <w:p w14:paraId="12F526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2.87</w:t>
            </w:r>
          </w:p>
        </w:tc>
      </w:tr>
      <w:tr w14:paraId="6538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DB316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3399" w:type="dxa"/>
            <w:tcBorders>
              <w:tl2br w:val="nil"/>
              <w:tr2bl w:val="nil"/>
            </w:tcBorders>
            <w:noWrap w:val="0"/>
            <w:tcMar>
              <w:left w:w="0" w:type="dxa"/>
              <w:right w:w="0" w:type="dxa"/>
            </w:tcMar>
            <w:vAlign w:val="top"/>
          </w:tcPr>
          <w:p w14:paraId="7F6EA0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2.81</w:t>
            </w:r>
          </w:p>
        </w:tc>
        <w:tc>
          <w:tcPr>
            <w:tcW w:w="3403" w:type="dxa"/>
            <w:tcBorders>
              <w:tl2br w:val="nil"/>
              <w:tr2bl w:val="nil"/>
            </w:tcBorders>
            <w:noWrap w:val="0"/>
            <w:tcMar>
              <w:left w:w="0" w:type="dxa"/>
              <w:right w:w="0" w:type="dxa"/>
            </w:tcMar>
            <w:vAlign w:val="top"/>
          </w:tcPr>
          <w:p w14:paraId="5345BC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2.77</w:t>
            </w:r>
          </w:p>
        </w:tc>
      </w:tr>
      <w:tr w14:paraId="5DE4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12480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3399" w:type="dxa"/>
            <w:tcBorders>
              <w:tl2br w:val="nil"/>
              <w:tr2bl w:val="nil"/>
            </w:tcBorders>
            <w:noWrap w:val="0"/>
            <w:tcMar>
              <w:left w:w="0" w:type="dxa"/>
              <w:right w:w="0" w:type="dxa"/>
            </w:tcMar>
            <w:vAlign w:val="top"/>
          </w:tcPr>
          <w:p w14:paraId="28FE2F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2.71</w:t>
            </w:r>
          </w:p>
        </w:tc>
        <w:tc>
          <w:tcPr>
            <w:tcW w:w="3403" w:type="dxa"/>
            <w:tcBorders>
              <w:tl2br w:val="nil"/>
              <w:tr2bl w:val="nil"/>
            </w:tcBorders>
            <w:noWrap w:val="0"/>
            <w:tcMar>
              <w:left w:w="0" w:type="dxa"/>
              <w:right w:w="0" w:type="dxa"/>
            </w:tcMar>
            <w:vAlign w:val="top"/>
          </w:tcPr>
          <w:p w14:paraId="359B4C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2.68</w:t>
            </w:r>
          </w:p>
        </w:tc>
      </w:tr>
      <w:tr w14:paraId="6B67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D9CB1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3399" w:type="dxa"/>
            <w:tcBorders>
              <w:tl2br w:val="nil"/>
              <w:tr2bl w:val="nil"/>
            </w:tcBorders>
            <w:noWrap w:val="0"/>
            <w:tcMar>
              <w:left w:w="0" w:type="dxa"/>
              <w:right w:w="0" w:type="dxa"/>
            </w:tcMar>
            <w:vAlign w:val="top"/>
          </w:tcPr>
          <w:p w14:paraId="5A1B8A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2.62</w:t>
            </w:r>
          </w:p>
        </w:tc>
        <w:tc>
          <w:tcPr>
            <w:tcW w:w="3403" w:type="dxa"/>
            <w:tcBorders>
              <w:tl2br w:val="nil"/>
              <w:tr2bl w:val="nil"/>
            </w:tcBorders>
            <w:noWrap w:val="0"/>
            <w:tcMar>
              <w:left w:w="0" w:type="dxa"/>
              <w:right w:w="0" w:type="dxa"/>
            </w:tcMar>
            <w:vAlign w:val="top"/>
          </w:tcPr>
          <w:p w14:paraId="7319E9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2.59</w:t>
            </w:r>
          </w:p>
        </w:tc>
      </w:tr>
      <w:tr w14:paraId="7283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5B473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399" w:type="dxa"/>
            <w:tcBorders>
              <w:tl2br w:val="nil"/>
              <w:tr2bl w:val="nil"/>
            </w:tcBorders>
            <w:noWrap w:val="0"/>
            <w:tcMar>
              <w:left w:w="0" w:type="dxa"/>
              <w:right w:w="0" w:type="dxa"/>
            </w:tcMar>
            <w:vAlign w:val="top"/>
          </w:tcPr>
          <w:p w14:paraId="1D8DD8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2.54</w:t>
            </w:r>
          </w:p>
        </w:tc>
        <w:tc>
          <w:tcPr>
            <w:tcW w:w="3403" w:type="dxa"/>
            <w:tcBorders>
              <w:tl2br w:val="nil"/>
              <w:tr2bl w:val="nil"/>
            </w:tcBorders>
            <w:noWrap w:val="0"/>
            <w:tcMar>
              <w:left w:w="0" w:type="dxa"/>
              <w:right w:w="0" w:type="dxa"/>
            </w:tcMar>
            <w:vAlign w:val="top"/>
          </w:tcPr>
          <w:p w14:paraId="762723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2.51</w:t>
            </w:r>
          </w:p>
        </w:tc>
      </w:tr>
      <w:tr w14:paraId="1740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04154F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w:t>
            </w:r>
          </w:p>
        </w:tc>
        <w:tc>
          <w:tcPr>
            <w:tcW w:w="3399" w:type="dxa"/>
            <w:tcBorders>
              <w:tl2br w:val="nil"/>
              <w:tr2bl w:val="nil"/>
            </w:tcBorders>
            <w:noWrap w:val="0"/>
            <w:tcMar>
              <w:left w:w="0" w:type="dxa"/>
              <w:right w:w="0" w:type="dxa"/>
            </w:tcMar>
            <w:vAlign w:val="top"/>
          </w:tcPr>
          <w:p w14:paraId="23F66C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2.46</w:t>
            </w:r>
          </w:p>
        </w:tc>
        <w:tc>
          <w:tcPr>
            <w:tcW w:w="3403" w:type="dxa"/>
            <w:tcBorders>
              <w:tl2br w:val="nil"/>
              <w:tr2bl w:val="nil"/>
            </w:tcBorders>
            <w:noWrap w:val="0"/>
            <w:tcMar>
              <w:left w:w="0" w:type="dxa"/>
              <w:right w:w="0" w:type="dxa"/>
            </w:tcMar>
            <w:vAlign w:val="top"/>
          </w:tcPr>
          <w:p w14:paraId="4CB09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2.43</w:t>
            </w:r>
          </w:p>
        </w:tc>
      </w:tr>
      <w:tr w14:paraId="059E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F8105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32</w:t>
            </w:r>
          </w:p>
        </w:tc>
        <w:tc>
          <w:tcPr>
            <w:tcW w:w="3399" w:type="dxa"/>
            <w:tcBorders>
              <w:tl2br w:val="nil"/>
              <w:tr2bl w:val="nil"/>
            </w:tcBorders>
            <w:noWrap w:val="0"/>
            <w:tcMar>
              <w:left w:w="0" w:type="dxa"/>
              <w:right w:w="0" w:type="dxa"/>
            </w:tcMar>
            <w:vAlign w:val="top"/>
          </w:tcPr>
          <w:p w14:paraId="5F65AC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2.38</w:t>
            </w:r>
          </w:p>
        </w:tc>
        <w:tc>
          <w:tcPr>
            <w:tcW w:w="3403" w:type="dxa"/>
            <w:tcBorders>
              <w:tl2br w:val="nil"/>
              <w:tr2bl w:val="nil"/>
            </w:tcBorders>
            <w:noWrap w:val="0"/>
            <w:tcMar>
              <w:left w:w="0" w:type="dxa"/>
              <w:right w:w="0" w:type="dxa"/>
            </w:tcMar>
            <w:vAlign w:val="top"/>
          </w:tcPr>
          <w:p w14:paraId="15491B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2.35</w:t>
            </w:r>
          </w:p>
        </w:tc>
      </w:tr>
      <w:tr w14:paraId="6673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42FCA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33</w:t>
            </w:r>
          </w:p>
        </w:tc>
        <w:tc>
          <w:tcPr>
            <w:tcW w:w="3399" w:type="dxa"/>
            <w:tcBorders>
              <w:tl2br w:val="nil"/>
              <w:tr2bl w:val="nil"/>
            </w:tcBorders>
            <w:noWrap w:val="0"/>
            <w:tcMar>
              <w:left w:w="0" w:type="dxa"/>
              <w:right w:w="0" w:type="dxa"/>
            </w:tcMar>
            <w:vAlign w:val="top"/>
          </w:tcPr>
          <w:p w14:paraId="3267BC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2.31</w:t>
            </w:r>
          </w:p>
        </w:tc>
        <w:tc>
          <w:tcPr>
            <w:tcW w:w="3403" w:type="dxa"/>
            <w:tcBorders>
              <w:tl2br w:val="nil"/>
              <w:tr2bl w:val="nil"/>
            </w:tcBorders>
            <w:noWrap w:val="0"/>
            <w:tcMar>
              <w:left w:w="0" w:type="dxa"/>
              <w:right w:w="0" w:type="dxa"/>
            </w:tcMar>
            <w:vAlign w:val="top"/>
          </w:tcPr>
          <w:p w14:paraId="5FD228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2.29</w:t>
            </w:r>
          </w:p>
        </w:tc>
      </w:tr>
      <w:tr w14:paraId="204D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15966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w:t>
            </w:r>
          </w:p>
        </w:tc>
        <w:tc>
          <w:tcPr>
            <w:tcW w:w="3399" w:type="dxa"/>
            <w:tcBorders>
              <w:tl2br w:val="nil"/>
              <w:tr2bl w:val="nil"/>
            </w:tcBorders>
            <w:noWrap w:val="0"/>
            <w:tcMar>
              <w:left w:w="0" w:type="dxa"/>
              <w:right w:w="0" w:type="dxa"/>
            </w:tcMar>
            <w:vAlign w:val="top"/>
          </w:tcPr>
          <w:p w14:paraId="77445D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2.24</w:t>
            </w:r>
          </w:p>
        </w:tc>
        <w:tc>
          <w:tcPr>
            <w:tcW w:w="3403" w:type="dxa"/>
            <w:tcBorders>
              <w:tl2br w:val="nil"/>
              <w:tr2bl w:val="nil"/>
            </w:tcBorders>
            <w:noWrap w:val="0"/>
            <w:tcMar>
              <w:left w:w="0" w:type="dxa"/>
              <w:right w:w="0" w:type="dxa"/>
            </w:tcMar>
            <w:vAlign w:val="top"/>
          </w:tcPr>
          <w:p w14:paraId="4C43E0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2.22</w:t>
            </w:r>
          </w:p>
        </w:tc>
      </w:tr>
      <w:tr w14:paraId="7E9A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1A243A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w:t>
            </w:r>
          </w:p>
        </w:tc>
        <w:tc>
          <w:tcPr>
            <w:tcW w:w="3399" w:type="dxa"/>
            <w:tcBorders>
              <w:tl2br w:val="nil"/>
              <w:tr2bl w:val="nil"/>
            </w:tcBorders>
            <w:noWrap w:val="0"/>
            <w:tcMar>
              <w:left w:w="0" w:type="dxa"/>
              <w:right w:w="0" w:type="dxa"/>
            </w:tcMar>
            <w:vAlign w:val="top"/>
          </w:tcPr>
          <w:p w14:paraId="2CDB00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2.18</w:t>
            </w:r>
          </w:p>
        </w:tc>
        <w:tc>
          <w:tcPr>
            <w:tcW w:w="3403" w:type="dxa"/>
            <w:tcBorders>
              <w:tl2br w:val="nil"/>
              <w:tr2bl w:val="nil"/>
            </w:tcBorders>
            <w:noWrap w:val="0"/>
            <w:tcMar>
              <w:left w:w="0" w:type="dxa"/>
              <w:right w:w="0" w:type="dxa"/>
            </w:tcMar>
            <w:vAlign w:val="top"/>
          </w:tcPr>
          <w:p w14:paraId="4D11A0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2.16</w:t>
            </w:r>
          </w:p>
        </w:tc>
      </w:tr>
      <w:tr w14:paraId="5118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7E0A2C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w:t>
            </w:r>
          </w:p>
        </w:tc>
        <w:tc>
          <w:tcPr>
            <w:tcW w:w="3399" w:type="dxa"/>
            <w:tcBorders>
              <w:tl2br w:val="nil"/>
              <w:tr2bl w:val="nil"/>
            </w:tcBorders>
            <w:noWrap w:val="0"/>
            <w:tcMar>
              <w:left w:w="0" w:type="dxa"/>
              <w:right w:w="0" w:type="dxa"/>
            </w:tcMar>
            <w:vAlign w:val="top"/>
          </w:tcPr>
          <w:p w14:paraId="4456F0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2.12</w:t>
            </w:r>
          </w:p>
        </w:tc>
        <w:tc>
          <w:tcPr>
            <w:tcW w:w="3403" w:type="dxa"/>
            <w:tcBorders>
              <w:tl2br w:val="nil"/>
              <w:tr2bl w:val="nil"/>
            </w:tcBorders>
            <w:noWrap w:val="0"/>
            <w:tcMar>
              <w:left w:w="0" w:type="dxa"/>
              <w:right w:w="0" w:type="dxa"/>
            </w:tcMar>
            <w:vAlign w:val="top"/>
          </w:tcPr>
          <w:p w14:paraId="7DF102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2.10</w:t>
            </w:r>
          </w:p>
        </w:tc>
      </w:tr>
      <w:tr w14:paraId="1D79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3CA604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37</w:t>
            </w:r>
          </w:p>
        </w:tc>
        <w:tc>
          <w:tcPr>
            <w:tcW w:w="3399" w:type="dxa"/>
            <w:tcBorders>
              <w:tl2br w:val="nil"/>
              <w:tr2bl w:val="nil"/>
            </w:tcBorders>
            <w:noWrap w:val="0"/>
            <w:tcMar>
              <w:left w:w="0" w:type="dxa"/>
              <w:right w:w="0" w:type="dxa"/>
            </w:tcMar>
            <w:vAlign w:val="top"/>
          </w:tcPr>
          <w:p w14:paraId="3EF97B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2.06</w:t>
            </w:r>
          </w:p>
        </w:tc>
        <w:tc>
          <w:tcPr>
            <w:tcW w:w="3403" w:type="dxa"/>
            <w:tcBorders>
              <w:tl2br w:val="nil"/>
              <w:tr2bl w:val="nil"/>
            </w:tcBorders>
            <w:noWrap w:val="0"/>
            <w:tcMar>
              <w:left w:w="0" w:type="dxa"/>
              <w:right w:w="0" w:type="dxa"/>
            </w:tcMar>
            <w:vAlign w:val="top"/>
          </w:tcPr>
          <w:p w14:paraId="65A0F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2.04</w:t>
            </w:r>
          </w:p>
        </w:tc>
      </w:tr>
      <w:tr w14:paraId="7E5F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48AADD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38</w:t>
            </w:r>
          </w:p>
        </w:tc>
        <w:tc>
          <w:tcPr>
            <w:tcW w:w="3399" w:type="dxa"/>
            <w:tcBorders>
              <w:tl2br w:val="nil"/>
              <w:tr2bl w:val="nil"/>
            </w:tcBorders>
            <w:noWrap w:val="0"/>
            <w:tcMar>
              <w:left w:w="0" w:type="dxa"/>
              <w:right w:w="0" w:type="dxa"/>
            </w:tcMar>
            <w:vAlign w:val="top"/>
          </w:tcPr>
          <w:p w14:paraId="4CCAE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2.01</w:t>
            </w:r>
          </w:p>
        </w:tc>
        <w:tc>
          <w:tcPr>
            <w:tcW w:w="3403" w:type="dxa"/>
            <w:tcBorders>
              <w:tl2br w:val="nil"/>
              <w:tr2bl w:val="nil"/>
            </w:tcBorders>
            <w:noWrap w:val="0"/>
            <w:tcMar>
              <w:left w:w="0" w:type="dxa"/>
              <w:right w:w="0" w:type="dxa"/>
            </w:tcMar>
            <w:vAlign w:val="top"/>
          </w:tcPr>
          <w:p w14:paraId="6CBED9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1.99</w:t>
            </w:r>
          </w:p>
        </w:tc>
      </w:tr>
      <w:tr w14:paraId="71F1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68A58D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39</w:t>
            </w:r>
          </w:p>
        </w:tc>
        <w:tc>
          <w:tcPr>
            <w:tcW w:w="3399" w:type="dxa"/>
            <w:tcBorders>
              <w:tl2br w:val="nil"/>
              <w:tr2bl w:val="nil"/>
            </w:tcBorders>
            <w:noWrap w:val="0"/>
            <w:tcMar>
              <w:left w:w="0" w:type="dxa"/>
              <w:right w:w="0" w:type="dxa"/>
            </w:tcMar>
            <w:vAlign w:val="top"/>
          </w:tcPr>
          <w:p w14:paraId="110BC5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1.95</w:t>
            </w:r>
          </w:p>
        </w:tc>
        <w:tc>
          <w:tcPr>
            <w:tcW w:w="3403" w:type="dxa"/>
            <w:tcBorders>
              <w:tl2br w:val="nil"/>
              <w:tr2bl w:val="nil"/>
            </w:tcBorders>
            <w:noWrap w:val="0"/>
            <w:tcMar>
              <w:left w:w="0" w:type="dxa"/>
              <w:right w:w="0" w:type="dxa"/>
            </w:tcMar>
            <w:vAlign w:val="top"/>
          </w:tcPr>
          <w:p w14:paraId="10CE21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1.94</w:t>
            </w:r>
          </w:p>
        </w:tc>
      </w:tr>
      <w:tr w14:paraId="22DD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337" w:type="pct"/>
            <w:tcBorders>
              <w:tl2br w:val="nil"/>
              <w:tr2bl w:val="nil"/>
            </w:tcBorders>
            <w:noWrap w:val="0"/>
            <w:vAlign w:val="center"/>
          </w:tcPr>
          <w:p w14:paraId="2B4D44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w:t>
            </w:r>
          </w:p>
        </w:tc>
        <w:tc>
          <w:tcPr>
            <w:tcW w:w="3399" w:type="dxa"/>
            <w:tcBorders>
              <w:tl2br w:val="nil"/>
              <w:tr2bl w:val="nil"/>
            </w:tcBorders>
            <w:noWrap w:val="0"/>
            <w:tcMar>
              <w:left w:w="0" w:type="dxa"/>
              <w:right w:w="0" w:type="dxa"/>
            </w:tcMar>
            <w:vAlign w:val="top"/>
          </w:tcPr>
          <w:p w14:paraId="54BF58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1.91</w:t>
            </w:r>
          </w:p>
        </w:tc>
        <w:tc>
          <w:tcPr>
            <w:tcW w:w="3403" w:type="dxa"/>
            <w:tcBorders>
              <w:tl2br w:val="nil"/>
              <w:tr2bl w:val="nil"/>
            </w:tcBorders>
            <w:noWrap w:val="0"/>
            <w:tcMar>
              <w:left w:w="0" w:type="dxa"/>
              <w:right w:w="0" w:type="dxa"/>
            </w:tcMar>
            <w:vAlign w:val="top"/>
          </w:tcPr>
          <w:p w14:paraId="55EB0E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vertAlign w:val="baseline"/>
                <w:lang w:eastAsia="zh-CN"/>
              </w:rPr>
              <w:t>1.89</w:t>
            </w:r>
          </w:p>
        </w:tc>
      </w:tr>
    </w:tbl>
    <w:p w14:paraId="55A04CC8">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drawing>
          <wp:inline distT="0" distB="0" distL="114300" distR="114300">
            <wp:extent cx="5273675" cy="3879850"/>
            <wp:effectExtent l="0" t="0" r="3175" b="635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71"/>
                    <a:stretch>
                      <a:fillRect/>
                    </a:stretch>
                  </pic:blipFill>
                  <pic:spPr>
                    <a:xfrm>
                      <a:off x="0" y="0"/>
                      <a:ext cx="5273675" cy="3879850"/>
                    </a:xfrm>
                    <a:prstGeom prst="rect">
                      <a:avLst/>
                    </a:prstGeom>
                    <a:noFill/>
                    <a:ln>
                      <a:noFill/>
                    </a:ln>
                  </pic:spPr>
                </pic:pic>
              </a:graphicData>
            </a:graphic>
          </wp:inline>
        </w:drawing>
      </w:r>
    </w:p>
    <w:p w14:paraId="30D579B9">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图4.</w:t>
      </w:r>
      <w:r>
        <w:rPr>
          <w:rFonts w:hint="eastAsia" w:ascii="Times New Roman" w:hAnsi="Times New Roman" w:eastAsia="宋体" w:cs="Times New Roman"/>
          <w:b/>
          <w:bCs/>
          <w:color w:val="auto"/>
          <w:kern w:val="2"/>
          <w:sz w:val="21"/>
          <w:szCs w:val="21"/>
          <w:highlight w:val="none"/>
          <w:lang w:val="en-US" w:eastAsia="zh-CN" w:bidi="ar-SA"/>
        </w:rPr>
        <w:t>1-9</w:t>
      </w:r>
      <w:r>
        <w:rPr>
          <w:rFonts w:hint="default" w:ascii="Times New Roman" w:hAnsi="Times New Roman" w:eastAsia="宋体" w:cs="Times New Roman"/>
          <w:b/>
          <w:bCs/>
          <w:color w:val="auto"/>
          <w:kern w:val="2"/>
          <w:sz w:val="21"/>
          <w:szCs w:val="21"/>
          <w:highlight w:val="none"/>
          <w:lang w:val="en-US" w:eastAsia="zh-CN" w:bidi="ar-SA"/>
        </w:rPr>
        <w:t xml:space="preserve">  220kV</w:t>
      </w:r>
      <w:r>
        <w:rPr>
          <w:rFonts w:hint="eastAsia" w:ascii="Times New Roman" w:hAnsi="Times New Roman" w:eastAsia="宋体" w:cs="Times New Roman"/>
          <w:b/>
          <w:bCs/>
          <w:color w:val="auto"/>
          <w:kern w:val="2"/>
          <w:sz w:val="21"/>
          <w:szCs w:val="21"/>
          <w:highlight w:val="none"/>
          <w:lang w:val="en-US" w:eastAsia="zh-CN" w:bidi="ar-SA"/>
        </w:rPr>
        <w:t>双</w:t>
      </w:r>
      <w:r>
        <w:rPr>
          <w:rFonts w:hint="default" w:ascii="Times New Roman" w:hAnsi="Times New Roman" w:eastAsia="宋体" w:cs="Times New Roman"/>
          <w:b/>
          <w:bCs/>
          <w:color w:val="auto"/>
          <w:kern w:val="2"/>
          <w:sz w:val="21"/>
          <w:szCs w:val="21"/>
          <w:highlight w:val="none"/>
          <w:lang w:val="en-US" w:eastAsia="zh-CN" w:bidi="ar-SA"/>
        </w:rPr>
        <w:t>回线路下工频磁感应强度变化趋势图（导线对地距离</w:t>
      </w:r>
      <w:r>
        <w:rPr>
          <w:rFonts w:hint="eastAsia" w:ascii="Times New Roman" w:hAnsi="Times New Roman" w:eastAsia="宋体" w:cs="Times New Roman"/>
          <w:b/>
          <w:bCs/>
          <w:color w:val="auto"/>
          <w:kern w:val="2"/>
          <w:sz w:val="21"/>
          <w:szCs w:val="21"/>
          <w:highlight w:val="none"/>
          <w:lang w:val="en-US" w:eastAsia="zh-CN" w:bidi="ar-SA"/>
        </w:rPr>
        <w:t>6</w:t>
      </w:r>
      <w:r>
        <w:rPr>
          <w:rFonts w:hint="default" w:ascii="Times New Roman" w:hAnsi="Times New Roman" w:eastAsia="宋体" w:cs="Times New Roman"/>
          <w:b/>
          <w:bCs/>
          <w:color w:val="auto"/>
          <w:kern w:val="2"/>
          <w:sz w:val="21"/>
          <w:szCs w:val="21"/>
          <w:highlight w:val="none"/>
          <w:lang w:val="en-US" w:eastAsia="zh-CN" w:bidi="ar-SA"/>
        </w:rPr>
        <w:t>.5m）</w:t>
      </w:r>
    </w:p>
    <w:p w14:paraId="4255A0A6">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drawing>
          <wp:inline distT="0" distB="0" distL="114300" distR="114300">
            <wp:extent cx="5273675" cy="3879850"/>
            <wp:effectExtent l="0" t="0" r="3175" b="635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2"/>
                    <a:stretch>
                      <a:fillRect/>
                    </a:stretch>
                  </pic:blipFill>
                  <pic:spPr>
                    <a:xfrm>
                      <a:off x="0" y="0"/>
                      <a:ext cx="5273675" cy="3879850"/>
                    </a:xfrm>
                    <a:prstGeom prst="rect">
                      <a:avLst/>
                    </a:prstGeom>
                    <a:noFill/>
                    <a:ln>
                      <a:noFill/>
                    </a:ln>
                  </pic:spPr>
                </pic:pic>
              </a:graphicData>
            </a:graphic>
          </wp:inline>
        </w:drawing>
      </w:r>
    </w:p>
    <w:p w14:paraId="764A1BB6">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图4.</w:t>
      </w:r>
      <w:r>
        <w:rPr>
          <w:rFonts w:hint="eastAsia" w:ascii="Times New Roman" w:hAnsi="Times New Roman" w:eastAsia="宋体" w:cs="Times New Roman"/>
          <w:b/>
          <w:bCs/>
          <w:color w:val="auto"/>
          <w:kern w:val="2"/>
          <w:sz w:val="21"/>
          <w:szCs w:val="21"/>
          <w:highlight w:val="none"/>
          <w:lang w:val="en-US" w:eastAsia="zh-CN" w:bidi="ar-SA"/>
        </w:rPr>
        <w:t>1-10</w:t>
      </w:r>
      <w:r>
        <w:rPr>
          <w:rFonts w:hint="default" w:ascii="Times New Roman" w:hAnsi="Times New Roman" w:eastAsia="宋体" w:cs="Times New Roman"/>
          <w:b/>
          <w:bCs/>
          <w:color w:val="auto"/>
          <w:kern w:val="2"/>
          <w:sz w:val="21"/>
          <w:szCs w:val="21"/>
          <w:highlight w:val="none"/>
          <w:lang w:val="en-US" w:eastAsia="zh-CN" w:bidi="ar-SA"/>
        </w:rPr>
        <w:t xml:space="preserve">  220kV双回线路下工频磁感应强度变化趋势图（导线对地距离</w:t>
      </w:r>
      <w:r>
        <w:rPr>
          <w:rFonts w:hint="eastAsia" w:ascii="Times New Roman" w:hAnsi="Times New Roman" w:eastAsia="宋体" w:cs="Times New Roman"/>
          <w:b/>
          <w:bCs/>
          <w:color w:val="auto"/>
          <w:kern w:val="2"/>
          <w:sz w:val="21"/>
          <w:szCs w:val="21"/>
          <w:highlight w:val="none"/>
          <w:lang w:val="en-US" w:eastAsia="zh-CN" w:bidi="ar-SA"/>
        </w:rPr>
        <w:t>7</w:t>
      </w:r>
      <w:r>
        <w:rPr>
          <w:rFonts w:hint="default" w:ascii="Times New Roman" w:hAnsi="Times New Roman" w:eastAsia="宋体" w:cs="Times New Roman"/>
          <w:b/>
          <w:bCs/>
          <w:color w:val="auto"/>
          <w:kern w:val="2"/>
          <w:sz w:val="21"/>
          <w:szCs w:val="21"/>
          <w:highlight w:val="none"/>
          <w:lang w:val="en-US" w:eastAsia="zh-CN" w:bidi="ar-SA"/>
        </w:rPr>
        <w:t>.5m）</w:t>
      </w:r>
    </w:p>
    <w:p w14:paraId="3D9399DF">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b w:val="0"/>
          <w:bCs/>
          <w:color w:val="auto"/>
          <w:sz w:val="24"/>
          <w:szCs w:val="24"/>
          <w:highlight w:val="none"/>
          <w:lang w:val="zh-CN"/>
        </w:rPr>
      </w:pPr>
      <w:r>
        <w:rPr>
          <w:rFonts w:hint="default" w:ascii="Times New Roman" w:hAnsi="Times New Roman" w:eastAsia="宋体" w:cs="Times New Roman"/>
          <w:b w:val="0"/>
          <w:bCs/>
          <w:color w:val="auto"/>
          <w:sz w:val="24"/>
          <w:szCs w:val="24"/>
          <w:highlight w:val="none"/>
          <w:lang w:val="zh-CN"/>
        </w:rPr>
        <w:t>根据表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1-6</w:t>
      </w:r>
      <w:r>
        <w:rPr>
          <w:rFonts w:hint="default" w:ascii="Times New Roman" w:hAnsi="Times New Roman" w:eastAsia="宋体" w:cs="Times New Roman"/>
          <w:b w:val="0"/>
          <w:bCs/>
          <w:color w:val="auto"/>
          <w:sz w:val="24"/>
          <w:szCs w:val="24"/>
          <w:highlight w:val="none"/>
          <w:lang w:val="zh-CN"/>
        </w:rPr>
        <w:t>、图4</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1-9</w:t>
      </w:r>
      <w:r>
        <w:rPr>
          <w:rFonts w:hint="default" w:ascii="Times New Roman" w:hAnsi="Times New Roman" w:eastAsia="宋体" w:cs="Times New Roman"/>
          <w:b w:val="0"/>
          <w:bCs/>
          <w:color w:val="auto"/>
          <w:sz w:val="24"/>
          <w:szCs w:val="24"/>
          <w:highlight w:val="none"/>
          <w:lang w:val="zh-CN"/>
        </w:rPr>
        <w:t>、图</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1-10</w:t>
      </w:r>
      <w:r>
        <w:rPr>
          <w:rFonts w:hint="default" w:ascii="Times New Roman" w:hAnsi="Times New Roman" w:eastAsia="宋体" w:cs="Times New Roman"/>
          <w:b w:val="0"/>
          <w:bCs/>
          <w:color w:val="auto"/>
          <w:sz w:val="24"/>
          <w:szCs w:val="24"/>
          <w:highlight w:val="none"/>
          <w:lang w:val="zh-CN"/>
        </w:rPr>
        <w:t xml:space="preserve"> 可知，当导线高</w:t>
      </w:r>
      <w:r>
        <w:rPr>
          <w:rFonts w:hint="eastAsia"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zh-CN"/>
        </w:rPr>
        <w:t>m 时，最大工频磁感应强度为</w:t>
      </w:r>
      <w:r>
        <w:rPr>
          <w:rFonts w:hint="eastAsia" w:ascii="Times New Roman" w:hAnsi="Times New Roman" w:eastAsia="宋体" w:cs="Times New Roman"/>
          <w:b w:val="0"/>
          <w:bCs/>
          <w:color w:val="auto"/>
          <w:sz w:val="24"/>
          <w:szCs w:val="24"/>
          <w:highlight w:val="none"/>
          <w:lang w:val="en-US" w:eastAsia="zh-CN"/>
        </w:rPr>
        <w:t>6.10</w:t>
      </w:r>
      <w:r>
        <w:rPr>
          <w:rFonts w:hint="default" w:ascii="Times New Roman" w:hAnsi="Times New Roman" w:eastAsia="宋体" w:cs="Times New Roman"/>
          <w:b w:val="0"/>
          <w:bCs/>
          <w:color w:val="auto"/>
          <w:sz w:val="24"/>
          <w:szCs w:val="24"/>
          <w:highlight w:val="none"/>
          <w:lang w:val="zh-CN"/>
        </w:rPr>
        <w:t>μT；</w:t>
      </w:r>
      <w:r>
        <w:rPr>
          <w:rFonts w:hint="default" w:ascii="Times New Roman" w:hAnsi="Times New Roman" w:eastAsia="宋体" w:cs="Times New Roman"/>
          <w:b w:val="0"/>
          <w:bCs/>
          <w:color w:val="auto"/>
          <w:sz w:val="24"/>
          <w:szCs w:val="24"/>
          <w:highlight w:val="none"/>
          <w:lang w:val="zh-CN" w:eastAsia="zh-CN"/>
        </w:rPr>
        <w:t>当导线高</w:t>
      </w:r>
      <w:r>
        <w:rPr>
          <w:rFonts w:hint="eastAsia" w:ascii="Times New Roman" w:hAnsi="Times New Roman" w:eastAsia="宋体" w:cs="Times New Roman"/>
          <w:b w:val="0"/>
          <w:bCs/>
          <w:color w:val="auto"/>
          <w:sz w:val="24"/>
          <w:szCs w:val="24"/>
          <w:highlight w:val="none"/>
          <w:lang w:val="en-US" w:eastAsia="zh-CN"/>
        </w:rPr>
        <w:t>7.5</w:t>
      </w:r>
      <w:r>
        <w:rPr>
          <w:rFonts w:hint="default" w:ascii="Times New Roman" w:hAnsi="Times New Roman" w:eastAsia="宋体" w:cs="Times New Roman"/>
          <w:b w:val="0"/>
          <w:bCs/>
          <w:color w:val="auto"/>
          <w:sz w:val="24"/>
          <w:szCs w:val="24"/>
          <w:highlight w:val="none"/>
          <w:lang w:val="zh-CN" w:eastAsia="zh-CN"/>
        </w:rPr>
        <w:t>m时，线路架设的最大工频磁感应强度为</w:t>
      </w:r>
      <w:r>
        <w:rPr>
          <w:rFonts w:hint="eastAsia" w:ascii="Times New Roman" w:hAnsi="Times New Roman" w:eastAsia="宋体" w:cs="Times New Roman"/>
          <w:b w:val="0"/>
          <w:bCs/>
          <w:color w:val="auto"/>
          <w:sz w:val="24"/>
          <w:szCs w:val="24"/>
          <w:highlight w:val="none"/>
          <w:lang w:val="en-US" w:eastAsia="zh-CN"/>
        </w:rPr>
        <w:t>5.65</w:t>
      </w:r>
      <w:r>
        <w:rPr>
          <w:rFonts w:hint="default" w:ascii="Times New Roman" w:hAnsi="Times New Roman" w:eastAsia="宋体" w:cs="Times New Roman"/>
          <w:b w:val="0"/>
          <w:bCs/>
          <w:color w:val="auto"/>
          <w:sz w:val="24"/>
          <w:szCs w:val="24"/>
          <w:highlight w:val="none"/>
          <w:lang w:val="zh-CN" w:eastAsia="zh-CN"/>
        </w:rPr>
        <w:t>μT，随着导线对地高度的增加，产生的工频磁感应强度也不断降低，而且在不同高度下产生的工频磁感应强度均远小于0.1mT限值。</w:t>
      </w:r>
      <w:r>
        <w:rPr>
          <w:rFonts w:hint="default" w:ascii="Times New Roman" w:hAnsi="Times New Roman" w:eastAsia="宋体" w:cs="Times New Roman"/>
          <w:b w:val="0"/>
          <w:bCs/>
          <w:color w:val="auto"/>
          <w:sz w:val="24"/>
          <w:szCs w:val="24"/>
          <w:highlight w:val="none"/>
          <w:lang w:val="zh-CN"/>
        </w:rPr>
        <w:t>经预测，产生的最大工频磁感应强度均小于100μT 的控制限值，满足《电磁环境控制限值》（GB 8702-2014）的要求。</w:t>
      </w:r>
    </w:p>
    <w:p w14:paraId="6471C625">
      <w:pPr>
        <w:keepNext w:val="0"/>
        <w:keepLines w:val="0"/>
        <w:pageBreakBefore w:val="0"/>
        <w:widowControl w:val="0"/>
        <w:numPr>
          <w:ilvl w:val="0"/>
          <w:numId w:val="0"/>
        </w:numPr>
        <w:kinsoku/>
        <w:wordWrap w:val="0"/>
        <w:overflowPunct/>
        <w:topLinePunct w:val="0"/>
        <w:bidi w:val="0"/>
        <w:spacing w:line="460" w:lineRule="exact"/>
        <w:ind w:lef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4.2变电站电磁环境影响预测与评价</w:t>
      </w:r>
    </w:p>
    <w:p w14:paraId="0BAFE4D6">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（1）评价方法</w:t>
      </w:r>
    </w:p>
    <w:p w14:paraId="4A022500">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根据《环境影响评价技术导则输变电》（HJ24-2020）要求，本次评价变电站产生的电磁环境影响采用类比分析的方法进行评价。</w:t>
      </w:r>
    </w:p>
    <w:p w14:paraId="5FDA8DC0">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（2）类比对象的选择</w:t>
      </w:r>
    </w:p>
    <w:p w14:paraId="288CEC9C">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本次评价主要依据建设规模、电压等级、主变容量、总平面布置、占地面积、出线型式、电气形式及运行工况等因素选择类比对象，类比对象可比性分析结果见表</w:t>
      </w:r>
      <w:r>
        <w:rPr>
          <w:rFonts w:hint="eastAsia" w:ascii="Times New Roman" w:hAnsi="Times New Roman" w:eastAsia="宋体" w:cs="Times New Roman"/>
          <w:color w:val="auto"/>
          <w:kern w:val="0"/>
          <w:sz w:val="24"/>
          <w:szCs w:val="24"/>
          <w:highlight w:val="none"/>
          <w:lang w:val="en-US" w:eastAsia="zh-CN" w:bidi="ar-SA"/>
        </w:rPr>
        <w:t>4.2</w:t>
      </w:r>
      <w:r>
        <w:rPr>
          <w:rFonts w:hint="default" w:ascii="Times New Roman" w:hAnsi="Times New Roman" w:eastAsia="宋体" w:cs="Times New Roman"/>
          <w:color w:val="auto"/>
          <w:kern w:val="0"/>
          <w:sz w:val="24"/>
          <w:szCs w:val="24"/>
          <w:highlight w:val="none"/>
          <w:lang w:val="en-US" w:eastAsia="zh-CN" w:bidi="ar-SA"/>
        </w:rPr>
        <w:t>-1。</w:t>
      </w:r>
    </w:p>
    <w:p w14:paraId="401E584E">
      <w:pPr>
        <w:keepNext w:val="0"/>
        <w:keepLines w:val="0"/>
        <w:pageBreakBefore w:val="0"/>
        <w:widowControl/>
        <w:kinsoku w:val="0"/>
        <w:wordWrap/>
        <w:overflowPunct/>
        <w:topLinePunct w:val="0"/>
        <w:autoSpaceDE w:val="0"/>
        <w:autoSpaceDN w:val="0"/>
        <w:bidi w:val="0"/>
        <w:adjustRightInd w:val="0"/>
        <w:snapToGrid w:val="0"/>
        <w:spacing w:before="168" w:beforeLines="50" w:line="192" w:lineRule="auto"/>
        <w:ind w:left="0"/>
        <w:jc w:val="center"/>
        <w:textAlignment w:val="baseline"/>
        <w:rPr>
          <w:rFonts w:ascii="宋体" w:hAnsi="宋体" w:eastAsia="宋体" w:cs="宋体"/>
          <w:snapToGrid w:val="0"/>
          <w:color w:val="auto"/>
          <w:kern w:val="0"/>
          <w:sz w:val="21"/>
          <w:szCs w:val="21"/>
          <w:lang w:eastAsia="en-US"/>
        </w:rPr>
      </w:pPr>
      <w:r>
        <w:rPr>
          <w:rFonts w:hint="default" w:ascii="Times New Roman" w:hAnsi="Times New Roman" w:eastAsia="宋体" w:cs="Times New Roman"/>
          <w:b/>
          <w:bCs/>
          <w:snapToGrid w:val="0"/>
          <w:color w:val="auto"/>
          <w:spacing w:val="-3"/>
          <w:kern w:val="0"/>
          <w:sz w:val="21"/>
          <w:szCs w:val="21"/>
          <w:lang w:eastAsia="en-US"/>
        </w:rPr>
        <w:t>表</w:t>
      </w:r>
      <w:r>
        <w:rPr>
          <w:rFonts w:hint="eastAsia" w:ascii="Times New Roman" w:hAnsi="Times New Roman" w:eastAsia="宋体" w:cs="Times New Roman"/>
          <w:b/>
          <w:bCs/>
          <w:snapToGrid w:val="0"/>
          <w:color w:val="auto"/>
          <w:spacing w:val="-3"/>
          <w:kern w:val="0"/>
          <w:sz w:val="21"/>
          <w:szCs w:val="21"/>
          <w:lang w:val="en-US" w:eastAsia="zh-CN"/>
        </w:rPr>
        <w:t>4.2</w:t>
      </w:r>
      <w:r>
        <w:rPr>
          <w:rFonts w:hint="default" w:ascii="Times New Roman" w:hAnsi="Times New Roman" w:eastAsia="宋体" w:cs="Times New Roman"/>
          <w:b/>
          <w:bCs/>
          <w:snapToGrid w:val="0"/>
          <w:color w:val="auto"/>
          <w:spacing w:val="-3"/>
          <w:kern w:val="0"/>
          <w:sz w:val="21"/>
          <w:szCs w:val="21"/>
          <w:lang w:eastAsia="en-US"/>
        </w:rPr>
        <w:t>-1</w:t>
      </w:r>
      <w:r>
        <w:rPr>
          <w:rFonts w:hint="eastAsia" w:ascii="Times New Roman" w:hAnsi="Times New Roman" w:eastAsia="宋体" w:cs="Times New Roman"/>
          <w:b/>
          <w:bCs/>
          <w:snapToGrid w:val="0"/>
          <w:color w:val="auto"/>
          <w:spacing w:val="-3"/>
          <w:kern w:val="0"/>
          <w:sz w:val="21"/>
          <w:szCs w:val="21"/>
          <w:lang w:val="en-US" w:eastAsia="zh-CN"/>
        </w:rPr>
        <w:t xml:space="preserve"> </w:t>
      </w:r>
      <w:r>
        <w:rPr>
          <w:rFonts w:hint="default" w:ascii="Times New Roman" w:hAnsi="Times New Roman" w:eastAsia="宋体" w:cs="Times New Roman"/>
          <w:b/>
          <w:bCs/>
          <w:snapToGrid w:val="0"/>
          <w:color w:val="auto"/>
          <w:spacing w:val="-3"/>
          <w:kern w:val="0"/>
          <w:sz w:val="21"/>
          <w:szCs w:val="21"/>
          <w:lang w:eastAsia="en-US"/>
        </w:rPr>
        <w:t>类比对象可比性分析结果</w:t>
      </w:r>
    </w:p>
    <w:tbl>
      <w:tblPr>
        <w:tblStyle w:val="115"/>
        <w:tblW w:w="500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2"/>
        <w:gridCol w:w="2053"/>
        <w:gridCol w:w="2776"/>
        <w:gridCol w:w="2866"/>
      </w:tblGrid>
      <w:tr w14:paraId="1BD46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770" w:type="pct"/>
            <w:vAlign w:val="center"/>
          </w:tcPr>
          <w:p w14:paraId="4551A70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项 目</w:t>
            </w:r>
          </w:p>
        </w:tc>
        <w:tc>
          <w:tcPr>
            <w:tcW w:w="1128" w:type="pct"/>
            <w:vAlign w:val="center"/>
          </w:tcPr>
          <w:p w14:paraId="2875494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1"/>
                <w:kern w:val="0"/>
                <w:sz w:val="21"/>
                <w:szCs w:val="21"/>
                <w:lang w:val="en-US" w:eastAsia="zh-CN" w:bidi="ar-SA"/>
              </w:rPr>
              <w:t>火山云二期扩容22</w:t>
            </w:r>
            <w:r>
              <w:rPr>
                <w:rFonts w:hint="default" w:ascii="Times New Roman" w:hAnsi="Times New Roman" w:eastAsia="宋体" w:cs="Times New Roman"/>
                <w:snapToGrid w:val="0"/>
                <w:color w:val="auto"/>
                <w:spacing w:val="-1"/>
                <w:kern w:val="0"/>
                <w:sz w:val="21"/>
                <w:szCs w:val="21"/>
                <w:lang w:val="en-US" w:eastAsia="en-US" w:bidi="ar-SA"/>
              </w:rPr>
              <w:t>0kV变</w:t>
            </w:r>
            <w:r>
              <w:rPr>
                <w:rFonts w:hint="default" w:ascii="Times New Roman" w:hAnsi="Times New Roman" w:eastAsia="宋体" w:cs="Times New Roman"/>
                <w:snapToGrid w:val="0"/>
                <w:color w:val="auto"/>
                <w:spacing w:val="6"/>
                <w:kern w:val="0"/>
                <w:sz w:val="21"/>
                <w:szCs w:val="21"/>
                <w:lang w:val="en-US" w:eastAsia="en-US" w:bidi="ar-SA"/>
              </w:rPr>
              <w:t>电站(本工程)</w:t>
            </w:r>
          </w:p>
        </w:tc>
        <w:tc>
          <w:tcPr>
            <w:tcW w:w="1525" w:type="pct"/>
            <w:vAlign w:val="center"/>
          </w:tcPr>
          <w:p w14:paraId="788950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火山云二期220kV</w:t>
            </w:r>
            <w:r>
              <w:rPr>
                <w:rFonts w:hint="eastAsia" w:ascii="Times New Roman" w:hAnsi="Times New Roman" w:eastAsia="宋体" w:cs="Times New Roman"/>
                <w:snapToGrid w:val="0"/>
                <w:color w:val="auto"/>
                <w:spacing w:val="1"/>
                <w:kern w:val="0"/>
                <w:sz w:val="21"/>
                <w:szCs w:val="21"/>
                <w:lang w:val="en-US" w:eastAsia="zh-CN" w:bidi="ar-SA"/>
              </w:rPr>
              <w:t>变电站</w:t>
            </w:r>
            <w:r>
              <w:rPr>
                <w:rFonts w:hint="default" w:ascii="Times New Roman" w:hAnsi="Times New Roman" w:eastAsia="宋体" w:cs="Times New Roman"/>
                <w:snapToGrid w:val="0"/>
                <w:color w:val="auto"/>
                <w:spacing w:val="6"/>
                <w:kern w:val="0"/>
                <w:sz w:val="21"/>
                <w:szCs w:val="21"/>
                <w:lang w:val="en-US" w:eastAsia="en-US" w:bidi="ar-SA"/>
              </w:rPr>
              <w:t>(类比对象)</w:t>
            </w:r>
          </w:p>
        </w:tc>
        <w:tc>
          <w:tcPr>
            <w:tcW w:w="1574" w:type="pct"/>
            <w:vAlign w:val="center"/>
          </w:tcPr>
          <w:p w14:paraId="69D1769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可比性</w:t>
            </w:r>
          </w:p>
        </w:tc>
      </w:tr>
      <w:tr w14:paraId="0DDBB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70" w:type="pct"/>
            <w:vAlign w:val="center"/>
          </w:tcPr>
          <w:p w14:paraId="422EE22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电压等级</w:t>
            </w:r>
          </w:p>
          <w:p w14:paraId="4952AF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/kV</w:t>
            </w:r>
          </w:p>
        </w:tc>
        <w:tc>
          <w:tcPr>
            <w:tcW w:w="1128" w:type="pct"/>
            <w:vAlign w:val="center"/>
          </w:tcPr>
          <w:p w14:paraId="16E7764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220/10.5/10.5kV</w:t>
            </w:r>
          </w:p>
        </w:tc>
        <w:tc>
          <w:tcPr>
            <w:tcW w:w="1525" w:type="pct"/>
            <w:vAlign w:val="center"/>
          </w:tcPr>
          <w:p w14:paraId="4DF3575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220KV/10KV</w:t>
            </w:r>
          </w:p>
        </w:tc>
        <w:tc>
          <w:tcPr>
            <w:tcW w:w="1574" w:type="pct"/>
            <w:vAlign w:val="center"/>
          </w:tcPr>
          <w:p w14:paraId="6D72360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相同</w:t>
            </w:r>
          </w:p>
        </w:tc>
      </w:tr>
      <w:tr w14:paraId="0C7E4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70" w:type="pct"/>
            <w:vAlign w:val="center"/>
          </w:tcPr>
          <w:p w14:paraId="4A3959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主变容量</w:t>
            </w:r>
          </w:p>
        </w:tc>
        <w:tc>
          <w:tcPr>
            <w:tcW w:w="1128" w:type="pct"/>
            <w:vAlign w:val="center"/>
          </w:tcPr>
          <w:p w14:paraId="2C0E8EF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position w:val="-2"/>
                <w:sz w:val="21"/>
                <w:szCs w:val="21"/>
                <w:lang w:val="en-US" w:eastAsia="zh-CN" w:bidi="ar-SA"/>
              </w:rPr>
              <w:t>3</w:t>
            </w:r>
            <w:r>
              <w:rPr>
                <w:rFonts w:hint="default" w:ascii="Times New Roman" w:hAnsi="Times New Roman" w:eastAsia="宋体" w:cs="Times New Roman"/>
                <w:snapToGrid w:val="0"/>
                <w:color w:val="auto"/>
                <w:spacing w:val="-2"/>
                <w:kern w:val="0"/>
                <w:position w:val="-2"/>
                <w:sz w:val="21"/>
                <w:szCs w:val="21"/>
                <w:lang w:val="en-US" w:eastAsia="en-US" w:bidi="ar-SA"/>
              </w:rPr>
              <w:t>×</w:t>
            </w:r>
            <w:r>
              <w:rPr>
                <w:rFonts w:hint="eastAsia" w:ascii="Times New Roman" w:hAnsi="Times New Roman" w:eastAsia="宋体" w:cs="Times New Roman"/>
                <w:snapToGrid w:val="0"/>
                <w:color w:val="auto"/>
                <w:spacing w:val="-2"/>
                <w:kern w:val="0"/>
                <w:position w:val="-2"/>
                <w:sz w:val="21"/>
                <w:szCs w:val="21"/>
                <w:lang w:val="en-US" w:eastAsia="zh-CN" w:bidi="ar-SA"/>
              </w:rPr>
              <w:t>1</w:t>
            </w:r>
            <w:r>
              <w:rPr>
                <w:rFonts w:hint="default" w:ascii="Times New Roman" w:hAnsi="Times New Roman" w:eastAsia="宋体" w:cs="Times New Roman"/>
                <w:snapToGrid w:val="0"/>
                <w:color w:val="auto"/>
                <w:spacing w:val="-2"/>
                <w:kern w:val="0"/>
                <w:position w:val="-2"/>
                <w:sz w:val="21"/>
                <w:szCs w:val="21"/>
                <w:lang w:val="en-US" w:eastAsia="en-US" w:bidi="ar-SA"/>
              </w:rPr>
              <w:t>50MVA</w:t>
            </w:r>
          </w:p>
        </w:tc>
        <w:tc>
          <w:tcPr>
            <w:tcW w:w="1525" w:type="pct"/>
            <w:vAlign w:val="center"/>
          </w:tcPr>
          <w:p w14:paraId="47C3AE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spacing w:val="-2"/>
                <w:kern w:val="0"/>
                <w:position w:val="-2"/>
                <w:sz w:val="21"/>
                <w:szCs w:val="21"/>
                <w:lang w:val="en-US" w:eastAsia="zh-CN" w:bidi="ar-SA"/>
              </w:rPr>
              <w:t>3</w:t>
            </w:r>
            <w:r>
              <w:rPr>
                <w:rFonts w:hint="default" w:ascii="Times New Roman" w:hAnsi="Times New Roman" w:eastAsia="宋体" w:cs="Times New Roman"/>
                <w:snapToGrid w:val="0"/>
                <w:color w:val="auto"/>
                <w:spacing w:val="-2"/>
                <w:kern w:val="0"/>
                <w:position w:val="-2"/>
                <w:sz w:val="21"/>
                <w:szCs w:val="21"/>
                <w:lang w:val="en-US" w:eastAsia="en-US" w:bidi="ar-SA"/>
              </w:rPr>
              <w:t>×</w:t>
            </w:r>
            <w:r>
              <w:rPr>
                <w:rFonts w:hint="eastAsia" w:ascii="Times New Roman" w:hAnsi="Times New Roman" w:eastAsia="宋体" w:cs="Times New Roman"/>
                <w:snapToGrid w:val="0"/>
                <w:color w:val="auto"/>
                <w:spacing w:val="-2"/>
                <w:kern w:val="0"/>
                <w:position w:val="-2"/>
                <w:sz w:val="21"/>
                <w:szCs w:val="21"/>
                <w:lang w:val="en-US" w:eastAsia="zh-CN" w:bidi="ar-SA"/>
              </w:rPr>
              <w:t>1</w:t>
            </w:r>
            <w:r>
              <w:rPr>
                <w:rFonts w:hint="default" w:ascii="Times New Roman" w:hAnsi="Times New Roman" w:eastAsia="宋体" w:cs="Times New Roman"/>
                <w:snapToGrid w:val="0"/>
                <w:color w:val="auto"/>
                <w:spacing w:val="-2"/>
                <w:kern w:val="0"/>
                <w:position w:val="-2"/>
                <w:sz w:val="21"/>
                <w:szCs w:val="21"/>
                <w:lang w:val="en-US" w:eastAsia="en-US" w:bidi="ar-SA"/>
              </w:rPr>
              <w:t>50MVA（2用1备）</w:t>
            </w:r>
          </w:p>
        </w:tc>
        <w:tc>
          <w:tcPr>
            <w:tcW w:w="1574" w:type="pct"/>
            <w:vAlign w:val="center"/>
          </w:tcPr>
          <w:p w14:paraId="2517525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8"/>
                <w:kern w:val="0"/>
                <w:sz w:val="21"/>
                <w:szCs w:val="21"/>
                <w:lang w:val="en-US" w:eastAsia="zh-CN" w:bidi="ar-SA"/>
              </w:rPr>
              <w:t>相似</w:t>
            </w:r>
          </w:p>
        </w:tc>
      </w:tr>
      <w:tr w14:paraId="31026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70" w:type="pct"/>
            <w:vAlign w:val="center"/>
          </w:tcPr>
          <w:p w14:paraId="7DF9B05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总平面布置</w:t>
            </w:r>
          </w:p>
        </w:tc>
        <w:tc>
          <w:tcPr>
            <w:tcW w:w="1128" w:type="pct"/>
            <w:vAlign w:val="center"/>
          </w:tcPr>
          <w:p w14:paraId="21FE3A6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户</w:t>
            </w:r>
            <w:r>
              <w:rPr>
                <w:rFonts w:hint="eastAsia" w:ascii="Times New Roman" w:hAnsi="Times New Roman" w:eastAsia="宋体" w:cs="Times New Roman"/>
                <w:snapToGrid w:val="0"/>
                <w:color w:val="auto"/>
                <w:spacing w:val="-2"/>
                <w:kern w:val="0"/>
                <w:sz w:val="21"/>
                <w:szCs w:val="21"/>
                <w:lang w:val="en-US" w:eastAsia="zh-CN" w:bidi="ar-SA"/>
              </w:rPr>
              <w:t>内</w:t>
            </w:r>
            <w:r>
              <w:rPr>
                <w:rFonts w:hint="default" w:ascii="Times New Roman" w:hAnsi="Times New Roman" w:eastAsia="宋体" w:cs="Times New Roman"/>
                <w:snapToGrid w:val="0"/>
                <w:color w:val="auto"/>
                <w:spacing w:val="-2"/>
                <w:kern w:val="0"/>
                <w:sz w:val="21"/>
                <w:szCs w:val="21"/>
                <w:lang w:val="en-US" w:eastAsia="en-US" w:bidi="ar-SA"/>
              </w:rPr>
              <w:t>布置，主变</w:t>
            </w:r>
            <w:r>
              <w:rPr>
                <w:rFonts w:hint="default" w:ascii="Times New Roman" w:hAnsi="Times New Roman" w:eastAsia="宋体" w:cs="Times New Roman"/>
                <w:snapToGrid w:val="0"/>
                <w:color w:val="auto"/>
                <w:spacing w:val="2"/>
                <w:kern w:val="0"/>
                <w:sz w:val="21"/>
                <w:szCs w:val="21"/>
                <w:lang w:val="en-US" w:eastAsia="en-US" w:bidi="ar-SA"/>
              </w:rPr>
              <w:t>压器布置在中间</w:t>
            </w:r>
          </w:p>
        </w:tc>
        <w:tc>
          <w:tcPr>
            <w:tcW w:w="1525" w:type="pct"/>
            <w:vAlign w:val="center"/>
          </w:tcPr>
          <w:p w14:paraId="770CBF7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户</w:t>
            </w:r>
            <w:r>
              <w:rPr>
                <w:rFonts w:hint="eastAsia" w:ascii="Times New Roman" w:hAnsi="Times New Roman" w:eastAsia="宋体" w:cs="Times New Roman"/>
                <w:snapToGrid w:val="0"/>
                <w:color w:val="auto"/>
                <w:spacing w:val="-1"/>
                <w:kern w:val="0"/>
                <w:sz w:val="21"/>
                <w:szCs w:val="21"/>
                <w:lang w:val="en-US" w:eastAsia="zh-CN" w:bidi="ar-SA"/>
              </w:rPr>
              <w:t>内</w:t>
            </w:r>
            <w:r>
              <w:rPr>
                <w:rFonts w:hint="default" w:ascii="Times New Roman" w:hAnsi="Times New Roman" w:eastAsia="宋体" w:cs="Times New Roman"/>
                <w:snapToGrid w:val="0"/>
                <w:color w:val="auto"/>
                <w:spacing w:val="-1"/>
                <w:kern w:val="0"/>
                <w:sz w:val="21"/>
                <w:szCs w:val="21"/>
                <w:lang w:val="en-US" w:eastAsia="en-US" w:bidi="ar-SA"/>
              </w:rPr>
              <w:t>布置，主变压器布置</w:t>
            </w:r>
            <w:r>
              <w:rPr>
                <w:rFonts w:hint="default" w:ascii="Times New Roman" w:hAnsi="Times New Roman" w:eastAsia="宋体" w:cs="Times New Roman"/>
                <w:snapToGrid w:val="0"/>
                <w:color w:val="auto"/>
                <w:spacing w:val="6"/>
                <w:kern w:val="0"/>
                <w:sz w:val="21"/>
                <w:szCs w:val="21"/>
                <w:lang w:val="en-US" w:eastAsia="en-US" w:bidi="ar-SA"/>
              </w:rPr>
              <w:t>在中间</w:t>
            </w:r>
          </w:p>
        </w:tc>
        <w:tc>
          <w:tcPr>
            <w:tcW w:w="1574" w:type="pct"/>
            <w:vAlign w:val="center"/>
          </w:tcPr>
          <w:p w14:paraId="7B9B848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相同</w:t>
            </w:r>
          </w:p>
        </w:tc>
      </w:tr>
      <w:tr w14:paraId="4AD68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8" w:hRule="atLeast"/>
        </w:trPr>
        <w:tc>
          <w:tcPr>
            <w:tcW w:w="770" w:type="pct"/>
            <w:vAlign w:val="center"/>
          </w:tcPr>
          <w:p w14:paraId="2703C97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占地面积</w:t>
            </w:r>
            <w:r>
              <w:rPr>
                <w:rFonts w:hint="default" w:ascii="Times New Roman" w:hAnsi="Times New Roman" w:eastAsia="宋体" w:cs="Times New Roman"/>
                <w:snapToGrid w:val="0"/>
                <w:color w:val="auto"/>
                <w:kern w:val="0"/>
                <w:sz w:val="21"/>
                <w:szCs w:val="21"/>
                <w:lang w:val="en-US" w:eastAsia="en-US" w:bidi="ar-SA"/>
              </w:rPr>
              <w:t xml:space="preserve"> </w:t>
            </w:r>
            <w:r>
              <w:rPr>
                <w:rFonts w:hint="default" w:ascii="Times New Roman" w:hAnsi="Times New Roman" w:eastAsia="宋体" w:cs="Times New Roman"/>
                <w:snapToGrid w:val="0"/>
                <w:color w:val="auto"/>
                <w:spacing w:val="-2"/>
                <w:kern w:val="0"/>
                <w:sz w:val="21"/>
                <w:szCs w:val="21"/>
                <w:lang w:val="en-US" w:eastAsia="en-US" w:bidi="ar-SA"/>
              </w:rPr>
              <w:t>/m²</w:t>
            </w:r>
          </w:p>
        </w:tc>
        <w:tc>
          <w:tcPr>
            <w:tcW w:w="1128" w:type="pct"/>
            <w:vAlign w:val="center"/>
          </w:tcPr>
          <w:p w14:paraId="1E4DDE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2230.94</w:t>
            </w:r>
          </w:p>
        </w:tc>
        <w:tc>
          <w:tcPr>
            <w:tcW w:w="1525" w:type="pct"/>
            <w:vAlign w:val="center"/>
          </w:tcPr>
          <w:p w14:paraId="2059B87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3"/>
                <w:kern w:val="0"/>
                <w:sz w:val="21"/>
                <w:szCs w:val="21"/>
                <w:lang w:val="en-US" w:eastAsia="zh-CN" w:bidi="ar-SA"/>
              </w:rPr>
              <w:t>2133</w:t>
            </w:r>
          </w:p>
        </w:tc>
        <w:tc>
          <w:tcPr>
            <w:tcW w:w="1574" w:type="pct"/>
            <w:vAlign w:val="center"/>
          </w:tcPr>
          <w:p w14:paraId="01F9D37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1"/>
                <w:kern w:val="0"/>
                <w:sz w:val="21"/>
                <w:szCs w:val="21"/>
                <w:lang w:val="en-US" w:eastAsia="zh-CN" w:bidi="ar-SA"/>
              </w:rPr>
              <w:t>相似</w:t>
            </w:r>
          </w:p>
        </w:tc>
      </w:tr>
      <w:tr w14:paraId="1B2E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70" w:type="pct"/>
            <w:vAlign w:val="center"/>
          </w:tcPr>
          <w:p w14:paraId="28F23F9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出线形式</w:t>
            </w:r>
          </w:p>
        </w:tc>
        <w:tc>
          <w:tcPr>
            <w:tcW w:w="1128" w:type="pct"/>
            <w:vAlign w:val="center"/>
          </w:tcPr>
          <w:p w14:paraId="35F9EB8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4"/>
                <w:kern w:val="0"/>
                <w:sz w:val="21"/>
                <w:szCs w:val="21"/>
                <w:lang w:val="en-US" w:eastAsia="zh-CN" w:bidi="ar-SA"/>
              </w:rPr>
              <w:t>架空</w:t>
            </w:r>
          </w:p>
        </w:tc>
        <w:tc>
          <w:tcPr>
            <w:tcW w:w="1525" w:type="pct"/>
            <w:vAlign w:val="center"/>
          </w:tcPr>
          <w:p w14:paraId="62D0990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架空+电缆</w:t>
            </w:r>
          </w:p>
        </w:tc>
        <w:tc>
          <w:tcPr>
            <w:tcW w:w="1574" w:type="pct"/>
            <w:vAlign w:val="center"/>
          </w:tcPr>
          <w:p w14:paraId="3F4E479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1"/>
                <w:kern w:val="0"/>
                <w:sz w:val="21"/>
                <w:szCs w:val="21"/>
                <w:lang w:val="en-US" w:eastAsia="zh-CN" w:bidi="ar-SA"/>
              </w:rPr>
              <w:t>相似</w:t>
            </w:r>
          </w:p>
        </w:tc>
      </w:tr>
      <w:tr w14:paraId="6631B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70" w:type="pct"/>
            <w:vAlign w:val="center"/>
          </w:tcPr>
          <w:p w14:paraId="5F25E93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电气形式</w:t>
            </w:r>
          </w:p>
        </w:tc>
        <w:tc>
          <w:tcPr>
            <w:tcW w:w="1128" w:type="pct"/>
            <w:vAlign w:val="center"/>
          </w:tcPr>
          <w:p w14:paraId="0FBBC9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GIS室户内布置</w:t>
            </w:r>
          </w:p>
        </w:tc>
        <w:tc>
          <w:tcPr>
            <w:tcW w:w="1525" w:type="pct"/>
            <w:vAlign w:val="center"/>
          </w:tcPr>
          <w:p w14:paraId="6B60C76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GIS室户内布置</w:t>
            </w:r>
          </w:p>
        </w:tc>
        <w:tc>
          <w:tcPr>
            <w:tcW w:w="1574" w:type="pct"/>
            <w:vAlign w:val="center"/>
          </w:tcPr>
          <w:p w14:paraId="1B6E40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1"/>
                <w:kern w:val="0"/>
                <w:sz w:val="21"/>
                <w:szCs w:val="21"/>
                <w:lang w:val="en-US" w:eastAsia="zh-CN" w:bidi="ar-SA"/>
              </w:rPr>
              <w:t>相同</w:t>
            </w:r>
          </w:p>
        </w:tc>
      </w:tr>
    </w:tbl>
    <w:p w14:paraId="15C08DC2">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类比站选取的合理性分析</w:t>
      </w:r>
    </w:p>
    <w:p w14:paraId="678DB557">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en-US" w:eastAsia="zh-CN" w:bidi="ar-SA"/>
        </w:rPr>
        <w:t>电压等级</w:t>
      </w:r>
    </w:p>
    <w:p w14:paraId="60705F0B">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本项目拟建变电站与类比的火山云二期220kV变电站的电压等级均为</w:t>
      </w:r>
      <w:r>
        <w:rPr>
          <w:rFonts w:hint="eastAsia" w:ascii="Times New Roman" w:hAnsi="Times New Roman" w:eastAsia="宋体" w:cs="Times New Roman"/>
          <w:color w:val="auto"/>
          <w:kern w:val="0"/>
          <w:sz w:val="24"/>
          <w:szCs w:val="24"/>
          <w:highlight w:val="none"/>
          <w:lang w:val="en-US" w:eastAsia="zh-CN" w:bidi="ar-SA"/>
        </w:rPr>
        <w:t>220</w:t>
      </w:r>
      <w:r>
        <w:rPr>
          <w:rFonts w:hint="default" w:ascii="Times New Roman" w:hAnsi="Times New Roman" w:eastAsia="宋体" w:cs="Times New Roman"/>
          <w:color w:val="auto"/>
          <w:kern w:val="0"/>
          <w:sz w:val="24"/>
          <w:szCs w:val="24"/>
          <w:highlight w:val="none"/>
          <w:lang w:val="en-US" w:eastAsia="zh-CN" w:bidi="ar-SA"/>
        </w:rPr>
        <w:t>kV</w:t>
      </w:r>
      <w:r>
        <w:rPr>
          <w:rFonts w:hint="eastAsia" w:ascii="Times New Roman" w:hAnsi="Times New Roman" w:eastAsia="宋体" w:cs="Times New Roman"/>
          <w:color w:val="auto"/>
          <w:kern w:val="0"/>
          <w:sz w:val="24"/>
          <w:szCs w:val="24"/>
          <w:highlight w:val="none"/>
          <w:lang w:val="en-US" w:eastAsia="zh-CN" w:bidi="ar-SA"/>
        </w:rPr>
        <w:t>，类比条件</w:t>
      </w:r>
      <w:r>
        <w:rPr>
          <w:rFonts w:hint="default" w:ascii="Times New Roman" w:hAnsi="Times New Roman" w:eastAsia="宋体" w:cs="Times New Roman"/>
          <w:color w:val="auto"/>
          <w:kern w:val="0"/>
          <w:sz w:val="24"/>
          <w:szCs w:val="24"/>
          <w:highlight w:val="none"/>
          <w:lang w:val="en-US" w:eastAsia="zh-CN" w:bidi="ar-SA"/>
        </w:rPr>
        <w:t>接近。根据电磁环境影响分析，电压等级是影响电磁环境的主要因素，选用其作为类比分析对象较为合理。</w:t>
      </w:r>
    </w:p>
    <w:p w14:paraId="645E9D64">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变电站的布置方式</w:t>
      </w:r>
    </w:p>
    <w:p w14:paraId="1A102BAE">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本工程变电站电气设备采用户内GIS布置，出线方式为架空。而火山云二期220kV变电站电气设备采用户内GIS布置，出线方式为架空。本工程变电站的电气布置形式</w:t>
      </w:r>
      <w:r>
        <w:rPr>
          <w:rFonts w:hint="eastAsia" w:ascii="Times New Roman" w:hAnsi="Times New Roman" w:eastAsia="宋体" w:cs="Times New Roman"/>
          <w:color w:val="auto"/>
          <w:kern w:val="0"/>
          <w:sz w:val="24"/>
          <w:szCs w:val="24"/>
          <w:highlight w:val="none"/>
          <w:lang w:val="en-US" w:eastAsia="zh-CN" w:bidi="ar-SA"/>
        </w:rPr>
        <w:t>与类比对象相同</w:t>
      </w:r>
      <w:r>
        <w:rPr>
          <w:rFonts w:hint="default" w:ascii="Times New Roman" w:hAnsi="Times New Roman" w:eastAsia="宋体" w:cs="Times New Roman"/>
          <w:color w:val="auto"/>
          <w:kern w:val="0"/>
          <w:sz w:val="24"/>
          <w:szCs w:val="24"/>
          <w:highlight w:val="none"/>
          <w:lang w:val="en-US" w:eastAsia="zh-CN" w:bidi="ar-SA"/>
        </w:rPr>
        <w:t>。</w:t>
      </w:r>
    </w:p>
    <w:p w14:paraId="76EBF760">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环境条件</w:t>
      </w:r>
    </w:p>
    <w:p w14:paraId="26D5BC04">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本工程变电站</w:t>
      </w:r>
      <w:r>
        <w:rPr>
          <w:rFonts w:hint="eastAsia" w:ascii="Times New Roman" w:hAnsi="Times New Roman" w:eastAsia="宋体" w:cs="Times New Roman"/>
          <w:color w:val="auto"/>
          <w:kern w:val="0"/>
          <w:sz w:val="24"/>
          <w:szCs w:val="24"/>
          <w:highlight w:val="none"/>
          <w:lang w:val="en-US" w:eastAsia="zh-CN" w:bidi="ar-SA"/>
        </w:rPr>
        <w:t>与</w:t>
      </w:r>
      <w:r>
        <w:rPr>
          <w:rFonts w:hint="default" w:ascii="Times New Roman" w:hAnsi="Times New Roman" w:eastAsia="宋体" w:cs="Times New Roman"/>
          <w:color w:val="auto"/>
          <w:kern w:val="0"/>
          <w:sz w:val="24"/>
          <w:szCs w:val="24"/>
          <w:highlight w:val="none"/>
          <w:lang w:val="en-US" w:eastAsia="zh-CN" w:bidi="ar-SA"/>
        </w:rPr>
        <w:t>类比站</w:t>
      </w:r>
      <w:r>
        <w:rPr>
          <w:rFonts w:hint="eastAsia" w:ascii="Times New Roman" w:hAnsi="Times New Roman" w:eastAsia="宋体" w:cs="Times New Roman"/>
          <w:color w:val="auto"/>
          <w:kern w:val="0"/>
          <w:sz w:val="24"/>
          <w:szCs w:val="24"/>
          <w:highlight w:val="none"/>
          <w:lang w:val="en-US" w:eastAsia="zh-CN" w:bidi="ar-SA"/>
        </w:rPr>
        <w:t>位置较近</w:t>
      </w:r>
      <w:r>
        <w:rPr>
          <w:rFonts w:hint="default" w:ascii="Times New Roman" w:hAnsi="Times New Roman" w:eastAsia="宋体" w:cs="Times New Roman"/>
          <w:color w:val="auto"/>
          <w:kern w:val="0"/>
          <w:sz w:val="24"/>
          <w:szCs w:val="24"/>
          <w:highlight w:val="none"/>
          <w:lang w:val="en-US" w:eastAsia="zh-CN" w:bidi="ar-SA"/>
        </w:rPr>
        <w:t>，二者所处区域周边均为农用地，环境气候基本一致。</w:t>
      </w:r>
    </w:p>
    <w:p w14:paraId="44D911D4">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从电压等级、电气设备布置方式、主变数量及布置方式、进出线方式、环境条件等分析，选用火山云二期220kV变电站的类比监测结果来预测分析本工程变电站建成后的电磁环境影响是合理的，可反映本工程变电站建成后对周围的电磁环境影响水平。</w:t>
      </w:r>
    </w:p>
    <w:p w14:paraId="5716F389">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eastAsia" w:ascii="Times New Roman" w:hAnsi="Times New Roman" w:eastAsia="宋体"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en-US" w:bidi="ar-SA"/>
        </w:rPr>
        <w:t>类比监测</w:t>
      </w:r>
    </w:p>
    <w:p w14:paraId="3B6E85F7">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eastAsia" w:ascii="Times New Roman" w:hAnsi="Times New Roman" w:eastAsia="宋体"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en-US" w:eastAsia="en-US" w:bidi="ar-SA"/>
        </w:rPr>
        <w:t>监测内容</w:t>
      </w:r>
    </w:p>
    <w:p w14:paraId="4740B48C">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①监测项目</w:t>
      </w:r>
    </w:p>
    <w:p w14:paraId="018F9876">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地面1.5m高处的工频电场强度、工频磁感应强度。</w:t>
      </w:r>
    </w:p>
    <w:p w14:paraId="7D8FABDF">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②监测方法</w:t>
      </w:r>
    </w:p>
    <w:p w14:paraId="4B834BC5">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采用《交流输变电工程电磁环境监测方法(试行)》 (HJ681-2013)规定方法进行。</w:t>
      </w:r>
    </w:p>
    <w:p w14:paraId="4505DB0F">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eastAsia" w:ascii="Times New Roman" w:hAnsi="Times New Roman" w:eastAsia="宋体"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en-US" w:bidi="ar-SA"/>
        </w:rPr>
        <w:t>监测数据与评价</w:t>
      </w:r>
    </w:p>
    <w:p w14:paraId="6364AAB0">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①类比监测结果</w:t>
      </w:r>
    </w:p>
    <w:p w14:paraId="40B0FC2C">
      <w:pPr>
        <w:keepNext w:val="0"/>
        <w:keepLines w:val="0"/>
        <w:pageBreakBefore w:val="0"/>
        <w:widowControl/>
        <w:kinsoku w:val="0"/>
        <w:wordWrap/>
        <w:overflowPunct/>
        <w:topLinePunct w:val="0"/>
        <w:autoSpaceDE w:val="0"/>
        <w:autoSpaceDN w:val="0"/>
        <w:bidi w:val="0"/>
        <w:adjustRightInd w:val="0"/>
        <w:snapToGrid w:val="0"/>
        <w:spacing w:before="168" w:beforeLines="50" w:line="192" w:lineRule="auto"/>
        <w:ind w:left="0"/>
        <w:jc w:val="center"/>
        <w:textAlignment w:val="baseline"/>
        <w:rPr>
          <w:rFonts w:hint="default" w:ascii="Times New Roman" w:hAnsi="Times New Roman" w:eastAsia="宋体" w:cs="Times New Roman"/>
          <w:b/>
          <w:bCs/>
          <w:snapToGrid w:val="0"/>
          <w:color w:val="auto"/>
          <w:spacing w:val="-3"/>
          <w:kern w:val="0"/>
          <w:sz w:val="21"/>
          <w:szCs w:val="21"/>
          <w:lang w:eastAsia="en-US"/>
        </w:rPr>
      </w:pPr>
      <w:r>
        <w:rPr>
          <w:rFonts w:hint="default" w:ascii="Times New Roman" w:hAnsi="Times New Roman" w:eastAsia="宋体" w:cs="Times New Roman"/>
          <w:b/>
          <w:bCs/>
          <w:snapToGrid w:val="0"/>
          <w:color w:val="auto"/>
          <w:spacing w:val="-3"/>
          <w:kern w:val="0"/>
          <w:sz w:val="21"/>
          <w:szCs w:val="21"/>
          <w:lang w:eastAsia="en-US"/>
        </w:rPr>
        <w:t>表</w:t>
      </w:r>
      <w:r>
        <w:rPr>
          <w:rFonts w:hint="eastAsia" w:ascii="Times New Roman" w:hAnsi="Times New Roman" w:eastAsia="宋体" w:cs="Times New Roman"/>
          <w:b/>
          <w:bCs/>
          <w:snapToGrid w:val="0"/>
          <w:color w:val="auto"/>
          <w:spacing w:val="-3"/>
          <w:kern w:val="0"/>
          <w:sz w:val="21"/>
          <w:szCs w:val="21"/>
          <w:lang w:val="en-US" w:eastAsia="zh-CN"/>
        </w:rPr>
        <w:t>4.2</w:t>
      </w:r>
      <w:r>
        <w:rPr>
          <w:rFonts w:hint="default" w:ascii="Times New Roman" w:hAnsi="Times New Roman" w:eastAsia="宋体" w:cs="Times New Roman"/>
          <w:b/>
          <w:bCs/>
          <w:snapToGrid w:val="0"/>
          <w:color w:val="auto"/>
          <w:spacing w:val="-3"/>
          <w:kern w:val="0"/>
          <w:sz w:val="21"/>
          <w:szCs w:val="21"/>
          <w:lang w:eastAsia="en-US"/>
        </w:rPr>
        <w:t>-2</w:t>
      </w:r>
      <w:r>
        <w:rPr>
          <w:rFonts w:hint="eastAsia" w:ascii="Times New Roman" w:hAnsi="Times New Roman" w:eastAsia="宋体" w:cs="Times New Roman"/>
          <w:b/>
          <w:bCs/>
          <w:snapToGrid w:val="0"/>
          <w:color w:val="auto"/>
          <w:spacing w:val="-3"/>
          <w:kern w:val="0"/>
          <w:sz w:val="21"/>
          <w:szCs w:val="21"/>
          <w:lang w:val="en-US" w:eastAsia="zh-CN"/>
        </w:rPr>
        <w:t xml:space="preserve"> </w:t>
      </w:r>
      <w:r>
        <w:rPr>
          <w:rFonts w:hint="default" w:ascii="Times New Roman" w:hAnsi="Times New Roman" w:eastAsia="宋体" w:cs="Times New Roman"/>
          <w:b/>
          <w:bCs/>
          <w:snapToGrid w:val="0"/>
          <w:color w:val="auto"/>
          <w:spacing w:val="-3"/>
          <w:kern w:val="0"/>
          <w:sz w:val="21"/>
          <w:szCs w:val="21"/>
          <w:lang w:val="en-US" w:eastAsia="en-US"/>
        </w:rPr>
        <w:t>火山云二期220kV变电站</w:t>
      </w:r>
      <w:r>
        <w:rPr>
          <w:rFonts w:hint="default" w:ascii="Times New Roman" w:hAnsi="Times New Roman" w:eastAsia="宋体" w:cs="Times New Roman"/>
          <w:b/>
          <w:bCs/>
          <w:snapToGrid w:val="0"/>
          <w:color w:val="auto"/>
          <w:spacing w:val="-3"/>
          <w:kern w:val="0"/>
          <w:sz w:val="21"/>
          <w:szCs w:val="21"/>
          <w:lang w:eastAsia="en-US"/>
        </w:rPr>
        <w:t>周围工频电磁场类比监测结果</w:t>
      </w:r>
    </w:p>
    <w:tbl>
      <w:tblPr>
        <w:tblStyle w:val="115"/>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51"/>
        <w:gridCol w:w="2967"/>
        <w:gridCol w:w="3271"/>
      </w:tblGrid>
      <w:tr w14:paraId="56AE70BC">
        <w:tblPrEx>
          <w:tblCellMar>
            <w:top w:w="0" w:type="dxa"/>
            <w:left w:w="0" w:type="dxa"/>
            <w:bottom w:w="0" w:type="dxa"/>
            <w:right w:w="0" w:type="dxa"/>
          </w:tblCellMar>
        </w:tblPrEx>
        <w:trPr>
          <w:trHeight w:val="264" w:hRule="atLeast"/>
        </w:trPr>
        <w:tc>
          <w:tcPr>
            <w:tcW w:w="1568" w:type="pct"/>
            <w:vMerge w:val="restart"/>
            <w:tcBorders>
              <w:bottom w:val="nil"/>
            </w:tcBorders>
            <w:vAlign w:val="center"/>
          </w:tcPr>
          <w:p w14:paraId="5C0E7D5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测点位置</w:t>
            </w:r>
          </w:p>
        </w:tc>
        <w:tc>
          <w:tcPr>
            <w:tcW w:w="3431" w:type="pct"/>
            <w:gridSpan w:val="2"/>
            <w:vAlign w:val="center"/>
          </w:tcPr>
          <w:p w14:paraId="48F6E3C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1"/>
                <w:kern w:val="0"/>
                <w:sz w:val="21"/>
                <w:szCs w:val="21"/>
                <w:lang w:val="en-US" w:eastAsia="en-US" w:bidi="ar-SA"/>
              </w:rPr>
              <w:t>离地1.5m处测量结果</w:t>
            </w:r>
          </w:p>
        </w:tc>
      </w:tr>
      <w:tr w14:paraId="6466D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568" w:type="pct"/>
            <w:vMerge w:val="continue"/>
            <w:tcBorders>
              <w:top w:val="nil"/>
            </w:tcBorders>
            <w:vAlign w:val="center"/>
          </w:tcPr>
          <w:p w14:paraId="054891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c>
          <w:tcPr>
            <w:tcW w:w="1632" w:type="pct"/>
            <w:vAlign w:val="center"/>
          </w:tcPr>
          <w:p w14:paraId="5E71E9E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工频电场强度(V/m)</w:t>
            </w:r>
          </w:p>
        </w:tc>
        <w:tc>
          <w:tcPr>
            <w:tcW w:w="1799" w:type="pct"/>
            <w:vAlign w:val="center"/>
          </w:tcPr>
          <w:p w14:paraId="3D7A910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3"/>
                <w:kern w:val="0"/>
                <w:sz w:val="21"/>
                <w:szCs w:val="21"/>
                <w:lang w:val="en-US" w:eastAsia="en-US" w:bidi="ar-SA"/>
              </w:rPr>
              <w:t>工频磁感应强度(μT)</w:t>
            </w:r>
          </w:p>
        </w:tc>
      </w:tr>
      <w:tr w14:paraId="18764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848" w:type="dxa"/>
            <w:vAlign w:val="center"/>
          </w:tcPr>
          <w:p w14:paraId="528DDA4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二期220kV变电站北侧围墙外5m</w:t>
            </w:r>
          </w:p>
        </w:tc>
        <w:tc>
          <w:tcPr>
            <w:tcW w:w="1632" w:type="pct"/>
            <w:vAlign w:val="center"/>
          </w:tcPr>
          <w:p w14:paraId="77829D6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4.584</w:t>
            </w:r>
          </w:p>
        </w:tc>
        <w:tc>
          <w:tcPr>
            <w:tcW w:w="1799" w:type="pct"/>
            <w:vAlign w:val="center"/>
          </w:tcPr>
          <w:p w14:paraId="07EC1B2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0.0991</w:t>
            </w:r>
          </w:p>
        </w:tc>
      </w:tr>
      <w:tr w14:paraId="49715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2848" w:type="dxa"/>
            <w:vAlign w:val="center"/>
          </w:tcPr>
          <w:p w14:paraId="0EC9F5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二期220kV变电站西侧围墙外5m</w:t>
            </w:r>
          </w:p>
        </w:tc>
        <w:tc>
          <w:tcPr>
            <w:tcW w:w="1632" w:type="pct"/>
            <w:vAlign w:val="center"/>
          </w:tcPr>
          <w:p w14:paraId="19F554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1.802</w:t>
            </w:r>
          </w:p>
        </w:tc>
        <w:tc>
          <w:tcPr>
            <w:tcW w:w="1799" w:type="pct"/>
            <w:vAlign w:val="center"/>
          </w:tcPr>
          <w:p w14:paraId="13456E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0.2947</w:t>
            </w:r>
          </w:p>
        </w:tc>
      </w:tr>
      <w:tr w14:paraId="6745C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2848" w:type="dxa"/>
            <w:vAlign w:val="center"/>
          </w:tcPr>
          <w:p w14:paraId="65E15F7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二期220kV变电站南侧围墙外5m</w:t>
            </w:r>
          </w:p>
        </w:tc>
        <w:tc>
          <w:tcPr>
            <w:tcW w:w="1632" w:type="pct"/>
            <w:vAlign w:val="center"/>
          </w:tcPr>
          <w:p w14:paraId="6875B2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4"/>
                <w:kern w:val="0"/>
                <w:sz w:val="21"/>
                <w:szCs w:val="21"/>
                <w:lang w:val="en-US" w:eastAsia="en-US" w:bidi="ar-SA"/>
              </w:rPr>
              <w:t>11.08</w:t>
            </w:r>
          </w:p>
        </w:tc>
        <w:tc>
          <w:tcPr>
            <w:tcW w:w="1799" w:type="pct"/>
            <w:vAlign w:val="center"/>
          </w:tcPr>
          <w:p w14:paraId="47FEFF9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0.0928</w:t>
            </w:r>
          </w:p>
        </w:tc>
      </w:tr>
      <w:tr w14:paraId="46271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2848" w:type="dxa"/>
            <w:vAlign w:val="center"/>
          </w:tcPr>
          <w:p w14:paraId="09B1739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eastAsia" w:ascii="Times New Roman" w:hAnsi="Times New Roman" w:eastAsia="宋体" w:cs="Times New Roman"/>
                <w:snapToGrid w:val="0"/>
                <w:color w:val="auto"/>
                <w:spacing w:val="-2"/>
                <w:kern w:val="0"/>
                <w:sz w:val="21"/>
                <w:szCs w:val="21"/>
                <w:lang w:val="en-US" w:eastAsia="zh-CN" w:bidi="ar-SA"/>
              </w:rPr>
              <w:t>二期220kV变电站东侧围墙外5m</w:t>
            </w:r>
          </w:p>
        </w:tc>
        <w:tc>
          <w:tcPr>
            <w:tcW w:w="1632" w:type="pct"/>
            <w:vAlign w:val="center"/>
          </w:tcPr>
          <w:p w14:paraId="4AD0154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164.7</w:t>
            </w:r>
          </w:p>
        </w:tc>
        <w:tc>
          <w:tcPr>
            <w:tcW w:w="1799" w:type="pct"/>
            <w:vAlign w:val="center"/>
          </w:tcPr>
          <w:p w14:paraId="0A1C7EE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en-US" w:bidi="ar-SA"/>
              </w:rPr>
              <w:t>0.1876</w:t>
            </w:r>
          </w:p>
        </w:tc>
      </w:tr>
    </w:tbl>
    <w:p w14:paraId="69AE8CD2">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②环境影响评价</w:t>
      </w:r>
    </w:p>
    <w:p w14:paraId="7B0E05AC">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根据类比站火山云二期220kV变电站的监测结果可知，火山云二期220kV变电站四周厂界的工频电场强度为</w:t>
      </w:r>
      <w:r>
        <w:rPr>
          <w:rFonts w:hint="eastAsia" w:ascii="Times New Roman" w:hAnsi="Times New Roman" w:eastAsia="宋体" w:cs="Times New Roman"/>
          <w:color w:val="auto"/>
          <w:kern w:val="0"/>
          <w:sz w:val="24"/>
          <w:szCs w:val="24"/>
          <w:highlight w:val="none"/>
          <w:lang w:val="en-US" w:eastAsia="zh-CN" w:bidi="ar-SA"/>
        </w:rPr>
        <w:t>1.802</w:t>
      </w:r>
      <w:r>
        <w:rPr>
          <w:rFonts w:hint="default" w:ascii="Times New Roman" w:hAnsi="Times New Roman" w:eastAsia="宋体" w:cs="Times New Roman"/>
          <w:color w:val="auto"/>
          <w:kern w:val="0"/>
          <w:sz w:val="24"/>
          <w:szCs w:val="24"/>
          <w:highlight w:val="none"/>
          <w:lang w:val="en-US" w:eastAsia="en-US" w:bidi="ar-SA"/>
        </w:rPr>
        <w:t>~</w:t>
      </w:r>
      <w:r>
        <w:rPr>
          <w:rFonts w:hint="eastAsia" w:ascii="Times New Roman" w:hAnsi="Times New Roman" w:eastAsia="宋体" w:cs="Times New Roman"/>
          <w:color w:val="auto"/>
          <w:kern w:val="0"/>
          <w:sz w:val="24"/>
          <w:szCs w:val="24"/>
          <w:highlight w:val="none"/>
          <w:lang w:val="en-US" w:eastAsia="zh-CN" w:bidi="ar-SA"/>
        </w:rPr>
        <w:t>164.7</w:t>
      </w:r>
      <w:r>
        <w:rPr>
          <w:rFonts w:hint="default" w:ascii="Times New Roman" w:hAnsi="Times New Roman" w:eastAsia="宋体" w:cs="Times New Roman"/>
          <w:color w:val="auto"/>
          <w:kern w:val="0"/>
          <w:sz w:val="24"/>
          <w:szCs w:val="24"/>
          <w:highlight w:val="none"/>
          <w:lang w:val="en-US" w:eastAsia="en-US" w:bidi="ar-SA"/>
        </w:rPr>
        <w:t>V/m</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en-US" w:bidi="ar-SA"/>
        </w:rPr>
        <w:t>远小于工频电场强度4kV/m的控制限值要求。四周厂界的工频磁感应强度为</w:t>
      </w:r>
      <w:r>
        <w:rPr>
          <w:rFonts w:hint="eastAsia" w:ascii="Times New Roman" w:hAnsi="Times New Roman" w:eastAsia="宋体" w:cs="Times New Roman"/>
          <w:color w:val="auto"/>
          <w:kern w:val="0"/>
          <w:sz w:val="24"/>
          <w:szCs w:val="24"/>
          <w:highlight w:val="none"/>
          <w:lang w:val="en-US" w:eastAsia="zh-CN" w:bidi="ar-SA"/>
        </w:rPr>
        <w:t>0.0928</w:t>
      </w:r>
      <w:r>
        <w:rPr>
          <w:rFonts w:hint="default" w:ascii="Times New Roman" w:hAnsi="Times New Roman" w:eastAsia="宋体" w:cs="Times New Roman"/>
          <w:color w:val="auto"/>
          <w:kern w:val="0"/>
          <w:sz w:val="24"/>
          <w:szCs w:val="24"/>
          <w:highlight w:val="none"/>
          <w:lang w:val="en-US" w:eastAsia="en-US" w:bidi="ar-SA"/>
        </w:rPr>
        <w:t>~</w:t>
      </w:r>
      <w:r>
        <w:rPr>
          <w:rFonts w:hint="eastAsia" w:ascii="Times New Roman" w:hAnsi="Times New Roman" w:eastAsia="宋体" w:cs="Times New Roman"/>
          <w:color w:val="auto"/>
          <w:kern w:val="0"/>
          <w:sz w:val="24"/>
          <w:szCs w:val="24"/>
          <w:highlight w:val="none"/>
          <w:lang w:val="en-US" w:eastAsia="zh-CN" w:bidi="ar-SA"/>
        </w:rPr>
        <w:t>0.2947</w:t>
      </w:r>
      <w:r>
        <w:rPr>
          <w:rFonts w:hint="default" w:ascii="Times New Roman" w:hAnsi="Times New Roman" w:eastAsia="宋体" w:cs="Times New Roman"/>
          <w:color w:val="auto"/>
          <w:kern w:val="0"/>
          <w:sz w:val="24"/>
          <w:szCs w:val="24"/>
          <w:highlight w:val="none"/>
          <w:lang w:val="en-US" w:eastAsia="en-US" w:bidi="ar-SA"/>
        </w:rPr>
        <w:t>μT</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en-US" w:bidi="ar-SA"/>
        </w:rPr>
        <w:t>远小于工频磁感应强度100μT的控制限值要求。</w:t>
      </w:r>
    </w:p>
    <w:p w14:paraId="7FF0EA99">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lang w:val="en-US" w:eastAsia="en-US" w:bidi="ar-SA"/>
        </w:rPr>
        <w:t>通过类比火山云二期220kV变电站运行时产生的工频电场强度、工频磁感应强度，可以预测本工程拟建</w:t>
      </w:r>
      <w:r>
        <w:rPr>
          <w:rFonts w:hint="eastAsia" w:ascii="Times New Roman" w:hAnsi="Times New Roman" w:eastAsia="宋体" w:cs="Times New Roman"/>
          <w:color w:val="auto"/>
          <w:kern w:val="0"/>
          <w:sz w:val="24"/>
          <w:szCs w:val="24"/>
          <w:highlight w:val="none"/>
          <w:lang w:val="en-US" w:eastAsia="zh-CN" w:bidi="ar-SA"/>
        </w:rPr>
        <w:t>220</w:t>
      </w:r>
      <w:r>
        <w:rPr>
          <w:rFonts w:hint="default" w:ascii="Times New Roman" w:hAnsi="Times New Roman" w:eastAsia="宋体" w:cs="Times New Roman"/>
          <w:color w:val="auto"/>
          <w:kern w:val="0"/>
          <w:sz w:val="24"/>
          <w:szCs w:val="24"/>
          <w:highlight w:val="none"/>
          <w:lang w:val="en-US" w:eastAsia="en-US" w:bidi="ar-SA"/>
        </w:rPr>
        <w:t>kV变电站运行时对周围环境的电磁影响与类比变电站在同一水平，因此，预测本工程变电站运行产生的工频电场强度、工频磁感应强度均小于《电磁环境控制限值》(GB8702-2014)中规定的居民区工频电场强度4kV/m、工频磁感应强度100μT控制限值。</w:t>
      </w:r>
    </w:p>
    <w:p w14:paraId="7E54B932">
      <w:pPr>
        <w:keepNext w:val="0"/>
        <w:keepLines w:val="0"/>
        <w:pageBreakBefore w:val="0"/>
        <w:widowControl w:val="0"/>
        <w:kinsoku/>
        <w:wordWrap/>
        <w:overflowPunct/>
        <w:topLinePunct w:val="0"/>
        <w:autoSpaceDE/>
        <w:autoSpaceDN/>
        <w:bidi w:val="0"/>
        <w:snapToGrid/>
        <w:spacing w:line="460" w:lineRule="exact"/>
        <w:jc w:val="left"/>
        <w:textAlignment w:val="auto"/>
        <w:rPr>
          <w:rFonts w:hint="default" w:ascii="Times New Roman" w:hAnsi="Times New Roman" w:eastAsia="宋体" w:cs="Times New Roman"/>
          <w:b/>
          <w:bCs w:val="0"/>
          <w:color w:val="auto"/>
          <w:sz w:val="24"/>
          <w:szCs w:val="24"/>
          <w:highlight w:val="none"/>
          <w:lang w:val="zh-CN"/>
        </w:rPr>
      </w:pPr>
      <w:r>
        <w:rPr>
          <w:rFonts w:hint="default" w:ascii="Times New Roman" w:hAnsi="Times New Roman" w:eastAsia="宋体" w:cs="Times New Roman"/>
          <w:b/>
          <w:bCs w:val="0"/>
          <w:color w:val="auto"/>
          <w:sz w:val="24"/>
          <w:szCs w:val="24"/>
          <w:highlight w:val="none"/>
          <w:lang w:val="zh-CN"/>
        </w:rPr>
        <w:t>5结论</w:t>
      </w:r>
    </w:p>
    <w:p w14:paraId="3E49FB1C">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eastAsia" w:ascii="Times New Roman" w:hAnsi="Times New Roman" w:eastAsia="宋体" w:cs="Times New Roman"/>
          <w:b w:val="0"/>
          <w:bCs/>
          <w:color w:val="auto"/>
          <w:sz w:val="24"/>
          <w:szCs w:val="24"/>
          <w:highlight w:val="none"/>
          <w:lang w:val="zh-CN" w:eastAsia="zh-CN"/>
        </w:rPr>
      </w:pPr>
      <w:r>
        <w:rPr>
          <w:rFonts w:hint="default" w:ascii="Times New Roman" w:hAnsi="Times New Roman" w:eastAsia="宋体" w:cs="Times New Roman"/>
          <w:b w:val="0"/>
          <w:bCs/>
          <w:color w:val="auto"/>
          <w:sz w:val="24"/>
          <w:szCs w:val="24"/>
          <w:highlight w:val="none"/>
          <w:lang w:val="zh-CN"/>
        </w:rPr>
        <w:t>通过预测分析结果表明，</w:t>
      </w:r>
      <w:r>
        <w:rPr>
          <w:rFonts w:hint="eastAsia" w:ascii="Times New Roman" w:hAnsi="Times New Roman" w:eastAsia="宋体" w:cs="Times New Roman"/>
          <w:b w:val="0"/>
          <w:bCs/>
          <w:color w:val="auto"/>
          <w:sz w:val="24"/>
          <w:szCs w:val="24"/>
          <w:highlight w:val="none"/>
          <w:lang w:val="en-US" w:eastAsia="zh-CN"/>
        </w:rPr>
        <w:t>火山云太行算力中心项目二期扩容220kV输变电工程</w:t>
      </w:r>
      <w:r>
        <w:rPr>
          <w:rFonts w:hint="default" w:ascii="Times New Roman" w:hAnsi="Times New Roman" w:eastAsia="宋体" w:cs="Times New Roman"/>
          <w:b w:val="0"/>
          <w:bCs/>
          <w:color w:val="auto"/>
          <w:sz w:val="24"/>
          <w:szCs w:val="24"/>
          <w:highlight w:val="none"/>
          <w:lang w:val="zh-CN"/>
        </w:rPr>
        <w:t>运行后产生的工频电场强度、工频磁感应强度均满足《电磁环境控制限值》（GB8702-2014）中“公众曝露控制限值”规定的工频电场强度小于4</w:t>
      </w:r>
      <w:r>
        <w:rPr>
          <w:rFonts w:hint="default" w:ascii="Times New Roman" w:hAnsi="Times New Roman" w:eastAsia="宋体" w:cs="Times New Roman"/>
          <w:b w:val="0"/>
          <w:bCs/>
          <w:color w:val="auto"/>
          <w:sz w:val="24"/>
          <w:szCs w:val="24"/>
          <w:highlight w:val="none"/>
          <w:lang w:val="zh-CN" w:eastAsia="zh-CN"/>
        </w:rPr>
        <w:t>kV</w:t>
      </w:r>
      <w:r>
        <w:rPr>
          <w:rFonts w:hint="default" w:ascii="Times New Roman" w:hAnsi="Times New Roman" w:eastAsia="宋体" w:cs="Times New Roman"/>
          <w:b w:val="0"/>
          <w:bCs/>
          <w:color w:val="auto"/>
          <w:sz w:val="24"/>
          <w:szCs w:val="24"/>
          <w:highlight w:val="none"/>
          <w:lang w:val="zh-CN"/>
        </w:rPr>
        <w:t>/m、工频磁感应强度100μT的控制限值，线路经过耕地、</w:t>
      </w:r>
      <w:r>
        <w:rPr>
          <w:rFonts w:hint="default" w:ascii="Times New Roman" w:hAnsi="Times New Roman" w:eastAsia="宋体" w:cs="Times New Roman"/>
          <w:b w:val="0"/>
          <w:bCs/>
          <w:color w:val="auto"/>
          <w:sz w:val="24"/>
          <w:szCs w:val="24"/>
          <w:highlight w:val="none"/>
          <w:lang w:val="zh-CN" w:eastAsia="zh-CN"/>
        </w:rPr>
        <w:t>植被</w:t>
      </w:r>
      <w:r>
        <w:rPr>
          <w:rFonts w:hint="default" w:ascii="Times New Roman" w:hAnsi="Times New Roman" w:eastAsia="宋体" w:cs="Times New Roman"/>
          <w:b w:val="0"/>
          <w:bCs/>
          <w:color w:val="auto"/>
          <w:sz w:val="24"/>
          <w:szCs w:val="24"/>
          <w:highlight w:val="none"/>
          <w:lang w:val="zh-CN"/>
        </w:rPr>
        <w:t>等场地工频电场强度小于10</w:t>
      </w:r>
      <w:r>
        <w:rPr>
          <w:rFonts w:hint="default" w:ascii="Times New Roman" w:hAnsi="Times New Roman" w:eastAsia="宋体" w:cs="Times New Roman"/>
          <w:b w:val="0"/>
          <w:bCs/>
          <w:color w:val="auto"/>
          <w:sz w:val="24"/>
          <w:szCs w:val="24"/>
          <w:highlight w:val="none"/>
          <w:lang w:val="zh-CN" w:eastAsia="zh-CN"/>
        </w:rPr>
        <w:t>kV</w:t>
      </w:r>
      <w:r>
        <w:rPr>
          <w:rFonts w:hint="default" w:ascii="Times New Roman" w:hAnsi="Times New Roman" w:eastAsia="宋体" w:cs="Times New Roman"/>
          <w:b w:val="0"/>
          <w:bCs/>
          <w:color w:val="auto"/>
          <w:sz w:val="24"/>
          <w:szCs w:val="24"/>
          <w:highlight w:val="none"/>
          <w:lang w:val="zh-CN"/>
        </w:rPr>
        <w:t>/m控制限值</w:t>
      </w:r>
      <w:r>
        <w:rPr>
          <w:rFonts w:hint="eastAsia" w:ascii="Times New Roman" w:hAnsi="Times New Roman" w:eastAsia="宋体" w:cs="Times New Roman"/>
          <w:b w:val="0"/>
          <w:bCs/>
          <w:color w:val="auto"/>
          <w:sz w:val="24"/>
          <w:szCs w:val="24"/>
          <w:highlight w:val="none"/>
          <w:lang w:val="zh-CN" w:eastAsia="zh-CN"/>
        </w:rPr>
        <w:t>。</w:t>
      </w:r>
    </w:p>
    <w:p w14:paraId="715435E3">
      <w:pPr>
        <w:keepNext w:val="0"/>
        <w:keepLines w:val="0"/>
        <w:pageBreakBefore w:val="0"/>
        <w:widowControl w:val="0"/>
        <w:kinsoku/>
        <w:wordWrap/>
        <w:overflowPunct/>
        <w:topLinePunct w:val="0"/>
        <w:autoSpaceDE/>
        <w:autoSpaceDN/>
        <w:bidi w:val="0"/>
        <w:snapToGrid/>
        <w:spacing w:line="460" w:lineRule="exact"/>
        <w:ind w:firstLine="422"/>
        <w:jc w:val="left"/>
        <w:textAlignment w:val="auto"/>
        <w:rPr>
          <w:rFonts w:hint="default" w:ascii="Times New Roman" w:hAnsi="Times New Roman" w:eastAsia="宋体" w:cs="Times New Roman"/>
          <w:b w:val="0"/>
          <w:bCs/>
          <w:color w:val="auto"/>
          <w:sz w:val="24"/>
          <w:szCs w:val="24"/>
          <w:highlight w:val="none"/>
          <w:lang w:val="zh-CN" w:eastAsia="zh-CN"/>
        </w:rPr>
      </w:pPr>
      <w:r>
        <w:rPr>
          <w:rFonts w:hint="default" w:ascii="Times New Roman" w:hAnsi="Times New Roman" w:eastAsia="宋体" w:cs="Times New Roman"/>
          <w:b w:val="0"/>
          <w:bCs/>
          <w:color w:val="auto"/>
          <w:sz w:val="24"/>
          <w:szCs w:val="24"/>
          <w:highlight w:val="none"/>
          <w:lang w:val="zh-CN" w:eastAsia="zh-CN"/>
        </w:rPr>
        <w:t>在满足环评提出的各项环保措施后，本项目的建设和运行对周围电磁环境的影响较小。本项目选用先进的低噪主变，采用了合理的平面布置，不会对周边环境造成较大影响，本项目采取的污染防治措施基本可行</w:t>
      </w:r>
      <w:r>
        <w:rPr>
          <w:rFonts w:hint="eastAsia" w:ascii="Times New Roman" w:hAnsi="Times New Roman" w:eastAsia="宋体" w:cs="Times New Roman"/>
          <w:b w:val="0"/>
          <w:bCs/>
          <w:color w:val="auto"/>
          <w:sz w:val="24"/>
          <w:szCs w:val="24"/>
          <w:highlight w:val="none"/>
          <w:lang w:val="zh-CN" w:eastAsia="zh-CN"/>
        </w:rPr>
        <w:t>。</w:t>
      </w:r>
    </w:p>
    <w:p w14:paraId="56AABF56">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highlight w:val="none"/>
          <w:lang w:eastAsia="zh-CN"/>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 w:linePitch="333" w:charSpace="0"/>
        </w:sectPr>
      </w:pPr>
    </w:p>
    <w:p w14:paraId="67EBA1EF">
      <w:pPr>
        <w:keepNext w:val="0"/>
        <w:keepLines w:val="0"/>
        <w:pageBreakBefore w:val="0"/>
        <w:widowControl w:val="0"/>
        <w:kinsoku/>
        <w:wordWrap/>
        <w:overflowPunct/>
        <w:topLinePunct w:val="0"/>
        <w:autoSpaceDE/>
        <w:autoSpaceDN/>
        <w:bidi w:val="0"/>
        <w:adjustRightInd/>
        <w:snapToGrid/>
        <w:spacing w:after="0"/>
        <w:ind w:left="0" w:leftChars="0"/>
        <w:jc w:val="left"/>
        <w:textAlignment w:val="auto"/>
        <w:rPr>
          <w:rFonts w:hint="eastAsia" w:ascii="Times New Roman" w:hAnsi="Times New Roman" w:eastAsia="宋体" w:cs="Times New Roman"/>
          <w:b/>
          <w:bCs/>
          <w:color w:val="auto"/>
          <w:kern w:val="0"/>
          <w:sz w:val="21"/>
          <w:szCs w:val="21"/>
          <w:highlight w:val="none"/>
          <w:lang w:val="en-US" w:eastAsia="zh-CN" w:bidi="ar-SA"/>
        </w:rPr>
      </w:pPr>
      <w:r>
        <w:rPr>
          <w:color w:val="auto"/>
          <w:sz w:val="21"/>
        </w:rPr>
        <mc:AlternateContent>
          <mc:Choice Requires="wpg">
            <w:drawing>
              <wp:anchor distT="0" distB="0" distL="114300" distR="114300" simplePos="0" relativeHeight="251665408" behindDoc="0" locked="0" layoutInCell="1" allowOverlap="1">
                <wp:simplePos x="0" y="0"/>
                <wp:positionH relativeFrom="column">
                  <wp:posOffset>3772535</wp:posOffset>
                </wp:positionH>
                <wp:positionV relativeFrom="paragraph">
                  <wp:posOffset>1951990</wp:posOffset>
                </wp:positionV>
                <wp:extent cx="2132330" cy="2583815"/>
                <wp:effectExtent l="6350" t="0" r="13970" b="6985"/>
                <wp:wrapNone/>
                <wp:docPr id="27" name="组合 27"/>
                <wp:cNvGraphicFramePr/>
                <a:graphic xmlns:a="http://schemas.openxmlformats.org/drawingml/2006/main">
                  <a:graphicData uri="http://schemas.microsoft.com/office/word/2010/wordprocessingGroup">
                    <wpg:wgp>
                      <wpg:cNvGrpSpPr/>
                      <wpg:grpSpPr>
                        <a:xfrm>
                          <a:off x="0" y="0"/>
                          <a:ext cx="2132330" cy="2583815"/>
                          <a:chOff x="7857" y="2039283"/>
                          <a:chExt cx="3358" cy="4069"/>
                        </a:xfrm>
                      </wpg:grpSpPr>
                      <wps:wsp>
                        <wps:cNvPr id="17" name="任意多边形 462"/>
                        <wps:cNvSpPr>
                          <a:spLocks noChangeAspect="1"/>
                        </wps:cNvSpPr>
                        <wps:spPr>
                          <a:xfrm>
                            <a:off x="10742" y="2041608"/>
                            <a:ext cx="85" cy="40"/>
                          </a:xfrm>
                          <a:custGeom>
                            <a:avLst/>
                            <a:gdLst>
                              <a:gd name="connisteX0" fmla="*/ 3810 w 165100"/>
                              <a:gd name="connsiteY0" fmla="*/ 3810 h 78740"/>
                              <a:gd name="connisteX1" fmla="*/ 0 w 165100"/>
                              <a:gd name="connsiteY1" fmla="*/ 78740 h 78740"/>
                              <a:gd name="connisteX2" fmla="*/ 161290 w 165100"/>
                              <a:gd name="connsiteY2" fmla="*/ 78740 h 78740"/>
                              <a:gd name="connisteX3" fmla="*/ 165100 w 165100"/>
                              <a:gd name="connsiteY3" fmla="*/ 0 h 78740"/>
                              <a:gd name="connisteX4" fmla="*/ 3810 w 165100"/>
                              <a:gd name="connsiteY4" fmla="*/ 3810 h 7874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65100" h="78740">
                                <a:moveTo>
                                  <a:pt x="3810" y="3810"/>
                                </a:moveTo>
                                <a:lnTo>
                                  <a:pt x="0" y="78740"/>
                                </a:lnTo>
                                <a:lnTo>
                                  <a:pt x="161290" y="78740"/>
                                </a:lnTo>
                                <a:lnTo>
                                  <a:pt x="165100" y="0"/>
                                </a:lnTo>
                                <a:lnTo>
                                  <a:pt x="3810" y="381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 name="任意多边形 5"/>
                        <wps:cNvSpPr/>
                        <wps:spPr>
                          <a:xfrm>
                            <a:off x="7857" y="2039283"/>
                            <a:ext cx="3358" cy="2376"/>
                          </a:xfrm>
                          <a:custGeom>
                            <a:avLst/>
                            <a:gdLst>
                              <a:gd name="connisteX0" fmla="*/ 0 w 4514215"/>
                              <a:gd name="connsiteY0" fmla="*/ 0 h 2945765"/>
                              <a:gd name="connisteX1" fmla="*/ 0 w 4514215"/>
                              <a:gd name="connsiteY1" fmla="*/ 46990 h 2945765"/>
                              <a:gd name="connisteX2" fmla="*/ 93980 w 4514215"/>
                              <a:gd name="connsiteY2" fmla="*/ 59690 h 2945765"/>
                              <a:gd name="connisteX3" fmla="*/ 204470 w 4514215"/>
                              <a:gd name="connsiteY3" fmla="*/ 200660 h 2945765"/>
                              <a:gd name="connisteX4" fmla="*/ 657860 w 4514215"/>
                              <a:gd name="connsiteY4" fmla="*/ 324485 h 2945765"/>
                              <a:gd name="connisteX5" fmla="*/ 999490 w 4514215"/>
                              <a:gd name="connsiteY5" fmla="*/ 751205 h 2945765"/>
                              <a:gd name="connisteX6" fmla="*/ 1007745 w 4514215"/>
                              <a:gd name="connsiteY6" fmla="*/ 1482090 h 2945765"/>
                              <a:gd name="connisteX7" fmla="*/ 1720850 w 4514215"/>
                              <a:gd name="connsiteY7" fmla="*/ 1546225 h 2945765"/>
                              <a:gd name="connisteX8" fmla="*/ 2212340 w 4514215"/>
                              <a:gd name="connsiteY8" fmla="*/ 1720850 h 2945765"/>
                              <a:gd name="connisteX9" fmla="*/ 2861310 w 4514215"/>
                              <a:gd name="connsiteY9" fmla="*/ 1703070 h 2945765"/>
                              <a:gd name="connisteX10" fmla="*/ 3267075 w 4514215"/>
                              <a:gd name="connsiteY10" fmla="*/ 1784350 h 2945765"/>
                              <a:gd name="connisteX11" fmla="*/ 3280410 w 4514215"/>
                              <a:gd name="connsiteY11" fmla="*/ 1908175 h 2945765"/>
                              <a:gd name="connisteX12" fmla="*/ 4283710 w 4514215"/>
                              <a:gd name="connsiteY12" fmla="*/ 2070100 h 2945765"/>
                              <a:gd name="connisteX13" fmla="*/ 4266565 w 4514215"/>
                              <a:gd name="connsiteY13" fmla="*/ 2219960 h 2945765"/>
                              <a:gd name="connisteX14" fmla="*/ 4514215 w 4514215"/>
                              <a:gd name="connsiteY14" fmla="*/ 2446020 h 2945765"/>
                              <a:gd name="connisteX15" fmla="*/ 4300855 w 4514215"/>
                              <a:gd name="connsiteY15" fmla="*/ 2771140 h 2945765"/>
                              <a:gd name="connisteX16" fmla="*/ 4104640 w 4514215"/>
                              <a:gd name="connsiteY16" fmla="*/ 2898775 h 2945765"/>
                              <a:gd name="connisteX17" fmla="*/ 4083050 w 4514215"/>
                              <a:gd name="connsiteY17" fmla="*/ 2894965 h 2945765"/>
                              <a:gd name="connisteX18" fmla="*/ 4040505 w 4514215"/>
                              <a:gd name="connsiteY18" fmla="*/ 2903220 h 2945765"/>
                              <a:gd name="connisteX19" fmla="*/ 4061460 w 4514215"/>
                              <a:gd name="connsiteY19" fmla="*/ 2903220 h 2945765"/>
                              <a:gd name="connisteX20" fmla="*/ 4095750 w 4514215"/>
                              <a:gd name="connsiteY20" fmla="*/ 2945765 h 29457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Lst>
                            <a:rect l="l" t="t" r="r" b="b"/>
                            <a:pathLst>
                              <a:path w="4514215" h="2945765">
                                <a:moveTo>
                                  <a:pt x="0" y="0"/>
                                </a:moveTo>
                                <a:lnTo>
                                  <a:pt x="0" y="46990"/>
                                </a:lnTo>
                                <a:lnTo>
                                  <a:pt x="93980" y="59690"/>
                                </a:lnTo>
                                <a:lnTo>
                                  <a:pt x="204470" y="200660"/>
                                </a:lnTo>
                                <a:lnTo>
                                  <a:pt x="657860" y="324485"/>
                                </a:lnTo>
                                <a:lnTo>
                                  <a:pt x="999490" y="751205"/>
                                </a:lnTo>
                                <a:lnTo>
                                  <a:pt x="1007745" y="1482090"/>
                                </a:lnTo>
                                <a:lnTo>
                                  <a:pt x="1720850" y="1546225"/>
                                </a:lnTo>
                                <a:lnTo>
                                  <a:pt x="2212340" y="1720850"/>
                                </a:lnTo>
                                <a:lnTo>
                                  <a:pt x="2861310" y="1703070"/>
                                </a:lnTo>
                                <a:lnTo>
                                  <a:pt x="3267075" y="1784350"/>
                                </a:lnTo>
                                <a:lnTo>
                                  <a:pt x="3280410" y="1908175"/>
                                </a:lnTo>
                                <a:lnTo>
                                  <a:pt x="4283710" y="2070100"/>
                                </a:lnTo>
                                <a:lnTo>
                                  <a:pt x="4266565" y="2219960"/>
                                </a:lnTo>
                                <a:lnTo>
                                  <a:pt x="4514215" y="2446020"/>
                                </a:lnTo>
                                <a:lnTo>
                                  <a:pt x="4300855" y="2771140"/>
                                </a:lnTo>
                                <a:lnTo>
                                  <a:pt x="4104640" y="2898775"/>
                                </a:lnTo>
                                <a:lnTo>
                                  <a:pt x="4083050" y="2894965"/>
                                </a:lnTo>
                                <a:lnTo>
                                  <a:pt x="4040505" y="2903220"/>
                                </a:lnTo>
                                <a:lnTo>
                                  <a:pt x="4061460" y="2903220"/>
                                </a:lnTo>
                                <a:lnTo>
                                  <a:pt x="4095750" y="2945765"/>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2" name="圆角矩形标注 7"/>
                        <wps:cNvSpPr/>
                        <wps:spPr>
                          <a:xfrm>
                            <a:off x="9287" y="2042846"/>
                            <a:ext cx="1432" cy="506"/>
                          </a:xfrm>
                          <a:prstGeom prst="wedgeRoundRectCallout">
                            <a:avLst>
                              <a:gd name="adj1" fmla="val 54748"/>
                              <a:gd name="adj2" fmla="val -284980"/>
                              <a:gd name="adj3" fmla="val 16667"/>
                            </a:avLst>
                          </a:prstGeom>
                          <a:no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C952501">
                              <w:pPr>
                                <w:jc w:val="center"/>
                                <w:rPr>
                                  <w:rFonts w:hint="default" w:eastAsiaTheme="minorEastAsia"/>
                                  <w:b/>
                                  <w:bCs/>
                                  <w:color w:val="FF0000"/>
                                  <w:lang w:val="en-US" w:eastAsia="zh-CN"/>
                                </w:rPr>
                              </w:pPr>
                              <w:r>
                                <w:rPr>
                                  <w:rFonts w:hint="eastAsia"/>
                                  <w:b/>
                                  <w:bCs/>
                                  <w:color w:val="FF0000"/>
                                  <w:lang w:val="en-US" w:eastAsia="zh-CN"/>
                                </w:rPr>
                                <w:t>拟建变电站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圆角矩形标注 13"/>
                        <wps:cNvSpPr/>
                        <wps:spPr>
                          <a:xfrm>
                            <a:off x="9063" y="2039470"/>
                            <a:ext cx="1620" cy="506"/>
                          </a:xfrm>
                          <a:prstGeom prst="wedgeRoundRectCallout">
                            <a:avLst>
                              <a:gd name="adj1" fmla="val -33765"/>
                              <a:gd name="adj2" fmla="val 168379"/>
                              <a:gd name="adj3" fmla="val 16667"/>
                            </a:avLst>
                          </a:prstGeom>
                          <a:no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F7DD83D">
                              <w:pPr>
                                <w:jc w:val="center"/>
                                <w:rPr>
                                  <w:rFonts w:hint="default" w:eastAsiaTheme="minorEastAsia"/>
                                  <w:b/>
                                  <w:bCs/>
                                  <w:color w:val="FF0000"/>
                                  <w:lang w:val="en-US" w:eastAsia="zh-CN"/>
                                </w:rPr>
                              </w:pPr>
                              <w:r>
                                <w:rPr>
                                  <w:rFonts w:hint="eastAsia"/>
                                  <w:b/>
                                  <w:bCs/>
                                  <w:color w:val="FF0000"/>
                                  <w:lang w:val="en-US" w:eastAsia="zh-CN"/>
                                </w:rPr>
                                <w:t>输变电线路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7.05pt;margin-top:153.7pt;height:203.45pt;width:167.9pt;z-index:251665408;mso-width-relative:page;mso-height-relative:page;" coordorigin="7857,2039283" coordsize="3358,4069" o:gfxdata="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">
                <o:lock v:ext="edit" aspectratio="f"/>
                <v:shape id="任意多边形 462" o:spid="_x0000_s1026" o:spt="100" style="position:absolute;left:10742;top:2041608;height:40;width:85;" filled="f" stroked="t" coordsize="165100,78740" o:gfxdata="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lnSK8AAAA&#10;2wAAAA8AAAAAAAAAAQAgAAAAIgAAAGRycy9kb3ducmV2LnhtbFBLAQIUABQAAAAIAIdO4kAzLwWe&#10;OwAAADkAAAAQAAAAAAAAAAEAIAAAAAsBAABkcnMvc2hhcGV4bWwueG1sUEsFBgAAAAAGAAYAWwEA&#10;ALUDAAAAAA==&#10;" path="m3810,3810l0,78740,161290,78740,165100,0,3810,3810xe">
                  <v:path o:connectlocs="1,1;0,40;83,40;85,0;1,1" o:connectangles="0,0,0,0,0"/>
                  <v:fill on="f" focussize="0,0"/>
                  <v:stroke weight="1pt" color="#C00000 [3204]" miterlimit="8" joinstyle="miter"/>
                  <v:imagedata o:title=""/>
                  <o:lock v:ext="edit" aspectratio="t"/>
                </v:shape>
                <v:shape id="任意多边形 5" o:spid="_x0000_s1026" o:spt="100" style="position:absolute;left:7857;top:2039283;height:2376;width:3358;" filled="f" stroked="t" coordsize="4514215,2945765" o:gfxdata="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LGLttwAAANsAAAAP&#10;AAAAAAAAAAEAIAAAACIAAABkcnMvZG93bnJldi54bWxQSwECFAAUAAAACACHTuJAMy8FnjsAAAA5&#10;AAAAEAAAAAAAAAABACAAAAAGAQAAZHJzL3NoYXBleG1sLnhtbFBLBQYAAAAABgAGAFsBAACwAwAA&#10;AAA=&#10;" path="m0,0l0,46990,93980,59690,204470,200660,657860,324485,999490,751205,1007745,1482090,1720850,1546225,2212340,1720850,2861310,1703070,3267075,1784350,3280410,1908175,4283710,2070100,4266565,2219960,4514215,2446020,4300855,2771140,4104640,2898775,4083050,2894965,4040505,2903220,4061460,2903220,4095750,2945765e">
                  <v:path o:connectlocs="0,0;0,37;69,48;152,161;489,261;743,605;749,1195;1280,1247;1645,1388;2128,1373;2430,1439;2440,1539;3186,1669;3173,1790;3358,1972;3199,2235;3053,2338;3037,2335;3005,2341;3021,2341;3046,2376" o:connectangles="0,0,0,0,0,0,0,0,0,0,0,0,0,0,0,0,0,0,0,0,0"/>
                  <v:fill on="f" focussize="0,0"/>
                  <v:stroke weight="1pt" color="#FF0000 [2404]" miterlimit="8" joinstyle="miter"/>
                  <v:imagedata o:title=""/>
                  <o:lock v:ext="edit" aspectratio="f"/>
                </v:shape>
                <v:shape id="圆角矩形标注 7" o:spid="_x0000_s1026" o:spt="62" type="#_x0000_t62" style="position:absolute;left:9287;top:2042846;height:506;width:1432;v-text-anchor:middle;" filled="f" stroked="t" coordsize="21600,21600" o:gfxdata="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YrdvQAA&#10;ANsAAAAPAAAAAAAAAAEAIAAAACIAAABkcnMvZG93bnJldi54bWxQSwECFAAUAAAACACHTuJAMy8F&#10;njsAAAA5AAAAEAAAAAAAAAABACAAAAAMAQAAZHJzL3NoYXBleG1sLnhtbFBLBQYAAAAABgAGAFsB&#10;AAC2AwAAAAA=&#10;" adj="22626,-50756,14400">
                  <v:fill on="f" focussize="0,0"/>
                  <v:stroke weight="1pt" color="#FF0000 [2404]" miterlimit="8" joinstyle="miter"/>
                  <v:imagedata o:title=""/>
                  <o:lock v:ext="edit" aspectratio="f"/>
                  <v:textbox>
                    <w:txbxContent>
                      <w:p w14:paraId="0C952501">
                        <w:pPr>
                          <w:jc w:val="center"/>
                          <w:rPr>
                            <w:rFonts w:hint="default" w:eastAsiaTheme="minorEastAsia"/>
                            <w:b/>
                            <w:bCs/>
                            <w:color w:val="FF0000"/>
                            <w:lang w:val="en-US" w:eastAsia="zh-CN"/>
                          </w:rPr>
                        </w:pPr>
                        <w:r>
                          <w:rPr>
                            <w:rFonts w:hint="eastAsia"/>
                            <w:b/>
                            <w:bCs/>
                            <w:color w:val="FF0000"/>
                            <w:lang w:val="en-US" w:eastAsia="zh-CN"/>
                          </w:rPr>
                          <w:t>拟建变电站</w:t>
                        </w:r>
                      </w:p>
                    </w:txbxContent>
                  </v:textbox>
                </v:shape>
                <v:shape id="圆角矩形标注 13" o:spid="_x0000_s1026" o:spt="62" type="#_x0000_t62" style="position:absolute;left:9063;top:2039470;height:506;width:1620;v-text-anchor:middle;" filled="f" stroked="t" coordsize="21600,21600" o:gfxdata="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bVnq5AAAA2wAA&#10;AA8AAAAAAAAAAQAgAAAAIgAAAGRycy9kb3ducmV2LnhtbFBLAQIUABQAAAAIAIdO4kAzLwWeOwAA&#10;ADkAAAAQAAAAAAAAAAEAIAAAAAgBAABkcnMvc2hhcGV4bWwueG1sUEsFBgAAAAAGAAYAWwEAALID&#10;AAAAAA==&#10;" adj="3507,47170,14400">
                  <v:fill on="f" focussize="0,0"/>
                  <v:stroke weight="1pt" color="#FF0000 [2404]" miterlimit="8" joinstyle="miter"/>
                  <v:imagedata o:title=""/>
                  <o:lock v:ext="edit" aspectratio="f"/>
                  <v:textbox>
                    <w:txbxContent>
                      <w:p w14:paraId="7F7DD83D">
                        <w:pPr>
                          <w:jc w:val="center"/>
                          <w:rPr>
                            <w:rFonts w:hint="default" w:eastAsiaTheme="minorEastAsia"/>
                            <w:b/>
                            <w:bCs/>
                            <w:color w:val="FF0000"/>
                            <w:lang w:val="en-US" w:eastAsia="zh-CN"/>
                          </w:rPr>
                        </w:pPr>
                        <w:r>
                          <w:rPr>
                            <w:rFonts w:hint="eastAsia"/>
                            <w:b/>
                            <w:bCs/>
                            <w:color w:val="FF0000"/>
                            <w:lang w:val="en-US" w:eastAsia="zh-CN"/>
                          </w:rPr>
                          <w:t>输变电线路</w:t>
                        </w:r>
                      </w:p>
                    </w:txbxContent>
                  </v:textbox>
                </v:shape>
              </v:group>
            </w:pict>
          </mc:Fallback>
        </mc:AlternateContent>
      </w:r>
      <w:r>
        <w:rPr>
          <w:rFonts w:hint="eastAsia" w:ascii="Times New Roman" w:hAnsi="Times New Roman" w:eastAsia="宋体" w:cs="Times New Roman"/>
          <w:b/>
          <w:bCs/>
          <w:color w:val="auto"/>
          <w:kern w:val="0"/>
          <w:sz w:val="21"/>
          <w:szCs w:val="21"/>
          <w:highlight w:val="none"/>
          <w:lang w:val="en-US" w:eastAsia="zh-CN" w:bidi="ar-SA"/>
        </w:rPr>
        <w:t>附件1委托书</w:t>
      </w:r>
    </w:p>
    <w:p w14:paraId="6C0ED638">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宋体" w:hAnsi="宋体" w:eastAsia="宋体" w:cs="宋体"/>
          <w:b w:val="0"/>
          <w:bCs/>
          <w:color w:val="auto"/>
          <w:kern w:val="0"/>
          <w:sz w:val="44"/>
          <w:szCs w:val="44"/>
          <w:lang w:val="en-US" w:eastAsia="zh-CN" w:bidi="ar-SA"/>
        </w:rPr>
      </w:pPr>
    </w:p>
    <w:p w14:paraId="4BAE4A7B">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ascii="宋体" w:hAnsi="宋体" w:eastAsia="宋体" w:cs="宋体"/>
          <w:b w:val="0"/>
          <w:bCs/>
          <w:color w:val="auto"/>
          <w:kern w:val="0"/>
          <w:sz w:val="44"/>
          <w:szCs w:val="44"/>
          <w:lang w:val="en-US" w:eastAsia="zh-CN" w:bidi="ar-SA"/>
        </w:rPr>
      </w:pPr>
      <w:r>
        <w:rPr>
          <w:rFonts w:hint="eastAsia" w:ascii="宋体" w:hAnsi="宋体" w:eastAsia="宋体" w:cs="宋体"/>
          <w:b w:val="0"/>
          <w:bCs/>
          <w:color w:val="auto"/>
          <w:kern w:val="0"/>
          <w:sz w:val="44"/>
          <w:szCs w:val="44"/>
          <w:lang w:val="en-US" w:eastAsia="zh-CN" w:bidi="ar-SA"/>
        </w:rPr>
        <w:t>环境影响评价委托书</w:t>
      </w:r>
    </w:p>
    <w:p w14:paraId="714F2415">
      <w:pPr>
        <w:widowControl/>
        <w:suppressAutoHyphens/>
        <w:topLinePunct/>
        <w:adjustRightInd w:val="0"/>
        <w:snapToGrid w:val="0"/>
        <w:spacing w:before="60" w:after="160" w:line="259" w:lineRule="auto"/>
        <w:ind w:right="113" w:firstLine="567" w:firstLineChars="0"/>
        <w:jc w:val="both"/>
        <w:textAlignment w:val="baseline"/>
        <w:rPr>
          <w:rFonts w:hint="eastAsia" w:ascii="宋体" w:hAnsi="宋体" w:eastAsia="宋体" w:cs="宋体"/>
          <w:b w:val="0"/>
          <w:bCs/>
          <w:color w:val="auto"/>
          <w:kern w:val="2"/>
          <w:sz w:val="44"/>
          <w:szCs w:val="44"/>
          <w:lang w:val="en-US" w:eastAsia="zh-CN" w:bidi="ar-SA"/>
        </w:rPr>
      </w:pPr>
    </w:p>
    <w:p w14:paraId="18C49FA6">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u w:val="single"/>
          <w:lang w:val="en-US" w:eastAsia="zh-CN" w:bidi="ar-SA"/>
        </w:rPr>
      </w:pPr>
      <w:r>
        <w:rPr>
          <w:rFonts w:hint="default" w:ascii="Times New Roman" w:hAnsi="Times New Roman" w:eastAsia="宋体" w:cs="Times New Roman"/>
          <w:b w:val="0"/>
          <w:bCs/>
          <w:color w:val="auto"/>
          <w:kern w:val="0"/>
          <w:sz w:val="28"/>
          <w:szCs w:val="28"/>
          <w:lang w:val="en-US" w:eastAsia="zh-CN" w:bidi="ar-SA"/>
        </w:rPr>
        <w:t>委托方</w:t>
      </w:r>
      <w:r>
        <w:rPr>
          <w:rFonts w:hint="eastAsia" w:ascii="Times New Roman" w:hAnsi="Times New Roman" w:eastAsia="宋体" w:cs="Times New Roman"/>
          <w:b w:val="0"/>
          <w:bCs/>
          <w:color w:val="auto"/>
          <w:kern w:val="0"/>
          <w:sz w:val="28"/>
          <w:szCs w:val="28"/>
          <w:lang w:val="en-US" w:eastAsia="zh-CN" w:bidi="ar-SA"/>
        </w:rPr>
        <w:t>（</w:t>
      </w:r>
      <w:r>
        <w:rPr>
          <w:rFonts w:hint="default" w:ascii="Times New Roman" w:hAnsi="Times New Roman" w:eastAsia="宋体" w:cs="Times New Roman"/>
          <w:b w:val="0"/>
          <w:bCs/>
          <w:color w:val="auto"/>
          <w:kern w:val="0"/>
          <w:sz w:val="28"/>
          <w:szCs w:val="28"/>
          <w:lang w:val="en-US" w:eastAsia="zh-CN" w:bidi="ar-SA"/>
        </w:rPr>
        <w:t>甲方</w:t>
      </w:r>
      <w:r>
        <w:rPr>
          <w:rFonts w:hint="eastAsia" w:ascii="Times New Roman" w:hAnsi="Times New Roman" w:eastAsia="宋体" w:cs="Times New Roman"/>
          <w:b w:val="0"/>
          <w:bCs/>
          <w:color w:val="auto"/>
          <w:kern w:val="0"/>
          <w:sz w:val="28"/>
          <w:szCs w:val="28"/>
          <w:lang w:val="en-US" w:eastAsia="zh-CN" w:bidi="ar-SA"/>
        </w:rPr>
        <w:t>）：</w:t>
      </w:r>
      <w:r>
        <w:rPr>
          <w:rFonts w:hint="default" w:ascii="Times New Roman" w:hAnsi="Times New Roman" w:eastAsia="宋体" w:cs="Times New Roman"/>
          <w:b w:val="0"/>
          <w:bCs/>
          <w:color w:val="auto"/>
          <w:kern w:val="0"/>
          <w:sz w:val="28"/>
          <w:szCs w:val="28"/>
          <w:u w:val="single"/>
          <w:lang w:val="en-US" w:eastAsia="zh-CN" w:bidi="ar-SA"/>
        </w:rPr>
        <w:t xml:space="preserve">                          </w:t>
      </w:r>
      <w:r>
        <w:rPr>
          <w:rFonts w:hint="default" w:ascii="Times New Roman" w:hAnsi="Times New Roman" w:eastAsia="宋体" w:cs="Times New Roman"/>
          <w:b w:val="0"/>
          <w:bCs/>
          <w:color w:val="auto"/>
          <w:kern w:val="0"/>
          <w:sz w:val="28"/>
          <w:szCs w:val="28"/>
          <w:u w:val="single"/>
          <w:lang w:val="en-US" w:eastAsia="zh-CN" w:bidi="ar-SA"/>
        </w:rPr>
        <w:drawing>
          <wp:anchor distT="0" distB="0" distL="114300" distR="114300" simplePos="0" relativeHeight="251670528" behindDoc="0" locked="0" layoutInCell="1" allowOverlap="1">
            <wp:simplePos x="0" y="0"/>
            <wp:positionH relativeFrom="column">
              <wp:posOffset>-810895</wp:posOffset>
            </wp:positionH>
            <wp:positionV relativeFrom="paragraph">
              <wp:posOffset>-2360930</wp:posOffset>
            </wp:positionV>
            <wp:extent cx="7383145" cy="10440035"/>
            <wp:effectExtent l="0" t="0" r="8255" b="18415"/>
            <wp:wrapNone/>
            <wp:docPr id="101" name="图片 101" descr="送审本 - 副本_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送审本 - 副本_136"/>
                    <pic:cNvPicPr>
                      <a:picLocks noChangeAspect="1"/>
                    </pic:cNvPicPr>
                  </pic:nvPicPr>
                  <pic:blipFill>
                    <a:blip r:embed="rId73"/>
                    <a:stretch>
                      <a:fillRect/>
                    </a:stretch>
                  </pic:blipFill>
                  <pic:spPr>
                    <a:xfrm>
                      <a:off x="0" y="0"/>
                      <a:ext cx="7383145" cy="10440035"/>
                    </a:xfrm>
                    <a:prstGeom prst="rect">
                      <a:avLst/>
                    </a:prstGeom>
                  </pic:spPr>
                </pic:pic>
              </a:graphicData>
            </a:graphic>
          </wp:anchor>
        </w:drawing>
      </w:r>
    </w:p>
    <w:p w14:paraId="4036CF71">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u w:val="single"/>
          <w:lang w:val="en-US" w:eastAsia="zh-CN" w:bidi="ar-SA"/>
        </w:rPr>
      </w:pPr>
      <w:r>
        <w:rPr>
          <w:rFonts w:hint="default" w:ascii="Times New Roman" w:hAnsi="Times New Roman" w:eastAsia="宋体" w:cs="Times New Roman"/>
          <w:b w:val="0"/>
          <w:bCs/>
          <w:color w:val="auto"/>
          <w:kern w:val="0"/>
          <w:sz w:val="28"/>
          <w:szCs w:val="28"/>
          <w:lang w:val="en-US" w:eastAsia="zh-CN" w:bidi="ar-SA"/>
        </w:rPr>
        <w:t>服务方</w:t>
      </w:r>
      <w:r>
        <w:rPr>
          <w:rFonts w:hint="eastAsia" w:ascii="Times New Roman" w:hAnsi="Times New Roman" w:eastAsia="宋体" w:cs="Times New Roman"/>
          <w:b w:val="0"/>
          <w:bCs/>
          <w:color w:val="auto"/>
          <w:kern w:val="0"/>
          <w:sz w:val="28"/>
          <w:szCs w:val="28"/>
          <w:lang w:val="en-US" w:eastAsia="zh-CN" w:bidi="ar-SA"/>
        </w:rPr>
        <w:t>（</w:t>
      </w:r>
      <w:r>
        <w:rPr>
          <w:rFonts w:hint="default" w:ascii="Times New Roman" w:hAnsi="Times New Roman" w:eastAsia="宋体" w:cs="Times New Roman"/>
          <w:b w:val="0"/>
          <w:bCs/>
          <w:color w:val="auto"/>
          <w:kern w:val="0"/>
          <w:sz w:val="28"/>
          <w:szCs w:val="28"/>
          <w:lang w:val="en-US" w:eastAsia="zh-CN" w:bidi="ar-SA"/>
        </w:rPr>
        <w:t>乙方</w:t>
      </w:r>
      <w:r>
        <w:rPr>
          <w:rFonts w:hint="eastAsia" w:ascii="Times New Roman" w:hAnsi="Times New Roman" w:eastAsia="宋体" w:cs="Times New Roman"/>
          <w:b w:val="0"/>
          <w:bCs/>
          <w:color w:val="auto"/>
          <w:kern w:val="0"/>
          <w:sz w:val="28"/>
          <w:szCs w:val="28"/>
          <w:lang w:val="en-US" w:eastAsia="zh-CN" w:bidi="ar-SA"/>
        </w:rPr>
        <w:t>）：</w:t>
      </w:r>
      <w:r>
        <w:rPr>
          <w:rFonts w:hint="default" w:ascii="Times New Roman" w:hAnsi="Times New Roman" w:eastAsia="宋体" w:cs="Times New Roman"/>
          <w:b w:val="0"/>
          <w:bCs/>
          <w:color w:val="auto"/>
          <w:kern w:val="0"/>
          <w:sz w:val="28"/>
          <w:szCs w:val="28"/>
          <w:u w:val="single"/>
          <w:lang w:val="en-US" w:eastAsia="zh-CN" w:bidi="ar-SA"/>
        </w:rPr>
        <w:t xml:space="preserve">                          </w:t>
      </w:r>
    </w:p>
    <w:p w14:paraId="350E091C">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p>
    <w:p w14:paraId="46F9A560">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r>
        <w:rPr>
          <w:rFonts w:hint="default" w:ascii="Times New Roman" w:hAnsi="Times New Roman" w:eastAsia="宋体" w:cs="Times New Roman"/>
          <w:b w:val="0"/>
          <w:bCs/>
          <w:color w:val="auto"/>
          <w:kern w:val="0"/>
          <w:sz w:val="28"/>
          <w:szCs w:val="28"/>
          <w:lang w:val="en-US" w:eastAsia="zh-CN" w:bidi="ar-SA"/>
        </w:rPr>
        <w:t>遵照“中华人民共和国环境影响评价法”及有关法律、法规要求，甲方委托乙方对</w:t>
      </w:r>
      <w:r>
        <w:rPr>
          <w:rFonts w:hint="default" w:ascii="Times New Roman" w:hAnsi="Times New Roman" w:eastAsia="宋体" w:cs="Times New Roman"/>
          <w:b w:val="0"/>
          <w:bCs/>
          <w:color w:val="auto"/>
          <w:kern w:val="0"/>
          <w:sz w:val="28"/>
          <w:szCs w:val="28"/>
          <w:u w:val="single"/>
          <w:lang w:val="en-US" w:eastAsia="zh-CN" w:bidi="ar-SA"/>
        </w:rPr>
        <w:t>火山云太行算力中心项目二期扩容220kV输变电工程</w:t>
      </w:r>
      <w:r>
        <w:rPr>
          <w:rFonts w:hint="default" w:ascii="Times New Roman" w:hAnsi="Times New Roman" w:eastAsia="宋体" w:cs="Times New Roman"/>
          <w:b w:val="0"/>
          <w:bCs/>
          <w:color w:val="auto"/>
          <w:kern w:val="0"/>
          <w:sz w:val="28"/>
          <w:szCs w:val="28"/>
          <w:lang w:val="en-US" w:eastAsia="zh-CN" w:bidi="ar-SA"/>
        </w:rPr>
        <w:t>_进行环境影响评价工作。</w:t>
      </w:r>
    </w:p>
    <w:p w14:paraId="42F4238B">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r>
        <w:rPr>
          <w:rFonts w:hint="default" w:ascii="Times New Roman" w:hAnsi="Times New Roman" w:eastAsia="宋体" w:cs="Times New Roman"/>
          <w:b w:val="0"/>
          <w:bCs/>
          <w:color w:val="auto"/>
          <w:kern w:val="0"/>
          <w:sz w:val="28"/>
          <w:szCs w:val="28"/>
          <w:lang w:val="en-US" w:eastAsia="zh-CN" w:bidi="ar-SA"/>
        </w:rPr>
        <w:t>一、甲方为乙方做好基础资料准备工作并提供乙方相关资料，使乙方能按规范要求顺利完成环境影响评价工作。</w:t>
      </w:r>
    </w:p>
    <w:p w14:paraId="053A9E6C">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r>
        <w:rPr>
          <w:rFonts w:hint="default" w:ascii="Times New Roman" w:hAnsi="Times New Roman" w:eastAsia="宋体" w:cs="Times New Roman"/>
          <w:b w:val="0"/>
          <w:bCs/>
          <w:color w:val="auto"/>
          <w:kern w:val="0"/>
          <w:sz w:val="28"/>
          <w:szCs w:val="28"/>
          <w:lang w:val="en-US" w:eastAsia="zh-CN" w:bidi="ar-SA"/>
        </w:rPr>
        <w:t>二、乙方需采用环境影响评价专有技术，按照国家对环境影响评价的有关规定，依据评价技术规范和评价工作方法，以及甲方提供的有关工程设计的文件和资料，分析该项目的建设对环境可能带来的影响，提出相应的控制对策，得出评价结论，完成环境影响报告</w:t>
      </w:r>
      <w:r>
        <w:rPr>
          <w:rFonts w:hint="default" w:ascii="Times New Roman" w:hAnsi="Times New Roman" w:eastAsia="宋体" w:cs="Times New Roman"/>
          <w:b w:val="0"/>
          <w:bCs/>
          <w:color w:val="auto"/>
          <w:kern w:val="0"/>
          <w:sz w:val="28"/>
          <w:szCs w:val="28"/>
          <w:u w:val="single"/>
          <w:lang w:val="en-US" w:eastAsia="zh-CN" w:bidi="ar-SA"/>
        </w:rPr>
        <w:t xml:space="preserve"> 表 </w:t>
      </w:r>
      <w:r>
        <w:rPr>
          <w:rFonts w:hint="default" w:ascii="Times New Roman" w:hAnsi="Times New Roman" w:eastAsia="宋体" w:cs="Times New Roman"/>
          <w:b w:val="0"/>
          <w:bCs/>
          <w:color w:val="auto"/>
          <w:kern w:val="0"/>
          <w:sz w:val="28"/>
          <w:szCs w:val="28"/>
          <w:lang w:val="en-US" w:eastAsia="zh-CN" w:bidi="ar-SA"/>
        </w:rPr>
        <w:t>的编制。</w:t>
      </w:r>
    </w:p>
    <w:p w14:paraId="43A71B9F">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r>
        <w:rPr>
          <w:rFonts w:hint="default" w:ascii="Times New Roman" w:hAnsi="Times New Roman" w:eastAsia="宋体" w:cs="Times New Roman"/>
          <w:b w:val="0"/>
          <w:bCs/>
          <w:color w:val="auto"/>
          <w:kern w:val="0"/>
          <w:sz w:val="28"/>
          <w:szCs w:val="28"/>
          <w:lang w:val="en-US" w:eastAsia="zh-CN" w:bidi="ar-SA"/>
        </w:rPr>
        <w:t>三、本委托协议书一式二份，甲、乙各执一份，双方单位盖章后生效。</w:t>
      </w:r>
    </w:p>
    <w:p w14:paraId="2142E51E">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p>
    <w:p w14:paraId="4590579C">
      <w:pPr>
        <w:widowControl/>
        <w:suppressAutoHyphens/>
        <w:topLinePunct/>
        <w:adjustRightInd w:val="0"/>
        <w:snapToGrid w:val="0"/>
        <w:spacing w:before="60" w:after="160" w:line="259" w:lineRule="auto"/>
        <w:ind w:right="113" w:firstLine="567" w:firstLineChars="0"/>
        <w:jc w:val="both"/>
        <w:textAlignment w:val="baseline"/>
        <w:rPr>
          <w:rFonts w:hint="default" w:ascii="Calibri" w:hAnsi="Calibri" w:eastAsia="宋体" w:cs="Times New Roman"/>
          <w:color w:val="auto"/>
          <w:kern w:val="2"/>
          <w:sz w:val="18"/>
          <w:szCs w:val="22"/>
          <w:lang w:val="en-US" w:eastAsia="zh-CN" w:bidi="ar-SA"/>
        </w:rPr>
      </w:pPr>
    </w:p>
    <w:p w14:paraId="0271AB53">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b w:val="0"/>
          <w:bCs/>
          <w:color w:val="auto"/>
          <w:kern w:val="0"/>
          <w:sz w:val="28"/>
          <w:szCs w:val="28"/>
          <w:lang w:val="en-US" w:eastAsia="zh-CN" w:bidi="ar-SA"/>
        </w:rPr>
      </w:pPr>
      <w:r>
        <w:rPr>
          <w:rFonts w:hint="default" w:ascii="Times New Roman" w:hAnsi="Times New Roman" w:eastAsia="宋体" w:cs="Times New Roman"/>
          <w:b w:val="0"/>
          <w:bCs/>
          <w:color w:val="auto"/>
          <w:kern w:val="0"/>
          <w:sz w:val="28"/>
          <w:szCs w:val="28"/>
          <w:lang w:val="en-US" w:eastAsia="zh-CN" w:bidi="ar-SA"/>
        </w:rPr>
        <w:t>委托方(甲方)                          服务方(乙方)</w:t>
      </w:r>
    </w:p>
    <w:p w14:paraId="4A91B79F">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right"/>
        <w:textAlignment w:val="auto"/>
        <w:rPr>
          <w:rFonts w:hint="default" w:ascii="Times New Roman" w:hAnsi="Times New Roman" w:eastAsia="宋体" w:cs="Times New Roman"/>
          <w:b w:val="0"/>
          <w:bCs/>
          <w:color w:val="auto"/>
          <w:kern w:val="0"/>
          <w:sz w:val="28"/>
          <w:szCs w:val="28"/>
          <w:lang w:val="en-US" w:eastAsia="zh-CN" w:bidi="ar-SA"/>
        </w:rPr>
      </w:pPr>
    </w:p>
    <w:p w14:paraId="0CBE9A94">
      <w:pPr>
        <w:jc w:val="righ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val="0"/>
          <w:bCs/>
          <w:color w:val="auto"/>
          <w:kern w:val="0"/>
          <w:sz w:val="28"/>
          <w:szCs w:val="28"/>
          <w:lang w:val="en-US" w:eastAsia="zh-CN" w:bidi="ar-SA"/>
        </w:rPr>
        <w:t xml:space="preserve">                                  </w:t>
      </w:r>
      <w:r>
        <w:rPr>
          <w:rFonts w:hint="eastAsia" w:ascii="Times New Roman" w:hAnsi="Times New Roman" w:eastAsia="宋体" w:cs="Times New Roman"/>
          <w:b w:val="0"/>
          <w:bCs/>
          <w:color w:val="auto"/>
          <w:kern w:val="0"/>
          <w:sz w:val="28"/>
          <w:szCs w:val="28"/>
          <w:lang w:val="en-US" w:eastAsia="zh-CN" w:bidi="ar-SA"/>
        </w:rPr>
        <w:t xml:space="preserve">     </w:t>
      </w:r>
      <w:r>
        <w:rPr>
          <w:rFonts w:hint="default" w:ascii="Times New Roman" w:hAnsi="Times New Roman" w:eastAsia="宋体" w:cs="Times New Roman"/>
          <w:b w:val="0"/>
          <w:bCs/>
          <w:color w:val="auto"/>
          <w:kern w:val="0"/>
          <w:sz w:val="28"/>
          <w:szCs w:val="28"/>
          <w:lang w:val="en-US" w:eastAsia="zh-CN" w:bidi="ar-SA"/>
        </w:rPr>
        <w:t>年</w:t>
      </w:r>
      <w:r>
        <w:rPr>
          <w:rFonts w:hint="eastAsia" w:ascii="Times New Roman" w:hAnsi="Times New Roman" w:eastAsia="宋体" w:cs="Times New Roman"/>
          <w:b w:val="0"/>
          <w:bCs/>
          <w:color w:val="auto"/>
          <w:kern w:val="0"/>
          <w:sz w:val="28"/>
          <w:szCs w:val="28"/>
          <w:lang w:val="en-US" w:eastAsia="zh-CN" w:bidi="ar-SA"/>
        </w:rPr>
        <w:t xml:space="preserve">   </w:t>
      </w:r>
      <w:r>
        <w:rPr>
          <w:rFonts w:hint="default" w:ascii="Times New Roman" w:hAnsi="Times New Roman" w:eastAsia="宋体" w:cs="Times New Roman"/>
          <w:b w:val="0"/>
          <w:bCs/>
          <w:color w:val="auto"/>
          <w:kern w:val="0"/>
          <w:sz w:val="28"/>
          <w:szCs w:val="28"/>
          <w:lang w:val="en-US" w:eastAsia="zh-CN" w:bidi="ar-SA"/>
        </w:rPr>
        <w:t>月</w:t>
      </w:r>
      <w:r>
        <w:rPr>
          <w:rFonts w:hint="eastAsia" w:ascii="Times New Roman" w:hAnsi="Times New Roman" w:eastAsia="宋体" w:cs="Times New Roman"/>
          <w:b w:val="0"/>
          <w:bCs/>
          <w:color w:val="auto"/>
          <w:kern w:val="0"/>
          <w:sz w:val="28"/>
          <w:szCs w:val="28"/>
          <w:lang w:val="en-US" w:eastAsia="zh-CN" w:bidi="ar-SA"/>
        </w:rPr>
        <w:t xml:space="preserve">    </w:t>
      </w:r>
      <w:r>
        <w:rPr>
          <w:rFonts w:hint="default" w:ascii="Times New Roman" w:hAnsi="Times New Roman" w:eastAsia="宋体" w:cs="Times New Roman"/>
          <w:b w:val="0"/>
          <w:bCs/>
          <w:color w:val="auto"/>
          <w:kern w:val="0"/>
          <w:sz w:val="28"/>
          <w:szCs w:val="28"/>
          <w:lang w:val="en-US" w:eastAsia="zh-CN" w:bidi="ar-SA"/>
        </w:rPr>
        <w:t>日</w:t>
      </w:r>
    </w:p>
    <w:p w14:paraId="5DCC7B46">
      <w:pPr>
        <w:rPr>
          <w:rFonts w:hint="default" w:ascii="Times New Roman" w:hAnsi="Times New Roman" w:eastAsia="宋体" w:cs="Times New Roman"/>
          <w:b/>
          <w:color w:val="auto"/>
          <w:sz w:val="24"/>
          <w:szCs w:val="24"/>
          <w:highlight w:val="none"/>
          <w:lang w:eastAsia="zh-CN"/>
        </w:rPr>
        <w:sectPr>
          <w:headerReference r:id="rId9" w:type="default"/>
          <w:footerReference r:id="rId10"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102D3DFD">
      <w:pPr>
        <w:rPr>
          <w:rFonts w:hint="default" w:ascii="Times New Roman" w:hAnsi="Times New Roman" w:eastAsia="宋体" w:cs="Times New Roman"/>
          <w:b/>
          <w:color w:val="auto"/>
          <w:sz w:val="24"/>
          <w:szCs w:val="24"/>
          <w:highlight w:val="none"/>
          <w:lang w:eastAsia="zh-CN"/>
        </w:rPr>
        <w:sectPr>
          <w:headerReference r:id="rId11" w:type="default"/>
          <w:footerReference r:id="rId12" w:type="default"/>
          <w:pgSz w:w="11906" w:h="16838"/>
          <w:pgMar w:top="1134" w:right="1134" w:bottom="1134" w:left="1134" w:header="0" w:footer="0" w:gutter="0"/>
          <w:pgBorders>
            <w:top w:val="none" w:sz="0" w:space="0"/>
            <w:left w:val="none" w:sz="0" w:space="0"/>
            <w:bottom w:val="none" w:sz="0" w:space="0"/>
            <w:right w:val="none" w:sz="0" w:space="0"/>
          </w:pgBorders>
          <w:pgNumType w:fmt="decimal"/>
          <w:cols w:space="720" w:num="1"/>
          <w:docGrid w:type="lines" w:linePitch="333" w:charSpace="0"/>
        </w:sectPr>
      </w:pPr>
      <w:r>
        <w:rPr>
          <w:rFonts w:hint="default" w:ascii="Times New Roman" w:hAnsi="Times New Roman" w:eastAsia="宋体" w:cs="Times New Roman"/>
          <w:b/>
          <w:color w:val="auto"/>
          <w:sz w:val="24"/>
          <w:szCs w:val="24"/>
          <w:highlight w:val="none"/>
          <w:lang w:eastAsia="zh-CN"/>
        </w:rPr>
        <mc:AlternateContent>
          <mc:Choice Requires="wps">
            <w:drawing>
              <wp:anchor distT="0" distB="0" distL="114300" distR="114300" simplePos="0" relativeHeight="251664384" behindDoc="0" locked="0" layoutInCell="1" allowOverlap="1">
                <wp:simplePos x="0" y="0"/>
                <wp:positionH relativeFrom="column">
                  <wp:posOffset>-82550</wp:posOffset>
                </wp:positionH>
                <wp:positionV relativeFrom="paragraph">
                  <wp:posOffset>-3175</wp:posOffset>
                </wp:positionV>
                <wp:extent cx="2462530" cy="38735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2462530" cy="387350"/>
                        </a:xfrm>
                        <a:prstGeom prst="rect">
                          <a:avLst/>
                        </a:prstGeom>
                        <a:noFill/>
                        <a:ln>
                          <a:noFill/>
                        </a:ln>
                      </wps:spPr>
                      <wps:txbx>
                        <w:txbxContent>
                          <w:p w14:paraId="429858F1">
                            <w:pPr>
                              <w:spacing w:line="360" w:lineRule="auto"/>
                              <w:jc w:val="left"/>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rPr>
                              <w:t>附</w:t>
                            </w:r>
                            <w:r>
                              <w:rPr>
                                <w:rFonts w:hint="eastAsia" w:ascii="Times New Roman" w:hAnsi="Times New Roman" w:eastAsia="宋体" w:cs="Times New Roman"/>
                                <w:b/>
                                <w:bCs/>
                                <w:color w:val="auto"/>
                                <w:sz w:val="24"/>
                                <w:szCs w:val="24"/>
                                <w:lang w:val="en-US" w:eastAsia="zh-CN"/>
                              </w:rPr>
                              <w:t>件2 核准的批复</w:t>
                            </w:r>
                          </w:p>
                          <w:p w14:paraId="7FD0DCE8">
                            <w:pPr>
                              <w:rPr>
                                <w:rFonts w:ascii="等线" w:hAnsi="等线" w:eastAsia="等线" w:cs="Times New Roman"/>
                                <w:szCs w:val="22"/>
                              </w:rPr>
                            </w:pPr>
                          </w:p>
                        </w:txbxContent>
                      </wps:txbx>
                      <wps:bodyPr upright="1"/>
                    </wps:wsp>
                  </a:graphicData>
                </a:graphic>
              </wp:anchor>
            </w:drawing>
          </mc:Choice>
          <mc:Fallback>
            <w:pict>
              <v:shape id="_x0000_s1026" o:spid="_x0000_s1026" o:spt="202" type="#_x0000_t202" style="position:absolute;left:0pt;margin-left:-6.5pt;margin-top:-0.25pt;height:30.5pt;width:193.9pt;z-index:251664384;mso-width-relative:page;mso-height-relative:page;" filled="f" stroked="f" coordsize="21600,21600" o:gfxdata="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3B1LdYA&#10;AAAIAQAADwAAAAAAAAABACAAAAAiAAAAZHJzL2Rvd25yZXYueG1sUEsBAhQAFAAAAAgAh07iQMC2&#10;XiuvAQAAUAMAAA4AAAAAAAAAAQAgAAAAJQEAAGRycy9lMm9Eb2MueG1sUEsFBgAAAAAGAAYAWQEA&#10;AEYFAAAAAA==&#10;">
                <v:fill on="f" focussize="0,0"/>
                <v:stroke on="f"/>
                <v:imagedata o:title=""/>
                <o:lock v:ext="edit" aspectratio="f"/>
                <v:textbox>
                  <w:txbxContent>
                    <w:p w14:paraId="429858F1">
                      <w:pPr>
                        <w:spacing w:line="360" w:lineRule="auto"/>
                        <w:jc w:val="left"/>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rPr>
                        <w:t>附</w:t>
                      </w:r>
                      <w:r>
                        <w:rPr>
                          <w:rFonts w:hint="eastAsia" w:ascii="Times New Roman" w:hAnsi="Times New Roman" w:eastAsia="宋体" w:cs="Times New Roman"/>
                          <w:b/>
                          <w:bCs/>
                          <w:color w:val="auto"/>
                          <w:sz w:val="24"/>
                          <w:szCs w:val="24"/>
                          <w:lang w:val="en-US" w:eastAsia="zh-CN"/>
                        </w:rPr>
                        <w:t>件2 核准的批复</w:t>
                      </w:r>
                    </w:p>
                    <w:p w14:paraId="7FD0DCE8">
                      <w:pPr>
                        <w:rPr>
                          <w:rFonts w:ascii="等线" w:hAnsi="等线" w:eastAsia="等线" w:cs="Times New Roman"/>
                          <w:szCs w:val="22"/>
                        </w:rPr>
                      </w:pPr>
                    </w:p>
                  </w:txbxContent>
                </v:textbox>
              </v:shape>
            </w:pict>
          </mc:Fallback>
        </mc:AlternateContent>
      </w:r>
      <w:r>
        <w:rPr>
          <w:rFonts w:hint="default" w:ascii="Times New Roman" w:hAnsi="Times New Roman" w:eastAsia="宋体" w:cs="Times New Roman"/>
          <w:b/>
          <w:color w:val="auto"/>
          <w:sz w:val="24"/>
          <w:szCs w:val="24"/>
          <w:highlight w:val="none"/>
          <w:lang w:eastAsia="zh-CN"/>
        </w:rPr>
        <w:drawing>
          <wp:inline distT="0" distB="0" distL="114300" distR="114300">
            <wp:extent cx="6418580" cy="9052560"/>
            <wp:effectExtent l="0" t="0" r="1270" b="15240"/>
            <wp:docPr id="2" name="图片 2" descr="核准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核准文件_01"/>
                    <pic:cNvPicPr>
                      <a:picLocks noChangeAspect="1"/>
                    </pic:cNvPicPr>
                  </pic:nvPicPr>
                  <pic:blipFill>
                    <a:blip r:embed="rId74"/>
                    <a:stretch>
                      <a:fillRect/>
                    </a:stretch>
                  </pic:blipFill>
                  <pic:spPr>
                    <a:xfrm>
                      <a:off x="0" y="0"/>
                      <a:ext cx="6418580" cy="9052560"/>
                    </a:xfrm>
                    <a:prstGeom prst="rect">
                      <a:avLst/>
                    </a:prstGeom>
                  </pic:spPr>
                </pic:pic>
              </a:graphicData>
            </a:graphic>
          </wp:inline>
        </w:drawing>
      </w:r>
    </w:p>
    <w:p w14:paraId="315C659D">
      <w:pPr>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drawing>
          <wp:inline distT="0" distB="0" distL="114300" distR="114300">
            <wp:extent cx="6191250" cy="8740140"/>
            <wp:effectExtent l="0" t="0" r="0" b="3810"/>
            <wp:docPr id="9" name="图片 9" descr="核准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核准文件_02"/>
                    <pic:cNvPicPr>
                      <a:picLocks noChangeAspect="1"/>
                    </pic:cNvPicPr>
                  </pic:nvPicPr>
                  <pic:blipFill>
                    <a:blip r:embed="rId75"/>
                    <a:stretch>
                      <a:fillRect/>
                    </a:stretch>
                  </pic:blipFill>
                  <pic:spPr>
                    <a:xfrm>
                      <a:off x="0" y="0"/>
                      <a:ext cx="6191250" cy="8740140"/>
                    </a:xfrm>
                    <a:prstGeom prst="rect">
                      <a:avLst/>
                    </a:prstGeom>
                  </pic:spPr>
                </pic:pic>
              </a:graphicData>
            </a:graphic>
          </wp:inline>
        </w:drawing>
      </w:r>
      <w:r>
        <w:rPr>
          <w:rFonts w:hint="default" w:ascii="Times New Roman" w:hAnsi="Times New Roman" w:eastAsia="宋体" w:cs="Times New Roman"/>
          <w:b/>
          <w:color w:val="auto"/>
          <w:sz w:val="24"/>
          <w:szCs w:val="24"/>
          <w:highlight w:val="none"/>
          <w:lang w:eastAsia="zh-CN"/>
        </w:rPr>
        <w:drawing>
          <wp:inline distT="0" distB="0" distL="114300" distR="114300">
            <wp:extent cx="6058535" cy="8989060"/>
            <wp:effectExtent l="0" t="0" r="18415" b="2540"/>
            <wp:docPr id="10" name="图片 10" descr="核准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核准文件_03"/>
                    <pic:cNvPicPr>
                      <a:picLocks noChangeAspect="1"/>
                    </pic:cNvPicPr>
                  </pic:nvPicPr>
                  <pic:blipFill>
                    <a:blip r:embed="rId76"/>
                    <a:srcRect l="4462" t="1482" r="2536"/>
                    <a:stretch>
                      <a:fillRect/>
                    </a:stretch>
                  </pic:blipFill>
                  <pic:spPr>
                    <a:xfrm>
                      <a:off x="0" y="0"/>
                      <a:ext cx="6058535" cy="8989060"/>
                    </a:xfrm>
                    <a:prstGeom prst="rect">
                      <a:avLst/>
                    </a:prstGeom>
                  </pic:spPr>
                </pic:pic>
              </a:graphicData>
            </a:graphic>
          </wp:inline>
        </w:drawing>
      </w:r>
      <w:r>
        <w:rPr>
          <w:rFonts w:hint="default" w:ascii="Times New Roman" w:hAnsi="Times New Roman" w:eastAsia="宋体" w:cs="Times New Roman"/>
          <w:b/>
          <w:color w:val="auto"/>
          <w:sz w:val="24"/>
          <w:szCs w:val="24"/>
          <w:highlight w:val="none"/>
          <w:lang w:eastAsia="zh-CN"/>
        </w:rPr>
        <w:drawing>
          <wp:inline distT="0" distB="0" distL="114300" distR="114300">
            <wp:extent cx="6043295" cy="8869680"/>
            <wp:effectExtent l="0" t="0" r="14605" b="7620"/>
            <wp:docPr id="14" name="图片 14" descr="核准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核准文件_04"/>
                    <pic:cNvPicPr>
                      <a:picLocks noChangeAspect="1"/>
                    </pic:cNvPicPr>
                  </pic:nvPicPr>
                  <pic:blipFill>
                    <a:blip r:embed="rId77"/>
                    <a:srcRect l="2952" r="1145"/>
                    <a:stretch>
                      <a:fillRect/>
                    </a:stretch>
                  </pic:blipFill>
                  <pic:spPr>
                    <a:xfrm>
                      <a:off x="0" y="0"/>
                      <a:ext cx="6043295" cy="8869680"/>
                    </a:xfrm>
                    <a:prstGeom prst="rect">
                      <a:avLst/>
                    </a:prstGeom>
                  </pic:spPr>
                </pic:pic>
              </a:graphicData>
            </a:graphic>
          </wp:inline>
        </w:drawing>
      </w:r>
      <w:r>
        <w:rPr>
          <w:rFonts w:hint="default" w:ascii="Times New Roman" w:hAnsi="Times New Roman" w:eastAsia="宋体" w:cs="Times New Roman"/>
          <w:b/>
          <w:color w:val="auto"/>
          <w:sz w:val="24"/>
          <w:szCs w:val="24"/>
          <w:highlight w:val="none"/>
          <w:lang w:eastAsia="zh-CN"/>
        </w:rPr>
        <w:drawing>
          <wp:inline distT="0" distB="0" distL="114300" distR="114300">
            <wp:extent cx="6183630" cy="8870950"/>
            <wp:effectExtent l="0" t="0" r="7620" b="6350"/>
            <wp:docPr id="18" name="图片 18" descr="核准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核准文件_05"/>
                    <pic:cNvPicPr>
                      <a:picLocks noChangeAspect="1"/>
                    </pic:cNvPicPr>
                  </pic:nvPicPr>
                  <pic:blipFill>
                    <a:blip r:embed="rId78"/>
                    <a:srcRect l="1403" t="1566" r="1981"/>
                    <a:stretch>
                      <a:fillRect/>
                    </a:stretch>
                  </pic:blipFill>
                  <pic:spPr>
                    <a:xfrm>
                      <a:off x="0" y="0"/>
                      <a:ext cx="6183630" cy="8870950"/>
                    </a:xfrm>
                    <a:prstGeom prst="rect">
                      <a:avLst/>
                    </a:prstGeom>
                  </pic:spPr>
                </pic:pic>
              </a:graphicData>
            </a:graphic>
          </wp:inline>
        </w:drawing>
      </w:r>
      <w:bookmarkStart w:id="3" w:name="_GoBack"/>
      <w:bookmarkEnd w:id="3"/>
    </w:p>
    <w:sectPr>
      <w:headerReference r:id="rId13" w:type="default"/>
      <w:footerReference r:id="rId14" w:type="default"/>
      <w:pgSz w:w="11906" w:h="16838"/>
      <w:pgMar w:top="1418" w:right="1134" w:bottom="1418"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77A825-EC67-4348-9564-FBA06B4EC799}"/>
  </w:font>
  <w:font w:name="黑体">
    <w:panose1 w:val="02010609060101010101"/>
    <w:charset w:val="86"/>
    <w:family w:val="auto"/>
    <w:pitch w:val="default"/>
    <w:sig w:usb0="800002BF" w:usb1="38CF7CFA" w:usb2="00000016" w:usb3="00000000" w:csb0="00040001" w:csb1="00000000"/>
    <w:embedRegular r:id="rId2" w:fontKey="{14C85AD6-2FF0-4774-9FAA-D43458D594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ED42F94-6A21-491B-9121-689E0D87B142}"/>
  </w:font>
  <w:font w:name="等线">
    <w:panose1 w:val="02010600030101010101"/>
    <w:charset w:val="86"/>
    <w:family w:val="auto"/>
    <w:pitch w:val="default"/>
    <w:sig w:usb0="A00002BF" w:usb1="38CF7CFA" w:usb2="00000016" w:usb3="00000000" w:csb0="0004000F" w:csb1="00000000"/>
    <w:embedRegular r:id="rId4" w:fontKey="{02221F74-A8E5-4A1E-89CA-D0330D1FD16B}"/>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7FFAEFF" w:usb1="F9DFFFFF" w:usb2="0000007F" w:usb3="00000000" w:csb0="203F01FF" w:csb1="DFFF0000"/>
  </w:font>
  <w:font w:name="仿宋_GB2312">
    <w:altName w:val="仿宋"/>
    <w:panose1 w:val="02010609030101010101"/>
    <w:charset w:val="86"/>
    <w:family w:val="modern"/>
    <w:pitch w:val="default"/>
    <w:sig w:usb0="00000000" w:usb1="00000000" w:usb2="00000000" w:usb3="00000000" w:csb0="00040000" w:csb1="00000000"/>
    <w:embedRegular r:id="rId5" w:fontKey="{1C93E56D-41E7-4713-8768-6408B0D52CE1}"/>
  </w:font>
  <w:font w:name="仿宋">
    <w:panose1 w:val="02010609060101010101"/>
    <w:charset w:val="86"/>
    <w:family w:val="modern"/>
    <w:pitch w:val="default"/>
    <w:sig w:usb0="800002BF" w:usb1="38CF7CFA" w:usb2="00000016" w:usb3="00000000" w:csb0="00040001" w:csb1="00000000"/>
    <w:embedRegular r:id="rId6" w:fontKey="{A0F5865E-9BE0-41E7-9FC9-1C65498702D8}"/>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方正仿宋_GBK">
    <w:panose1 w:val="02000000000000000000"/>
    <w:charset w:val="86"/>
    <w:family w:val="script"/>
    <w:pitch w:val="default"/>
    <w:sig w:usb0="A00002BF" w:usb1="38CF7CFA"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7" w:fontKey="{73EBA81D-D7C1-47A6-B741-578C6256BF80}"/>
  </w:font>
  <w:font w:name="楷体">
    <w:panose1 w:val="02010609060101010101"/>
    <w:charset w:val="86"/>
    <w:family w:val="modern"/>
    <w:pitch w:val="default"/>
    <w:sig w:usb0="800002BF" w:usb1="38CF7CFA" w:usb2="00000016" w:usb3="00000000" w:csb0="00040001" w:csb1="00000000"/>
    <w:embedRegular r:id="rId8" w:fontKey="{DB7A32A2-C0C1-43A1-9CD4-AABBAA2508E1}"/>
  </w:font>
  <w:font w:name="..">
    <w:altName w:val="黑体"/>
    <w:panose1 w:val="00000000000000000000"/>
    <w:charset w:val="86"/>
    <w:family w:val="auto"/>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9" w:fontKey="{7F659C17-1DDF-4B56-8F39-93EFBF8B4316}"/>
  </w:font>
  <w:font w:name="微软雅黑">
    <w:panose1 w:val="020B0503020204020204"/>
    <w:charset w:val="86"/>
    <w:family w:val="auto"/>
    <w:pitch w:val="default"/>
    <w:sig w:usb0="80000287" w:usb1="2ACF3C50" w:usb2="00000016" w:usb3="00000000" w:csb0="0004001F" w:csb1="00000000"/>
    <w:embedRegular r:id="rId10" w:fontKey="{E9143751-4D87-4E7A-A235-28643EA31488}"/>
  </w:font>
  <w:font w:name="TimesNewRomanPSMT">
    <w:altName w:val="Times New Roman"/>
    <w:panose1 w:val="00000000000000000000"/>
    <w:charset w:val="86"/>
    <w:family w:val="auto"/>
    <w:pitch w:val="default"/>
    <w:sig w:usb0="00000000" w:usb1="00000000" w:usb2="00000000" w:usb3="00000000" w:csb0="00040000" w:csb1="00000000"/>
    <w:embedRegular r:id="rId11" w:fontKey="{25BD698F-669C-4251-B430-7F40EF22CA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770F4">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83D24">
    <w:pPr>
      <w:pStyle w:val="17"/>
      <w:framePr w:wrap="around" w:vAnchor="text" w:hAnchor="margin" w:xAlign="outside" w:y="1"/>
      <w:rPr>
        <w:rStyle w:val="31"/>
      </w:rPr>
    </w:pPr>
    <w:r>
      <w:fldChar w:fldCharType="begin"/>
    </w:r>
    <w:r>
      <w:rPr>
        <w:rStyle w:val="31"/>
      </w:rPr>
      <w:instrText xml:space="preserve">PAGE  </w:instrText>
    </w:r>
    <w:r>
      <w:fldChar w:fldCharType="end"/>
    </w:r>
  </w:p>
  <w:p w14:paraId="0738A583">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9178D">
    <w:pPr>
      <w:pStyle w:val="17"/>
      <w:ind w:right="360"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88290" cy="17145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288290" cy="171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D567A">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5pt;width:22.7pt;mso-position-horizontal:center;mso-position-horizontal-relative:margin;z-index:251666432;mso-width-relative:page;mso-height-relative:page;" filled="f" stroked="f" coordsize="21600,21600" o:gfxdata="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ooDm3UAAAAAwEAAA8AAAAAAAAAAQAgAAAAIgAAAGRycy9kb3ducmV2LnhtbFBL&#10;AQIUABQAAAAIAIdO4kCIpEg4MwIAAFkEAAAOAAAAAAAAAAEAIAAAACMBAABkcnMvZTJvRG9jLnht&#10;bFBLBQYAAAAABgAGAFkBAADIBQAAAAA=&#10;">
              <v:fill on="f" focussize="0,0"/>
              <v:stroke on="f" weight="0.5pt"/>
              <v:imagedata o:title=""/>
              <o:lock v:ext="edit" aspectratio="f"/>
              <v:textbox inset="0mm,0mm,0mm,0mm">
                <w:txbxContent>
                  <w:p w14:paraId="705D567A">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F4D0C">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BA1CB">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F0314">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3F0314">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EB151">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B64A3">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p w14:paraId="3E295007">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289BC">
    <w:pPr>
      <w:pStyle w:val="17"/>
      <w:rPr>
        <w:rStyle w:val="31"/>
      </w:rPr>
    </w:pPr>
  </w:p>
  <w:p w14:paraId="433206C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268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AF59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19497">
    <w:pPr>
      <w:rPr>
        <w:rFonts w:ascii="等线" w:hAnsi="等线" w:eastAsia="等线" w:cs="Times New Roman"/>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EB6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11B49"/>
    <w:multiLevelType w:val="singleLevel"/>
    <w:tmpl w:val="F7A11B49"/>
    <w:lvl w:ilvl="0" w:tentative="0">
      <w:start w:val="21"/>
      <w:numFmt w:val="upperLetter"/>
      <w:lvlText w:val="[%1]"/>
      <w:lvlJc w:val="left"/>
      <w:pPr>
        <w:tabs>
          <w:tab w:val="left" w:pos="312"/>
        </w:tabs>
      </w:pPr>
    </w:lvl>
  </w:abstractNum>
  <w:abstractNum w:abstractNumId="1">
    <w:nsid w:val="186B7368"/>
    <w:multiLevelType w:val="singleLevel"/>
    <w:tmpl w:val="186B7368"/>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documentProtection w:enforcement="0"/>
  <w:defaultTabStop w:val="420"/>
  <w:drawingGridHorizontalSpacing w:val="105"/>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2NzI1OTZiNTlmODBmZjBjMDA4M2YyYmQ1YjdkZjUifQ=="/>
    <w:docVar w:name="KSO_WPS_MARK_KEY" w:val="16c3e54d-9e00-4d0e-b201-15e174090427"/>
  </w:docVars>
  <w:rsids>
    <w:rsidRoot w:val="00172A27"/>
    <w:rsid w:val="000009B3"/>
    <w:rsid w:val="00000DC3"/>
    <w:rsid w:val="0000144D"/>
    <w:rsid w:val="0000168D"/>
    <w:rsid w:val="00001DBB"/>
    <w:rsid w:val="00001F72"/>
    <w:rsid w:val="00002557"/>
    <w:rsid w:val="00003ACC"/>
    <w:rsid w:val="00004269"/>
    <w:rsid w:val="000047A4"/>
    <w:rsid w:val="00004827"/>
    <w:rsid w:val="00004A8D"/>
    <w:rsid w:val="00004E3B"/>
    <w:rsid w:val="00005ABE"/>
    <w:rsid w:val="00006609"/>
    <w:rsid w:val="000068D7"/>
    <w:rsid w:val="0000697A"/>
    <w:rsid w:val="00006C4A"/>
    <w:rsid w:val="00006DC1"/>
    <w:rsid w:val="0000720B"/>
    <w:rsid w:val="00010157"/>
    <w:rsid w:val="00010279"/>
    <w:rsid w:val="00010980"/>
    <w:rsid w:val="00010FDF"/>
    <w:rsid w:val="0001102F"/>
    <w:rsid w:val="000110FA"/>
    <w:rsid w:val="000117AF"/>
    <w:rsid w:val="00011D5A"/>
    <w:rsid w:val="00011F62"/>
    <w:rsid w:val="00012AF8"/>
    <w:rsid w:val="0001310C"/>
    <w:rsid w:val="00013274"/>
    <w:rsid w:val="00013854"/>
    <w:rsid w:val="000138E0"/>
    <w:rsid w:val="00013F4A"/>
    <w:rsid w:val="00015971"/>
    <w:rsid w:val="000160CE"/>
    <w:rsid w:val="00016879"/>
    <w:rsid w:val="000168EC"/>
    <w:rsid w:val="00017019"/>
    <w:rsid w:val="000171D6"/>
    <w:rsid w:val="0002072C"/>
    <w:rsid w:val="0002082E"/>
    <w:rsid w:val="00020A6A"/>
    <w:rsid w:val="000212F1"/>
    <w:rsid w:val="000217FA"/>
    <w:rsid w:val="0002212B"/>
    <w:rsid w:val="00022CAF"/>
    <w:rsid w:val="000247DF"/>
    <w:rsid w:val="0002536B"/>
    <w:rsid w:val="00025EE6"/>
    <w:rsid w:val="00025FD3"/>
    <w:rsid w:val="000261FF"/>
    <w:rsid w:val="000279C4"/>
    <w:rsid w:val="00027C7A"/>
    <w:rsid w:val="00030568"/>
    <w:rsid w:val="00030842"/>
    <w:rsid w:val="00031030"/>
    <w:rsid w:val="00031116"/>
    <w:rsid w:val="000320C2"/>
    <w:rsid w:val="00032C29"/>
    <w:rsid w:val="000330EB"/>
    <w:rsid w:val="00033A0F"/>
    <w:rsid w:val="00033BD4"/>
    <w:rsid w:val="000347D7"/>
    <w:rsid w:val="00034F6F"/>
    <w:rsid w:val="00035B71"/>
    <w:rsid w:val="000362E6"/>
    <w:rsid w:val="00036655"/>
    <w:rsid w:val="0003670E"/>
    <w:rsid w:val="00036F29"/>
    <w:rsid w:val="00036FDF"/>
    <w:rsid w:val="000372BF"/>
    <w:rsid w:val="00037381"/>
    <w:rsid w:val="0003778A"/>
    <w:rsid w:val="000377B7"/>
    <w:rsid w:val="000379B8"/>
    <w:rsid w:val="00037CE3"/>
    <w:rsid w:val="000410F4"/>
    <w:rsid w:val="00041E12"/>
    <w:rsid w:val="00042E62"/>
    <w:rsid w:val="0004371A"/>
    <w:rsid w:val="000438F3"/>
    <w:rsid w:val="00043A8B"/>
    <w:rsid w:val="0004479F"/>
    <w:rsid w:val="00045828"/>
    <w:rsid w:val="00046D7E"/>
    <w:rsid w:val="00046E9F"/>
    <w:rsid w:val="00050502"/>
    <w:rsid w:val="0005051F"/>
    <w:rsid w:val="000508CB"/>
    <w:rsid w:val="00050A5A"/>
    <w:rsid w:val="0005173C"/>
    <w:rsid w:val="00051EBD"/>
    <w:rsid w:val="00053321"/>
    <w:rsid w:val="000533BD"/>
    <w:rsid w:val="000534C4"/>
    <w:rsid w:val="00053736"/>
    <w:rsid w:val="000542F4"/>
    <w:rsid w:val="0005458E"/>
    <w:rsid w:val="000558A8"/>
    <w:rsid w:val="00055D1A"/>
    <w:rsid w:val="0005628B"/>
    <w:rsid w:val="000565AE"/>
    <w:rsid w:val="00056F85"/>
    <w:rsid w:val="000572B5"/>
    <w:rsid w:val="00057474"/>
    <w:rsid w:val="0005781A"/>
    <w:rsid w:val="00057DF2"/>
    <w:rsid w:val="00060BAE"/>
    <w:rsid w:val="00060FD4"/>
    <w:rsid w:val="000627D0"/>
    <w:rsid w:val="00062C52"/>
    <w:rsid w:val="00062DE2"/>
    <w:rsid w:val="00063349"/>
    <w:rsid w:val="00063383"/>
    <w:rsid w:val="000634EB"/>
    <w:rsid w:val="00063775"/>
    <w:rsid w:val="00063F12"/>
    <w:rsid w:val="00064060"/>
    <w:rsid w:val="00064167"/>
    <w:rsid w:val="00064806"/>
    <w:rsid w:val="00064EF0"/>
    <w:rsid w:val="000651D8"/>
    <w:rsid w:val="000660C6"/>
    <w:rsid w:val="000673C2"/>
    <w:rsid w:val="00067A47"/>
    <w:rsid w:val="00067C5D"/>
    <w:rsid w:val="000710ED"/>
    <w:rsid w:val="000714FF"/>
    <w:rsid w:val="00071ADE"/>
    <w:rsid w:val="00071AEF"/>
    <w:rsid w:val="00071DA6"/>
    <w:rsid w:val="00072089"/>
    <w:rsid w:val="00072DD5"/>
    <w:rsid w:val="00072F9B"/>
    <w:rsid w:val="00073A58"/>
    <w:rsid w:val="00074279"/>
    <w:rsid w:val="00074A80"/>
    <w:rsid w:val="00074DD0"/>
    <w:rsid w:val="000755F9"/>
    <w:rsid w:val="0007627A"/>
    <w:rsid w:val="000763D5"/>
    <w:rsid w:val="0007661A"/>
    <w:rsid w:val="000768E5"/>
    <w:rsid w:val="00076FAB"/>
    <w:rsid w:val="00077039"/>
    <w:rsid w:val="000800A7"/>
    <w:rsid w:val="000803FC"/>
    <w:rsid w:val="00080847"/>
    <w:rsid w:val="00081013"/>
    <w:rsid w:val="0008109E"/>
    <w:rsid w:val="00081204"/>
    <w:rsid w:val="00081540"/>
    <w:rsid w:val="00082683"/>
    <w:rsid w:val="00082E22"/>
    <w:rsid w:val="0008373A"/>
    <w:rsid w:val="00084576"/>
    <w:rsid w:val="00084F86"/>
    <w:rsid w:val="000853CF"/>
    <w:rsid w:val="00086FDD"/>
    <w:rsid w:val="00087148"/>
    <w:rsid w:val="0009025B"/>
    <w:rsid w:val="00090300"/>
    <w:rsid w:val="00090B6A"/>
    <w:rsid w:val="00090BD8"/>
    <w:rsid w:val="00093A05"/>
    <w:rsid w:val="00093D4C"/>
    <w:rsid w:val="00094086"/>
    <w:rsid w:val="00094296"/>
    <w:rsid w:val="00094567"/>
    <w:rsid w:val="00094731"/>
    <w:rsid w:val="00094EEB"/>
    <w:rsid w:val="0009500B"/>
    <w:rsid w:val="0009551F"/>
    <w:rsid w:val="00095689"/>
    <w:rsid w:val="0009628E"/>
    <w:rsid w:val="0009654D"/>
    <w:rsid w:val="000967F2"/>
    <w:rsid w:val="0009708E"/>
    <w:rsid w:val="0009739B"/>
    <w:rsid w:val="00097689"/>
    <w:rsid w:val="00097D23"/>
    <w:rsid w:val="000A0221"/>
    <w:rsid w:val="000A0AB3"/>
    <w:rsid w:val="000A101B"/>
    <w:rsid w:val="000A23BD"/>
    <w:rsid w:val="000A286D"/>
    <w:rsid w:val="000A2E4A"/>
    <w:rsid w:val="000A4915"/>
    <w:rsid w:val="000A54DE"/>
    <w:rsid w:val="000A5FBD"/>
    <w:rsid w:val="000A64CA"/>
    <w:rsid w:val="000A690D"/>
    <w:rsid w:val="000A7271"/>
    <w:rsid w:val="000A79F4"/>
    <w:rsid w:val="000A7BFE"/>
    <w:rsid w:val="000B02A2"/>
    <w:rsid w:val="000B083B"/>
    <w:rsid w:val="000B0ED2"/>
    <w:rsid w:val="000B1CDE"/>
    <w:rsid w:val="000B217F"/>
    <w:rsid w:val="000B2CFA"/>
    <w:rsid w:val="000B2E2C"/>
    <w:rsid w:val="000B3103"/>
    <w:rsid w:val="000B3371"/>
    <w:rsid w:val="000B3B51"/>
    <w:rsid w:val="000B3D57"/>
    <w:rsid w:val="000B4FB0"/>
    <w:rsid w:val="000B52C0"/>
    <w:rsid w:val="000B549E"/>
    <w:rsid w:val="000B65D9"/>
    <w:rsid w:val="000B6668"/>
    <w:rsid w:val="000B6AFB"/>
    <w:rsid w:val="000B6AFC"/>
    <w:rsid w:val="000B7702"/>
    <w:rsid w:val="000C0BAA"/>
    <w:rsid w:val="000C1677"/>
    <w:rsid w:val="000C1966"/>
    <w:rsid w:val="000C1FBF"/>
    <w:rsid w:val="000C207F"/>
    <w:rsid w:val="000C2384"/>
    <w:rsid w:val="000C3225"/>
    <w:rsid w:val="000C3B5E"/>
    <w:rsid w:val="000C4025"/>
    <w:rsid w:val="000C4177"/>
    <w:rsid w:val="000C5295"/>
    <w:rsid w:val="000C52F6"/>
    <w:rsid w:val="000C6D4E"/>
    <w:rsid w:val="000C6E08"/>
    <w:rsid w:val="000D0534"/>
    <w:rsid w:val="000D07FA"/>
    <w:rsid w:val="000D1339"/>
    <w:rsid w:val="000D1AD1"/>
    <w:rsid w:val="000D1EB3"/>
    <w:rsid w:val="000D24A1"/>
    <w:rsid w:val="000D32A7"/>
    <w:rsid w:val="000D4F39"/>
    <w:rsid w:val="000D6845"/>
    <w:rsid w:val="000D7669"/>
    <w:rsid w:val="000E0347"/>
    <w:rsid w:val="000E078E"/>
    <w:rsid w:val="000E07F1"/>
    <w:rsid w:val="000E0984"/>
    <w:rsid w:val="000E0AB7"/>
    <w:rsid w:val="000E0EC5"/>
    <w:rsid w:val="000E0FEE"/>
    <w:rsid w:val="000E1381"/>
    <w:rsid w:val="000E1DF3"/>
    <w:rsid w:val="000E2898"/>
    <w:rsid w:val="000E2954"/>
    <w:rsid w:val="000E3476"/>
    <w:rsid w:val="000E3996"/>
    <w:rsid w:val="000E46C7"/>
    <w:rsid w:val="000E5911"/>
    <w:rsid w:val="000E5F06"/>
    <w:rsid w:val="000E6F76"/>
    <w:rsid w:val="000E76B5"/>
    <w:rsid w:val="000E7C4F"/>
    <w:rsid w:val="000E7D40"/>
    <w:rsid w:val="000F1DBB"/>
    <w:rsid w:val="000F1E78"/>
    <w:rsid w:val="000F1FF0"/>
    <w:rsid w:val="000F2FF8"/>
    <w:rsid w:val="000F420D"/>
    <w:rsid w:val="000F476B"/>
    <w:rsid w:val="000F47AF"/>
    <w:rsid w:val="000F4A6A"/>
    <w:rsid w:val="000F5FC0"/>
    <w:rsid w:val="000F6044"/>
    <w:rsid w:val="000F6375"/>
    <w:rsid w:val="000F6B80"/>
    <w:rsid w:val="000F6BB8"/>
    <w:rsid w:val="000F6CEB"/>
    <w:rsid w:val="000F7BBE"/>
    <w:rsid w:val="001011B9"/>
    <w:rsid w:val="00101602"/>
    <w:rsid w:val="00101D76"/>
    <w:rsid w:val="00102229"/>
    <w:rsid w:val="001022C6"/>
    <w:rsid w:val="0010267A"/>
    <w:rsid w:val="00103C50"/>
    <w:rsid w:val="00105087"/>
    <w:rsid w:val="001061A0"/>
    <w:rsid w:val="00106BC9"/>
    <w:rsid w:val="001102A1"/>
    <w:rsid w:val="00110EBF"/>
    <w:rsid w:val="001111F8"/>
    <w:rsid w:val="0011124C"/>
    <w:rsid w:val="0011134E"/>
    <w:rsid w:val="00111CDC"/>
    <w:rsid w:val="00111EFE"/>
    <w:rsid w:val="00112306"/>
    <w:rsid w:val="0011356C"/>
    <w:rsid w:val="001137EF"/>
    <w:rsid w:val="00115E9A"/>
    <w:rsid w:val="00116911"/>
    <w:rsid w:val="00116A6C"/>
    <w:rsid w:val="00116E46"/>
    <w:rsid w:val="001170FF"/>
    <w:rsid w:val="0012015A"/>
    <w:rsid w:val="00122CCA"/>
    <w:rsid w:val="0012308F"/>
    <w:rsid w:val="00125032"/>
    <w:rsid w:val="00125589"/>
    <w:rsid w:val="00125816"/>
    <w:rsid w:val="00125F7A"/>
    <w:rsid w:val="00126CC5"/>
    <w:rsid w:val="0012763C"/>
    <w:rsid w:val="00127861"/>
    <w:rsid w:val="00127A60"/>
    <w:rsid w:val="00130066"/>
    <w:rsid w:val="0013049A"/>
    <w:rsid w:val="00130E2C"/>
    <w:rsid w:val="00131276"/>
    <w:rsid w:val="00131594"/>
    <w:rsid w:val="00131D52"/>
    <w:rsid w:val="00131E14"/>
    <w:rsid w:val="00132F50"/>
    <w:rsid w:val="001337BE"/>
    <w:rsid w:val="00133FB1"/>
    <w:rsid w:val="00134122"/>
    <w:rsid w:val="00134A09"/>
    <w:rsid w:val="001352CB"/>
    <w:rsid w:val="001356DB"/>
    <w:rsid w:val="00136586"/>
    <w:rsid w:val="001366E2"/>
    <w:rsid w:val="0013715A"/>
    <w:rsid w:val="001378C8"/>
    <w:rsid w:val="00137EC2"/>
    <w:rsid w:val="00141028"/>
    <w:rsid w:val="001413B1"/>
    <w:rsid w:val="00141BC0"/>
    <w:rsid w:val="00141EF0"/>
    <w:rsid w:val="00142066"/>
    <w:rsid w:val="00142187"/>
    <w:rsid w:val="001439CF"/>
    <w:rsid w:val="00143E94"/>
    <w:rsid w:val="001444E2"/>
    <w:rsid w:val="00145023"/>
    <w:rsid w:val="0014531B"/>
    <w:rsid w:val="00145E49"/>
    <w:rsid w:val="001463AA"/>
    <w:rsid w:val="001463C4"/>
    <w:rsid w:val="001464FF"/>
    <w:rsid w:val="0014778F"/>
    <w:rsid w:val="00147965"/>
    <w:rsid w:val="00147BA2"/>
    <w:rsid w:val="00147BAF"/>
    <w:rsid w:val="001504A1"/>
    <w:rsid w:val="0015051F"/>
    <w:rsid w:val="001505AB"/>
    <w:rsid w:val="0015082D"/>
    <w:rsid w:val="00150B00"/>
    <w:rsid w:val="001513EE"/>
    <w:rsid w:val="001515F1"/>
    <w:rsid w:val="00151892"/>
    <w:rsid w:val="00152127"/>
    <w:rsid w:val="001526A5"/>
    <w:rsid w:val="001533C2"/>
    <w:rsid w:val="00157052"/>
    <w:rsid w:val="00157523"/>
    <w:rsid w:val="001575B7"/>
    <w:rsid w:val="0015788E"/>
    <w:rsid w:val="00157A91"/>
    <w:rsid w:val="00161221"/>
    <w:rsid w:val="00162326"/>
    <w:rsid w:val="001629F4"/>
    <w:rsid w:val="001636E7"/>
    <w:rsid w:val="0016401C"/>
    <w:rsid w:val="0016423F"/>
    <w:rsid w:val="001644C0"/>
    <w:rsid w:val="00164B18"/>
    <w:rsid w:val="00164D16"/>
    <w:rsid w:val="00165643"/>
    <w:rsid w:val="00165F38"/>
    <w:rsid w:val="00166269"/>
    <w:rsid w:val="00166DDC"/>
    <w:rsid w:val="001677AE"/>
    <w:rsid w:val="00167AA9"/>
    <w:rsid w:val="0017019F"/>
    <w:rsid w:val="00170602"/>
    <w:rsid w:val="00170758"/>
    <w:rsid w:val="0017127B"/>
    <w:rsid w:val="001715DB"/>
    <w:rsid w:val="00171828"/>
    <w:rsid w:val="00171892"/>
    <w:rsid w:val="00172A27"/>
    <w:rsid w:val="00172BDF"/>
    <w:rsid w:val="00172F20"/>
    <w:rsid w:val="00173409"/>
    <w:rsid w:val="001734C4"/>
    <w:rsid w:val="001737E6"/>
    <w:rsid w:val="001752AD"/>
    <w:rsid w:val="001757C7"/>
    <w:rsid w:val="00175AC0"/>
    <w:rsid w:val="00175DC5"/>
    <w:rsid w:val="001769B5"/>
    <w:rsid w:val="00176DDD"/>
    <w:rsid w:val="00177152"/>
    <w:rsid w:val="00177459"/>
    <w:rsid w:val="001807A8"/>
    <w:rsid w:val="001808E9"/>
    <w:rsid w:val="00182037"/>
    <w:rsid w:val="0018232E"/>
    <w:rsid w:val="001827D9"/>
    <w:rsid w:val="00182A16"/>
    <w:rsid w:val="00182FF5"/>
    <w:rsid w:val="00184840"/>
    <w:rsid w:val="001848FF"/>
    <w:rsid w:val="00184BB9"/>
    <w:rsid w:val="00185B2B"/>
    <w:rsid w:val="00185CAF"/>
    <w:rsid w:val="00185E44"/>
    <w:rsid w:val="00185FC6"/>
    <w:rsid w:val="001873C5"/>
    <w:rsid w:val="00187543"/>
    <w:rsid w:val="00190D6E"/>
    <w:rsid w:val="00191D0D"/>
    <w:rsid w:val="0019288A"/>
    <w:rsid w:val="00192F4C"/>
    <w:rsid w:val="001935EC"/>
    <w:rsid w:val="001945FA"/>
    <w:rsid w:val="00194FD1"/>
    <w:rsid w:val="00195505"/>
    <w:rsid w:val="00195623"/>
    <w:rsid w:val="00195D88"/>
    <w:rsid w:val="00196B09"/>
    <w:rsid w:val="00196B57"/>
    <w:rsid w:val="0019749A"/>
    <w:rsid w:val="001977E8"/>
    <w:rsid w:val="00197D74"/>
    <w:rsid w:val="001A06D0"/>
    <w:rsid w:val="001A0D1C"/>
    <w:rsid w:val="001A159F"/>
    <w:rsid w:val="001A174E"/>
    <w:rsid w:val="001A20E8"/>
    <w:rsid w:val="001A4296"/>
    <w:rsid w:val="001A5BC8"/>
    <w:rsid w:val="001A5C0E"/>
    <w:rsid w:val="001A6500"/>
    <w:rsid w:val="001A6768"/>
    <w:rsid w:val="001A744B"/>
    <w:rsid w:val="001A7C34"/>
    <w:rsid w:val="001A7E24"/>
    <w:rsid w:val="001B0438"/>
    <w:rsid w:val="001B07FE"/>
    <w:rsid w:val="001B10AE"/>
    <w:rsid w:val="001B1722"/>
    <w:rsid w:val="001B2CFA"/>
    <w:rsid w:val="001B3989"/>
    <w:rsid w:val="001B4698"/>
    <w:rsid w:val="001B4DB2"/>
    <w:rsid w:val="001B5136"/>
    <w:rsid w:val="001B516F"/>
    <w:rsid w:val="001B5D78"/>
    <w:rsid w:val="001B5E5E"/>
    <w:rsid w:val="001B5FC2"/>
    <w:rsid w:val="001B7034"/>
    <w:rsid w:val="001B7759"/>
    <w:rsid w:val="001B7C97"/>
    <w:rsid w:val="001C00DA"/>
    <w:rsid w:val="001C0DFA"/>
    <w:rsid w:val="001C1377"/>
    <w:rsid w:val="001C14B1"/>
    <w:rsid w:val="001C154D"/>
    <w:rsid w:val="001C1613"/>
    <w:rsid w:val="001C2465"/>
    <w:rsid w:val="001C26BE"/>
    <w:rsid w:val="001C52EA"/>
    <w:rsid w:val="001C6A8A"/>
    <w:rsid w:val="001C6F65"/>
    <w:rsid w:val="001C7933"/>
    <w:rsid w:val="001C79DC"/>
    <w:rsid w:val="001D2132"/>
    <w:rsid w:val="001D2D37"/>
    <w:rsid w:val="001D39C9"/>
    <w:rsid w:val="001D3A39"/>
    <w:rsid w:val="001D3F96"/>
    <w:rsid w:val="001D3FE2"/>
    <w:rsid w:val="001D49B2"/>
    <w:rsid w:val="001D49F5"/>
    <w:rsid w:val="001D5FDA"/>
    <w:rsid w:val="001D633A"/>
    <w:rsid w:val="001D6807"/>
    <w:rsid w:val="001D7F2B"/>
    <w:rsid w:val="001E02A8"/>
    <w:rsid w:val="001E1012"/>
    <w:rsid w:val="001E10E6"/>
    <w:rsid w:val="001E163B"/>
    <w:rsid w:val="001E3258"/>
    <w:rsid w:val="001E3756"/>
    <w:rsid w:val="001E41A6"/>
    <w:rsid w:val="001E4472"/>
    <w:rsid w:val="001E453B"/>
    <w:rsid w:val="001E5012"/>
    <w:rsid w:val="001E533B"/>
    <w:rsid w:val="001E5778"/>
    <w:rsid w:val="001E587B"/>
    <w:rsid w:val="001E5C26"/>
    <w:rsid w:val="001E5C6C"/>
    <w:rsid w:val="001E668A"/>
    <w:rsid w:val="001E77BA"/>
    <w:rsid w:val="001E7AB6"/>
    <w:rsid w:val="001F0934"/>
    <w:rsid w:val="001F3069"/>
    <w:rsid w:val="001F3CD8"/>
    <w:rsid w:val="001F3D44"/>
    <w:rsid w:val="001F4532"/>
    <w:rsid w:val="001F46A6"/>
    <w:rsid w:val="001F4816"/>
    <w:rsid w:val="001F4F2A"/>
    <w:rsid w:val="001F5560"/>
    <w:rsid w:val="001F5F9C"/>
    <w:rsid w:val="001F6230"/>
    <w:rsid w:val="001F7504"/>
    <w:rsid w:val="0020045B"/>
    <w:rsid w:val="00200799"/>
    <w:rsid w:val="002007CF"/>
    <w:rsid w:val="00201733"/>
    <w:rsid w:val="00201AC0"/>
    <w:rsid w:val="00201F1C"/>
    <w:rsid w:val="00201FDF"/>
    <w:rsid w:val="00202414"/>
    <w:rsid w:val="00202E6E"/>
    <w:rsid w:val="002036A8"/>
    <w:rsid w:val="00204A24"/>
    <w:rsid w:val="00205220"/>
    <w:rsid w:val="00205D6F"/>
    <w:rsid w:val="002062A5"/>
    <w:rsid w:val="00206427"/>
    <w:rsid w:val="00206463"/>
    <w:rsid w:val="002064CD"/>
    <w:rsid w:val="00206A8B"/>
    <w:rsid w:val="00206DAA"/>
    <w:rsid w:val="00206DDE"/>
    <w:rsid w:val="00207F48"/>
    <w:rsid w:val="0021082C"/>
    <w:rsid w:val="002109A2"/>
    <w:rsid w:val="00211C70"/>
    <w:rsid w:val="00212216"/>
    <w:rsid w:val="002134EC"/>
    <w:rsid w:val="00213925"/>
    <w:rsid w:val="00214CD6"/>
    <w:rsid w:val="00215431"/>
    <w:rsid w:val="0021577D"/>
    <w:rsid w:val="002158AF"/>
    <w:rsid w:val="00216192"/>
    <w:rsid w:val="002167CE"/>
    <w:rsid w:val="00216D53"/>
    <w:rsid w:val="00217395"/>
    <w:rsid w:val="00220627"/>
    <w:rsid w:val="00220BE3"/>
    <w:rsid w:val="00220D0F"/>
    <w:rsid w:val="002212C5"/>
    <w:rsid w:val="00221845"/>
    <w:rsid w:val="00221D89"/>
    <w:rsid w:val="00222ADA"/>
    <w:rsid w:val="00222C63"/>
    <w:rsid w:val="0022389E"/>
    <w:rsid w:val="0022477E"/>
    <w:rsid w:val="00225742"/>
    <w:rsid w:val="00226380"/>
    <w:rsid w:val="00227372"/>
    <w:rsid w:val="00230E17"/>
    <w:rsid w:val="00231215"/>
    <w:rsid w:val="00231E39"/>
    <w:rsid w:val="00231F67"/>
    <w:rsid w:val="0023321C"/>
    <w:rsid w:val="00233337"/>
    <w:rsid w:val="0023644C"/>
    <w:rsid w:val="00236FAF"/>
    <w:rsid w:val="0023746F"/>
    <w:rsid w:val="00237992"/>
    <w:rsid w:val="00240AEB"/>
    <w:rsid w:val="00240C38"/>
    <w:rsid w:val="00240C63"/>
    <w:rsid w:val="0024117B"/>
    <w:rsid w:val="00241558"/>
    <w:rsid w:val="00241C5F"/>
    <w:rsid w:val="00241D0D"/>
    <w:rsid w:val="00241D37"/>
    <w:rsid w:val="00242806"/>
    <w:rsid w:val="002429DF"/>
    <w:rsid w:val="00242C92"/>
    <w:rsid w:val="00243E87"/>
    <w:rsid w:val="00243FC7"/>
    <w:rsid w:val="002443FA"/>
    <w:rsid w:val="00244C46"/>
    <w:rsid w:val="00245362"/>
    <w:rsid w:val="002457B6"/>
    <w:rsid w:val="00245971"/>
    <w:rsid w:val="00246325"/>
    <w:rsid w:val="0024679E"/>
    <w:rsid w:val="002468AA"/>
    <w:rsid w:val="00247687"/>
    <w:rsid w:val="00251266"/>
    <w:rsid w:val="002518EF"/>
    <w:rsid w:val="00251B2E"/>
    <w:rsid w:val="0025283E"/>
    <w:rsid w:val="00252B3D"/>
    <w:rsid w:val="00252FAE"/>
    <w:rsid w:val="002531A9"/>
    <w:rsid w:val="002534B6"/>
    <w:rsid w:val="00254A40"/>
    <w:rsid w:val="00254F68"/>
    <w:rsid w:val="00254FE1"/>
    <w:rsid w:val="00255324"/>
    <w:rsid w:val="002554A3"/>
    <w:rsid w:val="00255719"/>
    <w:rsid w:val="00256F96"/>
    <w:rsid w:val="00257196"/>
    <w:rsid w:val="00257AA8"/>
    <w:rsid w:val="0026022B"/>
    <w:rsid w:val="0026118A"/>
    <w:rsid w:val="00261593"/>
    <w:rsid w:val="00261C69"/>
    <w:rsid w:val="00261D56"/>
    <w:rsid w:val="00261F0C"/>
    <w:rsid w:val="0026306D"/>
    <w:rsid w:val="002647BE"/>
    <w:rsid w:val="00265E6C"/>
    <w:rsid w:val="00265F86"/>
    <w:rsid w:val="002664AD"/>
    <w:rsid w:val="002670D2"/>
    <w:rsid w:val="002675C6"/>
    <w:rsid w:val="00267EA9"/>
    <w:rsid w:val="0027098C"/>
    <w:rsid w:val="00270E47"/>
    <w:rsid w:val="00271E3D"/>
    <w:rsid w:val="0027232A"/>
    <w:rsid w:val="00272937"/>
    <w:rsid w:val="00272A94"/>
    <w:rsid w:val="00273023"/>
    <w:rsid w:val="00273867"/>
    <w:rsid w:val="00273EA7"/>
    <w:rsid w:val="00274428"/>
    <w:rsid w:val="002749B7"/>
    <w:rsid w:val="00275295"/>
    <w:rsid w:val="00275BB8"/>
    <w:rsid w:val="00276051"/>
    <w:rsid w:val="00276181"/>
    <w:rsid w:val="0027623D"/>
    <w:rsid w:val="0027730C"/>
    <w:rsid w:val="00280205"/>
    <w:rsid w:val="00281B9F"/>
    <w:rsid w:val="00282344"/>
    <w:rsid w:val="0028248A"/>
    <w:rsid w:val="002833CE"/>
    <w:rsid w:val="0028450F"/>
    <w:rsid w:val="002857F8"/>
    <w:rsid w:val="002858F3"/>
    <w:rsid w:val="00285A0C"/>
    <w:rsid w:val="00286521"/>
    <w:rsid w:val="00286714"/>
    <w:rsid w:val="00286931"/>
    <w:rsid w:val="00286B8E"/>
    <w:rsid w:val="00286DC1"/>
    <w:rsid w:val="00286F19"/>
    <w:rsid w:val="00287170"/>
    <w:rsid w:val="0028775A"/>
    <w:rsid w:val="00287C39"/>
    <w:rsid w:val="00290074"/>
    <w:rsid w:val="002904AF"/>
    <w:rsid w:val="00290B6F"/>
    <w:rsid w:val="00291665"/>
    <w:rsid w:val="00291713"/>
    <w:rsid w:val="00291851"/>
    <w:rsid w:val="00291916"/>
    <w:rsid w:val="00291C89"/>
    <w:rsid w:val="00291DC8"/>
    <w:rsid w:val="00291E91"/>
    <w:rsid w:val="00292042"/>
    <w:rsid w:val="002920CA"/>
    <w:rsid w:val="002922AA"/>
    <w:rsid w:val="002924AD"/>
    <w:rsid w:val="00293010"/>
    <w:rsid w:val="0029349F"/>
    <w:rsid w:val="0029367A"/>
    <w:rsid w:val="002941D1"/>
    <w:rsid w:val="002941D7"/>
    <w:rsid w:val="00294924"/>
    <w:rsid w:val="00294A12"/>
    <w:rsid w:val="00295172"/>
    <w:rsid w:val="002952AF"/>
    <w:rsid w:val="00295612"/>
    <w:rsid w:val="00295EC3"/>
    <w:rsid w:val="00296709"/>
    <w:rsid w:val="002967BD"/>
    <w:rsid w:val="00296B5A"/>
    <w:rsid w:val="00297820"/>
    <w:rsid w:val="002A00C5"/>
    <w:rsid w:val="002A0707"/>
    <w:rsid w:val="002A088C"/>
    <w:rsid w:val="002A095D"/>
    <w:rsid w:val="002A0A00"/>
    <w:rsid w:val="002A1F9C"/>
    <w:rsid w:val="002A24A1"/>
    <w:rsid w:val="002A32E5"/>
    <w:rsid w:val="002A38E4"/>
    <w:rsid w:val="002A398E"/>
    <w:rsid w:val="002A4780"/>
    <w:rsid w:val="002A6123"/>
    <w:rsid w:val="002A6571"/>
    <w:rsid w:val="002A6679"/>
    <w:rsid w:val="002B0502"/>
    <w:rsid w:val="002B0572"/>
    <w:rsid w:val="002B0611"/>
    <w:rsid w:val="002B0C9C"/>
    <w:rsid w:val="002B0CC6"/>
    <w:rsid w:val="002B0E32"/>
    <w:rsid w:val="002B2259"/>
    <w:rsid w:val="002B2541"/>
    <w:rsid w:val="002B2576"/>
    <w:rsid w:val="002B2FCB"/>
    <w:rsid w:val="002B3240"/>
    <w:rsid w:val="002B3CB9"/>
    <w:rsid w:val="002B3CCF"/>
    <w:rsid w:val="002B4480"/>
    <w:rsid w:val="002B4776"/>
    <w:rsid w:val="002B5360"/>
    <w:rsid w:val="002B579A"/>
    <w:rsid w:val="002B58CF"/>
    <w:rsid w:val="002B62FD"/>
    <w:rsid w:val="002B6C8F"/>
    <w:rsid w:val="002B745F"/>
    <w:rsid w:val="002B7E33"/>
    <w:rsid w:val="002C0BC1"/>
    <w:rsid w:val="002C0C39"/>
    <w:rsid w:val="002C1150"/>
    <w:rsid w:val="002C19B4"/>
    <w:rsid w:val="002C24B8"/>
    <w:rsid w:val="002C30F4"/>
    <w:rsid w:val="002C4638"/>
    <w:rsid w:val="002C4657"/>
    <w:rsid w:val="002C47B1"/>
    <w:rsid w:val="002C4C06"/>
    <w:rsid w:val="002C4F30"/>
    <w:rsid w:val="002C53DD"/>
    <w:rsid w:val="002C5CE6"/>
    <w:rsid w:val="002C61BF"/>
    <w:rsid w:val="002C62C8"/>
    <w:rsid w:val="002C6866"/>
    <w:rsid w:val="002C75D0"/>
    <w:rsid w:val="002C7BE7"/>
    <w:rsid w:val="002D0152"/>
    <w:rsid w:val="002D028A"/>
    <w:rsid w:val="002D047D"/>
    <w:rsid w:val="002D1036"/>
    <w:rsid w:val="002D141F"/>
    <w:rsid w:val="002D2BF5"/>
    <w:rsid w:val="002D2EC5"/>
    <w:rsid w:val="002D4AAD"/>
    <w:rsid w:val="002D4EA0"/>
    <w:rsid w:val="002D51AD"/>
    <w:rsid w:val="002D590F"/>
    <w:rsid w:val="002D670C"/>
    <w:rsid w:val="002D6C62"/>
    <w:rsid w:val="002D794B"/>
    <w:rsid w:val="002E0088"/>
    <w:rsid w:val="002E08A9"/>
    <w:rsid w:val="002E0A93"/>
    <w:rsid w:val="002E0C3F"/>
    <w:rsid w:val="002E1002"/>
    <w:rsid w:val="002E1341"/>
    <w:rsid w:val="002E16ED"/>
    <w:rsid w:val="002E17FD"/>
    <w:rsid w:val="002E2BC4"/>
    <w:rsid w:val="002E3833"/>
    <w:rsid w:val="002E3DAC"/>
    <w:rsid w:val="002E3E6A"/>
    <w:rsid w:val="002E3F29"/>
    <w:rsid w:val="002E5566"/>
    <w:rsid w:val="002E5A9E"/>
    <w:rsid w:val="002E66D2"/>
    <w:rsid w:val="002E7E13"/>
    <w:rsid w:val="002F0728"/>
    <w:rsid w:val="002F0EE9"/>
    <w:rsid w:val="002F2378"/>
    <w:rsid w:val="002F2442"/>
    <w:rsid w:val="002F30BC"/>
    <w:rsid w:val="002F3609"/>
    <w:rsid w:val="002F4262"/>
    <w:rsid w:val="002F53C4"/>
    <w:rsid w:val="002F7A44"/>
    <w:rsid w:val="002F7F1C"/>
    <w:rsid w:val="0030126B"/>
    <w:rsid w:val="003021AB"/>
    <w:rsid w:val="00302329"/>
    <w:rsid w:val="00302E97"/>
    <w:rsid w:val="00303CDF"/>
    <w:rsid w:val="00304CCE"/>
    <w:rsid w:val="00304F66"/>
    <w:rsid w:val="003053FF"/>
    <w:rsid w:val="003059BD"/>
    <w:rsid w:val="00305CB1"/>
    <w:rsid w:val="00310867"/>
    <w:rsid w:val="00310C07"/>
    <w:rsid w:val="00310E7C"/>
    <w:rsid w:val="00311094"/>
    <w:rsid w:val="003110D9"/>
    <w:rsid w:val="00311288"/>
    <w:rsid w:val="003113DF"/>
    <w:rsid w:val="00312187"/>
    <w:rsid w:val="00312744"/>
    <w:rsid w:val="00313553"/>
    <w:rsid w:val="00313C8D"/>
    <w:rsid w:val="00315153"/>
    <w:rsid w:val="00316361"/>
    <w:rsid w:val="003163DA"/>
    <w:rsid w:val="003169EE"/>
    <w:rsid w:val="003179E0"/>
    <w:rsid w:val="00317DD2"/>
    <w:rsid w:val="00321D89"/>
    <w:rsid w:val="00322F1A"/>
    <w:rsid w:val="00323428"/>
    <w:rsid w:val="00324595"/>
    <w:rsid w:val="003246CB"/>
    <w:rsid w:val="003248B4"/>
    <w:rsid w:val="00324C0B"/>
    <w:rsid w:val="003256D3"/>
    <w:rsid w:val="00327021"/>
    <w:rsid w:val="00330A6E"/>
    <w:rsid w:val="00331AB1"/>
    <w:rsid w:val="00331F57"/>
    <w:rsid w:val="003321C8"/>
    <w:rsid w:val="00332AF5"/>
    <w:rsid w:val="003337DB"/>
    <w:rsid w:val="00333BD3"/>
    <w:rsid w:val="00334568"/>
    <w:rsid w:val="003353BE"/>
    <w:rsid w:val="00335615"/>
    <w:rsid w:val="00335BD6"/>
    <w:rsid w:val="00335D97"/>
    <w:rsid w:val="00336258"/>
    <w:rsid w:val="003366DB"/>
    <w:rsid w:val="00336721"/>
    <w:rsid w:val="00336A41"/>
    <w:rsid w:val="00336F92"/>
    <w:rsid w:val="0034011D"/>
    <w:rsid w:val="00341F7E"/>
    <w:rsid w:val="00342915"/>
    <w:rsid w:val="00342E99"/>
    <w:rsid w:val="003431BD"/>
    <w:rsid w:val="00343B22"/>
    <w:rsid w:val="00343C87"/>
    <w:rsid w:val="00344184"/>
    <w:rsid w:val="003445C1"/>
    <w:rsid w:val="0034467D"/>
    <w:rsid w:val="00344868"/>
    <w:rsid w:val="00345F52"/>
    <w:rsid w:val="003469CF"/>
    <w:rsid w:val="00346C0F"/>
    <w:rsid w:val="00346E3E"/>
    <w:rsid w:val="00346EB5"/>
    <w:rsid w:val="003471DF"/>
    <w:rsid w:val="00350057"/>
    <w:rsid w:val="003509B4"/>
    <w:rsid w:val="00350FB6"/>
    <w:rsid w:val="003518E6"/>
    <w:rsid w:val="00351C58"/>
    <w:rsid w:val="003526BF"/>
    <w:rsid w:val="00352839"/>
    <w:rsid w:val="00352AD2"/>
    <w:rsid w:val="00353B59"/>
    <w:rsid w:val="00353D4A"/>
    <w:rsid w:val="00355842"/>
    <w:rsid w:val="003560DF"/>
    <w:rsid w:val="00356645"/>
    <w:rsid w:val="00356D1E"/>
    <w:rsid w:val="00357297"/>
    <w:rsid w:val="0035750E"/>
    <w:rsid w:val="00357683"/>
    <w:rsid w:val="00357CFF"/>
    <w:rsid w:val="00360428"/>
    <w:rsid w:val="00360A45"/>
    <w:rsid w:val="003610C6"/>
    <w:rsid w:val="0036117A"/>
    <w:rsid w:val="00361AA3"/>
    <w:rsid w:val="00361B84"/>
    <w:rsid w:val="003622B6"/>
    <w:rsid w:val="00362309"/>
    <w:rsid w:val="00363875"/>
    <w:rsid w:val="00363E34"/>
    <w:rsid w:val="00363EE9"/>
    <w:rsid w:val="00364F60"/>
    <w:rsid w:val="003650CF"/>
    <w:rsid w:val="0036551B"/>
    <w:rsid w:val="00365B8C"/>
    <w:rsid w:val="00365FE4"/>
    <w:rsid w:val="003668DD"/>
    <w:rsid w:val="00366D1D"/>
    <w:rsid w:val="00366F56"/>
    <w:rsid w:val="00367CAF"/>
    <w:rsid w:val="00370B96"/>
    <w:rsid w:val="00370D50"/>
    <w:rsid w:val="003712CE"/>
    <w:rsid w:val="00371800"/>
    <w:rsid w:val="00371A0F"/>
    <w:rsid w:val="00371F9B"/>
    <w:rsid w:val="00371FDA"/>
    <w:rsid w:val="0037296A"/>
    <w:rsid w:val="003739CB"/>
    <w:rsid w:val="00374372"/>
    <w:rsid w:val="003745FA"/>
    <w:rsid w:val="00375776"/>
    <w:rsid w:val="00375DC2"/>
    <w:rsid w:val="00380645"/>
    <w:rsid w:val="00380AC0"/>
    <w:rsid w:val="003815EB"/>
    <w:rsid w:val="00381797"/>
    <w:rsid w:val="0038295C"/>
    <w:rsid w:val="00383FDD"/>
    <w:rsid w:val="0038418D"/>
    <w:rsid w:val="00384462"/>
    <w:rsid w:val="0038552E"/>
    <w:rsid w:val="003855FE"/>
    <w:rsid w:val="003859B5"/>
    <w:rsid w:val="00385F72"/>
    <w:rsid w:val="003865BC"/>
    <w:rsid w:val="00386838"/>
    <w:rsid w:val="00386AF4"/>
    <w:rsid w:val="00386D7F"/>
    <w:rsid w:val="0038736D"/>
    <w:rsid w:val="00387666"/>
    <w:rsid w:val="00387DB4"/>
    <w:rsid w:val="0039012A"/>
    <w:rsid w:val="003905E3"/>
    <w:rsid w:val="003908D3"/>
    <w:rsid w:val="00390A79"/>
    <w:rsid w:val="00390AB7"/>
    <w:rsid w:val="003927B5"/>
    <w:rsid w:val="00392B30"/>
    <w:rsid w:val="0039328F"/>
    <w:rsid w:val="00393C49"/>
    <w:rsid w:val="00394B6F"/>
    <w:rsid w:val="00394E60"/>
    <w:rsid w:val="003954B7"/>
    <w:rsid w:val="00396ECA"/>
    <w:rsid w:val="00397380"/>
    <w:rsid w:val="003A06BD"/>
    <w:rsid w:val="003A075A"/>
    <w:rsid w:val="003A35BB"/>
    <w:rsid w:val="003A3C62"/>
    <w:rsid w:val="003A3F92"/>
    <w:rsid w:val="003A47E5"/>
    <w:rsid w:val="003A4A4F"/>
    <w:rsid w:val="003A532E"/>
    <w:rsid w:val="003A539F"/>
    <w:rsid w:val="003A5B8F"/>
    <w:rsid w:val="003A6307"/>
    <w:rsid w:val="003B0495"/>
    <w:rsid w:val="003B0985"/>
    <w:rsid w:val="003B0D63"/>
    <w:rsid w:val="003B0EEC"/>
    <w:rsid w:val="003B0FCC"/>
    <w:rsid w:val="003B2893"/>
    <w:rsid w:val="003B2998"/>
    <w:rsid w:val="003B2AF8"/>
    <w:rsid w:val="003B33C8"/>
    <w:rsid w:val="003B3C99"/>
    <w:rsid w:val="003B3DF3"/>
    <w:rsid w:val="003B3EF4"/>
    <w:rsid w:val="003B41C5"/>
    <w:rsid w:val="003B4D53"/>
    <w:rsid w:val="003B4EB4"/>
    <w:rsid w:val="003B5001"/>
    <w:rsid w:val="003B55DB"/>
    <w:rsid w:val="003B732C"/>
    <w:rsid w:val="003B7726"/>
    <w:rsid w:val="003B7A22"/>
    <w:rsid w:val="003B7E1D"/>
    <w:rsid w:val="003B7EE2"/>
    <w:rsid w:val="003B7FEE"/>
    <w:rsid w:val="003C00FD"/>
    <w:rsid w:val="003C0674"/>
    <w:rsid w:val="003C0822"/>
    <w:rsid w:val="003C1183"/>
    <w:rsid w:val="003C15FE"/>
    <w:rsid w:val="003C1C4D"/>
    <w:rsid w:val="003C1DA9"/>
    <w:rsid w:val="003C3747"/>
    <w:rsid w:val="003C3786"/>
    <w:rsid w:val="003C3BE2"/>
    <w:rsid w:val="003C4801"/>
    <w:rsid w:val="003C62FA"/>
    <w:rsid w:val="003C6AD0"/>
    <w:rsid w:val="003C6C6A"/>
    <w:rsid w:val="003C71D8"/>
    <w:rsid w:val="003C7B87"/>
    <w:rsid w:val="003C7DDD"/>
    <w:rsid w:val="003D0528"/>
    <w:rsid w:val="003D05BC"/>
    <w:rsid w:val="003D1E94"/>
    <w:rsid w:val="003D221E"/>
    <w:rsid w:val="003D310B"/>
    <w:rsid w:val="003D38DF"/>
    <w:rsid w:val="003D3D32"/>
    <w:rsid w:val="003D4720"/>
    <w:rsid w:val="003D5365"/>
    <w:rsid w:val="003D56EC"/>
    <w:rsid w:val="003D5EA7"/>
    <w:rsid w:val="003D5FA3"/>
    <w:rsid w:val="003D60F1"/>
    <w:rsid w:val="003D6838"/>
    <w:rsid w:val="003D6D27"/>
    <w:rsid w:val="003D6E5B"/>
    <w:rsid w:val="003D6FED"/>
    <w:rsid w:val="003E05DB"/>
    <w:rsid w:val="003E12A0"/>
    <w:rsid w:val="003E1BA8"/>
    <w:rsid w:val="003E2601"/>
    <w:rsid w:val="003E3321"/>
    <w:rsid w:val="003E39F8"/>
    <w:rsid w:val="003E4186"/>
    <w:rsid w:val="003E554F"/>
    <w:rsid w:val="003E5910"/>
    <w:rsid w:val="003E711F"/>
    <w:rsid w:val="003E7728"/>
    <w:rsid w:val="003F0F17"/>
    <w:rsid w:val="003F13D5"/>
    <w:rsid w:val="003F1734"/>
    <w:rsid w:val="003F24E4"/>
    <w:rsid w:val="003F2778"/>
    <w:rsid w:val="003F2C7C"/>
    <w:rsid w:val="003F3BEA"/>
    <w:rsid w:val="003F3DBF"/>
    <w:rsid w:val="003F4F51"/>
    <w:rsid w:val="003F51C5"/>
    <w:rsid w:val="003F5536"/>
    <w:rsid w:val="003F66D7"/>
    <w:rsid w:val="003F7692"/>
    <w:rsid w:val="003F7AF6"/>
    <w:rsid w:val="003F7DFC"/>
    <w:rsid w:val="003F7F6D"/>
    <w:rsid w:val="00400441"/>
    <w:rsid w:val="0040081D"/>
    <w:rsid w:val="00400E18"/>
    <w:rsid w:val="00401062"/>
    <w:rsid w:val="0040135B"/>
    <w:rsid w:val="004017D8"/>
    <w:rsid w:val="00402564"/>
    <w:rsid w:val="00402FEE"/>
    <w:rsid w:val="00403B2B"/>
    <w:rsid w:val="004044B2"/>
    <w:rsid w:val="00404B8A"/>
    <w:rsid w:val="00404BE2"/>
    <w:rsid w:val="00404FE1"/>
    <w:rsid w:val="00406032"/>
    <w:rsid w:val="0040603D"/>
    <w:rsid w:val="00407257"/>
    <w:rsid w:val="00407FBC"/>
    <w:rsid w:val="00410E7C"/>
    <w:rsid w:val="00411C77"/>
    <w:rsid w:val="004123B5"/>
    <w:rsid w:val="00413671"/>
    <w:rsid w:val="00413A47"/>
    <w:rsid w:val="00413E2B"/>
    <w:rsid w:val="00414058"/>
    <w:rsid w:val="004141B7"/>
    <w:rsid w:val="00416147"/>
    <w:rsid w:val="00417BDB"/>
    <w:rsid w:val="00417D09"/>
    <w:rsid w:val="00417D2B"/>
    <w:rsid w:val="00420225"/>
    <w:rsid w:val="0042051C"/>
    <w:rsid w:val="00420A92"/>
    <w:rsid w:val="00420CDB"/>
    <w:rsid w:val="00422930"/>
    <w:rsid w:val="00422D1B"/>
    <w:rsid w:val="0042324E"/>
    <w:rsid w:val="00423CFE"/>
    <w:rsid w:val="00424104"/>
    <w:rsid w:val="00424650"/>
    <w:rsid w:val="0042476F"/>
    <w:rsid w:val="00424BD3"/>
    <w:rsid w:val="00424EA2"/>
    <w:rsid w:val="00425485"/>
    <w:rsid w:val="00425C4E"/>
    <w:rsid w:val="00426278"/>
    <w:rsid w:val="004271F8"/>
    <w:rsid w:val="004274A1"/>
    <w:rsid w:val="00427B00"/>
    <w:rsid w:val="00427C85"/>
    <w:rsid w:val="00431209"/>
    <w:rsid w:val="00432534"/>
    <w:rsid w:val="004327EA"/>
    <w:rsid w:val="004331F4"/>
    <w:rsid w:val="00434165"/>
    <w:rsid w:val="004341B5"/>
    <w:rsid w:val="004345F3"/>
    <w:rsid w:val="00435179"/>
    <w:rsid w:val="0043644B"/>
    <w:rsid w:val="004370E3"/>
    <w:rsid w:val="00437DAC"/>
    <w:rsid w:val="00437E96"/>
    <w:rsid w:val="00437EDD"/>
    <w:rsid w:val="0044040F"/>
    <w:rsid w:val="0044050A"/>
    <w:rsid w:val="00440F28"/>
    <w:rsid w:val="00441CC3"/>
    <w:rsid w:val="00442853"/>
    <w:rsid w:val="0044358F"/>
    <w:rsid w:val="00443595"/>
    <w:rsid w:val="0044405F"/>
    <w:rsid w:val="00444184"/>
    <w:rsid w:val="0044464D"/>
    <w:rsid w:val="00444759"/>
    <w:rsid w:val="0044516B"/>
    <w:rsid w:val="00445566"/>
    <w:rsid w:val="0044566B"/>
    <w:rsid w:val="00446A73"/>
    <w:rsid w:val="00446B28"/>
    <w:rsid w:val="00447327"/>
    <w:rsid w:val="0045031B"/>
    <w:rsid w:val="00450B10"/>
    <w:rsid w:val="00451148"/>
    <w:rsid w:val="0045149C"/>
    <w:rsid w:val="00451AC5"/>
    <w:rsid w:val="00451CEC"/>
    <w:rsid w:val="00451F2E"/>
    <w:rsid w:val="004526A2"/>
    <w:rsid w:val="00452B59"/>
    <w:rsid w:val="00452D29"/>
    <w:rsid w:val="004532DC"/>
    <w:rsid w:val="00454571"/>
    <w:rsid w:val="004547AE"/>
    <w:rsid w:val="00454F12"/>
    <w:rsid w:val="004550FA"/>
    <w:rsid w:val="00455425"/>
    <w:rsid w:val="0045695B"/>
    <w:rsid w:val="00456B69"/>
    <w:rsid w:val="00456EBB"/>
    <w:rsid w:val="004575FA"/>
    <w:rsid w:val="00457FA8"/>
    <w:rsid w:val="0046014C"/>
    <w:rsid w:val="00460CA5"/>
    <w:rsid w:val="00461368"/>
    <w:rsid w:val="00461A70"/>
    <w:rsid w:val="00461CE3"/>
    <w:rsid w:val="00462353"/>
    <w:rsid w:val="00463756"/>
    <w:rsid w:val="00463EF1"/>
    <w:rsid w:val="00464039"/>
    <w:rsid w:val="004640C3"/>
    <w:rsid w:val="00464F76"/>
    <w:rsid w:val="004659E1"/>
    <w:rsid w:val="00465C46"/>
    <w:rsid w:val="00465C96"/>
    <w:rsid w:val="00465E1D"/>
    <w:rsid w:val="00465E67"/>
    <w:rsid w:val="004662E3"/>
    <w:rsid w:val="00466CB3"/>
    <w:rsid w:val="004670FB"/>
    <w:rsid w:val="004671A1"/>
    <w:rsid w:val="004672EA"/>
    <w:rsid w:val="00470383"/>
    <w:rsid w:val="004704F1"/>
    <w:rsid w:val="00470DA1"/>
    <w:rsid w:val="004711EB"/>
    <w:rsid w:val="00471D41"/>
    <w:rsid w:val="00471E1E"/>
    <w:rsid w:val="00472884"/>
    <w:rsid w:val="00472A20"/>
    <w:rsid w:val="00472E7A"/>
    <w:rsid w:val="004734CF"/>
    <w:rsid w:val="00473862"/>
    <w:rsid w:val="00474042"/>
    <w:rsid w:val="00474374"/>
    <w:rsid w:val="00474483"/>
    <w:rsid w:val="00474D41"/>
    <w:rsid w:val="004773C8"/>
    <w:rsid w:val="00477D4D"/>
    <w:rsid w:val="00477E80"/>
    <w:rsid w:val="00477EFC"/>
    <w:rsid w:val="00480AB4"/>
    <w:rsid w:val="0048170C"/>
    <w:rsid w:val="00481B39"/>
    <w:rsid w:val="00482B51"/>
    <w:rsid w:val="0048382C"/>
    <w:rsid w:val="004839B3"/>
    <w:rsid w:val="00484992"/>
    <w:rsid w:val="00484A42"/>
    <w:rsid w:val="00484D18"/>
    <w:rsid w:val="00484DC8"/>
    <w:rsid w:val="00485366"/>
    <w:rsid w:val="00485FF9"/>
    <w:rsid w:val="004865FC"/>
    <w:rsid w:val="00487833"/>
    <w:rsid w:val="00487ED3"/>
    <w:rsid w:val="00490090"/>
    <w:rsid w:val="00490671"/>
    <w:rsid w:val="0049095F"/>
    <w:rsid w:val="00490D08"/>
    <w:rsid w:val="00492D6B"/>
    <w:rsid w:val="004936AE"/>
    <w:rsid w:val="004941EF"/>
    <w:rsid w:val="0049545F"/>
    <w:rsid w:val="00495D4C"/>
    <w:rsid w:val="004961AF"/>
    <w:rsid w:val="004972B4"/>
    <w:rsid w:val="004975AD"/>
    <w:rsid w:val="004979FB"/>
    <w:rsid w:val="004A039A"/>
    <w:rsid w:val="004A1A0E"/>
    <w:rsid w:val="004A1B49"/>
    <w:rsid w:val="004A23A8"/>
    <w:rsid w:val="004A26B6"/>
    <w:rsid w:val="004A372C"/>
    <w:rsid w:val="004A3B6D"/>
    <w:rsid w:val="004A3FA5"/>
    <w:rsid w:val="004A4136"/>
    <w:rsid w:val="004A4A2C"/>
    <w:rsid w:val="004A4B9C"/>
    <w:rsid w:val="004A6782"/>
    <w:rsid w:val="004A6D98"/>
    <w:rsid w:val="004A7730"/>
    <w:rsid w:val="004A7D9D"/>
    <w:rsid w:val="004B0520"/>
    <w:rsid w:val="004B0D4A"/>
    <w:rsid w:val="004B105E"/>
    <w:rsid w:val="004B1A4B"/>
    <w:rsid w:val="004B1ACF"/>
    <w:rsid w:val="004B26C2"/>
    <w:rsid w:val="004B2BD8"/>
    <w:rsid w:val="004B2E84"/>
    <w:rsid w:val="004B3003"/>
    <w:rsid w:val="004B3DAB"/>
    <w:rsid w:val="004B4191"/>
    <w:rsid w:val="004B510F"/>
    <w:rsid w:val="004B706A"/>
    <w:rsid w:val="004B742A"/>
    <w:rsid w:val="004B7ABD"/>
    <w:rsid w:val="004B7D8B"/>
    <w:rsid w:val="004C18C9"/>
    <w:rsid w:val="004C1F2C"/>
    <w:rsid w:val="004C2FF8"/>
    <w:rsid w:val="004C31CA"/>
    <w:rsid w:val="004C34B8"/>
    <w:rsid w:val="004C38DE"/>
    <w:rsid w:val="004C3D51"/>
    <w:rsid w:val="004C4F54"/>
    <w:rsid w:val="004C65AA"/>
    <w:rsid w:val="004C67DB"/>
    <w:rsid w:val="004C78D5"/>
    <w:rsid w:val="004C7B38"/>
    <w:rsid w:val="004D0A07"/>
    <w:rsid w:val="004D15D9"/>
    <w:rsid w:val="004D2121"/>
    <w:rsid w:val="004D212F"/>
    <w:rsid w:val="004D25AC"/>
    <w:rsid w:val="004D27E1"/>
    <w:rsid w:val="004D4833"/>
    <w:rsid w:val="004D4B87"/>
    <w:rsid w:val="004D4D36"/>
    <w:rsid w:val="004D5215"/>
    <w:rsid w:val="004D5712"/>
    <w:rsid w:val="004D5F78"/>
    <w:rsid w:val="004D62F1"/>
    <w:rsid w:val="004D636B"/>
    <w:rsid w:val="004D6E49"/>
    <w:rsid w:val="004E0092"/>
    <w:rsid w:val="004E00DA"/>
    <w:rsid w:val="004E0702"/>
    <w:rsid w:val="004E1858"/>
    <w:rsid w:val="004E2630"/>
    <w:rsid w:val="004E3BAF"/>
    <w:rsid w:val="004E4ABC"/>
    <w:rsid w:val="004E51EE"/>
    <w:rsid w:val="004E535C"/>
    <w:rsid w:val="004E56C1"/>
    <w:rsid w:val="004E675E"/>
    <w:rsid w:val="004E77E8"/>
    <w:rsid w:val="004E7F11"/>
    <w:rsid w:val="004F2B32"/>
    <w:rsid w:val="004F562C"/>
    <w:rsid w:val="004F562E"/>
    <w:rsid w:val="004F57A2"/>
    <w:rsid w:val="004F5AFE"/>
    <w:rsid w:val="004F5F0D"/>
    <w:rsid w:val="004F6529"/>
    <w:rsid w:val="004F6A81"/>
    <w:rsid w:val="004F7079"/>
    <w:rsid w:val="004F719D"/>
    <w:rsid w:val="004F741A"/>
    <w:rsid w:val="004F75C3"/>
    <w:rsid w:val="004F7B92"/>
    <w:rsid w:val="004F7D03"/>
    <w:rsid w:val="004F7D59"/>
    <w:rsid w:val="00500038"/>
    <w:rsid w:val="0050018B"/>
    <w:rsid w:val="00500487"/>
    <w:rsid w:val="00500BB6"/>
    <w:rsid w:val="00500D23"/>
    <w:rsid w:val="00500F05"/>
    <w:rsid w:val="00502D95"/>
    <w:rsid w:val="00503FFA"/>
    <w:rsid w:val="00504A37"/>
    <w:rsid w:val="00504B3D"/>
    <w:rsid w:val="00504C44"/>
    <w:rsid w:val="00504D54"/>
    <w:rsid w:val="00505D17"/>
    <w:rsid w:val="0050628C"/>
    <w:rsid w:val="0050692E"/>
    <w:rsid w:val="00506B5D"/>
    <w:rsid w:val="00506FFB"/>
    <w:rsid w:val="0050703B"/>
    <w:rsid w:val="0050774B"/>
    <w:rsid w:val="00507945"/>
    <w:rsid w:val="00510694"/>
    <w:rsid w:val="00510BAA"/>
    <w:rsid w:val="00510DFC"/>
    <w:rsid w:val="0051132D"/>
    <w:rsid w:val="00511334"/>
    <w:rsid w:val="00512B6C"/>
    <w:rsid w:val="005139E6"/>
    <w:rsid w:val="00514313"/>
    <w:rsid w:val="005144FF"/>
    <w:rsid w:val="005146C0"/>
    <w:rsid w:val="0051494B"/>
    <w:rsid w:val="00515404"/>
    <w:rsid w:val="005155F3"/>
    <w:rsid w:val="00515B54"/>
    <w:rsid w:val="0051661E"/>
    <w:rsid w:val="005167FD"/>
    <w:rsid w:val="005173DF"/>
    <w:rsid w:val="00520B59"/>
    <w:rsid w:val="00520F70"/>
    <w:rsid w:val="0052160D"/>
    <w:rsid w:val="00521854"/>
    <w:rsid w:val="00521949"/>
    <w:rsid w:val="00521DC5"/>
    <w:rsid w:val="0052205A"/>
    <w:rsid w:val="00522348"/>
    <w:rsid w:val="0052240D"/>
    <w:rsid w:val="00522620"/>
    <w:rsid w:val="00522F72"/>
    <w:rsid w:val="00523354"/>
    <w:rsid w:val="00523479"/>
    <w:rsid w:val="005236E9"/>
    <w:rsid w:val="005239B8"/>
    <w:rsid w:val="00523C6D"/>
    <w:rsid w:val="005248A7"/>
    <w:rsid w:val="00524E2E"/>
    <w:rsid w:val="0052554D"/>
    <w:rsid w:val="005257AB"/>
    <w:rsid w:val="00525C39"/>
    <w:rsid w:val="00526270"/>
    <w:rsid w:val="005263E0"/>
    <w:rsid w:val="00526488"/>
    <w:rsid w:val="00526691"/>
    <w:rsid w:val="005268D9"/>
    <w:rsid w:val="0052769F"/>
    <w:rsid w:val="00527998"/>
    <w:rsid w:val="005315AB"/>
    <w:rsid w:val="00531BE6"/>
    <w:rsid w:val="005324B2"/>
    <w:rsid w:val="00532E84"/>
    <w:rsid w:val="0053332E"/>
    <w:rsid w:val="00533633"/>
    <w:rsid w:val="005342B5"/>
    <w:rsid w:val="00534DB5"/>
    <w:rsid w:val="005354AA"/>
    <w:rsid w:val="00535871"/>
    <w:rsid w:val="00535CC8"/>
    <w:rsid w:val="0053609D"/>
    <w:rsid w:val="005366E9"/>
    <w:rsid w:val="00536CEF"/>
    <w:rsid w:val="00536D9D"/>
    <w:rsid w:val="00536EE7"/>
    <w:rsid w:val="005370D8"/>
    <w:rsid w:val="005371EA"/>
    <w:rsid w:val="00537623"/>
    <w:rsid w:val="0053787D"/>
    <w:rsid w:val="00537A95"/>
    <w:rsid w:val="00537C5E"/>
    <w:rsid w:val="00537E61"/>
    <w:rsid w:val="0054056E"/>
    <w:rsid w:val="00541350"/>
    <w:rsid w:val="00542143"/>
    <w:rsid w:val="00542B84"/>
    <w:rsid w:val="005431A2"/>
    <w:rsid w:val="00543568"/>
    <w:rsid w:val="00544672"/>
    <w:rsid w:val="00544BE2"/>
    <w:rsid w:val="00544E30"/>
    <w:rsid w:val="00545BCB"/>
    <w:rsid w:val="00545E5B"/>
    <w:rsid w:val="005464D7"/>
    <w:rsid w:val="00546A08"/>
    <w:rsid w:val="00546CF3"/>
    <w:rsid w:val="005477F1"/>
    <w:rsid w:val="00550041"/>
    <w:rsid w:val="0055071D"/>
    <w:rsid w:val="0055171D"/>
    <w:rsid w:val="005551DA"/>
    <w:rsid w:val="00555E0B"/>
    <w:rsid w:val="00556495"/>
    <w:rsid w:val="005565EF"/>
    <w:rsid w:val="00556BEA"/>
    <w:rsid w:val="005573BC"/>
    <w:rsid w:val="00557B9A"/>
    <w:rsid w:val="00557C51"/>
    <w:rsid w:val="005602BA"/>
    <w:rsid w:val="00560A94"/>
    <w:rsid w:val="00561B93"/>
    <w:rsid w:val="00562EAE"/>
    <w:rsid w:val="00563009"/>
    <w:rsid w:val="00563086"/>
    <w:rsid w:val="00563239"/>
    <w:rsid w:val="00564108"/>
    <w:rsid w:val="00564B15"/>
    <w:rsid w:val="00565213"/>
    <w:rsid w:val="00565EFE"/>
    <w:rsid w:val="00566483"/>
    <w:rsid w:val="0056700F"/>
    <w:rsid w:val="00567706"/>
    <w:rsid w:val="00567898"/>
    <w:rsid w:val="005700CE"/>
    <w:rsid w:val="00570E08"/>
    <w:rsid w:val="00570E8E"/>
    <w:rsid w:val="00571C86"/>
    <w:rsid w:val="00571DFC"/>
    <w:rsid w:val="005728F6"/>
    <w:rsid w:val="00572E82"/>
    <w:rsid w:val="00573CBD"/>
    <w:rsid w:val="00573F85"/>
    <w:rsid w:val="005740E7"/>
    <w:rsid w:val="00574A04"/>
    <w:rsid w:val="005761CE"/>
    <w:rsid w:val="0057657A"/>
    <w:rsid w:val="005774DC"/>
    <w:rsid w:val="005774F7"/>
    <w:rsid w:val="00577B3C"/>
    <w:rsid w:val="00577ED5"/>
    <w:rsid w:val="005808BD"/>
    <w:rsid w:val="00580AD6"/>
    <w:rsid w:val="005812AF"/>
    <w:rsid w:val="00581469"/>
    <w:rsid w:val="0058224F"/>
    <w:rsid w:val="005831F5"/>
    <w:rsid w:val="00583363"/>
    <w:rsid w:val="0058352D"/>
    <w:rsid w:val="005838E9"/>
    <w:rsid w:val="00583901"/>
    <w:rsid w:val="00584B28"/>
    <w:rsid w:val="00585CFF"/>
    <w:rsid w:val="00585DC6"/>
    <w:rsid w:val="0058627F"/>
    <w:rsid w:val="005865B0"/>
    <w:rsid w:val="00586652"/>
    <w:rsid w:val="00586764"/>
    <w:rsid w:val="00587AC2"/>
    <w:rsid w:val="005908FA"/>
    <w:rsid w:val="005911F2"/>
    <w:rsid w:val="00591705"/>
    <w:rsid w:val="00591AC2"/>
    <w:rsid w:val="005923CD"/>
    <w:rsid w:val="00593AC1"/>
    <w:rsid w:val="005943CE"/>
    <w:rsid w:val="0059492A"/>
    <w:rsid w:val="005951F4"/>
    <w:rsid w:val="005959E8"/>
    <w:rsid w:val="00595EEA"/>
    <w:rsid w:val="005962E2"/>
    <w:rsid w:val="005964E5"/>
    <w:rsid w:val="005965FA"/>
    <w:rsid w:val="00596E4F"/>
    <w:rsid w:val="005970D0"/>
    <w:rsid w:val="00597BF5"/>
    <w:rsid w:val="005A1022"/>
    <w:rsid w:val="005A4945"/>
    <w:rsid w:val="005A4BA6"/>
    <w:rsid w:val="005A5B42"/>
    <w:rsid w:val="005A5CF0"/>
    <w:rsid w:val="005A60E8"/>
    <w:rsid w:val="005A6161"/>
    <w:rsid w:val="005A6706"/>
    <w:rsid w:val="005A74FB"/>
    <w:rsid w:val="005A76DF"/>
    <w:rsid w:val="005A78BD"/>
    <w:rsid w:val="005B0BD9"/>
    <w:rsid w:val="005B245E"/>
    <w:rsid w:val="005B2613"/>
    <w:rsid w:val="005B26A0"/>
    <w:rsid w:val="005B326D"/>
    <w:rsid w:val="005B328E"/>
    <w:rsid w:val="005B36FF"/>
    <w:rsid w:val="005B5BC0"/>
    <w:rsid w:val="005B60CD"/>
    <w:rsid w:val="005B634C"/>
    <w:rsid w:val="005B7709"/>
    <w:rsid w:val="005B7B05"/>
    <w:rsid w:val="005B7BFD"/>
    <w:rsid w:val="005B7D64"/>
    <w:rsid w:val="005C2F6E"/>
    <w:rsid w:val="005C3332"/>
    <w:rsid w:val="005C377E"/>
    <w:rsid w:val="005C38B6"/>
    <w:rsid w:val="005C3D32"/>
    <w:rsid w:val="005C42A5"/>
    <w:rsid w:val="005C44B4"/>
    <w:rsid w:val="005C660E"/>
    <w:rsid w:val="005C6D6C"/>
    <w:rsid w:val="005D0A19"/>
    <w:rsid w:val="005D165B"/>
    <w:rsid w:val="005D1A85"/>
    <w:rsid w:val="005D1D8D"/>
    <w:rsid w:val="005D1E01"/>
    <w:rsid w:val="005D2343"/>
    <w:rsid w:val="005D44F8"/>
    <w:rsid w:val="005D4C34"/>
    <w:rsid w:val="005D5410"/>
    <w:rsid w:val="005D57AF"/>
    <w:rsid w:val="005D58D5"/>
    <w:rsid w:val="005D6809"/>
    <w:rsid w:val="005D7452"/>
    <w:rsid w:val="005E0006"/>
    <w:rsid w:val="005E21E0"/>
    <w:rsid w:val="005E24E2"/>
    <w:rsid w:val="005E2E6B"/>
    <w:rsid w:val="005E36D1"/>
    <w:rsid w:val="005E3B96"/>
    <w:rsid w:val="005E3C77"/>
    <w:rsid w:val="005E4652"/>
    <w:rsid w:val="005E4B2D"/>
    <w:rsid w:val="005E544C"/>
    <w:rsid w:val="005E5FA6"/>
    <w:rsid w:val="005E63F6"/>
    <w:rsid w:val="005E70FA"/>
    <w:rsid w:val="005F02B6"/>
    <w:rsid w:val="005F06E4"/>
    <w:rsid w:val="005F15C4"/>
    <w:rsid w:val="005F1A9E"/>
    <w:rsid w:val="005F2478"/>
    <w:rsid w:val="005F26EA"/>
    <w:rsid w:val="005F3413"/>
    <w:rsid w:val="005F379D"/>
    <w:rsid w:val="005F384B"/>
    <w:rsid w:val="005F5569"/>
    <w:rsid w:val="005F59CB"/>
    <w:rsid w:val="005F5FB7"/>
    <w:rsid w:val="005F6103"/>
    <w:rsid w:val="005F6988"/>
    <w:rsid w:val="005F74FC"/>
    <w:rsid w:val="006007C0"/>
    <w:rsid w:val="006008A4"/>
    <w:rsid w:val="00600925"/>
    <w:rsid w:val="006025C2"/>
    <w:rsid w:val="00602B5E"/>
    <w:rsid w:val="00602F7F"/>
    <w:rsid w:val="00602FAC"/>
    <w:rsid w:val="00603FEB"/>
    <w:rsid w:val="00604292"/>
    <w:rsid w:val="006065E6"/>
    <w:rsid w:val="00607760"/>
    <w:rsid w:val="00607B60"/>
    <w:rsid w:val="006100B7"/>
    <w:rsid w:val="006102A2"/>
    <w:rsid w:val="00610CE7"/>
    <w:rsid w:val="00610F2F"/>
    <w:rsid w:val="006111A6"/>
    <w:rsid w:val="006119D5"/>
    <w:rsid w:val="00611B3A"/>
    <w:rsid w:val="006124EA"/>
    <w:rsid w:val="00612FFD"/>
    <w:rsid w:val="00613690"/>
    <w:rsid w:val="0061379A"/>
    <w:rsid w:val="00613944"/>
    <w:rsid w:val="006149CD"/>
    <w:rsid w:val="00614B05"/>
    <w:rsid w:val="00615A3D"/>
    <w:rsid w:val="0061627F"/>
    <w:rsid w:val="006165F9"/>
    <w:rsid w:val="00616A79"/>
    <w:rsid w:val="00617093"/>
    <w:rsid w:val="00620EBD"/>
    <w:rsid w:val="00621564"/>
    <w:rsid w:val="00622706"/>
    <w:rsid w:val="006246C7"/>
    <w:rsid w:val="0062520F"/>
    <w:rsid w:val="00630919"/>
    <w:rsid w:val="006329AF"/>
    <w:rsid w:val="00632AF6"/>
    <w:rsid w:val="006333DE"/>
    <w:rsid w:val="006333F1"/>
    <w:rsid w:val="0063373D"/>
    <w:rsid w:val="00633FDF"/>
    <w:rsid w:val="006342C5"/>
    <w:rsid w:val="006349B1"/>
    <w:rsid w:val="00634CFA"/>
    <w:rsid w:val="00635097"/>
    <w:rsid w:val="00635DBE"/>
    <w:rsid w:val="00636830"/>
    <w:rsid w:val="006379B6"/>
    <w:rsid w:val="0064056D"/>
    <w:rsid w:val="00641749"/>
    <w:rsid w:val="00642822"/>
    <w:rsid w:val="00642F20"/>
    <w:rsid w:val="006436D6"/>
    <w:rsid w:val="00643EC3"/>
    <w:rsid w:val="00645C6D"/>
    <w:rsid w:val="006460F3"/>
    <w:rsid w:val="006465BF"/>
    <w:rsid w:val="00646B1C"/>
    <w:rsid w:val="00646C5E"/>
    <w:rsid w:val="0065081C"/>
    <w:rsid w:val="0065131F"/>
    <w:rsid w:val="0065193F"/>
    <w:rsid w:val="00652CDA"/>
    <w:rsid w:val="006531D1"/>
    <w:rsid w:val="00653ED3"/>
    <w:rsid w:val="00657C44"/>
    <w:rsid w:val="00657E52"/>
    <w:rsid w:val="00657FC5"/>
    <w:rsid w:val="006601C4"/>
    <w:rsid w:val="00660B1A"/>
    <w:rsid w:val="00661245"/>
    <w:rsid w:val="00661F2A"/>
    <w:rsid w:val="00661F8E"/>
    <w:rsid w:val="006629C1"/>
    <w:rsid w:val="00662E06"/>
    <w:rsid w:val="0066438F"/>
    <w:rsid w:val="00665ACD"/>
    <w:rsid w:val="0066600F"/>
    <w:rsid w:val="00666254"/>
    <w:rsid w:val="006663BD"/>
    <w:rsid w:val="00666E4F"/>
    <w:rsid w:val="00667144"/>
    <w:rsid w:val="00667798"/>
    <w:rsid w:val="00667B71"/>
    <w:rsid w:val="0067054D"/>
    <w:rsid w:val="00670C6E"/>
    <w:rsid w:val="006711FD"/>
    <w:rsid w:val="006713C0"/>
    <w:rsid w:val="006715BD"/>
    <w:rsid w:val="0067237E"/>
    <w:rsid w:val="006725C8"/>
    <w:rsid w:val="0067378B"/>
    <w:rsid w:val="00673D30"/>
    <w:rsid w:val="00674319"/>
    <w:rsid w:val="00674361"/>
    <w:rsid w:val="00674679"/>
    <w:rsid w:val="00674978"/>
    <w:rsid w:val="00676E94"/>
    <w:rsid w:val="006770B4"/>
    <w:rsid w:val="00677618"/>
    <w:rsid w:val="00677750"/>
    <w:rsid w:val="00677821"/>
    <w:rsid w:val="00677EB1"/>
    <w:rsid w:val="006811D3"/>
    <w:rsid w:val="0068145A"/>
    <w:rsid w:val="006817E6"/>
    <w:rsid w:val="006817F0"/>
    <w:rsid w:val="00681879"/>
    <w:rsid w:val="006820A4"/>
    <w:rsid w:val="00682F6F"/>
    <w:rsid w:val="00683211"/>
    <w:rsid w:val="0068398A"/>
    <w:rsid w:val="006840AB"/>
    <w:rsid w:val="00684329"/>
    <w:rsid w:val="0068492F"/>
    <w:rsid w:val="006852BA"/>
    <w:rsid w:val="006856F4"/>
    <w:rsid w:val="006857D6"/>
    <w:rsid w:val="00685E1B"/>
    <w:rsid w:val="0068661E"/>
    <w:rsid w:val="006872D6"/>
    <w:rsid w:val="00687C5C"/>
    <w:rsid w:val="00690792"/>
    <w:rsid w:val="00690F18"/>
    <w:rsid w:val="0069153C"/>
    <w:rsid w:val="00691BE2"/>
    <w:rsid w:val="00691C10"/>
    <w:rsid w:val="00691DB2"/>
    <w:rsid w:val="00691E3E"/>
    <w:rsid w:val="0069266F"/>
    <w:rsid w:val="006928DA"/>
    <w:rsid w:val="00692C31"/>
    <w:rsid w:val="0069621D"/>
    <w:rsid w:val="0069676E"/>
    <w:rsid w:val="006969C8"/>
    <w:rsid w:val="00696A23"/>
    <w:rsid w:val="00697292"/>
    <w:rsid w:val="006A0F5A"/>
    <w:rsid w:val="006A3F96"/>
    <w:rsid w:val="006A57DF"/>
    <w:rsid w:val="006A5F6F"/>
    <w:rsid w:val="006A6528"/>
    <w:rsid w:val="006A663F"/>
    <w:rsid w:val="006A679C"/>
    <w:rsid w:val="006B1344"/>
    <w:rsid w:val="006B1A0C"/>
    <w:rsid w:val="006B1B47"/>
    <w:rsid w:val="006B1CB9"/>
    <w:rsid w:val="006B1DE6"/>
    <w:rsid w:val="006B1F0D"/>
    <w:rsid w:val="006B24D2"/>
    <w:rsid w:val="006B439E"/>
    <w:rsid w:val="006B4A57"/>
    <w:rsid w:val="006B56DB"/>
    <w:rsid w:val="006B6029"/>
    <w:rsid w:val="006B662D"/>
    <w:rsid w:val="006C0630"/>
    <w:rsid w:val="006C158D"/>
    <w:rsid w:val="006C1A3F"/>
    <w:rsid w:val="006C1A8D"/>
    <w:rsid w:val="006C1E59"/>
    <w:rsid w:val="006C235B"/>
    <w:rsid w:val="006C23E4"/>
    <w:rsid w:val="006C2408"/>
    <w:rsid w:val="006C2881"/>
    <w:rsid w:val="006C2ECC"/>
    <w:rsid w:val="006C3A13"/>
    <w:rsid w:val="006C447C"/>
    <w:rsid w:val="006C4483"/>
    <w:rsid w:val="006C4773"/>
    <w:rsid w:val="006C5382"/>
    <w:rsid w:val="006C6ACC"/>
    <w:rsid w:val="006C7132"/>
    <w:rsid w:val="006C75E1"/>
    <w:rsid w:val="006C7CDB"/>
    <w:rsid w:val="006D0E99"/>
    <w:rsid w:val="006D1442"/>
    <w:rsid w:val="006D1444"/>
    <w:rsid w:val="006D14D0"/>
    <w:rsid w:val="006D21BA"/>
    <w:rsid w:val="006D2AC0"/>
    <w:rsid w:val="006D2C23"/>
    <w:rsid w:val="006D374D"/>
    <w:rsid w:val="006D375A"/>
    <w:rsid w:val="006D3836"/>
    <w:rsid w:val="006D4C43"/>
    <w:rsid w:val="006D5102"/>
    <w:rsid w:val="006D5447"/>
    <w:rsid w:val="006D5B51"/>
    <w:rsid w:val="006D6145"/>
    <w:rsid w:val="006D6A62"/>
    <w:rsid w:val="006D70F9"/>
    <w:rsid w:val="006D771C"/>
    <w:rsid w:val="006E07CB"/>
    <w:rsid w:val="006E0A04"/>
    <w:rsid w:val="006E0A34"/>
    <w:rsid w:val="006E1004"/>
    <w:rsid w:val="006E2885"/>
    <w:rsid w:val="006E3033"/>
    <w:rsid w:val="006E30AB"/>
    <w:rsid w:val="006E4CE9"/>
    <w:rsid w:val="006E4D50"/>
    <w:rsid w:val="006E5D6D"/>
    <w:rsid w:val="006E6C79"/>
    <w:rsid w:val="006E7013"/>
    <w:rsid w:val="006F0697"/>
    <w:rsid w:val="006F088A"/>
    <w:rsid w:val="006F0B55"/>
    <w:rsid w:val="006F0B76"/>
    <w:rsid w:val="006F18CD"/>
    <w:rsid w:val="006F1E32"/>
    <w:rsid w:val="006F3198"/>
    <w:rsid w:val="006F33A1"/>
    <w:rsid w:val="006F3DF4"/>
    <w:rsid w:val="006F3E5D"/>
    <w:rsid w:val="006F4023"/>
    <w:rsid w:val="006F450E"/>
    <w:rsid w:val="006F4DB1"/>
    <w:rsid w:val="006F509A"/>
    <w:rsid w:val="006F5584"/>
    <w:rsid w:val="006F5F21"/>
    <w:rsid w:val="006F618B"/>
    <w:rsid w:val="006F626A"/>
    <w:rsid w:val="006F79D8"/>
    <w:rsid w:val="00700D7E"/>
    <w:rsid w:val="00700F4B"/>
    <w:rsid w:val="00701445"/>
    <w:rsid w:val="00701656"/>
    <w:rsid w:val="0070302B"/>
    <w:rsid w:val="007032E0"/>
    <w:rsid w:val="00704801"/>
    <w:rsid w:val="00705B70"/>
    <w:rsid w:val="007060DD"/>
    <w:rsid w:val="007069E4"/>
    <w:rsid w:val="0070735C"/>
    <w:rsid w:val="00707431"/>
    <w:rsid w:val="00707825"/>
    <w:rsid w:val="00707BB3"/>
    <w:rsid w:val="007104D0"/>
    <w:rsid w:val="007108A3"/>
    <w:rsid w:val="00710F3C"/>
    <w:rsid w:val="007112BC"/>
    <w:rsid w:val="00711AF0"/>
    <w:rsid w:val="00711CBD"/>
    <w:rsid w:val="00711F87"/>
    <w:rsid w:val="00712968"/>
    <w:rsid w:val="00713B0E"/>
    <w:rsid w:val="00713B99"/>
    <w:rsid w:val="00713DA5"/>
    <w:rsid w:val="0071401A"/>
    <w:rsid w:val="007151F1"/>
    <w:rsid w:val="00715708"/>
    <w:rsid w:val="007158B2"/>
    <w:rsid w:val="007158FC"/>
    <w:rsid w:val="007159B8"/>
    <w:rsid w:val="00715B24"/>
    <w:rsid w:val="00715C02"/>
    <w:rsid w:val="0071618A"/>
    <w:rsid w:val="00716634"/>
    <w:rsid w:val="00716B7F"/>
    <w:rsid w:val="00716CB5"/>
    <w:rsid w:val="00720D1B"/>
    <w:rsid w:val="0072112F"/>
    <w:rsid w:val="00721C51"/>
    <w:rsid w:val="00722919"/>
    <w:rsid w:val="007243DC"/>
    <w:rsid w:val="007252AC"/>
    <w:rsid w:val="007253EE"/>
    <w:rsid w:val="0072563B"/>
    <w:rsid w:val="007259E6"/>
    <w:rsid w:val="00726281"/>
    <w:rsid w:val="007272E7"/>
    <w:rsid w:val="007276B7"/>
    <w:rsid w:val="0073173E"/>
    <w:rsid w:val="0073216E"/>
    <w:rsid w:val="0073217C"/>
    <w:rsid w:val="007324E6"/>
    <w:rsid w:val="0073299A"/>
    <w:rsid w:val="007337A7"/>
    <w:rsid w:val="00734C6D"/>
    <w:rsid w:val="00734CC1"/>
    <w:rsid w:val="00734DB8"/>
    <w:rsid w:val="007357FE"/>
    <w:rsid w:val="00735A1A"/>
    <w:rsid w:val="00735D51"/>
    <w:rsid w:val="00735EB7"/>
    <w:rsid w:val="00736836"/>
    <w:rsid w:val="00737068"/>
    <w:rsid w:val="00737A05"/>
    <w:rsid w:val="007401D6"/>
    <w:rsid w:val="0074024E"/>
    <w:rsid w:val="00740778"/>
    <w:rsid w:val="00740B42"/>
    <w:rsid w:val="00741618"/>
    <w:rsid w:val="0074348D"/>
    <w:rsid w:val="0074561F"/>
    <w:rsid w:val="00745AD9"/>
    <w:rsid w:val="00746910"/>
    <w:rsid w:val="007476CA"/>
    <w:rsid w:val="00752BBF"/>
    <w:rsid w:val="00752E59"/>
    <w:rsid w:val="00753482"/>
    <w:rsid w:val="00753779"/>
    <w:rsid w:val="00753E3B"/>
    <w:rsid w:val="007546EF"/>
    <w:rsid w:val="007548D9"/>
    <w:rsid w:val="0075539D"/>
    <w:rsid w:val="00756637"/>
    <w:rsid w:val="007571E4"/>
    <w:rsid w:val="007605FF"/>
    <w:rsid w:val="00760D6B"/>
    <w:rsid w:val="00761246"/>
    <w:rsid w:val="00761D62"/>
    <w:rsid w:val="00762550"/>
    <w:rsid w:val="00762CD9"/>
    <w:rsid w:val="007635DC"/>
    <w:rsid w:val="0076373D"/>
    <w:rsid w:val="00763A78"/>
    <w:rsid w:val="00764E14"/>
    <w:rsid w:val="0076669C"/>
    <w:rsid w:val="0076797B"/>
    <w:rsid w:val="007700B7"/>
    <w:rsid w:val="007703AD"/>
    <w:rsid w:val="00770FA3"/>
    <w:rsid w:val="00771813"/>
    <w:rsid w:val="0077223B"/>
    <w:rsid w:val="00772B91"/>
    <w:rsid w:val="00773305"/>
    <w:rsid w:val="00773C79"/>
    <w:rsid w:val="00773DBC"/>
    <w:rsid w:val="00774B00"/>
    <w:rsid w:val="007768D0"/>
    <w:rsid w:val="007777E1"/>
    <w:rsid w:val="00780212"/>
    <w:rsid w:val="0078116E"/>
    <w:rsid w:val="00782FA6"/>
    <w:rsid w:val="00785543"/>
    <w:rsid w:val="007855C4"/>
    <w:rsid w:val="007863BB"/>
    <w:rsid w:val="00786F5F"/>
    <w:rsid w:val="00787804"/>
    <w:rsid w:val="00790C2B"/>
    <w:rsid w:val="00790E55"/>
    <w:rsid w:val="00790F5F"/>
    <w:rsid w:val="007912AE"/>
    <w:rsid w:val="00791E7F"/>
    <w:rsid w:val="0079294A"/>
    <w:rsid w:val="00793732"/>
    <w:rsid w:val="00793F55"/>
    <w:rsid w:val="0079561F"/>
    <w:rsid w:val="007960DF"/>
    <w:rsid w:val="00796209"/>
    <w:rsid w:val="00796864"/>
    <w:rsid w:val="00796931"/>
    <w:rsid w:val="00796D2C"/>
    <w:rsid w:val="007A00CB"/>
    <w:rsid w:val="007A09DF"/>
    <w:rsid w:val="007A0AA4"/>
    <w:rsid w:val="007A1615"/>
    <w:rsid w:val="007A1C53"/>
    <w:rsid w:val="007A210F"/>
    <w:rsid w:val="007A2C35"/>
    <w:rsid w:val="007A3AD2"/>
    <w:rsid w:val="007A3BC4"/>
    <w:rsid w:val="007A4EC1"/>
    <w:rsid w:val="007A4EFE"/>
    <w:rsid w:val="007A5721"/>
    <w:rsid w:val="007A6B4B"/>
    <w:rsid w:val="007A760D"/>
    <w:rsid w:val="007B02F8"/>
    <w:rsid w:val="007B061B"/>
    <w:rsid w:val="007B1726"/>
    <w:rsid w:val="007B1737"/>
    <w:rsid w:val="007B2288"/>
    <w:rsid w:val="007B2662"/>
    <w:rsid w:val="007B2E4F"/>
    <w:rsid w:val="007B3918"/>
    <w:rsid w:val="007B3F1B"/>
    <w:rsid w:val="007B4CF7"/>
    <w:rsid w:val="007B5393"/>
    <w:rsid w:val="007B5BB2"/>
    <w:rsid w:val="007B6B9A"/>
    <w:rsid w:val="007B74B3"/>
    <w:rsid w:val="007B795E"/>
    <w:rsid w:val="007C0400"/>
    <w:rsid w:val="007C067C"/>
    <w:rsid w:val="007C0A16"/>
    <w:rsid w:val="007C171A"/>
    <w:rsid w:val="007C25B1"/>
    <w:rsid w:val="007C331A"/>
    <w:rsid w:val="007C33CE"/>
    <w:rsid w:val="007C384C"/>
    <w:rsid w:val="007C3A2A"/>
    <w:rsid w:val="007C3C38"/>
    <w:rsid w:val="007C3E44"/>
    <w:rsid w:val="007C4668"/>
    <w:rsid w:val="007C5189"/>
    <w:rsid w:val="007C5D84"/>
    <w:rsid w:val="007C62DE"/>
    <w:rsid w:val="007C6B35"/>
    <w:rsid w:val="007D06EB"/>
    <w:rsid w:val="007D1F14"/>
    <w:rsid w:val="007D2CC2"/>
    <w:rsid w:val="007D40B6"/>
    <w:rsid w:val="007D4524"/>
    <w:rsid w:val="007D5B3D"/>
    <w:rsid w:val="007D5BAB"/>
    <w:rsid w:val="007D659D"/>
    <w:rsid w:val="007D696B"/>
    <w:rsid w:val="007D7A3E"/>
    <w:rsid w:val="007D7F02"/>
    <w:rsid w:val="007E0C63"/>
    <w:rsid w:val="007E1645"/>
    <w:rsid w:val="007E1A29"/>
    <w:rsid w:val="007E2500"/>
    <w:rsid w:val="007E3BD3"/>
    <w:rsid w:val="007E5AD9"/>
    <w:rsid w:val="007E5E93"/>
    <w:rsid w:val="007E5EC8"/>
    <w:rsid w:val="007E60BA"/>
    <w:rsid w:val="007E69CF"/>
    <w:rsid w:val="007E6BFD"/>
    <w:rsid w:val="007E737C"/>
    <w:rsid w:val="007E79E7"/>
    <w:rsid w:val="007E7F44"/>
    <w:rsid w:val="007F0132"/>
    <w:rsid w:val="007F0174"/>
    <w:rsid w:val="007F0AD6"/>
    <w:rsid w:val="007F162D"/>
    <w:rsid w:val="007F2396"/>
    <w:rsid w:val="007F2564"/>
    <w:rsid w:val="007F36D5"/>
    <w:rsid w:val="007F3A89"/>
    <w:rsid w:val="007F3AB3"/>
    <w:rsid w:val="007F455B"/>
    <w:rsid w:val="007F4A8B"/>
    <w:rsid w:val="007F5C1C"/>
    <w:rsid w:val="007F5E58"/>
    <w:rsid w:val="007F715E"/>
    <w:rsid w:val="008000A2"/>
    <w:rsid w:val="00800238"/>
    <w:rsid w:val="00801180"/>
    <w:rsid w:val="0080178F"/>
    <w:rsid w:val="008019D4"/>
    <w:rsid w:val="00802B95"/>
    <w:rsid w:val="00803012"/>
    <w:rsid w:val="00803293"/>
    <w:rsid w:val="00804361"/>
    <w:rsid w:val="008046D4"/>
    <w:rsid w:val="0080602A"/>
    <w:rsid w:val="008064DF"/>
    <w:rsid w:val="00806586"/>
    <w:rsid w:val="0080665D"/>
    <w:rsid w:val="00807082"/>
    <w:rsid w:val="008076DB"/>
    <w:rsid w:val="00807765"/>
    <w:rsid w:val="008079C2"/>
    <w:rsid w:val="00807EBD"/>
    <w:rsid w:val="008108E0"/>
    <w:rsid w:val="00812DB4"/>
    <w:rsid w:val="008134C4"/>
    <w:rsid w:val="008137B5"/>
    <w:rsid w:val="00813B4B"/>
    <w:rsid w:val="0081480A"/>
    <w:rsid w:val="00814C44"/>
    <w:rsid w:val="00814CBE"/>
    <w:rsid w:val="0081504E"/>
    <w:rsid w:val="00815507"/>
    <w:rsid w:val="00815AFF"/>
    <w:rsid w:val="00815DE8"/>
    <w:rsid w:val="00815E1A"/>
    <w:rsid w:val="00816348"/>
    <w:rsid w:val="00816809"/>
    <w:rsid w:val="00816F77"/>
    <w:rsid w:val="008176D0"/>
    <w:rsid w:val="008176FD"/>
    <w:rsid w:val="00817EDE"/>
    <w:rsid w:val="00817FBA"/>
    <w:rsid w:val="008202D3"/>
    <w:rsid w:val="0082074E"/>
    <w:rsid w:val="008211C3"/>
    <w:rsid w:val="00821387"/>
    <w:rsid w:val="008218EC"/>
    <w:rsid w:val="00821DEB"/>
    <w:rsid w:val="008220A8"/>
    <w:rsid w:val="008223FD"/>
    <w:rsid w:val="00822DFF"/>
    <w:rsid w:val="0082317F"/>
    <w:rsid w:val="008248E1"/>
    <w:rsid w:val="008262AE"/>
    <w:rsid w:val="0082699E"/>
    <w:rsid w:val="00826AA6"/>
    <w:rsid w:val="00827078"/>
    <w:rsid w:val="008272C0"/>
    <w:rsid w:val="008300F4"/>
    <w:rsid w:val="0083062A"/>
    <w:rsid w:val="00830BC4"/>
    <w:rsid w:val="00831B24"/>
    <w:rsid w:val="008324F6"/>
    <w:rsid w:val="00832920"/>
    <w:rsid w:val="008330B3"/>
    <w:rsid w:val="00833435"/>
    <w:rsid w:val="00833A56"/>
    <w:rsid w:val="008343DE"/>
    <w:rsid w:val="00834593"/>
    <w:rsid w:val="00834BC6"/>
    <w:rsid w:val="00835926"/>
    <w:rsid w:val="00835E46"/>
    <w:rsid w:val="00835FA3"/>
    <w:rsid w:val="00835FC5"/>
    <w:rsid w:val="008400B6"/>
    <w:rsid w:val="00841F84"/>
    <w:rsid w:val="00842036"/>
    <w:rsid w:val="00842071"/>
    <w:rsid w:val="0084259F"/>
    <w:rsid w:val="00842B88"/>
    <w:rsid w:val="00842CF0"/>
    <w:rsid w:val="0084365A"/>
    <w:rsid w:val="0084393E"/>
    <w:rsid w:val="00844E32"/>
    <w:rsid w:val="00845508"/>
    <w:rsid w:val="00845B8E"/>
    <w:rsid w:val="00846AE4"/>
    <w:rsid w:val="0084727B"/>
    <w:rsid w:val="0084765E"/>
    <w:rsid w:val="0084767A"/>
    <w:rsid w:val="00847A08"/>
    <w:rsid w:val="008500BA"/>
    <w:rsid w:val="008503E6"/>
    <w:rsid w:val="008506FE"/>
    <w:rsid w:val="00850E8A"/>
    <w:rsid w:val="008512E1"/>
    <w:rsid w:val="00851550"/>
    <w:rsid w:val="00851B8C"/>
    <w:rsid w:val="00851EDE"/>
    <w:rsid w:val="00852122"/>
    <w:rsid w:val="00852D7C"/>
    <w:rsid w:val="00852EE7"/>
    <w:rsid w:val="00853031"/>
    <w:rsid w:val="00854C70"/>
    <w:rsid w:val="008553E1"/>
    <w:rsid w:val="0085574E"/>
    <w:rsid w:val="008557FE"/>
    <w:rsid w:val="00855AC1"/>
    <w:rsid w:val="00855CA3"/>
    <w:rsid w:val="008564DE"/>
    <w:rsid w:val="008573F7"/>
    <w:rsid w:val="00857757"/>
    <w:rsid w:val="0085798B"/>
    <w:rsid w:val="00857A41"/>
    <w:rsid w:val="00857D35"/>
    <w:rsid w:val="00860663"/>
    <w:rsid w:val="0086088D"/>
    <w:rsid w:val="008608C8"/>
    <w:rsid w:val="00862A27"/>
    <w:rsid w:val="00863A8C"/>
    <w:rsid w:val="00863BFB"/>
    <w:rsid w:val="00864A11"/>
    <w:rsid w:val="00864A7E"/>
    <w:rsid w:val="00864AF6"/>
    <w:rsid w:val="00865518"/>
    <w:rsid w:val="008659DA"/>
    <w:rsid w:val="00865CD4"/>
    <w:rsid w:val="00866A63"/>
    <w:rsid w:val="00866EC7"/>
    <w:rsid w:val="00867373"/>
    <w:rsid w:val="0086767C"/>
    <w:rsid w:val="0086772F"/>
    <w:rsid w:val="008679A1"/>
    <w:rsid w:val="00867CD0"/>
    <w:rsid w:val="00870C53"/>
    <w:rsid w:val="008714BA"/>
    <w:rsid w:val="00871549"/>
    <w:rsid w:val="0087261A"/>
    <w:rsid w:val="008733A2"/>
    <w:rsid w:val="00873CC8"/>
    <w:rsid w:val="008744D8"/>
    <w:rsid w:val="0087541E"/>
    <w:rsid w:val="00876F00"/>
    <w:rsid w:val="00877EE2"/>
    <w:rsid w:val="0088080B"/>
    <w:rsid w:val="0088207B"/>
    <w:rsid w:val="008825F2"/>
    <w:rsid w:val="0088265A"/>
    <w:rsid w:val="00882732"/>
    <w:rsid w:val="008833D9"/>
    <w:rsid w:val="00883FF8"/>
    <w:rsid w:val="00884931"/>
    <w:rsid w:val="00884BCB"/>
    <w:rsid w:val="00885A4B"/>
    <w:rsid w:val="00885CD0"/>
    <w:rsid w:val="008862DC"/>
    <w:rsid w:val="00886768"/>
    <w:rsid w:val="00890B79"/>
    <w:rsid w:val="008911B4"/>
    <w:rsid w:val="008913FB"/>
    <w:rsid w:val="008918DD"/>
    <w:rsid w:val="0089280E"/>
    <w:rsid w:val="008928DF"/>
    <w:rsid w:val="00893D2B"/>
    <w:rsid w:val="00893DC7"/>
    <w:rsid w:val="00894255"/>
    <w:rsid w:val="00894BA9"/>
    <w:rsid w:val="00894DA1"/>
    <w:rsid w:val="0089556C"/>
    <w:rsid w:val="008957DD"/>
    <w:rsid w:val="00895966"/>
    <w:rsid w:val="008963A4"/>
    <w:rsid w:val="0089644C"/>
    <w:rsid w:val="0089723D"/>
    <w:rsid w:val="008A0B41"/>
    <w:rsid w:val="008A0F09"/>
    <w:rsid w:val="008A11F3"/>
    <w:rsid w:val="008A1E46"/>
    <w:rsid w:val="008A27A3"/>
    <w:rsid w:val="008A299F"/>
    <w:rsid w:val="008A31CC"/>
    <w:rsid w:val="008A39CA"/>
    <w:rsid w:val="008A3EA6"/>
    <w:rsid w:val="008A424A"/>
    <w:rsid w:val="008A42EC"/>
    <w:rsid w:val="008A4375"/>
    <w:rsid w:val="008A496A"/>
    <w:rsid w:val="008A6917"/>
    <w:rsid w:val="008A6C40"/>
    <w:rsid w:val="008B05EC"/>
    <w:rsid w:val="008B0CE3"/>
    <w:rsid w:val="008B2114"/>
    <w:rsid w:val="008B2AF9"/>
    <w:rsid w:val="008B2B7E"/>
    <w:rsid w:val="008B2DA8"/>
    <w:rsid w:val="008B3201"/>
    <w:rsid w:val="008B3589"/>
    <w:rsid w:val="008B4CDC"/>
    <w:rsid w:val="008B4FD7"/>
    <w:rsid w:val="008B5D28"/>
    <w:rsid w:val="008B69BA"/>
    <w:rsid w:val="008B75BE"/>
    <w:rsid w:val="008B75C8"/>
    <w:rsid w:val="008B7AAA"/>
    <w:rsid w:val="008B7B40"/>
    <w:rsid w:val="008C01FD"/>
    <w:rsid w:val="008C1E35"/>
    <w:rsid w:val="008C2230"/>
    <w:rsid w:val="008C3196"/>
    <w:rsid w:val="008C345C"/>
    <w:rsid w:val="008C7137"/>
    <w:rsid w:val="008C7BFD"/>
    <w:rsid w:val="008D206C"/>
    <w:rsid w:val="008D2F64"/>
    <w:rsid w:val="008D3352"/>
    <w:rsid w:val="008D360C"/>
    <w:rsid w:val="008D548A"/>
    <w:rsid w:val="008D5F61"/>
    <w:rsid w:val="008D6662"/>
    <w:rsid w:val="008D67BE"/>
    <w:rsid w:val="008D6C37"/>
    <w:rsid w:val="008D6D4B"/>
    <w:rsid w:val="008D711F"/>
    <w:rsid w:val="008D7685"/>
    <w:rsid w:val="008D7886"/>
    <w:rsid w:val="008E0CCF"/>
    <w:rsid w:val="008E1603"/>
    <w:rsid w:val="008E1840"/>
    <w:rsid w:val="008E1FD4"/>
    <w:rsid w:val="008E232B"/>
    <w:rsid w:val="008E24E4"/>
    <w:rsid w:val="008E2D48"/>
    <w:rsid w:val="008E2E97"/>
    <w:rsid w:val="008E2EB2"/>
    <w:rsid w:val="008E4A1A"/>
    <w:rsid w:val="008E4A6B"/>
    <w:rsid w:val="008E4EF7"/>
    <w:rsid w:val="008E5285"/>
    <w:rsid w:val="008E5AE2"/>
    <w:rsid w:val="008E6400"/>
    <w:rsid w:val="008E6A74"/>
    <w:rsid w:val="008E6E0D"/>
    <w:rsid w:val="008E7174"/>
    <w:rsid w:val="008E7A21"/>
    <w:rsid w:val="008F0381"/>
    <w:rsid w:val="008F115C"/>
    <w:rsid w:val="008F16F0"/>
    <w:rsid w:val="008F1982"/>
    <w:rsid w:val="008F26BA"/>
    <w:rsid w:val="008F325B"/>
    <w:rsid w:val="008F34EC"/>
    <w:rsid w:val="008F43ED"/>
    <w:rsid w:val="008F48FA"/>
    <w:rsid w:val="008F4A2A"/>
    <w:rsid w:val="008F5299"/>
    <w:rsid w:val="008F6958"/>
    <w:rsid w:val="008F75D3"/>
    <w:rsid w:val="008F7B74"/>
    <w:rsid w:val="008F7D06"/>
    <w:rsid w:val="008F7E1E"/>
    <w:rsid w:val="00900156"/>
    <w:rsid w:val="0090160B"/>
    <w:rsid w:val="009024D4"/>
    <w:rsid w:val="009026D0"/>
    <w:rsid w:val="009032EF"/>
    <w:rsid w:val="009035B0"/>
    <w:rsid w:val="00904DBB"/>
    <w:rsid w:val="00905A30"/>
    <w:rsid w:val="00906612"/>
    <w:rsid w:val="00906643"/>
    <w:rsid w:val="00906F11"/>
    <w:rsid w:val="009078C7"/>
    <w:rsid w:val="0091190A"/>
    <w:rsid w:val="00911D44"/>
    <w:rsid w:val="00912AB5"/>
    <w:rsid w:val="0091354B"/>
    <w:rsid w:val="0091389E"/>
    <w:rsid w:val="00914A4E"/>
    <w:rsid w:val="00914A6C"/>
    <w:rsid w:val="0091523D"/>
    <w:rsid w:val="00915E9C"/>
    <w:rsid w:val="009161DA"/>
    <w:rsid w:val="00916542"/>
    <w:rsid w:val="00916BDE"/>
    <w:rsid w:val="00916D6B"/>
    <w:rsid w:val="00917600"/>
    <w:rsid w:val="0091776A"/>
    <w:rsid w:val="00917BDA"/>
    <w:rsid w:val="0092023A"/>
    <w:rsid w:val="009205F7"/>
    <w:rsid w:val="00920E16"/>
    <w:rsid w:val="00920F79"/>
    <w:rsid w:val="00921A3D"/>
    <w:rsid w:val="009220B7"/>
    <w:rsid w:val="00922D00"/>
    <w:rsid w:val="0092327D"/>
    <w:rsid w:val="00924343"/>
    <w:rsid w:val="00924AC8"/>
    <w:rsid w:val="00924EBA"/>
    <w:rsid w:val="00925DFE"/>
    <w:rsid w:val="009260F5"/>
    <w:rsid w:val="009265FB"/>
    <w:rsid w:val="009266F2"/>
    <w:rsid w:val="00926E9C"/>
    <w:rsid w:val="0092747F"/>
    <w:rsid w:val="00927E03"/>
    <w:rsid w:val="00930255"/>
    <w:rsid w:val="009303E3"/>
    <w:rsid w:val="009304C5"/>
    <w:rsid w:val="00930D65"/>
    <w:rsid w:val="009310CD"/>
    <w:rsid w:val="00931137"/>
    <w:rsid w:val="009314F9"/>
    <w:rsid w:val="009340FA"/>
    <w:rsid w:val="0093437C"/>
    <w:rsid w:val="009346C9"/>
    <w:rsid w:val="00934A2C"/>
    <w:rsid w:val="00934FFE"/>
    <w:rsid w:val="0093626D"/>
    <w:rsid w:val="00936BA6"/>
    <w:rsid w:val="00937450"/>
    <w:rsid w:val="00937501"/>
    <w:rsid w:val="0093759D"/>
    <w:rsid w:val="009402B3"/>
    <w:rsid w:val="00940B3B"/>
    <w:rsid w:val="0094272F"/>
    <w:rsid w:val="009431BF"/>
    <w:rsid w:val="00943F3F"/>
    <w:rsid w:val="009442E9"/>
    <w:rsid w:val="009447E3"/>
    <w:rsid w:val="009459E3"/>
    <w:rsid w:val="00945CCA"/>
    <w:rsid w:val="00946B3F"/>
    <w:rsid w:val="00946EAF"/>
    <w:rsid w:val="00947F25"/>
    <w:rsid w:val="00950C3D"/>
    <w:rsid w:val="00951130"/>
    <w:rsid w:val="00951A70"/>
    <w:rsid w:val="0095231E"/>
    <w:rsid w:val="00952B5D"/>
    <w:rsid w:val="009531CF"/>
    <w:rsid w:val="0095449F"/>
    <w:rsid w:val="009548D6"/>
    <w:rsid w:val="00955017"/>
    <w:rsid w:val="0095757A"/>
    <w:rsid w:val="0095758E"/>
    <w:rsid w:val="00957614"/>
    <w:rsid w:val="0096010A"/>
    <w:rsid w:val="009610CD"/>
    <w:rsid w:val="00962997"/>
    <w:rsid w:val="00962A4E"/>
    <w:rsid w:val="00962C8D"/>
    <w:rsid w:val="0096303B"/>
    <w:rsid w:val="0096322B"/>
    <w:rsid w:val="00963786"/>
    <w:rsid w:val="00964038"/>
    <w:rsid w:val="00964FE4"/>
    <w:rsid w:val="009650D6"/>
    <w:rsid w:val="00965CAD"/>
    <w:rsid w:val="00965CC5"/>
    <w:rsid w:val="00965D87"/>
    <w:rsid w:val="00965E2A"/>
    <w:rsid w:val="0097005D"/>
    <w:rsid w:val="0097068B"/>
    <w:rsid w:val="009714F8"/>
    <w:rsid w:val="00971AB4"/>
    <w:rsid w:val="00971F18"/>
    <w:rsid w:val="009721D7"/>
    <w:rsid w:val="009725D4"/>
    <w:rsid w:val="009734C6"/>
    <w:rsid w:val="009735F2"/>
    <w:rsid w:val="00973A51"/>
    <w:rsid w:val="00974500"/>
    <w:rsid w:val="00974786"/>
    <w:rsid w:val="00974A20"/>
    <w:rsid w:val="00974BD4"/>
    <w:rsid w:val="00975645"/>
    <w:rsid w:val="009758BD"/>
    <w:rsid w:val="00975DDC"/>
    <w:rsid w:val="0097604F"/>
    <w:rsid w:val="009761F7"/>
    <w:rsid w:val="00977E6F"/>
    <w:rsid w:val="00980270"/>
    <w:rsid w:val="00980540"/>
    <w:rsid w:val="00980760"/>
    <w:rsid w:val="0098088A"/>
    <w:rsid w:val="00980B01"/>
    <w:rsid w:val="00980D15"/>
    <w:rsid w:val="00980F55"/>
    <w:rsid w:val="00981862"/>
    <w:rsid w:val="00981E4E"/>
    <w:rsid w:val="00981E88"/>
    <w:rsid w:val="0098410E"/>
    <w:rsid w:val="00984D97"/>
    <w:rsid w:val="00985E65"/>
    <w:rsid w:val="00985F11"/>
    <w:rsid w:val="009863C6"/>
    <w:rsid w:val="0098641D"/>
    <w:rsid w:val="00990007"/>
    <w:rsid w:val="00990A51"/>
    <w:rsid w:val="0099103B"/>
    <w:rsid w:val="00991826"/>
    <w:rsid w:val="00991D03"/>
    <w:rsid w:val="00991F57"/>
    <w:rsid w:val="00992351"/>
    <w:rsid w:val="009927BB"/>
    <w:rsid w:val="0099282B"/>
    <w:rsid w:val="00992B33"/>
    <w:rsid w:val="00992F09"/>
    <w:rsid w:val="00992FC1"/>
    <w:rsid w:val="00993369"/>
    <w:rsid w:val="00993722"/>
    <w:rsid w:val="00995A0F"/>
    <w:rsid w:val="00995CDF"/>
    <w:rsid w:val="00995F65"/>
    <w:rsid w:val="009962CD"/>
    <w:rsid w:val="00996C30"/>
    <w:rsid w:val="009973D1"/>
    <w:rsid w:val="0099748D"/>
    <w:rsid w:val="00997732"/>
    <w:rsid w:val="00997753"/>
    <w:rsid w:val="009A01C0"/>
    <w:rsid w:val="009A0600"/>
    <w:rsid w:val="009A1B1B"/>
    <w:rsid w:val="009A2AFA"/>
    <w:rsid w:val="009A3315"/>
    <w:rsid w:val="009A35E6"/>
    <w:rsid w:val="009A3898"/>
    <w:rsid w:val="009A38E1"/>
    <w:rsid w:val="009A3D3E"/>
    <w:rsid w:val="009A411C"/>
    <w:rsid w:val="009A42C9"/>
    <w:rsid w:val="009A4D47"/>
    <w:rsid w:val="009A52B5"/>
    <w:rsid w:val="009A5749"/>
    <w:rsid w:val="009A5B60"/>
    <w:rsid w:val="009A5EDE"/>
    <w:rsid w:val="009A63FA"/>
    <w:rsid w:val="009B04D0"/>
    <w:rsid w:val="009B093D"/>
    <w:rsid w:val="009B0F91"/>
    <w:rsid w:val="009B115B"/>
    <w:rsid w:val="009B1914"/>
    <w:rsid w:val="009B1A48"/>
    <w:rsid w:val="009B1F1F"/>
    <w:rsid w:val="009B263E"/>
    <w:rsid w:val="009B340C"/>
    <w:rsid w:val="009B4AB9"/>
    <w:rsid w:val="009B4DEA"/>
    <w:rsid w:val="009B4F8F"/>
    <w:rsid w:val="009B50D4"/>
    <w:rsid w:val="009B534C"/>
    <w:rsid w:val="009B61FC"/>
    <w:rsid w:val="009B627F"/>
    <w:rsid w:val="009B6AA6"/>
    <w:rsid w:val="009B6D81"/>
    <w:rsid w:val="009B71ED"/>
    <w:rsid w:val="009B73EE"/>
    <w:rsid w:val="009C0827"/>
    <w:rsid w:val="009C14B3"/>
    <w:rsid w:val="009C1712"/>
    <w:rsid w:val="009C1EBE"/>
    <w:rsid w:val="009C2120"/>
    <w:rsid w:val="009C2A23"/>
    <w:rsid w:val="009C3014"/>
    <w:rsid w:val="009C39AF"/>
    <w:rsid w:val="009C3EEA"/>
    <w:rsid w:val="009C62A5"/>
    <w:rsid w:val="009C6F14"/>
    <w:rsid w:val="009C77AC"/>
    <w:rsid w:val="009C798D"/>
    <w:rsid w:val="009C7BB1"/>
    <w:rsid w:val="009C7DED"/>
    <w:rsid w:val="009C7EB0"/>
    <w:rsid w:val="009D098F"/>
    <w:rsid w:val="009D0AC9"/>
    <w:rsid w:val="009D1A8A"/>
    <w:rsid w:val="009D212F"/>
    <w:rsid w:val="009D2277"/>
    <w:rsid w:val="009D24CA"/>
    <w:rsid w:val="009D2803"/>
    <w:rsid w:val="009D2D0A"/>
    <w:rsid w:val="009D2E27"/>
    <w:rsid w:val="009D3893"/>
    <w:rsid w:val="009D3998"/>
    <w:rsid w:val="009D3C7F"/>
    <w:rsid w:val="009D425E"/>
    <w:rsid w:val="009D49F9"/>
    <w:rsid w:val="009D4C15"/>
    <w:rsid w:val="009D50C4"/>
    <w:rsid w:val="009D5490"/>
    <w:rsid w:val="009D6643"/>
    <w:rsid w:val="009D67D1"/>
    <w:rsid w:val="009D7062"/>
    <w:rsid w:val="009D74E1"/>
    <w:rsid w:val="009D7953"/>
    <w:rsid w:val="009D7A49"/>
    <w:rsid w:val="009E005C"/>
    <w:rsid w:val="009E1172"/>
    <w:rsid w:val="009E29C3"/>
    <w:rsid w:val="009E3070"/>
    <w:rsid w:val="009E4972"/>
    <w:rsid w:val="009E4A09"/>
    <w:rsid w:val="009E526A"/>
    <w:rsid w:val="009E5739"/>
    <w:rsid w:val="009E582A"/>
    <w:rsid w:val="009E58D4"/>
    <w:rsid w:val="009E6F30"/>
    <w:rsid w:val="009E7AF7"/>
    <w:rsid w:val="009E7D7C"/>
    <w:rsid w:val="009F0740"/>
    <w:rsid w:val="009F0A78"/>
    <w:rsid w:val="009F0D16"/>
    <w:rsid w:val="009F17ED"/>
    <w:rsid w:val="009F2199"/>
    <w:rsid w:val="009F2316"/>
    <w:rsid w:val="009F3122"/>
    <w:rsid w:val="009F3C4B"/>
    <w:rsid w:val="009F3DD8"/>
    <w:rsid w:val="009F5450"/>
    <w:rsid w:val="009F55EB"/>
    <w:rsid w:val="009F57B6"/>
    <w:rsid w:val="009F683A"/>
    <w:rsid w:val="009F6B19"/>
    <w:rsid w:val="009F6EBC"/>
    <w:rsid w:val="009F74FF"/>
    <w:rsid w:val="009F7618"/>
    <w:rsid w:val="009F7702"/>
    <w:rsid w:val="009F7F80"/>
    <w:rsid w:val="00A0063F"/>
    <w:rsid w:val="00A00F98"/>
    <w:rsid w:val="00A01EA4"/>
    <w:rsid w:val="00A028BE"/>
    <w:rsid w:val="00A03F95"/>
    <w:rsid w:val="00A04002"/>
    <w:rsid w:val="00A04C6A"/>
    <w:rsid w:val="00A04C7A"/>
    <w:rsid w:val="00A05855"/>
    <w:rsid w:val="00A059CE"/>
    <w:rsid w:val="00A06B12"/>
    <w:rsid w:val="00A10134"/>
    <w:rsid w:val="00A1078F"/>
    <w:rsid w:val="00A111D0"/>
    <w:rsid w:val="00A11D96"/>
    <w:rsid w:val="00A11EFF"/>
    <w:rsid w:val="00A1228F"/>
    <w:rsid w:val="00A13EE9"/>
    <w:rsid w:val="00A1401B"/>
    <w:rsid w:val="00A1592B"/>
    <w:rsid w:val="00A16A06"/>
    <w:rsid w:val="00A16A0B"/>
    <w:rsid w:val="00A16A5C"/>
    <w:rsid w:val="00A16C63"/>
    <w:rsid w:val="00A17683"/>
    <w:rsid w:val="00A207D2"/>
    <w:rsid w:val="00A20FD4"/>
    <w:rsid w:val="00A2135E"/>
    <w:rsid w:val="00A23246"/>
    <w:rsid w:val="00A23BE9"/>
    <w:rsid w:val="00A23F6A"/>
    <w:rsid w:val="00A242CC"/>
    <w:rsid w:val="00A24425"/>
    <w:rsid w:val="00A265B3"/>
    <w:rsid w:val="00A265C2"/>
    <w:rsid w:val="00A2693C"/>
    <w:rsid w:val="00A27A84"/>
    <w:rsid w:val="00A27BFF"/>
    <w:rsid w:val="00A27CD9"/>
    <w:rsid w:val="00A301AA"/>
    <w:rsid w:val="00A307A4"/>
    <w:rsid w:val="00A30D8C"/>
    <w:rsid w:val="00A30EF5"/>
    <w:rsid w:val="00A31BD1"/>
    <w:rsid w:val="00A31E0E"/>
    <w:rsid w:val="00A31F05"/>
    <w:rsid w:val="00A32783"/>
    <w:rsid w:val="00A328F2"/>
    <w:rsid w:val="00A33AEA"/>
    <w:rsid w:val="00A33FEB"/>
    <w:rsid w:val="00A3434D"/>
    <w:rsid w:val="00A34B55"/>
    <w:rsid w:val="00A35867"/>
    <w:rsid w:val="00A3709B"/>
    <w:rsid w:val="00A375B5"/>
    <w:rsid w:val="00A401C0"/>
    <w:rsid w:val="00A40732"/>
    <w:rsid w:val="00A40A27"/>
    <w:rsid w:val="00A40B89"/>
    <w:rsid w:val="00A40CB5"/>
    <w:rsid w:val="00A40D10"/>
    <w:rsid w:val="00A41093"/>
    <w:rsid w:val="00A41BDC"/>
    <w:rsid w:val="00A42585"/>
    <w:rsid w:val="00A42DE1"/>
    <w:rsid w:val="00A42F08"/>
    <w:rsid w:val="00A43148"/>
    <w:rsid w:val="00A43367"/>
    <w:rsid w:val="00A43375"/>
    <w:rsid w:val="00A43601"/>
    <w:rsid w:val="00A43967"/>
    <w:rsid w:val="00A4443A"/>
    <w:rsid w:val="00A44451"/>
    <w:rsid w:val="00A44947"/>
    <w:rsid w:val="00A44AB2"/>
    <w:rsid w:val="00A45B4A"/>
    <w:rsid w:val="00A47E92"/>
    <w:rsid w:val="00A47F3B"/>
    <w:rsid w:val="00A50269"/>
    <w:rsid w:val="00A50876"/>
    <w:rsid w:val="00A510FD"/>
    <w:rsid w:val="00A51753"/>
    <w:rsid w:val="00A518F6"/>
    <w:rsid w:val="00A5270F"/>
    <w:rsid w:val="00A530DB"/>
    <w:rsid w:val="00A536AD"/>
    <w:rsid w:val="00A536E9"/>
    <w:rsid w:val="00A5381D"/>
    <w:rsid w:val="00A53957"/>
    <w:rsid w:val="00A53DB0"/>
    <w:rsid w:val="00A54407"/>
    <w:rsid w:val="00A54557"/>
    <w:rsid w:val="00A5498A"/>
    <w:rsid w:val="00A54EE9"/>
    <w:rsid w:val="00A57409"/>
    <w:rsid w:val="00A57E9A"/>
    <w:rsid w:val="00A57F97"/>
    <w:rsid w:val="00A60221"/>
    <w:rsid w:val="00A602DA"/>
    <w:rsid w:val="00A6114B"/>
    <w:rsid w:val="00A62AC6"/>
    <w:rsid w:val="00A62B4E"/>
    <w:rsid w:val="00A631E2"/>
    <w:rsid w:val="00A6333C"/>
    <w:rsid w:val="00A63A3D"/>
    <w:rsid w:val="00A64609"/>
    <w:rsid w:val="00A65089"/>
    <w:rsid w:val="00A6539A"/>
    <w:rsid w:val="00A663ED"/>
    <w:rsid w:val="00A6799D"/>
    <w:rsid w:val="00A70526"/>
    <w:rsid w:val="00A70778"/>
    <w:rsid w:val="00A71C6B"/>
    <w:rsid w:val="00A72013"/>
    <w:rsid w:val="00A72673"/>
    <w:rsid w:val="00A7273A"/>
    <w:rsid w:val="00A733FB"/>
    <w:rsid w:val="00A73A1E"/>
    <w:rsid w:val="00A741D1"/>
    <w:rsid w:val="00A74899"/>
    <w:rsid w:val="00A750DA"/>
    <w:rsid w:val="00A7530E"/>
    <w:rsid w:val="00A75E59"/>
    <w:rsid w:val="00A7704F"/>
    <w:rsid w:val="00A7705D"/>
    <w:rsid w:val="00A778F9"/>
    <w:rsid w:val="00A77A95"/>
    <w:rsid w:val="00A77B93"/>
    <w:rsid w:val="00A811DD"/>
    <w:rsid w:val="00A81798"/>
    <w:rsid w:val="00A82438"/>
    <w:rsid w:val="00A82D78"/>
    <w:rsid w:val="00A82F12"/>
    <w:rsid w:val="00A830ED"/>
    <w:rsid w:val="00A850D9"/>
    <w:rsid w:val="00A85342"/>
    <w:rsid w:val="00A85406"/>
    <w:rsid w:val="00A8558E"/>
    <w:rsid w:val="00A85BA7"/>
    <w:rsid w:val="00A85EF8"/>
    <w:rsid w:val="00A8667C"/>
    <w:rsid w:val="00A878BA"/>
    <w:rsid w:val="00A90C5D"/>
    <w:rsid w:val="00A9128A"/>
    <w:rsid w:val="00A9170C"/>
    <w:rsid w:val="00A92691"/>
    <w:rsid w:val="00A92EBD"/>
    <w:rsid w:val="00A9395D"/>
    <w:rsid w:val="00A943A8"/>
    <w:rsid w:val="00A943DA"/>
    <w:rsid w:val="00A94CF6"/>
    <w:rsid w:val="00A964DC"/>
    <w:rsid w:val="00A96DC1"/>
    <w:rsid w:val="00A9784B"/>
    <w:rsid w:val="00AA039F"/>
    <w:rsid w:val="00AA06B8"/>
    <w:rsid w:val="00AA1D7B"/>
    <w:rsid w:val="00AA21D1"/>
    <w:rsid w:val="00AA2B25"/>
    <w:rsid w:val="00AA3972"/>
    <w:rsid w:val="00AA443C"/>
    <w:rsid w:val="00AA4BC3"/>
    <w:rsid w:val="00AA53FD"/>
    <w:rsid w:val="00AA57AF"/>
    <w:rsid w:val="00AA58E1"/>
    <w:rsid w:val="00AA5919"/>
    <w:rsid w:val="00AA66EF"/>
    <w:rsid w:val="00AA718C"/>
    <w:rsid w:val="00AA7B8D"/>
    <w:rsid w:val="00AA7BF9"/>
    <w:rsid w:val="00AB1530"/>
    <w:rsid w:val="00AB165C"/>
    <w:rsid w:val="00AB1D74"/>
    <w:rsid w:val="00AB2025"/>
    <w:rsid w:val="00AB252E"/>
    <w:rsid w:val="00AB2982"/>
    <w:rsid w:val="00AB2CB5"/>
    <w:rsid w:val="00AB2D49"/>
    <w:rsid w:val="00AB414A"/>
    <w:rsid w:val="00AB521C"/>
    <w:rsid w:val="00AB62EC"/>
    <w:rsid w:val="00AB7A61"/>
    <w:rsid w:val="00AC0867"/>
    <w:rsid w:val="00AC0A1F"/>
    <w:rsid w:val="00AC0E76"/>
    <w:rsid w:val="00AC13F5"/>
    <w:rsid w:val="00AC211E"/>
    <w:rsid w:val="00AC2522"/>
    <w:rsid w:val="00AC2B83"/>
    <w:rsid w:val="00AC2C2E"/>
    <w:rsid w:val="00AC360A"/>
    <w:rsid w:val="00AC3B44"/>
    <w:rsid w:val="00AC4425"/>
    <w:rsid w:val="00AC4D75"/>
    <w:rsid w:val="00AC5361"/>
    <w:rsid w:val="00AC582E"/>
    <w:rsid w:val="00AC607C"/>
    <w:rsid w:val="00AC650E"/>
    <w:rsid w:val="00AC665B"/>
    <w:rsid w:val="00AC6B88"/>
    <w:rsid w:val="00AC7BAA"/>
    <w:rsid w:val="00AC7FC7"/>
    <w:rsid w:val="00AD0190"/>
    <w:rsid w:val="00AD07EC"/>
    <w:rsid w:val="00AD08D3"/>
    <w:rsid w:val="00AD0A79"/>
    <w:rsid w:val="00AD0E71"/>
    <w:rsid w:val="00AD0FB4"/>
    <w:rsid w:val="00AD102E"/>
    <w:rsid w:val="00AD125D"/>
    <w:rsid w:val="00AD1538"/>
    <w:rsid w:val="00AD1758"/>
    <w:rsid w:val="00AD197B"/>
    <w:rsid w:val="00AD1F6B"/>
    <w:rsid w:val="00AD2B64"/>
    <w:rsid w:val="00AD39C9"/>
    <w:rsid w:val="00AD3F16"/>
    <w:rsid w:val="00AD47CC"/>
    <w:rsid w:val="00AD69E9"/>
    <w:rsid w:val="00AD756C"/>
    <w:rsid w:val="00AD782F"/>
    <w:rsid w:val="00AD7FD5"/>
    <w:rsid w:val="00AE00C5"/>
    <w:rsid w:val="00AE1F74"/>
    <w:rsid w:val="00AE20F4"/>
    <w:rsid w:val="00AE2A34"/>
    <w:rsid w:val="00AE37B2"/>
    <w:rsid w:val="00AE3904"/>
    <w:rsid w:val="00AE3CBE"/>
    <w:rsid w:val="00AE4230"/>
    <w:rsid w:val="00AE42DB"/>
    <w:rsid w:val="00AE47C6"/>
    <w:rsid w:val="00AE5D11"/>
    <w:rsid w:val="00AE6152"/>
    <w:rsid w:val="00AE6AD3"/>
    <w:rsid w:val="00AE6E91"/>
    <w:rsid w:val="00AF0F88"/>
    <w:rsid w:val="00AF1129"/>
    <w:rsid w:val="00AF1132"/>
    <w:rsid w:val="00AF1C39"/>
    <w:rsid w:val="00AF2617"/>
    <w:rsid w:val="00AF295C"/>
    <w:rsid w:val="00AF29C9"/>
    <w:rsid w:val="00AF2D2D"/>
    <w:rsid w:val="00AF30B5"/>
    <w:rsid w:val="00AF3A0D"/>
    <w:rsid w:val="00AF549E"/>
    <w:rsid w:val="00AF5994"/>
    <w:rsid w:val="00AF5BD6"/>
    <w:rsid w:val="00AF6FB5"/>
    <w:rsid w:val="00AF71AD"/>
    <w:rsid w:val="00B009E3"/>
    <w:rsid w:val="00B00BFA"/>
    <w:rsid w:val="00B01107"/>
    <w:rsid w:val="00B02593"/>
    <w:rsid w:val="00B069D1"/>
    <w:rsid w:val="00B06AA4"/>
    <w:rsid w:val="00B10875"/>
    <w:rsid w:val="00B1217F"/>
    <w:rsid w:val="00B121AD"/>
    <w:rsid w:val="00B12892"/>
    <w:rsid w:val="00B1400F"/>
    <w:rsid w:val="00B14372"/>
    <w:rsid w:val="00B1485C"/>
    <w:rsid w:val="00B148B5"/>
    <w:rsid w:val="00B15A99"/>
    <w:rsid w:val="00B15F9D"/>
    <w:rsid w:val="00B1717F"/>
    <w:rsid w:val="00B17AD4"/>
    <w:rsid w:val="00B20225"/>
    <w:rsid w:val="00B20709"/>
    <w:rsid w:val="00B20710"/>
    <w:rsid w:val="00B210E2"/>
    <w:rsid w:val="00B225DA"/>
    <w:rsid w:val="00B2280D"/>
    <w:rsid w:val="00B23026"/>
    <w:rsid w:val="00B232B2"/>
    <w:rsid w:val="00B233FD"/>
    <w:rsid w:val="00B23C99"/>
    <w:rsid w:val="00B240E9"/>
    <w:rsid w:val="00B2455D"/>
    <w:rsid w:val="00B24BB7"/>
    <w:rsid w:val="00B24E0B"/>
    <w:rsid w:val="00B25A07"/>
    <w:rsid w:val="00B25C98"/>
    <w:rsid w:val="00B25DF6"/>
    <w:rsid w:val="00B26020"/>
    <w:rsid w:val="00B26AD1"/>
    <w:rsid w:val="00B26D14"/>
    <w:rsid w:val="00B270FC"/>
    <w:rsid w:val="00B276BF"/>
    <w:rsid w:val="00B300E4"/>
    <w:rsid w:val="00B30AD1"/>
    <w:rsid w:val="00B317B7"/>
    <w:rsid w:val="00B31863"/>
    <w:rsid w:val="00B31EC0"/>
    <w:rsid w:val="00B33BF2"/>
    <w:rsid w:val="00B33FCF"/>
    <w:rsid w:val="00B34009"/>
    <w:rsid w:val="00B3428B"/>
    <w:rsid w:val="00B34BDE"/>
    <w:rsid w:val="00B3522D"/>
    <w:rsid w:val="00B3547F"/>
    <w:rsid w:val="00B35AF2"/>
    <w:rsid w:val="00B35CA4"/>
    <w:rsid w:val="00B36896"/>
    <w:rsid w:val="00B4144B"/>
    <w:rsid w:val="00B4275D"/>
    <w:rsid w:val="00B43AE6"/>
    <w:rsid w:val="00B444F8"/>
    <w:rsid w:val="00B4465B"/>
    <w:rsid w:val="00B451D9"/>
    <w:rsid w:val="00B4541D"/>
    <w:rsid w:val="00B45D71"/>
    <w:rsid w:val="00B46722"/>
    <w:rsid w:val="00B47837"/>
    <w:rsid w:val="00B478A3"/>
    <w:rsid w:val="00B47DDF"/>
    <w:rsid w:val="00B47EE4"/>
    <w:rsid w:val="00B51678"/>
    <w:rsid w:val="00B51A38"/>
    <w:rsid w:val="00B51B82"/>
    <w:rsid w:val="00B51BC2"/>
    <w:rsid w:val="00B51C06"/>
    <w:rsid w:val="00B53502"/>
    <w:rsid w:val="00B53E60"/>
    <w:rsid w:val="00B542B5"/>
    <w:rsid w:val="00B54B3A"/>
    <w:rsid w:val="00B54FAF"/>
    <w:rsid w:val="00B55DA7"/>
    <w:rsid w:val="00B55FF3"/>
    <w:rsid w:val="00B560AF"/>
    <w:rsid w:val="00B5690D"/>
    <w:rsid w:val="00B56E24"/>
    <w:rsid w:val="00B56F49"/>
    <w:rsid w:val="00B57B15"/>
    <w:rsid w:val="00B57FD2"/>
    <w:rsid w:val="00B606A3"/>
    <w:rsid w:val="00B60B8E"/>
    <w:rsid w:val="00B611DC"/>
    <w:rsid w:val="00B6198C"/>
    <w:rsid w:val="00B61CA8"/>
    <w:rsid w:val="00B62140"/>
    <w:rsid w:val="00B628DB"/>
    <w:rsid w:val="00B62F27"/>
    <w:rsid w:val="00B630A7"/>
    <w:rsid w:val="00B63C64"/>
    <w:rsid w:val="00B63F71"/>
    <w:rsid w:val="00B64688"/>
    <w:rsid w:val="00B64820"/>
    <w:rsid w:val="00B64EEF"/>
    <w:rsid w:val="00B65988"/>
    <w:rsid w:val="00B6685B"/>
    <w:rsid w:val="00B6695B"/>
    <w:rsid w:val="00B66D58"/>
    <w:rsid w:val="00B6725C"/>
    <w:rsid w:val="00B70304"/>
    <w:rsid w:val="00B70FD1"/>
    <w:rsid w:val="00B71010"/>
    <w:rsid w:val="00B72031"/>
    <w:rsid w:val="00B722DD"/>
    <w:rsid w:val="00B723BA"/>
    <w:rsid w:val="00B72699"/>
    <w:rsid w:val="00B73753"/>
    <w:rsid w:val="00B73D85"/>
    <w:rsid w:val="00B74456"/>
    <w:rsid w:val="00B75B40"/>
    <w:rsid w:val="00B76CF8"/>
    <w:rsid w:val="00B77121"/>
    <w:rsid w:val="00B77729"/>
    <w:rsid w:val="00B77AC2"/>
    <w:rsid w:val="00B77DBA"/>
    <w:rsid w:val="00B80CBF"/>
    <w:rsid w:val="00B80ED4"/>
    <w:rsid w:val="00B81DF4"/>
    <w:rsid w:val="00B8224A"/>
    <w:rsid w:val="00B8272B"/>
    <w:rsid w:val="00B836C2"/>
    <w:rsid w:val="00B84346"/>
    <w:rsid w:val="00B844B6"/>
    <w:rsid w:val="00B84661"/>
    <w:rsid w:val="00B84862"/>
    <w:rsid w:val="00B85335"/>
    <w:rsid w:val="00B85C00"/>
    <w:rsid w:val="00B85DB4"/>
    <w:rsid w:val="00B86028"/>
    <w:rsid w:val="00B8612E"/>
    <w:rsid w:val="00B86C90"/>
    <w:rsid w:val="00B87025"/>
    <w:rsid w:val="00B87F4E"/>
    <w:rsid w:val="00B90ADB"/>
    <w:rsid w:val="00B90F3F"/>
    <w:rsid w:val="00B91D82"/>
    <w:rsid w:val="00B92772"/>
    <w:rsid w:val="00B92838"/>
    <w:rsid w:val="00B928AE"/>
    <w:rsid w:val="00B92A87"/>
    <w:rsid w:val="00B933E7"/>
    <w:rsid w:val="00B94106"/>
    <w:rsid w:val="00B95506"/>
    <w:rsid w:val="00B95821"/>
    <w:rsid w:val="00B95C19"/>
    <w:rsid w:val="00B9658E"/>
    <w:rsid w:val="00B9768C"/>
    <w:rsid w:val="00B97697"/>
    <w:rsid w:val="00B9771A"/>
    <w:rsid w:val="00B97AA9"/>
    <w:rsid w:val="00B97B97"/>
    <w:rsid w:val="00B97D76"/>
    <w:rsid w:val="00BA0BD6"/>
    <w:rsid w:val="00BA0BE6"/>
    <w:rsid w:val="00BA1186"/>
    <w:rsid w:val="00BA1776"/>
    <w:rsid w:val="00BA1CC8"/>
    <w:rsid w:val="00BA2367"/>
    <w:rsid w:val="00BA33A8"/>
    <w:rsid w:val="00BA351A"/>
    <w:rsid w:val="00BA35CF"/>
    <w:rsid w:val="00BA37E8"/>
    <w:rsid w:val="00BA48CA"/>
    <w:rsid w:val="00BA4CC0"/>
    <w:rsid w:val="00BA5429"/>
    <w:rsid w:val="00BA5C84"/>
    <w:rsid w:val="00BA6118"/>
    <w:rsid w:val="00BA7183"/>
    <w:rsid w:val="00BB0174"/>
    <w:rsid w:val="00BB0B38"/>
    <w:rsid w:val="00BB0C31"/>
    <w:rsid w:val="00BB1355"/>
    <w:rsid w:val="00BB2D44"/>
    <w:rsid w:val="00BB2E02"/>
    <w:rsid w:val="00BB324C"/>
    <w:rsid w:val="00BB35FF"/>
    <w:rsid w:val="00BB3706"/>
    <w:rsid w:val="00BB3BC0"/>
    <w:rsid w:val="00BB421A"/>
    <w:rsid w:val="00BB426B"/>
    <w:rsid w:val="00BB440A"/>
    <w:rsid w:val="00BB4512"/>
    <w:rsid w:val="00BB4692"/>
    <w:rsid w:val="00BB588E"/>
    <w:rsid w:val="00BB7033"/>
    <w:rsid w:val="00BC0755"/>
    <w:rsid w:val="00BC1254"/>
    <w:rsid w:val="00BC1B37"/>
    <w:rsid w:val="00BC23C3"/>
    <w:rsid w:val="00BC2734"/>
    <w:rsid w:val="00BC2810"/>
    <w:rsid w:val="00BC40E0"/>
    <w:rsid w:val="00BC4311"/>
    <w:rsid w:val="00BC4A93"/>
    <w:rsid w:val="00BC5629"/>
    <w:rsid w:val="00BC600C"/>
    <w:rsid w:val="00BC62EF"/>
    <w:rsid w:val="00BC6618"/>
    <w:rsid w:val="00BC6FFE"/>
    <w:rsid w:val="00BC7026"/>
    <w:rsid w:val="00BC71C5"/>
    <w:rsid w:val="00BC76C5"/>
    <w:rsid w:val="00BD0734"/>
    <w:rsid w:val="00BD0911"/>
    <w:rsid w:val="00BD0C1E"/>
    <w:rsid w:val="00BD1DB8"/>
    <w:rsid w:val="00BD1E3F"/>
    <w:rsid w:val="00BD1E71"/>
    <w:rsid w:val="00BD212A"/>
    <w:rsid w:val="00BD2816"/>
    <w:rsid w:val="00BD409A"/>
    <w:rsid w:val="00BD452C"/>
    <w:rsid w:val="00BD4C0E"/>
    <w:rsid w:val="00BD4C7D"/>
    <w:rsid w:val="00BD52E2"/>
    <w:rsid w:val="00BD54DF"/>
    <w:rsid w:val="00BD778D"/>
    <w:rsid w:val="00BD797C"/>
    <w:rsid w:val="00BE00AE"/>
    <w:rsid w:val="00BE0A78"/>
    <w:rsid w:val="00BE133C"/>
    <w:rsid w:val="00BE14B2"/>
    <w:rsid w:val="00BE1777"/>
    <w:rsid w:val="00BE1BBF"/>
    <w:rsid w:val="00BE2CFD"/>
    <w:rsid w:val="00BE361E"/>
    <w:rsid w:val="00BE375B"/>
    <w:rsid w:val="00BE397F"/>
    <w:rsid w:val="00BE4210"/>
    <w:rsid w:val="00BE4F55"/>
    <w:rsid w:val="00BE5C80"/>
    <w:rsid w:val="00BE628E"/>
    <w:rsid w:val="00BE705E"/>
    <w:rsid w:val="00BE7211"/>
    <w:rsid w:val="00BF0355"/>
    <w:rsid w:val="00BF0A24"/>
    <w:rsid w:val="00BF0E0B"/>
    <w:rsid w:val="00BF0EA1"/>
    <w:rsid w:val="00BF10FD"/>
    <w:rsid w:val="00BF1275"/>
    <w:rsid w:val="00BF187C"/>
    <w:rsid w:val="00BF208C"/>
    <w:rsid w:val="00BF20BC"/>
    <w:rsid w:val="00BF2966"/>
    <w:rsid w:val="00BF30C3"/>
    <w:rsid w:val="00BF3F08"/>
    <w:rsid w:val="00BF4D60"/>
    <w:rsid w:val="00BF5787"/>
    <w:rsid w:val="00BF741E"/>
    <w:rsid w:val="00BF74DC"/>
    <w:rsid w:val="00C00756"/>
    <w:rsid w:val="00C03FBD"/>
    <w:rsid w:val="00C043BE"/>
    <w:rsid w:val="00C04F6B"/>
    <w:rsid w:val="00C05396"/>
    <w:rsid w:val="00C05D01"/>
    <w:rsid w:val="00C05D7C"/>
    <w:rsid w:val="00C05E7B"/>
    <w:rsid w:val="00C06729"/>
    <w:rsid w:val="00C06BC7"/>
    <w:rsid w:val="00C109C3"/>
    <w:rsid w:val="00C10D4F"/>
    <w:rsid w:val="00C118E4"/>
    <w:rsid w:val="00C1385C"/>
    <w:rsid w:val="00C13C37"/>
    <w:rsid w:val="00C13C82"/>
    <w:rsid w:val="00C13D66"/>
    <w:rsid w:val="00C13EA9"/>
    <w:rsid w:val="00C14517"/>
    <w:rsid w:val="00C14CD2"/>
    <w:rsid w:val="00C16490"/>
    <w:rsid w:val="00C202AE"/>
    <w:rsid w:val="00C2052C"/>
    <w:rsid w:val="00C2183B"/>
    <w:rsid w:val="00C219E2"/>
    <w:rsid w:val="00C22071"/>
    <w:rsid w:val="00C22D10"/>
    <w:rsid w:val="00C22DE3"/>
    <w:rsid w:val="00C23CFE"/>
    <w:rsid w:val="00C24133"/>
    <w:rsid w:val="00C248FD"/>
    <w:rsid w:val="00C24CC3"/>
    <w:rsid w:val="00C25B0E"/>
    <w:rsid w:val="00C25CFA"/>
    <w:rsid w:val="00C267F8"/>
    <w:rsid w:val="00C2684A"/>
    <w:rsid w:val="00C26911"/>
    <w:rsid w:val="00C30442"/>
    <w:rsid w:val="00C307CA"/>
    <w:rsid w:val="00C30D38"/>
    <w:rsid w:val="00C321CD"/>
    <w:rsid w:val="00C32430"/>
    <w:rsid w:val="00C327A2"/>
    <w:rsid w:val="00C331F8"/>
    <w:rsid w:val="00C333C2"/>
    <w:rsid w:val="00C34657"/>
    <w:rsid w:val="00C34A42"/>
    <w:rsid w:val="00C34DC5"/>
    <w:rsid w:val="00C34E64"/>
    <w:rsid w:val="00C364E7"/>
    <w:rsid w:val="00C365A5"/>
    <w:rsid w:val="00C36A7F"/>
    <w:rsid w:val="00C4072B"/>
    <w:rsid w:val="00C40A55"/>
    <w:rsid w:val="00C41B81"/>
    <w:rsid w:val="00C423C2"/>
    <w:rsid w:val="00C42C36"/>
    <w:rsid w:val="00C433FE"/>
    <w:rsid w:val="00C43574"/>
    <w:rsid w:val="00C44493"/>
    <w:rsid w:val="00C44D1D"/>
    <w:rsid w:val="00C44FB5"/>
    <w:rsid w:val="00C4547E"/>
    <w:rsid w:val="00C4549E"/>
    <w:rsid w:val="00C45C10"/>
    <w:rsid w:val="00C46D02"/>
    <w:rsid w:val="00C47A29"/>
    <w:rsid w:val="00C47AC8"/>
    <w:rsid w:val="00C47D13"/>
    <w:rsid w:val="00C506D1"/>
    <w:rsid w:val="00C5242B"/>
    <w:rsid w:val="00C52B81"/>
    <w:rsid w:val="00C52DB4"/>
    <w:rsid w:val="00C52E2C"/>
    <w:rsid w:val="00C53D99"/>
    <w:rsid w:val="00C5441E"/>
    <w:rsid w:val="00C547A5"/>
    <w:rsid w:val="00C5497F"/>
    <w:rsid w:val="00C55BB0"/>
    <w:rsid w:val="00C56598"/>
    <w:rsid w:val="00C56A36"/>
    <w:rsid w:val="00C56C25"/>
    <w:rsid w:val="00C57030"/>
    <w:rsid w:val="00C57C8F"/>
    <w:rsid w:val="00C60160"/>
    <w:rsid w:val="00C60270"/>
    <w:rsid w:val="00C60460"/>
    <w:rsid w:val="00C60FEC"/>
    <w:rsid w:val="00C61060"/>
    <w:rsid w:val="00C61237"/>
    <w:rsid w:val="00C6179F"/>
    <w:rsid w:val="00C61B33"/>
    <w:rsid w:val="00C61D7D"/>
    <w:rsid w:val="00C62720"/>
    <w:rsid w:val="00C634BC"/>
    <w:rsid w:val="00C64003"/>
    <w:rsid w:val="00C64146"/>
    <w:rsid w:val="00C6534F"/>
    <w:rsid w:val="00C656BA"/>
    <w:rsid w:val="00C665FC"/>
    <w:rsid w:val="00C66FD0"/>
    <w:rsid w:val="00C67403"/>
    <w:rsid w:val="00C67727"/>
    <w:rsid w:val="00C67A12"/>
    <w:rsid w:val="00C67B33"/>
    <w:rsid w:val="00C67D3A"/>
    <w:rsid w:val="00C7087B"/>
    <w:rsid w:val="00C7089C"/>
    <w:rsid w:val="00C71049"/>
    <w:rsid w:val="00C71409"/>
    <w:rsid w:val="00C71561"/>
    <w:rsid w:val="00C715F8"/>
    <w:rsid w:val="00C71C4F"/>
    <w:rsid w:val="00C739C5"/>
    <w:rsid w:val="00C741E4"/>
    <w:rsid w:val="00C75527"/>
    <w:rsid w:val="00C75547"/>
    <w:rsid w:val="00C755F4"/>
    <w:rsid w:val="00C7586F"/>
    <w:rsid w:val="00C75FD7"/>
    <w:rsid w:val="00C7696F"/>
    <w:rsid w:val="00C7707F"/>
    <w:rsid w:val="00C77B8D"/>
    <w:rsid w:val="00C77D6D"/>
    <w:rsid w:val="00C80323"/>
    <w:rsid w:val="00C8040E"/>
    <w:rsid w:val="00C80554"/>
    <w:rsid w:val="00C81185"/>
    <w:rsid w:val="00C816D2"/>
    <w:rsid w:val="00C83208"/>
    <w:rsid w:val="00C83403"/>
    <w:rsid w:val="00C8409B"/>
    <w:rsid w:val="00C84234"/>
    <w:rsid w:val="00C843BA"/>
    <w:rsid w:val="00C84494"/>
    <w:rsid w:val="00C8504F"/>
    <w:rsid w:val="00C86334"/>
    <w:rsid w:val="00C86571"/>
    <w:rsid w:val="00C86671"/>
    <w:rsid w:val="00C871D1"/>
    <w:rsid w:val="00C87DAA"/>
    <w:rsid w:val="00C90166"/>
    <w:rsid w:val="00C92367"/>
    <w:rsid w:val="00C93D08"/>
    <w:rsid w:val="00C958E2"/>
    <w:rsid w:val="00C961E1"/>
    <w:rsid w:val="00C96379"/>
    <w:rsid w:val="00C965B6"/>
    <w:rsid w:val="00C96D33"/>
    <w:rsid w:val="00C97325"/>
    <w:rsid w:val="00C97364"/>
    <w:rsid w:val="00C97EF2"/>
    <w:rsid w:val="00C97FFE"/>
    <w:rsid w:val="00CA0AEC"/>
    <w:rsid w:val="00CA1A2D"/>
    <w:rsid w:val="00CA2367"/>
    <w:rsid w:val="00CA26F2"/>
    <w:rsid w:val="00CA27CD"/>
    <w:rsid w:val="00CA3392"/>
    <w:rsid w:val="00CA38F3"/>
    <w:rsid w:val="00CA3F70"/>
    <w:rsid w:val="00CA4F57"/>
    <w:rsid w:val="00CA5263"/>
    <w:rsid w:val="00CA527A"/>
    <w:rsid w:val="00CA6063"/>
    <w:rsid w:val="00CA64D1"/>
    <w:rsid w:val="00CA6B02"/>
    <w:rsid w:val="00CA6BF2"/>
    <w:rsid w:val="00CA6F85"/>
    <w:rsid w:val="00CA79D2"/>
    <w:rsid w:val="00CB08BB"/>
    <w:rsid w:val="00CB2876"/>
    <w:rsid w:val="00CB2EA6"/>
    <w:rsid w:val="00CB3A39"/>
    <w:rsid w:val="00CB456D"/>
    <w:rsid w:val="00CB4954"/>
    <w:rsid w:val="00CB4C95"/>
    <w:rsid w:val="00CB552B"/>
    <w:rsid w:val="00CB5658"/>
    <w:rsid w:val="00CB5D63"/>
    <w:rsid w:val="00CB60DE"/>
    <w:rsid w:val="00CB6165"/>
    <w:rsid w:val="00CB68A4"/>
    <w:rsid w:val="00CB70E8"/>
    <w:rsid w:val="00CC04D0"/>
    <w:rsid w:val="00CC0A94"/>
    <w:rsid w:val="00CC1338"/>
    <w:rsid w:val="00CC16D5"/>
    <w:rsid w:val="00CC175C"/>
    <w:rsid w:val="00CC1B70"/>
    <w:rsid w:val="00CC204D"/>
    <w:rsid w:val="00CC2349"/>
    <w:rsid w:val="00CC38E4"/>
    <w:rsid w:val="00CC397E"/>
    <w:rsid w:val="00CC3F12"/>
    <w:rsid w:val="00CC56DF"/>
    <w:rsid w:val="00CC6168"/>
    <w:rsid w:val="00CC634E"/>
    <w:rsid w:val="00CC757E"/>
    <w:rsid w:val="00CD0375"/>
    <w:rsid w:val="00CD1561"/>
    <w:rsid w:val="00CD1F68"/>
    <w:rsid w:val="00CD35E3"/>
    <w:rsid w:val="00CD36E0"/>
    <w:rsid w:val="00CD388E"/>
    <w:rsid w:val="00CD4006"/>
    <w:rsid w:val="00CD43F5"/>
    <w:rsid w:val="00CD4692"/>
    <w:rsid w:val="00CD60C3"/>
    <w:rsid w:val="00CD64F7"/>
    <w:rsid w:val="00CD6D22"/>
    <w:rsid w:val="00CE21D6"/>
    <w:rsid w:val="00CE25CC"/>
    <w:rsid w:val="00CE2682"/>
    <w:rsid w:val="00CE2A9D"/>
    <w:rsid w:val="00CE345A"/>
    <w:rsid w:val="00CE3597"/>
    <w:rsid w:val="00CE3AE2"/>
    <w:rsid w:val="00CE427B"/>
    <w:rsid w:val="00CE5E86"/>
    <w:rsid w:val="00CE6326"/>
    <w:rsid w:val="00CE6E50"/>
    <w:rsid w:val="00CE7B60"/>
    <w:rsid w:val="00CE7C51"/>
    <w:rsid w:val="00CE7E13"/>
    <w:rsid w:val="00CF11F3"/>
    <w:rsid w:val="00CF1953"/>
    <w:rsid w:val="00CF1974"/>
    <w:rsid w:val="00CF3674"/>
    <w:rsid w:val="00CF41AB"/>
    <w:rsid w:val="00CF4BA2"/>
    <w:rsid w:val="00CF55F4"/>
    <w:rsid w:val="00CF5728"/>
    <w:rsid w:val="00CF66BF"/>
    <w:rsid w:val="00CF6A24"/>
    <w:rsid w:val="00CF73F8"/>
    <w:rsid w:val="00CF7972"/>
    <w:rsid w:val="00CF7CC0"/>
    <w:rsid w:val="00D01A4F"/>
    <w:rsid w:val="00D01DC3"/>
    <w:rsid w:val="00D01E04"/>
    <w:rsid w:val="00D023E0"/>
    <w:rsid w:val="00D02A11"/>
    <w:rsid w:val="00D02DE5"/>
    <w:rsid w:val="00D0306C"/>
    <w:rsid w:val="00D034C1"/>
    <w:rsid w:val="00D03AC3"/>
    <w:rsid w:val="00D03C35"/>
    <w:rsid w:val="00D06243"/>
    <w:rsid w:val="00D06944"/>
    <w:rsid w:val="00D06EC0"/>
    <w:rsid w:val="00D0719A"/>
    <w:rsid w:val="00D07D5C"/>
    <w:rsid w:val="00D103EB"/>
    <w:rsid w:val="00D10900"/>
    <w:rsid w:val="00D111BB"/>
    <w:rsid w:val="00D111C0"/>
    <w:rsid w:val="00D112AE"/>
    <w:rsid w:val="00D12499"/>
    <w:rsid w:val="00D12CFD"/>
    <w:rsid w:val="00D12D8F"/>
    <w:rsid w:val="00D136CA"/>
    <w:rsid w:val="00D137A8"/>
    <w:rsid w:val="00D15BCB"/>
    <w:rsid w:val="00D160DF"/>
    <w:rsid w:val="00D16C35"/>
    <w:rsid w:val="00D1740A"/>
    <w:rsid w:val="00D176E3"/>
    <w:rsid w:val="00D177BE"/>
    <w:rsid w:val="00D177C4"/>
    <w:rsid w:val="00D17C4C"/>
    <w:rsid w:val="00D17DD0"/>
    <w:rsid w:val="00D20220"/>
    <w:rsid w:val="00D21557"/>
    <w:rsid w:val="00D21924"/>
    <w:rsid w:val="00D223AC"/>
    <w:rsid w:val="00D22835"/>
    <w:rsid w:val="00D24086"/>
    <w:rsid w:val="00D252B9"/>
    <w:rsid w:val="00D260EC"/>
    <w:rsid w:val="00D27007"/>
    <w:rsid w:val="00D2748C"/>
    <w:rsid w:val="00D27736"/>
    <w:rsid w:val="00D27C2F"/>
    <w:rsid w:val="00D27E29"/>
    <w:rsid w:val="00D303D6"/>
    <w:rsid w:val="00D30840"/>
    <w:rsid w:val="00D31FC8"/>
    <w:rsid w:val="00D32102"/>
    <w:rsid w:val="00D3247D"/>
    <w:rsid w:val="00D32E6F"/>
    <w:rsid w:val="00D343FF"/>
    <w:rsid w:val="00D347D8"/>
    <w:rsid w:val="00D34801"/>
    <w:rsid w:val="00D35E7D"/>
    <w:rsid w:val="00D360F1"/>
    <w:rsid w:val="00D36950"/>
    <w:rsid w:val="00D36DC2"/>
    <w:rsid w:val="00D36FF0"/>
    <w:rsid w:val="00D37A2E"/>
    <w:rsid w:val="00D37DA6"/>
    <w:rsid w:val="00D41C6D"/>
    <w:rsid w:val="00D4274F"/>
    <w:rsid w:val="00D4283A"/>
    <w:rsid w:val="00D429A8"/>
    <w:rsid w:val="00D42F9A"/>
    <w:rsid w:val="00D45032"/>
    <w:rsid w:val="00D45196"/>
    <w:rsid w:val="00D45509"/>
    <w:rsid w:val="00D462D9"/>
    <w:rsid w:val="00D46B2A"/>
    <w:rsid w:val="00D470BA"/>
    <w:rsid w:val="00D472FE"/>
    <w:rsid w:val="00D47D47"/>
    <w:rsid w:val="00D47E70"/>
    <w:rsid w:val="00D517FA"/>
    <w:rsid w:val="00D519A3"/>
    <w:rsid w:val="00D53CA8"/>
    <w:rsid w:val="00D54292"/>
    <w:rsid w:val="00D54BA1"/>
    <w:rsid w:val="00D550D1"/>
    <w:rsid w:val="00D55400"/>
    <w:rsid w:val="00D55C54"/>
    <w:rsid w:val="00D55F6B"/>
    <w:rsid w:val="00D56A40"/>
    <w:rsid w:val="00D56D17"/>
    <w:rsid w:val="00D5711D"/>
    <w:rsid w:val="00D572A8"/>
    <w:rsid w:val="00D572EE"/>
    <w:rsid w:val="00D5767A"/>
    <w:rsid w:val="00D579A9"/>
    <w:rsid w:val="00D6044F"/>
    <w:rsid w:val="00D60779"/>
    <w:rsid w:val="00D61A91"/>
    <w:rsid w:val="00D61F22"/>
    <w:rsid w:val="00D62825"/>
    <w:rsid w:val="00D62FFC"/>
    <w:rsid w:val="00D6311B"/>
    <w:rsid w:val="00D646E4"/>
    <w:rsid w:val="00D64A28"/>
    <w:rsid w:val="00D64B27"/>
    <w:rsid w:val="00D65B16"/>
    <w:rsid w:val="00D65E13"/>
    <w:rsid w:val="00D65EEC"/>
    <w:rsid w:val="00D665B8"/>
    <w:rsid w:val="00D67813"/>
    <w:rsid w:val="00D67C38"/>
    <w:rsid w:val="00D7070D"/>
    <w:rsid w:val="00D70821"/>
    <w:rsid w:val="00D72043"/>
    <w:rsid w:val="00D72285"/>
    <w:rsid w:val="00D72404"/>
    <w:rsid w:val="00D725F9"/>
    <w:rsid w:val="00D72979"/>
    <w:rsid w:val="00D7302E"/>
    <w:rsid w:val="00D73B83"/>
    <w:rsid w:val="00D73C60"/>
    <w:rsid w:val="00D73E5A"/>
    <w:rsid w:val="00D74699"/>
    <w:rsid w:val="00D74A1C"/>
    <w:rsid w:val="00D74E1A"/>
    <w:rsid w:val="00D75BB2"/>
    <w:rsid w:val="00D75EF8"/>
    <w:rsid w:val="00D75FBD"/>
    <w:rsid w:val="00D7656F"/>
    <w:rsid w:val="00D767ED"/>
    <w:rsid w:val="00D771F4"/>
    <w:rsid w:val="00D77249"/>
    <w:rsid w:val="00D77713"/>
    <w:rsid w:val="00D77EA8"/>
    <w:rsid w:val="00D80D2C"/>
    <w:rsid w:val="00D80EEB"/>
    <w:rsid w:val="00D81515"/>
    <w:rsid w:val="00D81741"/>
    <w:rsid w:val="00D81F79"/>
    <w:rsid w:val="00D828C3"/>
    <w:rsid w:val="00D82D5A"/>
    <w:rsid w:val="00D83072"/>
    <w:rsid w:val="00D835F5"/>
    <w:rsid w:val="00D838A2"/>
    <w:rsid w:val="00D84DAE"/>
    <w:rsid w:val="00D84EB9"/>
    <w:rsid w:val="00D8543D"/>
    <w:rsid w:val="00D86681"/>
    <w:rsid w:val="00D87B68"/>
    <w:rsid w:val="00D87DDF"/>
    <w:rsid w:val="00D92445"/>
    <w:rsid w:val="00D9252F"/>
    <w:rsid w:val="00D92954"/>
    <w:rsid w:val="00D92BB4"/>
    <w:rsid w:val="00D9302D"/>
    <w:rsid w:val="00D93839"/>
    <w:rsid w:val="00D939BD"/>
    <w:rsid w:val="00D93B44"/>
    <w:rsid w:val="00D93BA9"/>
    <w:rsid w:val="00D93E71"/>
    <w:rsid w:val="00D94AA3"/>
    <w:rsid w:val="00D96798"/>
    <w:rsid w:val="00D97D3C"/>
    <w:rsid w:val="00D97FEA"/>
    <w:rsid w:val="00DA0511"/>
    <w:rsid w:val="00DA17A6"/>
    <w:rsid w:val="00DA1A67"/>
    <w:rsid w:val="00DA2C2B"/>
    <w:rsid w:val="00DA2E04"/>
    <w:rsid w:val="00DA338E"/>
    <w:rsid w:val="00DA42E0"/>
    <w:rsid w:val="00DA523B"/>
    <w:rsid w:val="00DA60C5"/>
    <w:rsid w:val="00DA634E"/>
    <w:rsid w:val="00DA6C27"/>
    <w:rsid w:val="00DA7056"/>
    <w:rsid w:val="00DA771A"/>
    <w:rsid w:val="00DA77AB"/>
    <w:rsid w:val="00DB0533"/>
    <w:rsid w:val="00DB07B4"/>
    <w:rsid w:val="00DB0ECF"/>
    <w:rsid w:val="00DB1DE2"/>
    <w:rsid w:val="00DB2C24"/>
    <w:rsid w:val="00DB39AC"/>
    <w:rsid w:val="00DB3C68"/>
    <w:rsid w:val="00DB4CDD"/>
    <w:rsid w:val="00DB4FD7"/>
    <w:rsid w:val="00DB5260"/>
    <w:rsid w:val="00DB5F43"/>
    <w:rsid w:val="00DB6B6C"/>
    <w:rsid w:val="00DB6C3C"/>
    <w:rsid w:val="00DB6C95"/>
    <w:rsid w:val="00DB703C"/>
    <w:rsid w:val="00DB733C"/>
    <w:rsid w:val="00DC098D"/>
    <w:rsid w:val="00DC0D0E"/>
    <w:rsid w:val="00DC1A03"/>
    <w:rsid w:val="00DC212A"/>
    <w:rsid w:val="00DC2281"/>
    <w:rsid w:val="00DC23A9"/>
    <w:rsid w:val="00DC2DA8"/>
    <w:rsid w:val="00DC3DC6"/>
    <w:rsid w:val="00DC40B0"/>
    <w:rsid w:val="00DC4205"/>
    <w:rsid w:val="00DC59A7"/>
    <w:rsid w:val="00DC6124"/>
    <w:rsid w:val="00DC66AE"/>
    <w:rsid w:val="00DC676D"/>
    <w:rsid w:val="00DC703F"/>
    <w:rsid w:val="00DC76A0"/>
    <w:rsid w:val="00DC7783"/>
    <w:rsid w:val="00DD08AA"/>
    <w:rsid w:val="00DD0E21"/>
    <w:rsid w:val="00DD1799"/>
    <w:rsid w:val="00DD18B0"/>
    <w:rsid w:val="00DD2A69"/>
    <w:rsid w:val="00DD2F81"/>
    <w:rsid w:val="00DD32A5"/>
    <w:rsid w:val="00DD39F5"/>
    <w:rsid w:val="00DD3A10"/>
    <w:rsid w:val="00DD45DC"/>
    <w:rsid w:val="00DD4C8A"/>
    <w:rsid w:val="00DD4DA2"/>
    <w:rsid w:val="00DD5E55"/>
    <w:rsid w:val="00DD5E8C"/>
    <w:rsid w:val="00DD5F69"/>
    <w:rsid w:val="00DD7ADC"/>
    <w:rsid w:val="00DD7FB2"/>
    <w:rsid w:val="00DE022A"/>
    <w:rsid w:val="00DE04E7"/>
    <w:rsid w:val="00DE143E"/>
    <w:rsid w:val="00DE3CAC"/>
    <w:rsid w:val="00DE4018"/>
    <w:rsid w:val="00DE43BF"/>
    <w:rsid w:val="00DE47BA"/>
    <w:rsid w:val="00DE4FC4"/>
    <w:rsid w:val="00DE5185"/>
    <w:rsid w:val="00DE5A5D"/>
    <w:rsid w:val="00DE5E0E"/>
    <w:rsid w:val="00DE64E6"/>
    <w:rsid w:val="00DE6571"/>
    <w:rsid w:val="00DE6D88"/>
    <w:rsid w:val="00DE6FDA"/>
    <w:rsid w:val="00DE73D5"/>
    <w:rsid w:val="00DE7D45"/>
    <w:rsid w:val="00DE7F10"/>
    <w:rsid w:val="00DF0ABF"/>
    <w:rsid w:val="00DF0D27"/>
    <w:rsid w:val="00DF13D9"/>
    <w:rsid w:val="00DF13EC"/>
    <w:rsid w:val="00DF1A2C"/>
    <w:rsid w:val="00DF1B23"/>
    <w:rsid w:val="00DF1DEA"/>
    <w:rsid w:val="00DF2B5C"/>
    <w:rsid w:val="00DF3136"/>
    <w:rsid w:val="00DF665C"/>
    <w:rsid w:val="00E013F4"/>
    <w:rsid w:val="00E01D24"/>
    <w:rsid w:val="00E02070"/>
    <w:rsid w:val="00E0219C"/>
    <w:rsid w:val="00E025D4"/>
    <w:rsid w:val="00E028EC"/>
    <w:rsid w:val="00E02BCE"/>
    <w:rsid w:val="00E03962"/>
    <w:rsid w:val="00E04F7B"/>
    <w:rsid w:val="00E05326"/>
    <w:rsid w:val="00E061D2"/>
    <w:rsid w:val="00E064CC"/>
    <w:rsid w:val="00E06BE9"/>
    <w:rsid w:val="00E06FBC"/>
    <w:rsid w:val="00E07341"/>
    <w:rsid w:val="00E07BEC"/>
    <w:rsid w:val="00E07D1D"/>
    <w:rsid w:val="00E10058"/>
    <w:rsid w:val="00E101EF"/>
    <w:rsid w:val="00E110EA"/>
    <w:rsid w:val="00E112CB"/>
    <w:rsid w:val="00E11D66"/>
    <w:rsid w:val="00E129B9"/>
    <w:rsid w:val="00E1307E"/>
    <w:rsid w:val="00E1396C"/>
    <w:rsid w:val="00E15E9E"/>
    <w:rsid w:val="00E1705E"/>
    <w:rsid w:val="00E17639"/>
    <w:rsid w:val="00E20D03"/>
    <w:rsid w:val="00E2232F"/>
    <w:rsid w:val="00E22A45"/>
    <w:rsid w:val="00E22B31"/>
    <w:rsid w:val="00E23151"/>
    <w:rsid w:val="00E23C21"/>
    <w:rsid w:val="00E243BC"/>
    <w:rsid w:val="00E24C45"/>
    <w:rsid w:val="00E24C47"/>
    <w:rsid w:val="00E2537B"/>
    <w:rsid w:val="00E25A39"/>
    <w:rsid w:val="00E25C5A"/>
    <w:rsid w:val="00E264D3"/>
    <w:rsid w:val="00E26895"/>
    <w:rsid w:val="00E27607"/>
    <w:rsid w:val="00E27627"/>
    <w:rsid w:val="00E27A14"/>
    <w:rsid w:val="00E27B0F"/>
    <w:rsid w:val="00E30E21"/>
    <w:rsid w:val="00E31544"/>
    <w:rsid w:val="00E318A3"/>
    <w:rsid w:val="00E31987"/>
    <w:rsid w:val="00E32195"/>
    <w:rsid w:val="00E32243"/>
    <w:rsid w:val="00E3254C"/>
    <w:rsid w:val="00E32F4C"/>
    <w:rsid w:val="00E33161"/>
    <w:rsid w:val="00E33D01"/>
    <w:rsid w:val="00E33F7F"/>
    <w:rsid w:val="00E3441E"/>
    <w:rsid w:val="00E34452"/>
    <w:rsid w:val="00E34530"/>
    <w:rsid w:val="00E34924"/>
    <w:rsid w:val="00E36350"/>
    <w:rsid w:val="00E3686B"/>
    <w:rsid w:val="00E36E49"/>
    <w:rsid w:val="00E379F8"/>
    <w:rsid w:val="00E400DA"/>
    <w:rsid w:val="00E41107"/>
    <w:rsid w:val="00E4153F"/>
    <w:rsid w:val="00E415D3"/>
    <w:rsid w:val="00E41BE3"/>
    <w:rsid w:val="00E42601"/>
    <w:rsid w:val="00E43E28"/>
    <w:rsid w:val="00E443EF"/>
    <w:rsid w:val="00E449EA"/>
    <w:rsid w:val="00E44E29"/>
    <w:rsid w:val="00E452BF"/>
    <w:rsid w:val="00E459C1"/>
    <w:rsid w:val="00E459FC"/>
    <w:rsid w:val="00E46588"/>
    <w:rsid w:val="00E47382"/>
    <w:rsid w:val="00E47EEA"/>
    <w:rsid w:val="00E5157E"/>
    <w:rsid w:val="00E515B4"/>
    <w:rsid w:val="00E517A3"/>
    <w:rsid w:val="00E51CD8"/>
    <w:rsid w:val="00E532C8"/>
    <w:rsid w:val="00E54471"/>
    <w:rsid w:val="00E54846"/>
    <w:rsid w:val="00E54CE8"/>
    <w:rsid w:val="00E54FD3"/>
    <w:rsid w:val="00E56E8A"/>
    <w:rsid w:val="00E56EB5"/>
    <w:rsid w:val="00E57746"/>
    <w:rsid w:val="00E57A59"/>
    <w:rsid w:val="00E6033C"/>
    <w:rsid w:val="00E603E4"/>
    <w:rsid w:val="00E6123C"/>
    <w:rsid w:val="00E61283"/>
    <w:rsid w:val="00E62138"/>
    <w:rsid w:val="00E624CB"/>
    <w:rsid w:val="00E63690"/>
    <w:rsid w:val="00E636C1"/>
    <w:rsid w:val="00E63EBB"/>
    <w:rsid w:val="00E642DC"/>
    <w:rsid w:val="00E64755"/>
    <w:rsid w:val="00E650EC"/>
    <w:rsid w:val="00E6566D"/>
    <w:rsid w:val="00E65CFB"/>
    <w:rsid w:val="00E6619F"/>
    <w:rsid w:val="00E66345"/>
    <w:rsid w:val="00E66D84"/>
    <w:rsid w:val="00E67579"/>
    <w:rsid w:val="00E678E2"/>
    <w:rsid w:val="00E70EF5"/>
    <w:rsid w:val="00E70F7B"/>
    <w:rsid w:val="00E724FC"/>
    <w:rsid w:val="00E72CFE"/>
    <w:rsid w:val="00E732CE"/>
    <w:rsid w:val="00E742D8"/>
    <w:rsid w:val="00E75119"/>
    <w:rsid w:val="00E761B0"/>
    <w:rsid w:val="00E76207"/>
    <w:rsid w:val="00E77AFF"/>
    <w:rsid w:val="00E800AD"/>
    <w:rsid w:val="00E80AF3"/>
    <w:rsid w:val="00E82093"/>
    <w:rsid w:val="00E822D8"/>
    <w:rsid w:val="00E82EC0"/>
    <w:rsid w:val="00E8381B"/>
    <w:rsid w:val="00E83D87"/>
    <w:rsid w:val="00E84A81"/>
    <w:rsid w:val="00E84FD8"/>
    <w:rsid w:val="00E8500B"/>
    <w:rsid w:val="00E8521B"/>
    <w:rsid w:val="00E85367"/>
    <w:rsid w:val="00E85F79"/>
    <w:rsid w:val="00E870E8"/>
    <w:rsid w:val="00E87939"/>
    <w:rsid w:val="00E91603"/>
    <w:rsid w:val="00E919A3"/>
    <w:rsid w:val="00E919E8"/>
    <w:rsid w:val="00E91B32"/>
    <w:rsid w:val="00E92079"/>
    <w:rsid w:val="00E92445"/>
    <w:rsid w:val="00E929BC"/>
    <w:rsid w:val="00E94AD8"/>
    <w:rsid w:val="00E94FCD"/>
    <w:rsid w:val="00E95072"/>
    <w:rsid w:val="00E95516"/>
    <w:rsid w:val="00E96456"/>
    <w:rsid w:val="00E968F0"/>
    <w:rsid w:val="00E96D2C"/>
    <w:rsid w:val="00E9730E"/>
    <w:rsid w:val="00E97470"/>
    <w:rsid w:val="00E97A5E"/>
    <w:rsid w:val="00EA1316"/>
    <w:rsid w:val="00EA1598"/>
    <w:rsid w:val="00EA1E4B"/>
    <w:rsid w:val="00EA32BE"/>
    <w:rsid w:val="00EA39BF"/>
    <w:rsid w:val="00EA43DD"/>
    <w:rsid w:val="00EA49E3"/>
    <w:rsid w:val="00EA4A9E"/>
    <w:rsid w:val="00EA4EC0"/>
    <w:rsid w:val="00EA5676"/>
    <w:rsid w:val="00EA5935"/>
    <w:rsid w:val="00EA5D75"/>
    <w:rsid w:val="00EA61F7"/>
    <w:rsid w:val="00EA6867"/>
    <w:rsid w:val="00EA7780"/>
    <w:rsid w:val="00EA7FEA"/>
    <w:rsid w:val="00EB0773"/>
    <w:rsid w:val="00EB0A1B"/>
    <w:rsid w:val="00EB1504"/>
    <w:rsid w:val="00EB2086"/>
    <w:rsid w:val="00EB28E0"/>
    <w:rsid w:val="00EB32CB"/>
    <w:rsid w:val="00EB3989"/>
    <w:rsid w:val="00EB439B"/>
    <w:rsid w:val="00EB45BE"/>
    <w:rsid w:val="00EB47EE"/>
    <w:rsid w:val="00EB4D33"/>
    <w:rsid w:val="00EB556D"/>
    <w:rsid w:val="00EB5BAE"/>
    <w:rsid w:val="00EB5C4A"/>
    <w:rsid w:val="00EB5DC8"/>
    <w:rsid w:val="00EB6A33"/>
    <w:rsid w:val="00EB6D93"/>
    <w:rsid w:val="00EC0684"/>
    <w:rsid w:val="00EC09AF"/>
    <w:rsid w:val="00EC0F96"/>
    <w:rsid w:val="00EC109C"/>
    <w:rsid w:val="00EC2474"/>
    <w:rsid w:val="00EC29E9"/>
    <w:rsid w:val="00EC3394"/>
    <w:rsid w:val="00EC4B22"/>
    <w:rsid w:val="00EC55C6"/>
    <w:rsid w:val="00EC7E28"/>
    <w:rsid w:val="00EC7E45"/>
    <w:rsid w:val="00ED0021"/>
    <w:rsid w:val="00ED00D5"/>
    <w:rsid w:val="00ED0879"/>
    <w:rsid w:val="00ED1861"/>
    <w:rsid w:val="00ED1995"/>
    <w:rsid w:val="00ED1B28"/>
    <w:rsid w:val="00ED1CB0"/>
    <w:rsid w:val="00ED2105"/>
    <w:rsid w:val="00ED2786"/>
    <w:rsid w:val="00ED2911"/>
    <w:rsid w:val="00ED2D1F"/>
    <w:rsid w:val="00ED30BD"/>
    <w:rsid w:val="00ED4592"/>
    <w:rsid w:val="00ED4662"/>
    <w:rsid w:val="00ED46F0"/>
    <w:rsid w:val="00ED478C"/>
    <w:rsid w:val="00ED4C7F"/>
    <w:rsid w:val="00ED5F70"/>
    <w:rsid w:val="00ED63EB"/>
    <w:rsid w:val="00ED6DFD"/>
    <w:rsid w:val="00ED7185"/>
    <w:rsid w:val="00EE1087"/>
    <w:rsid w:val="00EE23DF"/>
    <w:rsid w:val="00EE2A7B"/>
    <w:rsid w:val="00EE2BA8"/>
    <w:rsid w:val="00EE2EEF"/>
    <w:rsid w:val="00EE408E"/>
    <w:rsid w:val="00EE497C"/>
    <w:rsid w:val="00EE4AE8"/>
    <w:rsid w:val="00EE4B66"/>
    <w:rsid w:val="00EE4C87"/>
    <w:rsid w:val="00EE4F52"/>
    <w:rsid w:val="00EE5442"/>
    <w:rsid w:val="00EE5517"/>
    <w:rsid w:val="00EE5860"/>
    <w:rsid w:val="00EE5DFB"/>
    <w:rsid w:val="00EE6100"/>
    <w:rsid w:val="00EE7748"/>
    <w:rsid w:val="00EE7BC2"/>
    <w:rsid w:val="00EE7C51"/>
    <w:rsid w:val="00EF279A"/>
    <w:rsid w:val="00EF3CCF"/>
    <w:rsid w:val="00EF3CD8"/>
    <w:rsid w:val="00EF4137"/>
    <w:rsid w:val="00EF431D"/>
    <w:rsid w:val="00EF4AEA"/>
    <w:rsid w:val="00EF5A3F"/>
    <w:rsid w:val="00EF5ADD"/>
    <w:rsid w:val="00EF6691"/>
    <w:rsid w:val="00EF6789"/>
    <w:rsid w:val="00EF6A16"/>
    <w:rsid w:val="00EF6E3D"/>
    <w:rsid w:val="00EF7101"/>
    <w:rsid w:val="00EF759A"/>
    <w:rsid w:val="00F00504"/>
    <w:rsid w:val="00F00F38"/>
    <w:rsid w:val="00F0166A"/>
    <w:rsid w:val="00F01DFE"/>
    <w:rsid w:val="00F03DD3"/>
    <w:rsid w:val="00F0425C"/>
    <w:rsid w:val="00F042F3"/>
    <w:rsid w:val="00F06014"/>
    <w:rsid w:val="00F06213"/>
    <w:rsid w:val="00F074B6"/>
    <w:rsid w:val="00F10CF5"/>
    <w:rsid w:val="00F1111C"/>
    <w:rsid w:val="00F11346"/>
    <w:rsid w:val="00F11CCA"/>
    <w:rsid w:val="00F11ECE"/>
    <w:rsid w:val="00F122C4"/>
    <w:rsid w:val="00F129D0"/>
    <w:rsid w:val="00F12CC0"/>
    <w:rsid w:val="00F13484"/>
    <w:rsid w:val="00F13C63"/>
    <w:rsid w:val="00F149D8"/>
    <w:rsid w:val="00F14C8E"/>
    <w:rsid w:val="00F14F35"/>
    <w:rsid w:val="00F156F1"/>
    <w:rsid w:val="00F15F7D"/>
    <w:rsid w:val="00F174E2"/>
    <w:rsid w:val="00F17F40"/>
    <w:rsid w:val="00F20455"/>
    <w:rsid w:val="00F20CE4"/>
    <w:rsid w:val="00F20D3D"/>
    <w:rsid w:val="00F21144"/>
    <w:rsid w:val="00F2303F"/>
    <w:rsid w:val="00F2321F"/>
    <w:rsid w:val="00F23768"/>
    <w:rsid w:val="00F23918"/>
    <w:rsid w:val="00F241AC"/>
    <w:rsid w:val="00F24731"/>
    <w:rsid w:val="00F24FF5"/>
    <w:rsid w:val="00F25337"/>
    <w:rsid w:val="00F25684"/>
    <w:rsid w:val="00F25A5D"/>
    <w:rsid w:val="00F261DF"/>
    <w:rsid w:val="00F268C8"/>
    <w:rsid w:val="00F269DC"/>
    <w:rsid w:val="00F27CBF"/>
    <w:rsid w:val="00F3059F"/>
    <w:rsid w:val="00F31822"/>
    <w:rsid w:val="00F31ED2"/>
    <w:rsid w:val="00F32F8B"/>
    <w:rsid w:val="00F32F92"/>
    <w:rsid w:val="00F3466C"/>
    <w:rsid w:val="00F34B36"/>
    <w:rsid w:val="00F34C2E"/>
    <w:rsid w:val="00F3559A"/>
    <w:rsid w:val="00F358CE"/>
    <w:rsid w:val="00F35FF8"/>
    <w:rsid w:val="00F37610"/>
    <w:rsid w:val="00F37ACE"/>
    <w:rsid w:val="00F40C13"/>
    <w:rsid w:val="00F423C4"/>
    <w:rsid w:val="00F427DA"/>
    <w:rsid w:val="00F433E9"/>
    <w:rsid w:val="00F446B4"/>
    <w:rsid w:val="00F44B18"/>
    <w:rsid w:val="00F44C75"/>
    <w:rsid w:val="00F459BB"/>
    <w:rsid w:val="00F46C25"/>
    <w:rsid w:val="00F5068E"/>
    <w:rsid w:val="00F50DB0"/>
    <w:rsid w:val="00F50E3A"/>
    <w:rsid w:val="00F51998"/>
    <w:rsid w:val="00F52969"/>
    <w:rsid w:val="00F52F70"/>
    <w:rsid w:val="00F530D0"/>
    <w:rsid w:val="00F53220"/>
    <w:rsid w:val="00F533D5"/>
    <w:rsid w:val="00F53739"/>
    <w:rsid w:val="00F54017"/>
    <w:rsid w:val="00F540E1"/>
    <w:rsid w:val="00F54905"/>
    <w:rsid w:val="00F54C5F"/>
    <w:rsid w:val="00F54CF3"/>
    <w:rsid w:val="00F56A83"/>
    <w:rsid w:val="00F5700A"/>
    <w:rsid w:val="00F57067"/>
    <w:rsid w:val="00F5710A"/>
    <w:rsid w:val="00F57602"/>
    <w:rsid w:val="00F57711"/>
    <w:rsid w:val="00F57E85"/>
    <w:rsid w:val="00F6073B"/>
    <w:rsid w:val="00F60F90"/>
    <w:rsid w:val="00F6341E"/>
    <w:rsid w:val="00F6347E"/>
    <w:rsid w:val="00F636B0"/>
    <w:rsid w:val="00F638CA"/>
    <w:rsid w:val="00F63EFD"/>
    <w:rsid w:val="00F64B7B"/>
    <w:rsid w:val="00F64D64"/>
    <w:rsid w:val="00F65F32"/>
    <w:rsid w:val="00F66969"/>
    <w:rsid w:val="00F66BA4"/>
    <w:rsid w:val="00F673A4"/>
    <w:rsid w:val="00F67427"/>
    <w:rsid w:val="00F67DAB"/>
    <w:rsid w:val="00F70A1E"/>
    <w:rsid w:val="00F71386"/>
    <w:rsid w:val="00F71618"/>
    <w:rsid w:val="00F71EBB"/>
    <w:rsid w:val="00F722FF"/>
    <w:rsid w:val="00F7280E"/>
    <w:rsid w:val="00F72C94"/>
    <w:rsid w:val="00F7619C"/>
    <w:rsid w:val="00F7660C"/>
    <w:rsid w:val="00F77130"/>
    <w:rsid w:val="00F77411"/>
    <w:rsid w:val="00F77784"/>
    <w:rsid w:val="00F8003D"/>
    <w:rsid w:val="00F8024A"/>
    <w:rsid w:val="00F8056A"/>
    <w:rsid w:val="00F80ABD"/>
    <w:rsid w:val="00F80CDC"/>
    <w:rsid w:val="00F811EF"/>
    <w:rsid w:val="00F814B4"/>
    <w:rsid w:val="00F82099"/>
    <w:rsid w:val="00F82874"/>
    <w:rsid w:val="00F82CFC"/>
    <w:rsid w:val="00F8359B"/>
    <w:rsid w:val="00F84475"/>
    <w:rsid w:val="00F84593"/>
    <w:rsid w:val="00F846DD"/>
    <w:rsid w:val="00F85AA9"/>
    <w:rsid w:val="00F85CA5"/>
    <w:rsid w:val="00F860F7"/>
    <w:rsid w:val="00F86591"/>
    <w:rsid w:val="00F86A32"/>
    <w:rsid w:val="00F86C7E"/>
    <w:rsid w:val="00F875D0"/>
    <w:rsid w:val="00F90540"/>
    <w:rsid w:val="00F90F50"/>
    <w:rsid w:val="00F91643"/>
    <w:rsid w:val="00F9213D"/>
    <w:rsid w:val="00F924A7"/>
    <w:rsid w:val="00F9289C"/>
    <w:rsid w:val="00F928FE"/>
    <w:rsid w:val="00F93DBB"/>
    <w:rsid w:val="00F95C13"/>
    <w:rsid w:val="00F96963"/>
    <w:rsid w:val="00F97375"/>
    <w:rsid w:val="00F97404"/>
    <w:rsid w:val="00F979C4"/>
    <w:rsid w:val="00F97D8D"/>
    <w:rsid w:val="00FA0EF8"/>
    <w:rsid w:val="00FA163B"/>
    <w:rsid w:val="00FA1F52"/>
    <w:rsid w:val="00FA21EA"/>
    <w:rsid w:val="00FA2E51"/>
    <w:rsid w:val="00FA39F4"/>
    <w:rsid w:val="00FA48A5"/>
    <w:rsid w:val="00FA4EFD"/>
    <w:rsid w:val="00FA5B8F"/>
    <w:rsid w:val="00FA5BD4"/>
    <w:rsid w:val="00FA62C5"/>
    <w:rsid w:val="00FA69DF"/>
    <w:rsid w:val="00FA6AD4"/>
    <w:rsid w:val="00FA6E58"/>
    <w:rsid w:val="00FA7FDA"/>
    <w:rsid w:val="00FB085B"/>
    <w:rsid w:val="00FB0888"/>
    <w:rsid w:val="00FB0B09"/>
    <w:rsid w:val="00FB1B3F"/>
    <w:rsid w:val="00FB284C"/>
    <w:rsid w:val="00FB3D3D"/>
    <w:rsid w:val="00FB484A"/>
    <w:rsid w:val="00FB503E"/>
    <w:rsid w:val="00FB6F28"/>
    <w:rsid w:val="00FB7512"/>
    <w:rsid w:val="00FB75D8"/>
    <w:rsid w:val="00FB75E7"/>
    <w:rsid w:val="00FC03FC"/>
    <w:rsid w:val="00FC0B30"/>
    <w:rsid w:val="00FC13FF"/>
    <w:rsid w:val="00FC16BE"/>
    <w:rsid w:val="00FC2A3E"/>
    <w:rsid w:val="00FC2B64"/>
    <w:rsid w:val="00FC2B68"/>
    <w:rsid w:val="00FC3A88"/>
    <w:rsid w:val="00FC46F7"/>
    <w:rsid w:val="00FC485A"/>
    <w:rsid w:val="00FC4894"/>
    <w:rsid w:val="00FC4EF2"/>
    <w:rsid w:val="00FC4FD2"/>
    <w:rsid w:val="00FC53FA"/>
    <w:rsid w:val="00FC54E2"/>
    <w:rsid w:val="00FC57DD"/>
    <w:rsid w:val="00FC5E18"/>
    <w:rsid w:val="00FC652D"/>
    <w:rsid w:val="00FC6942"/>
    <w:rsid w:val="00FC74AE"/>
    <w:rsid w:val="00FD0333"/>
    <w:rsid w:val="00FD03F5"/>
    <w:rsid w:val="00FD0B0E"/>
    <w:rsid w:val="00FD0C02"/>
    <w:rsid w:val="00FD1816"/>
    <w:rsid w:val="00FD1F34"/>
    <w:rsid w:val="00FD3357"/>
    <w:rsid w:val="00FD4107"/>
    <w:rsid w:val="00FD4C67"/>
    <w:rsid w:val="00FD6D57"/>
    <w:rsid w:val="00FD70FC"/>
    <w:rsid w:val="00FD7803"/>
    <w:rsid w:val="00FE0FE6"/>
    <w:rsid w:val="00FE103E"/>
    <w:rsid w:val="00FE11FF"/>
    <w:rsid w:val="00FE26C1"/>
    <w:rsid w:val="00FE2AA1"/>
    <w:rsid w:val="00FE2FE7"/>
    <w:rsid w:val="00FE381A"/>
    <w:rsid w:val="00FE4D04"/>
    <w:rsid w:val="00FE4D4B"/>
    <w:rsid w:val="00FE56F2"/>
    <w:rsid w:val="00FE586E"/>
    <w:rsid w:val="00FE58AF"/>
    <w:rsid w:val="00FE5B2F"/>
    <w:rsid w:val="00FE5CB4"/>
    <w:rsid w:val="00FE63E3"/>
    <w:rsid w:val="00FE6FBE"/>
    <w:rsid w:val="00FE6FC1"/>
    <w:rsid w:val="00FE7843"/>
    <w:rsid w:val="00FE7AC5"/>
    <w:rsid w:val="00FF068A"/>
    <w:rsid w:val="00FF079B"/>
    <w:rsid w:val="00FF1214"/>
    <w:rsid w:val="00FF1818"/>
    <w:rsid w:val="00FF2459"/>
    <w:rsid w:val="00FF2BE1"/>
    <w:rsid w:val="00FF31BC"/>
    <w:rsid w:val="00FF3AF3"/>
    <w:rsid w:val="00FF4096"/>
    <w:rsid w:val="00FF4A86"/>
    <w:rsid w:val="00FF501C"/>
    <w:rsid w:val="00FF5393"/>
    <w:rsid w:val="00FF57DA"/>
    <w:rsid w:val="00FF5F34"/>
    <w:rsid w:val="00FF7661"/>
    <w:rsid w:val="00FF78B4"/>
    <w:rsid w:val="00FF7AC8"/>
    <w:rsid w:val="011C2456"/>
    <w:rsid w:val="012C6944"/>
    <w:rsid w:val="012F2443"/>
    <w:rsid w:val="013623EE"/>
    <w:rsid w:val="01805B8D"/>
    <w:rsid w:val="01A80033"/>
    <w:rsid w:val="0215112E"/>
    <w:rsid w:val="028916A8"/>
    <w:rsid w:val="02A61332"/>
    <w:rsid w:val="02E16B08"/>
    <w:rsid w:val="0310470D"/>
    <w:rsid w:val="034B614E"/>
    <w:rsid w:val="035E1C7C"/>
    <w:rsid w:val="03683AFB"/>
    <w:rsid w:val="037D5B42"/>
    <w:rsid w:val="03AB019A"/>
    <w:rsid w:val="03C45333"/>
    <w:rsid w:val="042535DA"/>
    <w:rsid w:val="04467A07"/>
    <w:rsid w:val="046F7721"/>
    <w:rsid w:val="04E11143"/>
    <w:rsid w:val="053415FB"/>
    <w:rsid w:val="05614C08"/>
    <w:rsid w:val="05741322"/>
    <w:rsid w:val="05F2741D"/>
    <w:rsid w:val="06060012"/>
    <w:rsid w:val="06135E8F"/>
    <w:rsid w:val="064C31A2"/>
    <w:rsid w:val="065B1D72"/>
    <w:rsid w:val="0681229D"/>
    <w:rsid w:val="069B08E5"/>
    <w:rsid w:val="06F31444"/>
    <w:rsid w:val="0732661B"/>
    <w:rsid w:val="07696A7E"/>
    <w:rsid w:val="077841D3"/>
    <w:rsid w:val="078C2816"/>
    <w:rsid w:val="07A343E8"/>
    <w:rsid w:val="08155B27"/>
    <w:rsid w:val="0854297F"/>
    <w:rsid w:val="08840B6B"/>
    <w:rsid w:val="08C960AC"/>
    <w:rsid w:val="08D270B0"/>
    <w:rsid w:val="08DC35D0"/>
    <w:rsid w:val="08F93743"/>
    <w:rsid w:val="090E00D3"/>
    <w:rsid w:val="092B523F"/>
    <w:rsid w:val="095667C8"/>
    <w:rsid w:val="096E496A"/>
    <w:rsid w:val="09AD3DC9"/>
    <w:rsid w:val="09BC4A90"/>
    <w:rsid w:val="09C833C3"/>
    <w:rsid w:val="0A0160FE"/>
    <w:rsid w:val="0A887DBA"/>
    <w:rsid w:val="0AAC6A8E"/>
    <w:rsid w:val="0B497F3F"/>
    <w:rsid w:val="0B8702BE"/>
    <w:rsid w:val="0BA92380"/>
    <w:rsid w:val="0BBE2914"/>
    <w:rsid w:val="0BD52D37"/>
    <w:rsid w:val="0C084561"/>
    <w:rsid w:val="0C197F77"/>
    <w:rsid w:val="0C476D8C"/>
    <w:rsid w:val="0C6F1ACE"/>
    <w:rsid w:val="0C927BE5"/>
    <w:rsid w:val="0CF44B96"/>
    <w:rsid w:val="0D1E7366"/>
    <w:rsid w:val="0D632806"/>
    <w:rsid w:val="0DDD6BF3"/>
    <w:rsid w:val="0DF04D04"/>
    <w:rsid w:val="0E1C662A"/>
    <w:rsid w:val="0EB37598"/>
    <w:rsid w:val="0EDF5541"/>
    <w:rsid w:val="0F0F2D3A"/>
    <w:rsid w:val="0FA00C80"/>
    <w:rsid w:val="1023029B"/>
    <w:rsid w:val="10492246"/>
    <w:rsid w:val="104D4E25"/>
    <w:rsid w:val="10881FE9"/>
    <w:rsid w:val="108C61C3"/>
    <w:rsid w:val="109A5C82"/>
    <w:rsid w:val="10A824A3"/>
    <w:rsid w:val="10B32FE9"/>
    <w:rsid w:val="10BC5DE5"/>
    <w:rsid w:val="10C34CF5"/>
    <w:rsid w:val="10EA2B6D"/>
    <w:rsid w:val="10EA4E78"/>
    <w:rsid w:val="1122390F"/>
    <w:rsid w:val="11902F3E"/>
    <w:rsid w:val="11B36391"/>
    <w:rsid w:val="11B73E1E"/>
    <w:rsid w:val="12067BB2"/>
    <w:rsid w:val="1217796E"/>
    <w:rsid w:val="124451A7"/>
    <w:rsid w:val="124F6453"/>
    <w:rsid w:val="1253620D"/>
    <w:rsid w:val="12597EFB"/>
    <w:rsid w:val="12D01450"/>
    <w:rsid w:val="12ED175F"/>
    <w:rsid w:val="130C5852"/>
    <w:rsid w:val="13267167"/>
    <w:rsid w:val="1374305D"/>
    <w:rsid w:val="13852AA8"/>
    <w:rsid w:val="138A52B7"/>
    <w:rsid w:val="13C16C47"/>
    <w:rsid w:val="13E93015"/>
    <w:rsid w:val="14594A9B"/>
    <w:rsid w:val="14784AF2"/>
    <w:rsid w:val="15176261"/>
    <w:rsid w:val="157A24C8"/>
    <w:rsid w:val="15991E9D"/>
    <w:rsid w:val="15D373E9"/>
    <w:rsid w:val="15D41F99"/>
    <w:rsid w:val="16981B3A"/>
    <w:rsid w:val="16ED6288"/>
    <w:rsid w:val="16F106F8"/>
    <w:rsid w:val="17302C95"/>
    <w:rsid w:val="174865EC"/>
    <w:rsid w:val="174E0FB2"/>
    <w:rsid w:val="17D50C96"/>
    <w:rsid w:val="180A4CA1"/>
    <w:rsid w:val="18190236"/>
    <w:rsid w:val="18521A01"/>
    <w:rsid w:val="18702CCD"/>
    <w:rsid w:val="18831252"/>
    <w:rsid w:val="18862EF4"/>
    <w:rsid w:val="18AE1B95"/>
    <w:rsid w:val="19007821"/>
    <w:rsid w:val="19041319"/>
    <w:rsid w:val="199B7375"/>
    <w:rsid w:val="19AD39E1"/>
    <w:rsid w:val="19B21FBF"/>
    <w:rsid w:val="1A0E09F0"/>
    <w:rsid w:val="1A2371AD"/>
    <w:rsid w:val="1A821A1C"/>
    <w:rsid w:val="1A8444E4"/>
    <w:rsid w:val="1ABA2FF0"/>
    <w:rsid w:val="1B117F33"/>
    <w:rsid w:val="1BBD778B"/>
    <w:rsid w:val="1C3B7A15"/>
    <w:rsid w:val="1C4E004B"/>
    <w:rsid w:val="1C6E7127"/>
    <w:rsid w:val="1C6F466C"/>
    <w:rsid w:val="1C783A95"/>
    <w:rsid w:val="1C8173EB"/>
    <w:rsid w:val="1C8A7FE5"/>
    <w:rsid w:val="1CE64081"/>
    <w:rsid w:val="1D005069"/>
    <w:rsid w:val="1D2D070F"/>
    <w:rsid w:val="1D741265"/>
    <w:rsid w:val="1D9D1738"/>
    <w:rsid w:val="1DAF47BD"/>
    <w:rsid w:val="1DD06CE9"/>
    <w:rsid w:val="1DF62910"/>
    <w:rsid w:val="1E176F79"/>
    <w:rsid w:val="1E214F7E"/>
    <w:rsid w:val="1E777E08"/>
    <w:rsid w:val="1EA64E8F"/>
    <w:rsid w:val="1EB74BD4"/>
    <w:rsid w:val="1EBD63B7"/>
    <w:rsid w:val="1ED1582F"/>
    <w:rsid w:val="1F307768"/>
    <w:rsid w:val="1F3D66E1"/>
    <w:rsid w:val="1F3F1429"/>
    <w:rsid w:val="1F552C2B"/>
    <w:rsid w:val="1F5E5F75"/>
    <w:rsid w:val="1F627BD9"/>
    <w:rsid w:val="1F65527F"/>
    <w:rsid w:val="1F803210"/>
    <w:rsid w:val="1FA55ED6"/>
    <w:rsid w:val="1FB141B6"/>
    <w:rsid w:val="1FB9012E"/>
    <w:rsid w:val="200D44FA"/>
    <w:rsid w:val="20404ED9"/>
    <w:rsid w:val="2078705D"/>
    <w:rsid w:val="20857A6F"/>
    <w:rsid w:val="20B120D5"/>
    <w:rsid w:val="20EF6CA9"/>
    <w:rsid w:val="215606C6"/>
    <w:rsid w:val="21AF1067"/>
    <w:rsid w:val="21D2016A"/>
    <w:rsid w:val="21D50FFD"/>
    <w:rsid w:val="21E05F8D"/>
    <w:rsid w:val="21E6003E"/>
    <w:rsid w:val="21FF766C"/>
    <w:rsid w:val="22192627"/>
    <w:rsid w:val="222755B4"/>
    <w:rsid w:val="227B299A"/>
    <w:rsid w:val="228653C2"/>
    <w:rsid w:val="22A05CBC"/>
    <w:rsid w:val="22A34F8B"/>
    <w:rsid w:val="22E72C0C"/>
    <w:rsid w:val="22EC1A56"/>
    <w:rsid w:val="2318643B"/>
    <w:rsid w:val="233D2B6D"/>
    <w:rsid w:val="23534361"/>
    <w:rsid w:val="237F790A"/>
    <w:rsid w:val="23A0542B"/>
    <w:rsid w:val="23B665DA"/>
    <w:rsid w:val="23BE0F8D"/>
    <w:rsid w:val="23D553D4"/>
    <w:rsid w:val="23F64804"/>
    <w:rsid w:val="24084D83"/>
    <w:rsid w:val="24121972"/>
    <w:rsid w:val="242E4E06"/>
    <w:rsid w:val="2462393A"/>
    <w:rsid w:val="24644FA3"/>
    <w:rsid w:val="248B2222"/>
    <w:rsid w:val="24900C42"/>
    <w:rsid w:val="24AB0372"/>
    <w:rsid w:val="24B85B6F"/>
    <w:rsid w:val="24C444F3"/>
    <w:rsid w:val="250029F8"/>
    <w:rsid w:val="251A6B8A"/>
    <w:rsid w:val="251E3B9B"/>
    <w:rsid w:val="256811AE"/>
    <w:rsid w:val="25B10E34"/>
    <w:rsid w:val="26697A9C"/>
    <w:rsid w:val="26940DF9"/>
    <w:rsid w:val="26A75425"/>
    <w:rsid w:val="26C76BF7"/>
    <w:rsid w:val="26DB1661"/>
    <w:rsid w:val="27490680"/>
    <w:rsid w:val="2753770C"/>
    <w:rsid w:val="279F12C8"/>
    <w:rsid w:val="27A61CA6"/>
    <w:rsid w:val="27D90D77"/>
    <w:rsid w:val="27E65F8E"/>
    <w:rsid w:val="2839416B"/>
    <w:rsid w:val="28BA128E"/>
    <w:rsid w:val="28F35142"/>
    <w:rsid w:val="2907515E"/>
    <w:rsid w:val="296856D3"/>
    <w:rsid w:val="2A0066C4"/>
    <w:rsid w:val="2A063847"/>
    <w:rsid w:val="2A0E38F2"/>
    <w:rsid w:val="2A5D17E4"/>
    <w:rsid w:val="2A8E13EB"/>
    <w:rsid w:val="2A917552"/>
    <w:rsid w:val="2AB25451"/>
    <w:rsid w:val="2AB56AEB"/>
    <w:rsid w:val="2B1F2B0A"/>
    <w:rsid w:val="2B45623B"/>
    <w:rsid w:val="2BBC33EC"/>
    <w:rsid w:val="2BCC4267"/>
    <w:rsid w:val="2C1E7B0B"/>
    <w:rsid w:val="2C6C351A"/>
    <w:rsid w:val="2CE71864"/>
    <w:rsid w:val="2D5D2D70"/>
    <w:rsid w:val="2D753EB6"/>
    <w:rsid w:val="2DCE2518"/>
    <w:rsid w:val="2DD22B53"/>
    <w:rsid w:val="2E057F04"/>
    <w:rsid w:val="2E0D314E"/>
    <w:rsid w:val="2E112225"/>
    <w:rsid w:val="2E37704D"/>
    <w:rsid w:val="2E3A1DFC"/>
    <w:rsid w:val="2E3D7387"/>
    <w:rsid w:val="2E84370D"/>
    <w:rsid w:val="2E880A65"/>
    <w:rsid w:val="2E8D6093"/>
    <w:rsid w:val="2EB03C07"/>
    <w:rsid w:val="2EB53DC4"/>
    <w:rsid w:val="2EC225EB"/>
    <w:rsid w:val="2ED87F6E"/>
    <w:rsid w:val="2F1E3B04"/>
    <w:rsid w:val="2F2518CA"/>
    <w:rsid w:val="2F4D1B62"/>
    <w:rsid w:val="2F886821"/>
    <w:rsid w:val="2F8B2B80"/>
    <w:rsid w:val="2F9C1A5E"/>
    <w:rsid w:val="2FA07419"/>
    <w:rsid w:val="2FB76FDC"/>
    <w:rsid w:val="2FBD0681"/>
    <w:rsid w:val="2FEB09CC"/>
    <w:rsid w:val="30532C3D"/>
    <w:rsid w:val="306727B0"/>
    <w:rsid w:val="30757AD5"/>
    <w:rsid w:val="30B71C1F"/>
    <w:rsid w:val="311563DC"/>
    <w:rsid w:val="312342BA"/>
    <w:rsid w:val="314B28A7"/>
    <w:rsid w:val="315057E3"/>
    <w:rsid w:val="316E6D54"/>
    <w:rsid w:val="31774CC7"/>
    <w:rsid w:val="31A4527A"/>
    <w:rsid w:val="31A7483B"/>
    <w:rsid w:val="31B52651"/>
    <w:rsid w:val="31B9113F"/>
    <w:rsid w:val="31BA0A53"/>
    <w:rsid w:val="32040772"/>
    <w:rsid w:val="3235285C"/>
    <w:rsid w:val="323A19AD"/>
    <w:rsid w:val="323B4FAC"/>
    <w:rsid w:val="3249521F"/>
    <w:rsid w:val="32625925"/>
    <w:rsid w:val="326D154A"/>
    <w:rsid w:val="3279665A"/>
    <w:rsid w:val="328E2031"/>
    <w:rsid w:val="32926F0F"/>
    <w:rsid w:val="32A97F16"/>
    <w:rsid w:val="32B07E7C"/>
    <w:rsid w:val="32CF28C2"/>
    <w:rsid w:val="32D01763"/>
    <w:rsid w:val="33035635"/>
    <w:rsid w:val="330C763F"/>
    <w:rsid w:val="33281D03"/>
    <w:rsid w:val="334B41F3"/>
    <w:rsid w:val="336244E6"/>
    <w:rsid w:val="337E7A73"/>
    <w:rsid w:val="33C03263"/>
    <w:rsid w:val="33D64505"/>
    <w:rsid w:val="33F15B06"/>
    <w:rsid w:val="33F27D39"/>
    <w:rsid w:val="34157773"/>
    <w:rsid w:val="3425351D"/>
    <w:rsid w:val="34463D1D"/>
    <w:rsid w:val="34574C45"/>
    <w:rsid w:val="346522C8"/>
    <w:rsid w:val="347C0E65"/>
    <w:rsid w:val="34833B90"/>
    <w:rsid w:val="35171358"/>
    <w:rsid w:val="352B33B0"/>
    <w:rsid w:val="3543669C"/>
    <w:rsid w:val="354726A3"/>
    <w:rsid w:val="356579BA"/>
    <w:rsid w:val="35927056"/>
    <w:rsid w:val="35E320DF"/>
    <w:rsid w:val="35FF7B28"/>
    <w:rsid w:val="362B296D"/>
    <w:rsid w:val="367453E4"/>
    <w:rsid w:val="36924ADC"/>
    <w:rsid w:val="36CA1CEB"/>
    <w:rsid w:val="36D2325C"/>
    <w:rsid w:val="37020C6D"/>
    <w:rsid w:val="3724228B"/>
    <w:rsid w:val="374B46DA"/>
    <w:rsid w:val="37535442"/>
    <w:rsid w:val="375D5AB2"/>
    <w:rsid w:val="376D4447"/>
    <w:rsid w:val="37C76830"/>
    <w:rsid w:val="38153D73"/>
    <w:rsid w:val="38374C98"/>
    <w:rsid w:val="383D3F52"/>
    <w:rsid w:val="384528AF"/>
    <w:rsid w:val="384D06FA"/>
    <w:rsid w:val="385A0E36"/>
    <w:rsid w:val="38780732"/>
    <w:rsid w:val="38E41A20"/>
    <w:rsid w:val="39340026"/>
    <w:rsid w:val="395F671A"/>
    <w:rsid w:val="396F615A"/>
    <w:rsid w:val="39846181"/>
    <w:rsid w:val="39992C7A"/>
    <w:rsid w:val="39D952D1"/>
    <w:rsid w:val="3A366DBF"/>
    <w:rsid w:val="3A815C41"/>
    <w:rsid w:val="3A9248BC"/>
    <w:rsid w:val="3A9C5881"/>
    <w:rsid w:val="3ACC791E"/>
    <w:rsid w:val="3AF90B28"/>
    <w:rsid w:val="3AFC4739"/>
    <w:rsid w:val="3B0765C2"/>
    <w:rsid w:val="3B4016AB"/>
    <w:rsid w:val="3B6E0156"/>
    <w:rsid w:val="3BA764FA"/>
    <w:rsid w:val="3BB76C4E"/>
    <w:rsid w:val="3BD372F3"/>
    <w:rsid w:val="3C1E41B5"/>
    <w:rsid w:val="3C2466BB"/>
    <w:rsid w:val="3C4914CC"/>
    <w:rsid w:val="3C4F5748"/>
    <w:rsid w:val="3CB67858"/>
    <w:rsid w:val="3CBC2771"/>
    <w:rsid w:val="3D1D2CFC"/>
    <w:rsid w:val="3D690092"/>
    <w:rsid w:val="3D6B7B8F"/>
    <w:rsid w:val="3D8057AA"/>
    <w:rsid w:val="3DB42DAD"/>
    <w:rsid w:val="3DC55453"/>
    <w:rsid w:val="3DEF0FAA"/>
    <w:rsid w:val="3E1C6996"/>
    <w:rsid w:val="3E4F7BEC"/>
    <w:rsid w:val="3E673FF7"/>
    <w:rsid w:val="3E8E5F6C"/>
    <w:rsid w:val="3EBD2A71"/>
    <w:rsid w:val="3EFC1D8A"/>
    <w:rsid w:val="3EFE2766"/>
    <w:rsid w:val="3F1F5E72"/>
    <w:rsid w:val="3F516A21"/>
    <w:rsid w:val="3F5D3777"/>
    <w:rsid w:val="3F5E5FBE"/>
    <w:rsid w:val="3F9115F7"/>
    <w:rsid w:val="3FC956EE"/>
    <w:rsid w:val="3FD127B7"/>
    <w:rsid w:val="3FEF4A09"/>
    <w:rsid w:val="40042406"/>
    <w:rsid w:val="40127CF8"/>
    <w:rsid w:val="40417AEE"/>
    <w:rsid w:val="4053025E"/>
    <w:rsid w:val="40565DAF"/>
    <w:rsid w:val="409A360B"/>
    <w:rsid w:val="40CF2185"/>
    <w:rsid w:val="41211BA9"/>
    <w:rsid w:val="4140681B"/>
    <w:rsid w:val="417466BA"/>
    <w:rsid w:val="41835EFC"/>
    <w:rsid w:val="418807D8"/>
    <w:rsid w:val="41C86741"/>
    <w:rsid w:val="41D630BB"/>
    <w:rsid w:val="41DE223C"/>
    <w:rsid w:val="41E546C0"/>
    <w:rsid w:val="41FB517F"/>
    <w:rsid w:val="41FC51B2"/>
    <w:rsid w:val="42351BB5"/>
    <w:rsid w:val="424B3C1A"/>
    <w:rsid w:val="42721624"/>
    <w:rsid w:val="43291AD3"/>
    <w:rsid w:val="4372374B"/>
    <w:rsid w:val="438F6EC9"/>
    <w:rsid w:val="439D3C76"/>
    <w:rsid w:val="43E7452D"/>
    <w:rsid w:val="43F67E46"/>
    <w:rsid w:val="445C509B"/>
    <w:rsid w:val="446D46B1"/>
    <w:rsid w:val="446E4162"/>
    <w:rsid w:val="44765DC5"/>
    <w:rsid w:val="447A5B28"/>
    <w:rsid w:val="4489755F"/>
    <w:rsid w:val="454F4695"/>
    <w:rsid w:val="456A2C22"/>
    <w:rsid w:val="45910862"/>
    <w:rsid w:val="45D7416A"/>
    <w:rsid w:val="45DD6968"/>
    <w:rsid w:val="45DF0AE2"/>
    <w:rsid w:val="45E31E46"/>
    <w:rsid w:val="46384147"/>
    <w:rsid w:val="46386C71"/>
    <w:rsid w:val="467A6041"/>
    <w:rsid w:val="46AA79F8"/>
    <w:rsid w:val="46ED7171"/>
    <w:rsid w:val="470762CE"/>
    <w:rsid w:val="474832FF"/>
    <w:rsid w:val="47561ADA"/>
    <w:rsid w:val="47864AAC"/>
    <w:rsid w:val="47D87345"/>
    <w:rsid w:val="47E23C60"/>
    <w:rsid w:val="481821E3"/>
    <w:rsid w:val="48F47B4B"/>
    <w:rsid w:val="48F63CE0"/>
    <w:rsid w:val="48FB74BD"/>
    <w:rsid w:val="49041FA9"/>
    <w:rsid w:val="49157BDC"/>
    <w:rsid w:val="492852A4"/>
    <w:rsid w:val="49802DC3"/>
    <w:rsid w:val="49AF6506"/>
    <w:rsid w:val="4A05620C"/>
    <w:rsid w:val="4A643EF0"/>
    <w:rsid w:val="4A780B54"/>
    <w:rsid w:val="4AA036E1"/>
    <w:rsid w:val="4AAE1CE9"/>
    <w:rsid w:val="4BAB2A9F"/>
    <w:rsid w:val="4C2478F5"/>
    <w:rsid w:val="4C2A135F"/>
    <w:rsid w:val="4C2D1423"/>
    <w:rsid w:val="4C806789"/>
    <w:rsid w:val="4C9B5863"/>
    <w:rsid w:val="4CA805E9"/>
    <w:rsid w:val="4D5D520F"/>
    <w:rsid w:val="4D8367CC"/>
    <w:rsid w:val="4D9344DA"/>
    <w:rsid w:val="4DDC5509"/>
    <w:rsid w:val="4DF47B04"/>
    <w:rsid w:val="4E2907A3"/>
    <w:rsid w:val="4E3301FD"/>
    <w:rsid w:val="4E4B06FE"/>
    <w:rsid w:val="4E550083"/>
    <w:rsid w:val="4E69263C"/>
    <w:rsid w:val="4E80435A"/>
    <w:rsid w:val="4E835531"/>
    <w:rsid w:val="4E8D38D0"/>
    <w:rsid w:val="4E950B5B"/>
    <w:rsid w:val="4F0973FC"/>
    <w:rsid w:val="4FAA3DFA"/>
    <w:rsid w:val="4FAD422B"/>
    <w:rsid w:val="4FC9692F"/>
    <w:rsid w:val="4FE46E3F"/>
    <w:rsid w:val="501873C5"/>
    <w:rsid w:val="50357E4D"/>
    <w:rsid w:val="509F4F9B"/>
    <w:rsid w:val="50B11AF9"/>
    <w:rsid w:val="50C31809"/>
    <w:rsid w:val="50FC089B"/>
    <w:rsid w:val="511350B1"/>
    <w:rsid w:val="511B5B68"/>
    <w:rsid w:val="51741916"/>
    <w:rsid w:val="51AE6530"/>
    <w:rsid w:val="521612D8"/>
    <w:rsid w:val="527863FE"/>
    <w:rsid w:val="52EF283C"/>
    <w:rsid w:val="52F2797F"/>
    <w:rsid w:val="532F69D2"/>
    <w:rsid w:val="535D374D"/>
    <w:rsid w:val="535D6EE0"/>
    <w:rsid w:val="53654CC2"/>
    <w:rsid w:val="53E168BC"/>
    <w:rsid w:val="53E2646E"/>
    <w:rsid w:val="5428354B"/>
    <w:rsid w:val="5450779A"/>
    <w:rsid w:val="547B2731"/>
    <w:rsid w:val="54A31759"/>
    <w:rsid w:val="54A746DA"/>
    <w:rsid w:val="54B4289F"/>
    <w:rsid w:val="54D32D59"/>
    <w:rsid w:val="55162644"/>
    <w:rsid w:val="55197C6D"/>
    <w:rsid w:val="552F5B3D"/>
    <w:rsid w:val="553929DA"/>
    <w:rsid w:val="553D7C5C"/>
    <w:rsid w:val="555D4285"/>
    <w:rsid w:val="558237E0"/>
    <w:rsid w:val="559507FD"/>
    <w:rsid w:val="5619329A"/>
    <w:rsid w:val="56B3179A"/>
    <w:rsid w:val="56DA042C"/>
    <w:rsid w:val="56FD407A"/>
    <w:rsid w:val="56FF184E"/>
    <w:rsid w:val="575C69E3"/>
    <w:rsid w:val="57647CCE"/>
    <w:rsid w:val="57713D91"/>
    <w:rsid w:val="57A007CB"/>
    <w:rsid w:val="57B27F05"/>
    <w:rsid w:val="57BB07E9"/>
    <w:rsid w:val="57FF6FE5"/>
    <w:rsid w:val="58262DCD"/>
    <w:rsid w:val="582E2D1D"/>
    <w:rsid w:val="58454B6E"/>
    <w:rsid w:val="58692CBA"/>
    <w:rsid w:val="588F1522"/>
    <w:rsid w:val="5895718A"/>
    <w:rsid w:val="58A52AFF"/>
    <w:rsid w:val="58E467E4"/>
    <w:rsid w:val="593908DE"/>
    <w:rsid w:val="596F00F2"/>
    <w:rsid w:val="598153A2"/>
    <w:rsid w:val="598853BA"/>
    <w:rsid w:val="59B2104D"/>
    <w:rsid w:val="59C51229"/>
    <w:rsid w:val="5A0324D1"/>
    <w:rsid w:val="5A431B12"/>
    <w:rsid w:val="5A843888"/>
    <w:rsid w:val="5A8C4BCD"/>
    <w:rsid w:val="5A932958"/>
    <w:rsid w:val="5AC15609"/>
    <w:rsid w:val="5ADD7A6A"/>
    <w:rsid w:val="5B293709"/>
    <w:rsid w:val="5B390A6E"/>
    <w:rsid w:val="5B3A6950"/>
    <w:rsid w:val="5B6159A7"/>
    <w:rsid w:val="5B6C3C8D"/>
    <w:rsid w:val="5B9744EC"/>
    <w:rsid w:val="5BD56CE7"/>
    <w:rsid w:val="5BF30806"/>
    <w:rsid w:val="5C006957"/>
    <w:rsid w:val="5C150407"/>
    <w:rsid w:val="5C2D1AFF"/>
    <w:rsid w:val="5C7F7C1D"/>
    <w:rsid w:val="5C836E31"/>
    <w:rsid w:val="5CAB2E88"/>
    <w:rsid w:val="5CC35D86"/>
    <w:rsid w:val="5CE266F5"/>
    <w:rsid w:val="5CE7249D"/>
    <w:rsid w:val="5CF561F6"/>
    <w:rsid w:val="5D3350C0"/>
    <w:rsid w:val="5D6226FB"/>
    <w:rsid w:val="5DA524FF"/>
    <w:rsid w:val="5DDB0DFD"/>
    <w:rsid w:val="5DF72D90"/>
    <w:rsid w:val="5DF745C1"/>
    <w:rsid w:val="5F260644"/>
    <w:rsid w:val="5F3202A9"/>
    <w:rsid w:val="5FB520F9"/>
    <w:rsid w:val="5FB933FA"/>
    <w:rsid w:val="5FCA2BBF"/>
    <w:rsid w:val="5FED5F7E"/>
    <w:rsid w:val="5FF23595"/>
    <w:rsid w:val="60326EE6"/>
    <w:rsid w:val="6050564D"/>
    <w:rsid w:val="605E360E"/>
    <w:rsid w:val="608A107E"/>
    <w:rsid w:val="60CB4097"/>
    <w:rsid w:val="61106117"/>
    <w:rsid w:val="6208181D"/>
    <w:rsid w:val="62232C32"/>
    <w:rsid w:val="625D602D"/>
    <w:rsid w:val="627352D3"/>
    <w:rsid w:val="629641AE"/>
    <w:rsid w:val="62A078FF"/>
    <w:rsid w:val="62A550B1"/>
    <w:rsid w:val="62AA3253"/>
    <w:rsid w:val="62C54384"/>
    <w:rsid w:val="63087CDD"/>
    <w:rsid w:val="632F68AE"/>
    <w:rsid w:val="63302BB1"/>
    <w:rsid w:val="637745DC"/>
    <w:rsid w:val="63985B33"/>
    <w:rsid w:val="63AE1EC8"/>
    <w:rsid w:val="63BB046B"/>
    <w:rsid w:val="63C2736D"/>
    <w:rsid w:val="63E1229E"/>
    <w:rsid w:val="63E94CAF"/>
    <w:rsid w:val="64085A7D"/>
    <w:rsid w:val="643407A7"/>
    <w:rsid w:val="643F4C27"/>
    <w:rsid w:val="64AD64CD"/>
    <w:rsid w:val="655263EB"/>
    <w:rsid w:val="65527D85"/>
    <w:rsid w:val="655820EC"/>
    <w:rsid w:val="656E5EEF"/>
    <w:rsid w:val="657F745C"/>
    <w:rsid w:val="658C3A0B"/>
    <w:rsid w:val="65A215B9"/>
    <w:rsid w:val="65B80DDC"/>
    <w:rsid w:val="65C3579F"/>
    <w:rsid w:val="65D03DBC"/>
    <w:rsid w:val="65F600B8"/>
    <w:rsid w:val="663F371A"/>
    <w:rsid w:val="6679730C"/>
    <w:rsid w:val="668310AB"/>
    <w:rsid w:val="66BF125F"/>
    <w:rsid w:val="66E7086B"/>
    <w:rsid w:val="671F1AEE"/>
    <w:rsid w:val="674B553D"/>
    <w:rsid w:val="67571FDC"/>
    <w:rsid w:val="676C7CC2"/>
    <w:rsid w:val="676D7461"/>
    <w:rsid w:val="6781748A"/>
    <w:rsid w:val="678C266E"/>
    <w:rsid w:val="681C004A"/>
    <w:rsid w:val="68402F6F"/>
    <w:rsid w:val="687A0B70"/>
    <w:rsid w:val="689D0383"/>
    <w:rsid w:val="68A940B7"/>
    <w:rsid w:val="690417C3"/>
    <w:rsid w:val="693C6DF1"/>
    <w:rsid w:val="694744CB"/>
    <w:rsid w:val="69640F75"/>
    <w:rsid w:val="6969491B"/>
    <w:rsid w:val="69AC456E"/>
    <w:rsid w:val="69FA2F45"/>
    <w:rsid w:val="6A136D9A"/>
    <w:rsid w:val="6A187E4F"/>
    <w:rsid w:val="6A222D2E"/>
    <w:rsid w:val="6A27619A"/>
    <w:rsid w:val="6A92250C"/>
    <w:rsid w:val="6A9D0933"/>
    <w:rsid w:val="6AE215AE"/>
    <w:rsid w:val="6AF828A7"/>
    <w:rsid w:val="6B1E16E2"/>
    <w:rsid w:val="6B2C19AB"/>
    <w:rsid w:val="6B5A60E1"/>
    <w:rsid w:val="6BDD74FA"/>
    <w:rsid w:val="6C7700D3"/>
    <w:rsid w:val="6C7D718B"/>
    <w:rsid w:val="6CA311E5"/>
    <w:rsid w:val="6CAE069A"/>
    <w:rsid w:val="6CCF1461"/>
    <w:rsid w:val="6CD06846"/>
    <w:rsid w:val="6CF73651"/>
    <w:rsid w:val="6CF90FE6"/>
    <w:rsid w:val="6D381E90"/>
    <w:rsid w:val="6D526EEE"/>
    <w:rsid w:val="6D745DE0"/>
    <w:rsid w:val="6D8549AB"/>
    <w:rsid w:val="6D892A60"/>
    <w:rsid w:val="6D926A54"/>
    <w:rsid w:val="6DC1541F"/>
    <w:rsid w:val="6DDA0E1D"/>
    <w:rsid w:val="6DEA0A31"/>
    <w:rsid w:val="6E331349"/>
    <w:rsid w:val="6E4C2BFC"/>
    <w:rsid w:val="6E7E0C3D"/>
    <w:rsid w:val="6E9154B8"/>
    <w:rsid w:val="6EB3592E"/>
    <w:rsid w:val="6EFA61BC"/>
    <w:rsid w:val="6F050962"/>
    <w:rsid w:val="6F121911"/>
    <w:rsid w:val="6F1A7AA7"/>
    <w:rsid w:val="6F384587"/>
    <w:rsid w:val="6FC3068E"/>
    <w:rsid w:val="701C641B"/>
    <w:rsid w:val="70277715"/>
    <w:rsid w:val="70284F94"/>
    <w:rsid w:val="706E16D4"/>
    <w:rsid w:val="707825EC"/>
    <w:rsid w:val="707C2980"/>
    <w:rsid w:val="708F2081"/>
    <w:rsid w:val="71564F5F"/>
    <w:rsid w:val="716B7E83"/>
    <w:rsid w:val="71FD4A63"/>
    <w:rsid w:val="7211197D"/>
    <w:rsid w:val="72163228"/>
    <w:rsid w:val="7226385A"/>
    <w:rsid w:val="7236675E"/>
    <w:rsid w:val="725B4BAA"/>
    <w:rsid w:val="726C6A51"/>
    <w:rsid w:val="726E5EB7"/>
    <w:rsid w:val="72762349"/>
    <w:rsid w:val="72B85FE3"/>
    <w:rsid w:val="72BF37AA"/>
    <w:rsid w:val="72EA3FA6"/>
    <w:rsid w:val="72FD71CA"/>
    <w:rsid w:val="731D3EEF"/>
    <w:rsid w:val="734F105C"/>
    <w:rsid w:val="737F2CF3"/>
    <w:rsid w:val="738561F4"/>
    <w:rsid w:val="74047834"/>
    <w:rsid w:val="744A65DF"/>
    <w:rsid w:val="744F6E07"/>
    <w:rsid w:val="74511096"/>
    <w:rsid w:val="745D327B"/>
    <w:rsid w:val="746C7962"/>
    <w:rsid w:val="74887BBD"/>
    <w:rsid w:val="74AC27EA"/>
    <w:rsid w:val="74CD053C"/>
    <w:rsid w:val="74F3598D"/>
    <w:rsid w:val="752318F1"/>
    <w:rsid w:val="753B5022"/>
    <w:rsid w:val="755F3434"/>
    <w:rsid w:val="757C5983"/>
    <w:rsid w:val="75A172DA"/>
    <w:rsid w:val="75B8007A"/>
    <w:rsid w:val="75FF4377"/>
    <w:rsid w:val="762D110F"/>
    <w:rsid w:val="76393874"/>
    <w:rsid w:val="76764AC8"/>
    <w:rsid w:val="76BC6C9D"/>
    <w:rsid w:val="777C12D5"/>
    <w:rsid w:val="77905715"/>
    <w:rsid w:val="77C71215"/>
    <w:rsid w:val="77E305E9"/>
    <w:rsid w:val="77E659B4"/>
    <w:rsid w:val="7837482E"/>
    <w:rsid w:val="78534F87"/>
    <w:rsid w:val="785A0156"/>
    <w:rsid w:val="785B00F1"/>
    <w:rsid w:val="78947487"/>
    <w:rsid w:val="78A85C4C"/>
    <w:rsid w:val="78BB74E7"/>
    <w:rsid w:val="790E2315"/>
    <w:rsid w:val="797B41A3"/>
    <w:rsid w:val="79B15489"/>
    <w:rsid w:val="79E174D6"/>
    <w:rsid w:val="7A4C1802"/>
    <w:rsid w:val="7A634A6E"/>
    <w:rsid w:val="7A951295"/>
    <w:rsid w:val="7A9D13BA"/>
    <w:rsid w:val="7AB45B39"/>
    <w:rsid w:val="7B1F4D1D"/>
    <w:rsid w:val="7B2A618C"/>
    <w:rsid w:val="7BA251E5"/>
    <w:rsid w:val="7BCD0FF4"/>
    <w:rsid w:val="7BD87783"/>
    <w:rsid w:val="7C4113EE"/>
    <w:rsid w:val="7C964327"/>
    <w:rsid w:val="7C9A4620"/>
    <w:rsid w:val="7CAC0985"/>
    <w:rsid w:val="7CB041A7"/>
    <w:rsid w:val="7CBF1DE3"/>
    <w:rsid w:val="7CCD2DB5"/>
    <w:rsid w:val="7CF408EC"/>
    <w:rsid w:val="7D5E6593"/>
    <w:rsid w:val="7D8A0D83"/>
    <w:rsid w:val="7D8A3F55"/>
    <w:rsid w:val="7DBF0418"/>
    <w:rsid w:val="7DBF0B02"/>
    <w:rsid w:val="7DC05B47"/>
    <w:rsid w:val="7E0E55E6"/>
    <w:rsid w:val="7E631346"/>
    <w:rsid w:val="7EBE5F95"/>
    <w:rsid w:val="7EE449D4"/>
    <w:rsid w:val="7EF81D8F"/>
    <w:rsid w:val="7F0F1615"/>
    <w:rsid w:val="7F115666"/>
    <w:rsid w:val="7F222CD5"/>
    <w:rsid w:val="7F5B37FC"/>
    <w:rsid w:val="7FA90BC3"/>
    <w:rsid w:val="7FD077B0"/>
    <w:rsid w:val="7FDF7B3B"/>
    <w:rsid w:val="7FE33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4"/>
    <w:qFormat/>
    <w:uiPriority w:val="0"/>
    <w:pPr>
      <w:keepLines/>
      <w:outlineLvl w:val="1"/>
    </w:pPr>
    <w:rPr>
      <w:b/>
      <w:color w:val="FF0000"/>
    </w:rPr>
  </w:style>
  <w:style w:type="paragraph" w:styleId="7">
    <w:name w:val="heading 3"/>
    <w:basedOn w:val="1"/>
    <w:next w:val="1"/>
    <w:qFormat/>
    <w:uiPriority w:val="0"/>
    <w:pPr>
      <w:keepNext/>
      <w:jc w:val="left"/>
      <w:outlineLvl w:val="2"/>
    </w:pPr>
    <w:rPr>
      <w:rFonts w:eastAsia="黑体"/>
      <w:b/>
      <w:sz w:val="32"/>
    </w:rPr>
  </w:style>
  <w:style w:type="paragraph" w:styleId="8">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semiHidden/>
    <w:unhideWhenUsed/>
    <w:qFormat/>
    <w:uiPriority w:val="9"/>
    <w:pPr>
      <w:spacing w:beforeAutospacing="1" w:afterAutospacing="1"/>
      <w:jc w:val="left"/>
      <w:outlineLvl w:val="4"/>
    </w:pPr>
    <w:rPr>
      <w:rFonts w:hint="eastAsia" w:ascii="宋体" w:hAnsi="宋体" w:eastAsia="宋体" w:cs="Times New Roman"/>
      <w:b/>
      <w:bCs/>
      <w:kern w:val="0"/>
      <w:sz w:val="2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next w:val="5"/>
    <w:qFormat/>
    <w:uiPriority w:val="99"/>
    <w:rPr>
      <w:rFonts w:ascii="Arial" w:hAnsi="Arial" w:eastAsia="黑体"/>
      <w:b/>
      <w:bCs/>
      <w:sz w:val="32"/>
      <w:szCs w:val="32"/>
    </w:rPr>
  </w:style>
  <w:style w:type="paragraph" w:styleId="5">
    <w:name w:val="Body Text First Indent"/>
    <w:basedOn w:val="6"/>
    <w:next w:val="1"/>
    <w:qFormat/>
    <w:uiPriority w:val="0"/>
    <w:pPr>
      <w:ind w:firstLine="420" w:firstLineChars="100"/>
    </w:pPr>
  </w:style>
  <w:style w:type="paragraph" w:styleId="6">
    <w:name w:val="Body Text"/>
    <w:basedOn w:val="1"/>
    <w:next w:val="1"/>
    <w:unhideWhenUsed/>
    <w:qFormat/>
    <w:uiPriority w:val="1"/>
    <w:pPr>
      <w:spacing w:before="236"/>
      <w:ind w:left="140"/>
    </w:pPr>
    <w:rPr>
      <w:rFonts w:hint="eastAsia" w:ascii="宋体" w:hAnsi="宋体" w:eastAsia="宋体"/>
      <w:sz w:val="28"/>
      <w:szCs w:val="24"/>
    </w:rPr>
  </w:style>
  <w:style w:type="paragraph" w:styleId="10">
    <w:name w:val="caption"/>
    <w:basedOn w:val="1"/>
    <w:next w:val="1"/>
    <w:qFormat/>
    <w:uiPriority w:val="35"/>
    <w:rPr>
      <w:rFonts w:ascii="Cambria" w:hAnsi="Cambria" w:eastAsia="黑体"/>
      <w:kern w:val="0"/>
      <w:sz w:val="20"/>
      <w:szCs w:val="20"/>
    </w:rPr>
  </w:style>
  <w:style w:type="paragraph" w:styleId="11">
    <w:name w:val="annotation text"/>
    <w:basedOn w:val="1"/>
    <w:link w:val="110"/>
    <w:semiHidden/>
    <w:qFormat/>
    <w:uiPriority w:val="0"/>
    <w:pPr>
      <w:jc w:val="left"/>
    </w:pPr>
    <w:rPr>
      <w:kern w:val="0"/>
      <w:sz w:val="24"/>
      <w:szCs w:val="20"/>
    </w:rPr>
  </w:style>
  <w:style w:type="paragraph" w:styleId="12">
    <w:name w:val="Body Text Indent"/>
    <w:basedOn w:val="1"/>
    <w:link w:val="48"/>
    <w:qFormat/>
    <w:uiPriority w:val="0"/>
    <w:pPr>
      <w:spacing w:line="440" w:lineRule="exact"/>
      <w:ind w:firstLine="527"/>
    </w:pPr>
    <w:rPr>
      <w:rFonts w:ascii="宋体" w:hAnsi="Times New Roman"/>
      <w:sz w:val="24"/>
      <w:szCs w:val="20"/>
    </w:rPr>
  </w:style>
  <w:style w:type="paragraph" w:styleId="13">
    <w:name w:val="Plain Text"/>
    <w:basedOn w:val="1"/>
    <w:next w:val="1"/>
    <w:link w:val="68"/>
    <w:qFormat/>
    <w:uiPriority w:val="0"/>
    <w:rPr>
      <w:rFonts w:ascii="宋体" w:hAnsi="Courier New"/>
    </w:rPr>
  </w:style>
  <w:style w:type="paragraph" w:styleId="14">
    <w:name w:val="Date"/>
    <w:basedOn w:val="1"/>
    <w:next w:val="1"/>
    <w:link w:val="63"/>
    <w:qFormat/>
    <w:uiPriority w:val="99"/>
    <w:pPr>
      <w:ind w:left="100" w:leftChars="2500"/>
    </w:pPr>
    <w:rPr>
      <w:rFonts w:ascii="Times New Roman" w:hAnsi="Times New Roman"/>
      <w:sz w:val="24"/>
      <w:szCs w:val="24"/>
    </w:rPr>
  </w:style>
  <w:style w:type="paragraph" w:styleId="15">
    <w:name w:val="Body Text Indent 2"/>
    <w:basedOn w:val="1"/>
    <w:next w:val="1"/>
    <w:qFormat/>
    <w:uiPriority w:val="0"/>
    <w:pPr>
      <w:adjustRightInd w:val="0"/>
      <w:snapToGrid w:val="0"/>
      <w:spacing w:before="50" w:after="50" w:line="312" w:lineRule="auto"/>
      <w:ind w:firstLine="585" w:firstLineChars="209"/>
    </w:pPr>
    <w:rPr>
      <w:rFonts w:ascii="宋体" w:hAnsi="宋体"/>
    </w:rPr>
  </w:style>
  <w:style w:type="paragraph" w:styleId="16">
    <w:name w:val="Balloon Text"/>
    <w:basedOn w:val="1"/>
    <w:link w:val="73"/>
    <w:semiHidden/>
    <w:unhideWhenUsed/>
    <w:qFormat/>
    <w:uiPriority w:val="99"/>
    <w:rPr>
      <w:sz w:val="18"/>
      <w:szCs w:val="18"/>
    </w:rPr>
  </w:style>
  <w:style w:type="paragraph" w:styleId="17">
    <w:name w:val="footer"/>
    <w:basedOn w:val="1"/>
    <w:next w:val="1"/>
    <w:link w:val="45"/>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style>
  <w:style w:type="paragraph" w:styleId="20">
    <w:name w:val="List"/>
    <w:basedOn w:val="1"/>
    <w:unhideWhenUsed/>
    <w:qFormat/>
    <w:uiPriority w:val="99"/>
    <w:pPr>
      <w:ind w:left="200" w:hanging="200" w:hangingChars="200"/>
      <w:contextualSpacing/>
    </w:pPr>
  </w:style>
  <w:style w:type="paragraph" w:styleId="21">
    <w:name w:val="toc 2"/>
    <w:basedOn w:val="1"/>
    <w:next w:val="1"/>
    <w:qFormat/>
    <w:uiPriority w:val="0"/>
    <w:pPr>
      <w:ind w:left="420" w:leftChars="200"/>
    </w:pPr>
  </w:style>
  <w:style w:type="paragraph" w:styleId="22">
    <w:name w:val="HTML Preformatted"/>
    <w:basedOn w:val="1"/>
    <w:link w:val="5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rPr>
  </w:style>
  <w:style w:type="paragraph" w:styleId="23">
    <w:name w:val="Normal (Web)"/>
    <w:basedOn w:val="1"/>
    <w:next w:val="1"/>
    <w:qFormat/>
    <w:uiPriority w:val="99"/>
    <w:pPr>
      <w:widowControl/>
      <w:spacing w:before="100" w:beforeAutospacing="1" w:after="100" w:afterAutospacing="1" w:line="360" w:lineRule="atLeast"/>
      <w:ind w:firstLine="480"/>
    </w:pPr>
    <w:rPr>
      <w:rFonts w:ascii="Arial Unicode MS" w:hAnsi="Arial Unicode MS" w:eastAsia="Arial Unicode MS" w:cs="Arial Unicode MS"/>
      <w:spacing w:val="24"/>
      <w:kern w:val="0"/>
      <w:sz w:val="24"/>
      <w:szCs w:val="24"/>
    </w:rPr>
  </w:style>
  <w:style w:type="paragraph" w:styleId="24">
    <w:name w:val="Title"/>
    <w:basedOn w:val="1"/>
    <w:next w:val="1"/>
    <w:qFormat/>
    <w:uiPriority w:val="0"/>
    <w:pPr>
      <w:spacing w:before="240" w:after="60"/>
      <w:jc w:val="center"/>
      <w:outlineLvl w:val="0"/>
    </w:pPr>
    <w:rPr>
      <w:rFonts w:ascii="Arial" w:hAnsi="Arial" w:eastAsia="仿宋_GB2312"/>
      <w:b/>
      <w:sz w:val="32"/>
    </w:rPr>
  </w:style>
  <w:style w:type="paragraph" w:styleId="25">
    <w:name w:val="annotation subject"/>
    <w:basedOn w:val="11"/>
    <w:next w:val="11"/>
    <w:link w:val="111"/>
    <w:semiHidden/>
    <w:unhideWhenUsed/>
    <w:qFormat/>
    <w:uiPriority w:val="99"/>
    <w:rPr>
      <w:b/>
      <w:bCs/>
      <w:kern w:val="2"/>
      <w:sz w:val="21"/>
      <w:szCs w:val="22"/>
    </w:rPr>
  </w:style>
  <w:style w:type="paragraph" w:styleId="26">
    <w:name w:val="Body Text First Indent 2"/>
    <w:basedOn w:val="1"/>
    <w:next w:val="1"/>
    <w:qFormat/>
    <w:uiPriority w:val="99"/>
    <w:pPr>
      <w:widowControl/>
      <w:spacing w:before="100" w:beforeAutospacing="1" w:after="100" w:afterAutospacing="1"/>
      <w:jc w:val="left"/>
    </w:pPr>
    <w:rPr>
      <w:rFonts w:ascii="宋体" w:hAnsi="宋体"/>
      <w:kern w:val="0"/>
      <w:sz w:val="24"/>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color w:val="800080"/>
      <w:szCs w:val="20"/>
      <w:u w:val="none"/>
    </w:rPr>
  </w:style>
  <w:style w:type="character" w:styleId="33">
    <w:name w:val="Hyperlink"/>
    <w:basedOn w:val="29"/>
    <w:semiHidden/>
    <w:unhideWhenUsed/>
    <w:qFormat/>
    <w:uiPriority w:val="99"/>
    <w:rPr>
      <w:color w:val="0000FF"/>
      <w:u w:val="single"/>
    </w:rPr>
  </w:style>
  <w:style w:type="character" w:styleId="34">
    <w:name w:val="annotation reference"/>
    <w:basedOn w:val="29"/>
    <w:semiHidden/>
    <w:unhideWhenUsed/>
    <w:qFormat/>
    <w:uiPriority w:val="99"/>
    <w:rPr>
      <w:sz w:val="21"/>
      <w:szCs w:val="21"/>
    </w:rPr>
  </w:style>
  <w:style w:type="paragraph" w:customStyle="1" w:styleId="35">
    <w:name w:val="样式 正文文本缩进 + 行距: 1.5 倍行距"/>
    <w:qFormat/>
    <w:uiPriority w:val="0"/>
    <w:pPr>
      <w:widowControl w:val="0"/>
      <w:spacing w:after="120" w:line="360" w:lineRule="auto"/>
      <w:ind w:left="90" w:leftChars="32" w:firstLine="560" w:firstLineChars="200"/>
      <w:jc w:val="both"/>
    </w:pPr>
    <w:rPr>
      <w:rFonts w:ascii="Times New Roman" w:hAnsi="Times New Roman" w:eastAsia="宋体" w:cs="宋体"/>
      <w:kern w:val="2"/>
      <w:sz w:val="24"/>
      <w:szCs w:val="24"/>
      <w:lang w:val="en-US" w:eastAsia="zh-CN" w:bidi="ar-SA"/>
    </w:rPr>
  </w:style>
  <w:style w:type="paragraph" w:customStyle="1" w:styleId="36">
    <w:name w:val="Default"/>
    <w:basedOn w:val="37"/>
    <w:qFormat/>
    <w:uiPriority w:val="0"/>
    <w:pPr>
      <w:autoSpaceDE w:val="0"/>
      <w:autoSpaceDN w:val="0"/>
      <w:adjustRightInd w:val="0"/>
    </w:pPr>
    <w:rPr>
      <w:rFonts w:ascii="宋体" w:eastAsia="宋体" w:cs="宋体"/>
      <w:sz w:val="24"/>
    </w:rPr>
  </w:style>
  <w:style w:type="paragraph" w:customStyle="1" w:styleId="37">
    <w:name w:val="批注文字1"/>
    <w:unhideWhenUsed/>
    <w:qFormat/>
    <w:uiPriority w:val="0"/>
    <w:pPr>
      <w:widowControl w:val="0"/>
    </w:pPr>
    <w:rPr>
      <w:rFonts w:hint="eastAsia" w:ascii="Times New Roman" w:hAnsi="Times New Roman" w:eastAsia="Times New Roman" w:cs="Times New Roman"/>
      <w:color w:val="000000"/>
      <w:kern w:val="2"/>
      <w:sz w:val="21"/>
      <w:szCs w:val="24"/>
      <w:lang w:val="en-US" w:eastAsia="zh-CN" w:bidi="ar-SA"/>
    </w:rPr>
  </w:style>
  <w:style w:type="paragraph" w:customStyle="1" w:styleId="38">
    <w:name w:val="表格"/>
    <w:basedOn w:val="39"/>
    <w:next w:val="1"/>
    <w:qFormat/>
    <w:uiPriority w:val="0"/>
    <w:pPr>
      <w:snapToGrid w:val="0"/>
      <w:spacing w:beforeLines="10" w:afterLines="10" w:line="256" w:lineRule="auto"/>
      <w:jc w:val="center"/>
    </w:pPr>
    <w:rPr>
      <w:rFonts w:hAnsi="宋体" w:eastAsia="宋体" w:cs="宋体"/>
      <w:szCs w:val="21"/>
    </w:rPr>
  </w:style>
  <w:style w:type="paragraph" w:customStyle="1" w:styleId="39">
    <w:name w:val="纯文本1"/>
    <w:basedOn w:val="1"/>
    <w:qFormat/>
    <w:uiPriority w:val="0"/>
    <w:pPr>
      <w:autoSpaceDE w:val="0"/>
      <w:autoSpaceDN w:val="0"/>
      <w:adjustRightInd w:val="0"/>
      <w:spacing w:line="341" w:lineRule="auto"/>
      <w:jc w:val="left"/>
      <w:textAlignment w:val="baseline"/>
    </w:pPr>
    <w:rPr>
      <w:rFonts w:ascii="宋体" w:hAnsi="Courier New"/>
      <w:kern w:val="0"/>
      <w:szCs w:val="20"/>
    </w:rPr>
  </w:style>
  <w:style w:type="paragraph" w:customStyle="1" w:styleId="40">
    <w:name w:val="正文首行缩进 21"/>
    <w:basedOn w:val="41"/>
    <w:next w:val="23"/>
    <w:qFormat/>
    <w:uiPriority w:val="0"/>
  </w:style>
  <w:style w:type="paragraph" w:customStyle="1" w:styleId="41">
    <w:name w:val="正文文本缩进1"/>
    <w:basedOn w:val="1"/>
    <w:qFormat/>
    <w:uiPriority w:val="0"/>
    <w:pPr>
      <w:ind w:left="2990"/>
      <w:jc w:val="left"/>
    </w:pPr>
    <w:rPr>
      <w:sz w:val="28"/>
      <w:szCs w:val="28"/>
    </w:rPr>
  </w:style>
  <w:style w:type="paragraph" w:customStyle="1" w:styleId="42">
    <w:name w:val="Normal Indent1"/>
    <w:basedOn w:val="1"/>
    <w:qFormat/>
    <w:uiPriority w:val="0"/>
    <w:pPr>
      <w:ind w:firstLine="420" w:firstLineChars="200"/>
    </w:pPr>
  </w:style>
  <w:style w:type="paragraph" w:customStyle="1" w:styleId="43">
    <w:name w:val="表格文字"/>
    <w:basedOn w:val="6"/>
    <w:next w:val="1"/>
    <w:qFormat/>
    <w:uiPriority w:val="0"/>
    <w:pPr>
      <w:snapToGrid w:val="0"/>
      <w:spacing w:line="400" w:lineRule="exact"/>
      <w:jc w:val="center"/>
    </w:pPr>
    <w:rPr>
      <w:rFonts w:ascii="Times New Roman" w:hAnsi="Times New Roman"/>
      <w:szCs w:val="20"/>
    </w:rPr>
  </w:style>
  <w:style w:type="character" w:customStyle="1" w:styleId="44">
    <w:name w:val="页眉 字符"/>
    <w:basedOn w:val="29"/>
    <w:link w:val="18"/>
    <w:qFormat/>
    <w:uiPriority w:val="99"/>
    <w:rPr>
      <w:sz w:val="18"/>
      <w:szCs w:val="18"/>
    </w:rPr>
  </w:style>
  <w:style w:type="character" w:customStyle="1" w:styleId="45">
    <w:name w:val="页脚 字符"/>
    <w:basedOn w:val="29"/>
    <w:link w:val="17"/>
    <w:qFormat/>
    <w:uiPriority w:val="99"/>
    <w:rPr>
      <w:sz w:val="18"/>
      <w:szCs w:val="18"/>
    </w:rPr>
  </w:style>
  <w:style w:type="paragraph" w:styleId="46">
    <w:name w:val="List Paragraph"/>
    <w:basedOn w:val="1"/>
    <w:qFormat/>
    <w:uiPriority w:val="34"/>
    <w:pPr>
      <w:ind w:firstLine="420" w:firstLineChars="200"/>
    </w:pPr>
  </w:style>
  <w:style w:type="paragraph" w:customStyle="1" w:styleId="47">
    <w:name w:val="Char Char Char Char"/>
    <w:basedOn w:val="1"/>
    <w:qFormat/>
    <w:uiPriority w:val="0"/>
    <w:rPr>
      <w:rFonts w:ascii="Times New Roman" w:hAnsi="Times New Roman" w:eastAsia="宋体" w:cs="Times New Roman"/>
      <w:szCs w:val="20"/>
    </w:rPr>
  </w:style>
  <w:style w:type="character" w:customStyle="1" w:styleId="48">
    <w:name w:val="正文文本缩进 字符"/>
    <w:basedOn w:val="29"/>
    <w:link w:val="12"/>
    <w:qFormat/>
    <w:uiPriority w:val="0"/>
    <w:rPr>
      <w:rFonts w:ascii="宋体" w:hAnsi="Times New Roman"/>
      <w:sz w:val="24"/>
      <w:szCs w:val="20"/>
    </w:rPr>
  </w:style>
  <w:style w:type="character" w:customStyle="1" w:styleId="49">
    <w:name w:val="正文文本缩进 字符1"/>
    <w:basedOn w:val="29"/>
    <w:semiHidden/>
    <w:qFormat/>
    <w:uiPriority w:val="99"/>
  </w:style>
  <w:style w:type="character" w:customStyle="1" w:styleId="50">
    <w:name w:val="HTML 预设格式 字符"/>
    <w:basedOn w:val="29"/>
    <w:link w:val="22"/>
    <w:qFormat/>
    <w:uiPriority w:val="99"/>
    <w:rPr>
      <w:rFonts w:ascii="宋体" w:hAnsi="宋体" w:eastAsia="宋体" w:cs="宋体"/>
      <w:kern w:val="0"/>
      <w:sz w:val="24"/>
      <w:szCs w:val="24"/>
    </w:rPr>
  </w:style>
  <w:style w:type="paragraph" w:customStyle="1" w:styleId="51">
    <w:name w:val="Char Char Char Char1"/>
    <w:basedOn w:val="1"/>
    <w:qFormat/>
    <w:uiPriority w:val="0"/>
    <w:rPr>
      <w:rFonts w:ascii="Times New Roman" w:hAnsi="Times New Roman" w:eastAsia="宋体" w:cs="Times New Roman"/>
      <w:szCs w:val="20"/>
    </w:rPr>
  </w:style>
  <w:style w:type="paragraph" w:customStyle="1" w:styleId="52">
    <w:name w:val="Char Char Char Char2"/>
    <w:basedOn w:val="1"/>
    <w:qFormat/>
    <w:uiPriority w:val="0"/>
    <w:rPr>
      <w:rFonts w:ascii="Times New Roman" w:hAnsi="Times New Roman" w:eastAsia="宋体" w:cs="Times New Roman"/>
      <w:szCs w:val="20"/>
    </w:rPr>
  </w:style>
  <w:style w:type="paragraph" w:customStyle="1" w:styleId="53">
    <w:name w:val="可研正文"/>
    <w:basedOn w:val="1"/>
    <w:qFormat/>
    <w:uiPriority w:val="0"/>
    <w:pPr>
      <w:spacing w:before="156" w:beforeLines="50" w:after="156" w:afterLines="50" w:line="360" w:lineRule="auto"/>
      <w:ind w:firstLine="600" w:firstLineChars="200"/>
    </w:pPr>
    <w:rPr>
      <w:rFonts w:ascii="仿宋" w:hAnsi="仿宋" w:eastAsia="仿宋" w:cs="Times New Roman"/>
      <w:sz w:val="28"/>
      <w:szCs w:val="20"/>
    </w:rPr>
  </w:style>
  <w:style w:type="paragraph" w:customStyle="1" w:styleId="54">
    <w:name w:val="Char Char Char Char3"/>
    <w:basedOn w:val="1"/>
    <w:qFormat/>
    <w:uiPriority w:val="0"/>
    <w:rPr>
      <w:rFonts w:ascii="Times New Roman" w:hAnsi="Times New Roman" w:eastAsia="宋体" w:cs="Times New Roman"/>
      <w:szCs w:val="20"/>
    </w:rPr>
  </w:style>
  <w:style w:type="paragraph" w:customStyle="1" w:styleId="55">
    <w:name w:val="Char Char Char Char4"/>
    <w:basedOn w:val="1"/>
    <w:qFormat/>
    <w:uiPriority w:val="0"/>
    <w:rPr>
      <w:rFonts w:ascii="Times New Roman" w:hAnsi="Times New Roman" w:eastAsia="宋体" w:cs="Times New Roman"/>
      <w:szCs w:val="20"/>
    </w:rPr>
  </w:style>
  <w:style w:type="paragraph" w:customStyle="1" w:styleId="56">
    <w:name w:val="Char Char Char Char5"/>
    <w:basedOn w:val="1"/>
    <w:qFormat/>
    <w:uiPriority w:val="0"/>
    <w:rPr>
      <w:rFonts w:ascii="Times New Roman" w:hAnsi="Times New Roman" w:eastAsia="宋体" w:cs="Times New Roman"/>
      <w:szCs w:val="20"/>
    </w:rPr>
  </w:style>
  <w:style w:type="paragraph" w:customStyle="1" w:styleId="57">
    <w:name w:val="Char Char Char Char6"/>
    <w:basedOn w:val="1"/>
    <w:qFormat/>
    <w:uiPriority w:val="0"/>
    <w:rPr>
      <w:rFonts w:ascii="Times New Roman" w:hAnsi="Times New Roman" w:eastAsia="宋体" w:cs="Times New Roman"/>
      <w:szCs w:val="20"/>
    </w:rPr>
  </w:style>
  <w:style w:type="paragraph" w:customStyle="1" w:styleId="58">
    <w:name w:val="_Style 2"/>
    <w:basedOn w:val="1"/>
    <w:qFormat/>
    <w:uiPriority w:val="0"/>
    <w:pPr>
      <w:ind w:firstLine="420" w:firstLineChars="200"/>
    </w:pPr>
    <w:rPr>
      <w:rFonts w:ascii="Times New Roman" w:hAnsi="Times New Roman" w:eastAsia="宋体" w:cs="Times New Roman"/>
      <w:szCs w:val="24"/>
    </w:rPr>
  </w:style>
  <w:style w:type="character" w:customStyle="1" w:styleId="59">
    <w:name w:val="tpc_content"/>
    <w:basedOn w:val="29"/>
    <w:qFormat/>
    <w:uiPriority w:val="0"/>
    <w:rPr>
      <w:rFonts w:ascii="Times New Roman" w:hAnsi="Times New Roman"/>
      <w:szCs w:val="20"/>
    </w:rPr>
  </w:style>
  <w:style w:type="paragraph" w:customStyle="1" w:styleId="60">
    <w:name w:val="Char Char Char Char7"/>
    <w:basedOn w:val="1"/>
    <w:qFormat/>
    <w:uiPriority w:val="0"/>
    <w:rPr>
      <w:rFonts w:ascii="Times New Roman" w:hAnsi="Times New Roman" w:eastAsia="宋体" w:cs="Times New Roman"/>
      <w:szCs w:val="20"/>
    </w:rPr>
  </w:style>
  <w:style w:type="character" w:customStyle="1" w:styleId="61">
    <w:name w:val="style21"/>
    <w:basedOn w:val="29"/>
    <w:qFormat/>
    <w:uiPriority w:val="0"/>
    <w:rPr>
      <w:rFonts w:ascii="Times New Roman" w:hAnsi="Times New Roman"/>
      <w:sz w:val="21"/>
      <w:szCs w:val="21"/>
    </w:rPr>
  </w:style>
  <w:style w:type="character" w:customStyle="1" w:styleId="62">
    <w:name w:val="font01"/>
    <w:basedOn w:val="29"/>
    <w:qFormat/>
    <w:uiPriority w:val="0"/>
    <w:rPr>
      <w:rFonts w:ascii="Wingdings 2" w:hAnsi="Wingdings 2" w:eastAsia="Wingdings 2" w:cs="Wingdings 2"/>
      <w:color w:val="000000"/>
      <w:sz w:val="24"/>
      <w:szCs w:val="24"/>
      <w:u w:val="none"/>
    </w:rPr>
  </w:style>
  <w:style w:type="character" w:customStyle="1" w:styleId="63">
    <w:name w:val="日期 字符"/>
    <w:basedOn w:val="29"/>
    <w:link w:val="14"/>
    <w:qFormat/>
    <w:uiPriority w:val="99"/>
    <w:rPr>
      <w:rFonts w:ascii="Times New Roman" w:hAnsi="Times New Roman"/>
      <w:sz w:val="24"/>
      <w:szCs w:val="24"/>
    </w:rPr>
  </w:style>
  <w:style w:type="character" w:customStyle="1" w:styleId="64">
    <w:name w:val="日期 字符1"/>
    <w:basedOn w:val="29"/>
    <w:semiHidden/>
    <w:qFormat/>
    <w:uiPriority w:val="99"/>
  </w:style>
  <w:style w:type="character" w:styleId="65">
    <w:name w:val="Placeholder Text"/>
    <w:basedOn w:val="29"/>
    <w:semiHidden/>
    <w:qFormat/>
    <w:uiPriority w:val="99"/>
    <w:rPr>
      <w:color w:val="808080"/>
    </w:rPr>
  </w:style>
  <w:style w:type="paragraph" w:customStyle="1" w:styleId="66">
    <w:name w:val="Char Char Char Char8"/>
    <w:basedOn w:val="1"/>
    <w:qFormat/>
    <w:uiPriority w:val="0"/>
    <w:rPr>
      <w:rFonts w:ascii="Times New Roman" w:hAnsi="Times New Roman" w:eastAsia="宋体" w:cs="Times New Roman"/>
      <w:szCs w:val="20"/>
    </w:rPr>
  </w:style>
  <w:style w:type="paragraph" w:customStyle="1" w:styleId="67">
    <w:name w:val="Char Char Char Char9"/>
    <w:basedOn w:val="1"/>
    <w:qFormat/>
    <w:uiPriority w:val="0"/>
    <w:rPr>
      <w:rFonts w:ascii="Times New Roman" w:hAnsi="Times New Roman" w:eastAsia="宋体" w:cs="Times New Roman"/>
      <w:szCs w:val="20"/>
    </w:rPr>
  </w:style>
  <w:style w:type="character" w:customStyle="1" w:styleId="68">
    <w:name w:val="纯文本 字符"/>
    <w:link w:val="13"/>
    <w:qFormat/>
    <w:uiPriority w:val="0"/>
    <w:rPr>
      <w:rFonts w:ascii="宋体" w:hAnsi="Courier New"/>
    </w:rPr>
  </w:style>
  <w:style w:type="character" w:customStyle="1" w:styleId="69">
    <w:name w:val="纯文本 字符1"/>
    <w:basedOn w:val="29"/>
    <w:semiHidden/>
    <w:qFormat/>
    <w:uiPriority w:val="99"/>
    <w:rPr>
      <w:rFonts w:hAnsi="Courier New" w:cs="Courier New" w:asciiTheme="minorEastAsia"/>
    </w:rPr>
  </w:style>
  <w:style w:type="paragraph" w:customStyle="1" w:styleId="70">
    <w:name w:val="Char Char Char Char10"/>
    <w:basedOn w:val="1"/>
    <w:qFormat/>
    <w:uiPriority w:val="0"/>
    <w:rPr>
      <w:rFonts w:ascii="Times New Roman" w:hAnsi="Times New Roman" w:eastAsia="宋体" w:cs="Times New Roman"/>
      <w:szCs w:val="20"/>
    </w:rPr>
  </w:style>
  <w:style w:type="paragraph" w:customStyle="1" w:styleId="71">
    <w:name w:val="Char Char Char Char11"/>
    <w:basedOn w:val="1"/>
    <w:qFormat/>
    <w:uiPriority w:val="0"/>
    <w:rPr>
      <w:rFonts w:ascii="Times New Roman" w:hAnsi="Times New Roman" w:eastAsia="宋体" w:cs="Times New Roman"/>
      <w:szCs w:val="20"/>
    </w:rPr>
  </w:style>
  <w:style w:type="paragraph" w:customStyle="1" w:styleId="72">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szCs w:val="21"/>
    </w:rPr>
  </w:style>
  <w:style w:type="character" w:customStyle="1" w:styleId="73">
    <w:name w:val="批注框文本 字符"/>
    <w:basedOn w:val="29"/>
    <w:link w:val="16"/>
    <w:semiHidden/>
    <w:qFormat/>
    <w:uiPriority w:val="99"/>
    <w:rPr>
      <w:sz w:val="18"/>
      <w:szCs w:val="18"/>
    </w:rPr>
  </w:style>
  <w:style w:type="paragraph" w:customStyle="1" w:styleId="74">
    <w:name w:val="普通(网站)1"/>
    <w:basedOn w:val="1"/>
    <w:qFormat/>
    <w:uiPriority w:val="0"/>
    <w:pPr>
      <w:widowControl/>
      <w:autoSpaceDE w:val="0"/>
      <w:jc w:val="left"/>
    </w:pPr>
    <w:rPr>
      <w:rFonts w:ascii="宋体" w:hAnsi="宋体" w:eastAsia="宋体" w:cs="宋体"/>
      <w:sz w:val="24"/>
      <w:szCs w:val="24"/>
    </w:rPr>
  </w:style>
  <w:style w:type="paragraph" w:customStyle="1" w:styleId="75">
    <w:name w:val="普通(网站)11"/>
    <w:basedOn w:val="1"/>
    <w:qFormat/>
    <w:uiPriority w:val="0"/>
    <w:pPr>
      <w:widowControl/>
      <w:spacing w:before="100" w:beforeAutospacing="1" w:after="100" w:afterAutospacing="1"/>
      <w:jc w:val="left"/>
    </w:pPr>
    <w:rPr>
      <w:rFonts w:hint="eastAsia" w:ascii="宋体" w:hAnsi="宋体" w:eastAsia="宋体" w:cs="Times New Roman"/>
      <w:sz w:val="24"/>
    </w:rPr>
  </w:style>
  <w:style w:type="character" w:customStyle="1" w:styleId="76">
    <w:name w:val="font11"/>
    <w:basedOn w:val="29"/>
    <w:qFormat/>
    <w:uiPriority w:val="0"/>
    <w:rPr>
      <w:rFonts w:hint="default" w:ascii="Times New Roman" w:hAnsi="Times New Roman" w:cs="Times New Roman"/>
      <w:b/>
      <w:color w:val="000000"/>
      <w:sz w:val="18"/>
      <w:szCs w:val="18"/>
      <w:u w:val="none"/>
      <w:vertAlign w:val="superscript"/>
    </w:rPr>
  </w:style>
  <w:style w:type="paragraph" w:customStyle="1" w:styleId="77">
    <w:name w:val="Char Char Char Char12"/>
    <w:basedOn w:val="1"/>
    <w:qFormat/>
    <w:uiPriority w:val="0"/>
    <w:rPr>
      <w:rFonts w:ascii="Times New Roman" w:hAnsi="Times New Roman" w:eastAsia="宋体" w:cs="Times New Roman"/>
      <w:szCs w:val="20"/>
    </w:rPr>
  </w:style>
  <w:style w:type="table" w:customStyle="1" w:styleId="78">
    <w:name w:val="TableGrid"/>
    <w:qFormat/>
    <w:uiPriority w:val="0"/>
    <w:tblPr>
      <w:tblCellMar>
        <w:top w:w="0" w:type="dxa"/>
        <w:left w:w="0" w:type="dxa"/>
        <w:bottom w:w="0" w:type="dxa"/>
        <w:right w:w="0" w:type="dxa"/>
      </w:tblCellMar>
    </w:tblPr>
  </w:style>
  <w:style w:type="paragraph" w:customStyle="1" w:styleId="79">
    <w:name w:val="Char Char Char Char13"/>
    <w:basedOn w:val="1"/>
    <w:qFormat/>
    <w:uiPriority w:val="0"/>
    <w:rPr>
      <w:rFonts w:ascii="Times New Roman" w:hAnsi="Times New Roman" w:eastAsia="宋体" w:cs="Times New Roman"/>
      <w:szCs w:val="20"/>
    </w:rPr>
  </w:style>
  <w:style w:type="paragraph" w:customStyle="1" w:styleId="80">
    <w:name w:val="Table Paragraph"/>
    <w:basedOn w:val="1"/>
    <w:unhideWhenUsed/>
    <w:qFormat/>
    <w:uiPriority w:val="1"/>
    <w:rPr>
      <w:sz w:val="24"/>
      <w:szCs w:val="24"/>
    </w:rPr>
  </w:style>
  <w:style w:type="paragraph" w:customStyle="1" w:styleId="81">
    <w:name w:val="ZD标题4"/>
    <w:basedOn w:val="1"/>
    <w:next w:val="1"/>
    <w:qFormat/>
    <w:uiPriority w:val="0"/>
    <w:pPr>
      <w:keepNext/>
      <w:keepLines/>
      <w:adjustRightInd w:val="0"/>
      <w:snapToGrid w:val="0"/>
      <w:spacing w:beforeLines="50" w:afterLines="100"/>
      <w:outlineLvl w:val="3"/>
    </w:pPr>
    <w:rPr>
      <w:rFonts w:ascii="新宋体" w:hAnsi="新宋体" w:eastAsia="华文细黑"/>
      <w:bCs/>
      <w:snapToGrid w:val="0"/>
      <w:w w:val="108"/>
      <w:kern w:val="0"/>
      <w:sz w:val="28"/>
      <w:szCs w:val="28"/>
    </w:rPr>
  </w:style>
  <w:style w:type="paragraph" w:customStyle="1" w:styleId="82">
    <w:name w:val="ZD标正"/>
    <w:basedOn w:val="1"/>
    <w:qFormat/>
    <w:uiPriority w:val="0"/>
    <w:pPr>
      <w:autoSpaceDE w:val="0"/>
      <w:autoSpaceDN w:val="0"/>
      <w:adjustRightInd w:val="0"/>
      <w:snapToGrid w:val="0"/>
      <w:spacing w:beforeLines="50" w:afterLines="50" w:line="360" w:lineRule="auto"/>
      <w:ind w:firstLine="200" w:firstLineChars="200"/>
      <w:contextualSpacing/>
    </w:pPr>
    <w:rPr>
      <w:rFonts w:ascii="宋体" w:hAnsi="宋体" w:eastAsia="方正仿宋_GBK"/>
      <w:snapToGrid w:val="0"/>
      <w:kern w:val="0"/>
      <w:sz w:val="28"/>
      <w:szCs w:val="28"/>
    </w:rPr>
  </w:style>
  <w:style w:type="paragraph" w:customStyle="1" w:styleId="83">
    <w:name w:val="Char"/>
    <w:basedOn w:val="1"/>
    <w:qFormat/>
    <w:uiPriority w:val="0"/>
    <w:pPr>
      <w:snapToGrid w:val="0"/>
      <w:spacing w:line="360" w:lineRule="auto"/>
      <w:ind w:firstLine="529" w:firstLineChars="200"/>
    </w:pPr>
    <w:rPr>
      <w:rFonts w:ascii="宋体" w:hAnsi="宋体"/>
      <w:b/>
      <w:szCs w:val="24"/>
    </w:rPr>
  </w:style>
  <w:style w:type="paragraph" w:customStyle="1" w:styleId="84">
    <w:name w:val="普通(网站)2"/>
    <w:basedOn w:val="1"/>
    <w:qFormat/>
    <w:uiPriority w:val="0"/>
    <w:pPr>
      <w:widowControl/>
      <w:spacing w:before="100" w:beforeAutospacing="1" w:after="100" w:afterAutospacing="1"/>
      <w:jc w:val="left"/>
    </w:pPr>
    <w:rPr>
      <w:rFonts w:hint="eastAsia" w:ascii="宋体" w:hAnsi="宋体" w:eastAsia="宋体"/>
      <w:sz w:val="24"/>
    </w:rPr>
  </w:style>
  <w:style w:type="paragraph" w:customStyle="1" w:styleId="85">
    <w:name w:val="0正文"/>
    <w:basedOn w:val="12"/>
    <w:qFormat/>
    <w:uiPriority w:val="0"/>
    <w:pPr>
      <w:spacing w:line="300" w:lineRule="auto"/>
      <w:ind w:firstLine="480" w:firstLineChars="200"/>
    </w:pPr>
    <w:rPr>
      <w:rFonts w:ascii="Times New Roman" w:cs="宋体"/>
    </w:rPr>
  </w:style>
  <w:style w:type="paragraph" w:customStyle="1" w:styleId="86">
    <w:name w:val="_Style 5"/>
    <w:basedOn w:val="1"/>
    <w:qFormat/>
    <w:uiPriority w:val="0"/>
    <w:pPr>
      <w:snapToGrid w:val="0"/>
      <w:spacing w:line="360" w:lineRule="auto"/>
      <w:ind w:firstLine="529" w:firstLineChars="200"/>
    </w:pPr>
    <w:rPr>
      <w:szCs w:val="24"/>
    </w:rPr>
  </w:style>
  <w:style w:type="paragraph" w:customStyle="1" w:styleId="87">
    <w:name w:val="正文文本缩进2"/>
    <w:basedOn w:val="1"/>
    <w:qFormat/>
    <w:uiPriority w:val="0"/>
    <w:pPr>
      <w:spacing w:before="100" w:beforeAutospacing="1" w:after="100" w:afterAutospacing="1" w:line="360" w:lineRule="auto"/>
      <w:ind w:firstLine="868" w:firstLineChars="310"/>
    </w:pPr>
  </w:style>
  <w:style w:type="paragraph" w:customStyle="1" w:styleId="88">
    <w:name w:val="正文部分"/>
    <w:basedOn w:val="1"/>
    <w:qFormat/>
    <w:uiPriority w:val="0"/>
    <w:pPr>
      <w:spacing w:line="460" w:lineRule="exact"/>
      <w:ind w:firstLine="200" w:firstLineChars="200"/>
    </w:pPr>
    <w:rPr>
      <w:rFonts w:ascii="楷体_GB2312" w:hAnsi="宋体" w:eastAsia="仿宋_GB2312"/>
      <w:b/>
      <w:szCs w:val="28"/>
    </w:rPr>
  </w:style>
  <w:style w:type="paragraph" w:customStyle="1" w:styleId="89">
    <w:name w:val="表题目"/>
    <w:basedOn w:val="1"/>
    <w:qFormat/>
    <w:uiPriority w:val="0"/>
    <w:pPr>
      <w:jc w:val="center"/>
    </w:pPr>
    <w:rPr>
      <w:rFonts w:ascii="宋体"/>
      <w:b/>
      <w:sz w:val="24"/>
      <w:szCs w:val="24"/>
    </w:rPr>
  </w:style>
  <w:style w:type="paragraph" w:customStyle="1" w:styleId="90">
    <w:name w:val="正文_0"/>
    <w:qFormat/>
    <w:uiPriority w:val="0"/>
    <w:pPr>
      <w:widowControl w:val="0"/>
      <w:spacing w:line="240" w:lineRule="atLeast"/>
      <w:jc w:val="both"/>
    </w:pPr>
    <w:rPr>
      <w:rFonts w:ascii="方正仿宋_GBK" w:hAnsi="方正仿宋_GBK" w:eastAsia="方正仿宋_GBK" w:cs="Times New Roman"/>
      <w:kern w:val="2"/>
      <w:sz w:val="32"/>
      <w:lang w:val="en-US" w:eastAsia="zh-CN" w:bidi="ar-SA"/>
    </w:rPr>
  </w:style>
  <w:style w:type="paragraph" w:customStyle="1" w:styleId="91">
    <w:name w:val="p16"/>
    <w:basedOn w:val="1"/>
    <w:qFormat/>
    <w:uiPriority w:val="0"/>
    <w:pPr>
      <w:widowControl/>
      <w:spacing w:line="240" w:lineRule="atLeast"/>
    </w:pPr>
    <w:rPr>
      <w:rFonts w:ascii="Calibri" w:hAnsi="Calibri" w:eastAsia="宋体" w:cs="Times New Roman"/>
      <w:spacing w:val="6"/>
      <w:kern w:val="0"/>
      <w:sz w:val="32"/>
      <w:szCs w:val="32"/>
    </w:rPr>
  </w:style>
  <w:style w:type="paragraph" w:customStyle="1" w:styleId="92">
    <w:name w:val="评审正文"/>
    <w:basedOn w:val="1"/>
    <w:qFormat/>
    <w:uiPriority w:val="0"/>
    <w:pPr>
      <w:spacing w:line="600" w:lineRule="exact"/>
      <w:ind w:firstLine="640" w:firstLineChars="200"/>
    </w:pPr>
    <w:rPr>
      <w:rFonts w:hint="eastAsia" w:ascii="方正仿宋_GBK" w:hAnsi="宋体" w:eastAsia="方正仿宋_GBK"/>
      <w:sz w:val="32"/>
    </w:rPr>
  </w:style>
  <w:style w:type="paragraph" w:customStyle="1" w:styleId="93">
    <w:name w:val="(中文) 仿宋_GB2312 四号 行距: 固定值 28 磅 首行缩进:  2 字符"/>
    <w:basedOn w:val="1"/>
    <w:qFormat/>
    <w:uiPriority w:val="0"/>
    <w:pPr>
      <w:spacing w:line="560" w:lineRule="exact"/>
      <w:ind w:firstLine="560" w:firstLineChars="200"/>
    </w:pPr>
    <w:rPr>
      <w:rFonts w:hint="eastAsia"/>
      <w:kern w:val="0"/>
      <w:position w:val="8"/>
      <w:sz w:val="28"/>
      <w:szCs w:val="20"/>
    </w:rPr>
  </w:style>
  <w:style w:type="paragraph" w:customStyle="1" w:styleId="94">
    <w:name w:val="正文内容"/>
    <w:qFormat/>
    <w:uiPriority w:val="0"/>
    <w:pPr>
      <w:spacing w:line="460" w:lineRule="exact"/>
      <w:ind w:firstLine="562"/>
    </w:pPr>
    <w:rPr>
      <w:rFonts w:ascii="仿宋_GB2312" w:hAnsi="Times New Roman" w:eastAsia="仿宋_GB2312" w:cs="Times New Roman"/>
      <w:b/>
      <w:kern w:val="2"/>
      <w:sz w:val="28"/>
      <w:szCs w:val="28"/>
      <w:lang w:val="en-US" w:eastAsia="zh-CN" w:bidi="ar-SA"/>
    </w:rPr>
  </w:style>
  <w:style w:type="paragraph" w:customStyle="1" w:styleId="95">
    <w:name w:val="My正文 Char Char  hzm"/>
    <w:basedOn w:val="1"/>
    <w:qFormat/>
    <w:uiPriority w:val="0"/>
    <w:pPr>
      <w:widowControl/>
      <w:ind w:firstLine="200"/>
    </w:pPr>
    <w:rPr>
      <w:color w:val="0000FF"/>
    </w:rPr>
  </w:style>
  <w:style w:type="paragraph" w:customStyle="1" w:styleId="96">
    <w:name w:val="纯文本11"/>
    <w:basedOn w:val="1"/>
    <w:next w:val="1"/>
    <w:qFormat/>
    <w:uiPriority w:val="0"/>
    <w:pPr>
      <w:suppressAutoHyphens/>
      <w:topLinePunct/>
    </w:pPr>
    <w:rPr>
      <w:rFonts w:ascii="宋体" w:hAnsi="Courier New"/>
      <w:szCs w:val="21"/>
    </w:rPr>
  </w:style>
  <w:style w:type="paragraph" w:customStyle="1" w:styleId="97">
    <w:name w:val="正文 New New New New New New New New New New New New New New New New New New New New New New New New New New New New New New New New New New New New New New New New New New New New New New"/>
    <w:qFormat/>
    <w:uiPriority w:val="0"/>
    <w:pPr>
      <w:widowControl w:val="0"/>
      <w:topLinePunct/>
      <w:jc w:val="both"/>
    </w:pPr>
    <w:rPr>
      <w:rFonts w:ascii="Calibri" w:hAnsi="Calibri" w:eastAsia="宋体" w:cs="Times New Roman"/>
      <w:kern w:val="2"/>
      <w:sz w:val="21"/>
      <w:szCs w:val="24"/>
      <w:lang w:val="en-US" w:eastAsia="zh-CN" w:bidi="ar-SA"/>
    </w:rPr>
  </w:style>
  <w:style w:type="paragraph" w:customStyle="1" w:styleId="98">
    <w:name w:val="Char Char Char Char14"/>
    <w:basedOn w:val="1"/>
    <w:qFormat/>
    <w:uiPriority w:val="0"/>
    <w:rPr>
      <w:rFonts w:ascii="Times New Roman" w:hAnsi="Times New Roman"/>
      <w:szCs w:val="20"/>
    </w:rPr>
  </w:style>
  <w:style w:type="paragraph" w:customStyle="1" w:styleId="99">
    <w:name w:val="朔电正文"/>
    <w:basedOn w:val="1"/>
    <w:qFormat/>
    <w:uiPriority w:val="0"/>
    <w:pPr>
      <w:adjustRightInd w:val="0"/>
      <w:snapToGrid w:val="0"/>
      <w:spacing w:before="78" w:beforeLines="25" w:line="440" w:lineRule="exact"/>
      <w:ind w:firstLine="480" w:firstLineChars="200"/>
    </w:pPr>
    <w:rPr>
      <w:color w:val="000000"/>
      <w:kern w:val="32"/>
      <w:sz w:val="24"/>
    </w:rPr>
  </w:style>
  <w:style w:type="paragraph" w:customStyle="1" w:styleId="100">
    <w:name w:val="5-正文"/>
    <w:basedOn w:val="1"/>
    <w:qFormat/>
    <w:uiPriority w:val="0"/>
    <w:pPr>
      <w:snapToGrid w:val="0"/>
      <w:spacing w:line="480" w:lineRule="exact"/>
      <w:ind w:firstLine="200" w:firstLineChars="200"/>
    </w:pPr>
    <w:rPr>
      <w:sz w:val="24"/>
      <w:szCs w:val="20"/>
    </w:rPr>
  </w:style>
  <w:style w:type="paragraph" w:customStyle="1" w:styleId="101">
    <w:name w:val="5表标题"/>
    <w:qFormat/>
    <w:uiPriority w:val="0"/>
    <w:pPr>
      <w:spacing w:line="480" w:lineRule="exact"/>
      <w:jc w:val="center"/>
    </w:pPr>
    <w:rPr>
      <w:rFonts w:ascii="Times New Roman" w:hAnsi="Times New Roman" w:eastAsia="宋体" w:cs="宋体"/>
      <w:b/>
      <w:bCs/>
      <w:kern w:val="2"/>
      <w:sz w:val="24"/>
      <w:lang w:val="en-US" w:eastAsia="zh-CN" w:bidi="ar-SA"/>
    </w:rPr>
  </w:style>
  <w:style w:type="paragraph" w:customStyle="1" w:styleId="102">
    <w:name w:val="00正文缩进"/>
    <w:basedOn w:val="1"/>
    <w:qFormat/>
    <w:uiPriority w:val="0"/>
    <w:pPr>
      <w:spacing w:line="500" w:lineRule="exact"/>
      <w:ind w:firstLine="548" w:firstLineChars="200"/>
    </w:pPr>
    <w:rPr>
      <w:rFonts w:cs="宋体"/>
      <w:spacing w:val="-3"/>
      <w:sz w:val="28"/>
      <w:szCs w:val="20"/>
    </w:rPr>
  </w:style>
  <w:style w:type="paragraph" w:customStyle="1" w:styleId="103">
    <w:name w:val="报告正文"/>
    <w:basedOn w:val="15"/>
    <w:next w:val="1"/>
    <w:qFormat/>
    <w:uiPriority w:val="0"/>
    <w:pPr>
      <w:spacing w:line="420" w:lineRule="exact"/>
      <w:ind w:firstLine="200" w:firstLineChars="200"/>
    </w:pPr>
    <w:rPr>
      <w:rFonts w:cs="宋体"/>
      <w:sz w:val="24"/>
      <w:szCs w:val="20"/>
    </w:rPr>
  </w:style>
  <w:style w:type="paragraph" w:customStyle="1" w:styleId="104">
    <w:name w:val="四级标题"/>
    <w:basedOn w:val="1"/>
    <w:qFormat/>
    <w:uiPriority w:val="0"/>
    <w:pPr>
      <w:spacing w:line="360" w:lineRule="auto"/>
    </w:pPr>
    <w:rPr>
      <w:rFonts w:ascii="宋体" w:hAnsi="宋体" w:cs="宋体"/>
      <w:b/>
      <w:sz w:val="24"/>
    </w:rPr>
  </w:style>
  <w:style w:type="paragraph" w:styleId="105">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06">
    <w:name w:val="xl5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szCs w:val="24"/>
    </w:rPr>
  </w:style>
  <w:style w:type="paragraph" w:customStyle="1" w:styleId="107">
    <w:name w:val="图形中文字"/>
    <w:basedOn w:val="1"/>
    <w:qFormat/>
    <w:uiPriority w:val="0"/>
    <w:pPr>
      <w:autoSpaceDE w:val="0"/>
      <w:autoSpaceDN w:val="0"/>
      <w:adjustRightInd w:val="0"/>
      <w:jc w:val="center"/>
    </w:pPr>
    <w:rPr>
      <w:rFonts w:ascii="宋体" w:hAnsi="宋体" w:cs="宋体"/>
      <w:kern w:val="0"/>
      <w:sz w:val="24"/>
      <w:szCs w:val="28"/>
    </w:rPr>
  </w:style>
  <w:style w:type="character" w:customStyle="1" w:styleId="108">
    <w:name w:val="样式 正文缩进s4标题4表正文正文非缩进图标题段1Body Text(ch)缩进ALT+Z特点四号正文不...2 Char"/>
    <w:link w:val="109"/>
    <w:qFormat/>
    <w:uiPriority w:val="0"/>
    <w:rPr>
      <w:rFonts w:ascii="宋体" w:hAnsi="Calibri" w:eastAsia="仿宋_GB2312"/>
      <w:kern w:val="0"/>
      <w:sz w:val="20"/>
      <w:szCs w:val="20"/>
    </w:rPr>
  </w:style>
  <w:style w:type="paragraph" w:customStyle="1" w:styleId="109">
    <w:name w:val="样式 正文缩进s4标题4表正文正文非缩进图标题段1Body Text(ch)缩进ALT+Z特点四号正文不...2"/>
    <w:basedOn w:val="4"/>
    <w:link w:val="108"/>
    <w:qFormat/>
    <w:uiPriority w:val="0"/>
    <w:pPr>
      <w:ind w:firstLine="200"/>
    </w:pPr>
    <w:rPr>
      <w:rFonts w:ascii="宋体" w:hAnsi="Calibri" w:eastAsia="仿宋_GB2312"/>
      <w:kern w:val="0"/>
      <w:sz w:val="20"/>
      <w:szCs w:val="20"/>
    </w:rPr>
  </w:style>
  <w:style w:type="character" w:customStyle="1" w:styleId="110">
    <w:name w:val="批注文字 字符"/>
    <w:basedOn w:val="29"/>
    <w:link w:val="11"/>
    <w:semiHidden/>
    <w:qFormat/>
    <w:uiPriority w:val="0"/>
    <w:rPr>
      <w:rFonts w:asciiTheme="minorHAnsi" w:hAnsiTheme="minorHAnsi" w:eastAsiaTheme="minorEastAsia" w:cstheme="minorBidi"/>
      <w:sz w:val="24"/>
    </w:rPr>
  </w:style>
  <w:style w:type="character" w:customStyle="1" w:styleId="111">
    <w:name w:val="批注主题 字符"/>
    <w:basedOn w:val="110"/>
    <w:link w:val="25"/>
    <w:semiHidden/>
    <w:qFormat/>
    <w:uiPriority w:val="99"/>
    <w:rPr>
      <w:rFonts w:asciiTheme="minorHAnsi" w:hAnsiTheme="minorHAnsi" w:eastAsiaTheme="minorEastAsia" w:cstheme="minorBidi"/>
      <w:b/>
      <w:bCs/>
      <w:kern w:val="2"/>
      <w:sz w:val="21"/>
      <w:szCs w:val="22"/>
    </w:rPr>
  </w:style>
  <w:style w:type="paragraph" w:customStyle="1" w:styleId="112">
    <w:name w:val=" Char1 Char Char Char"/>
    <w:basedOn w:val="1"/>
    <w:qFormat/>
    <w:uiPriority w:val="0"/>
    <w:pPr>
      <w:snapToGrid w:val="0"/>
      <w:spacing w:line="360" w:lineRule="auto"/>
      <w:ind w:firstLine="529" w:firstLineChars="200"/>
    </w:pPr>
    <w:rPr>
      <w:szCs w:val="20"/>
    </w:rPr>
  </w:style>
  <w:style w:type="paragraph" w:customStyle="1" w:styleId="113">
    <w:name w:val="样式2"/>
    <w:basedOn w:val="1"/>
    <w:qFormat/>
    <w:uiPriority w:val="0"/>
    <w:pPr>
      <w:tabs>
        <w:tab w:val="left" w:pos="567"/>
      </w:tabs>
      <w:adjustRightInd w:val="0"/>
      <w:snapToGrid w:val="0"/>
      <w:ind w:firstLine="482"/>
    </w:pPr>
    <w:rPr>
      <w:rFonts w:ascii="宋体" w:hAnsi="宋体"/>
      <w:b/>
      <w:bCs/>
      <w:snapToGrid w:val="0"/>
      <w:color w:val="000000"/>
      <w:kern w:val="0"/>
    </w:rPr>
  </w:style>
  <w:style w:type="paragraph" w:customStyle="1" w:styleId="114">
    <w:name w:val="Table Text"/>
    <w:basedOn w:val="1"/>
    <w:semiHidden/>
    <w:qFormat/>
    <w:uiPriority w:val="0"/>
    <w:rPr>
      <w:rFonts w:ascii="宋体" w:hAnsi="宋体" w:eastAsia="宋体" w:cs="宋体"/>
      <w:sz w:val="24"/>
      <w:szCs w:val="24"/>
      <w:lang w:val="en-US" w:eastAsia="en-US" w:bidi="ar-SA"/>
    </w:rPr>
  </w:style>
  <w:style w:type="table" w:customStyle="1" w:styleId="115">
    <w:name w:val="Table Normal"/>
    <w:basedOn w:val="27"/>
    <w:semiHidden/>
    <w:unhideWhenUsed/>
    <w:qFormat/>
    <w:uiPriority w:val="0"/>
    <w:tblPr>
      <w:tblCellMar>
        <w:top w:w="0" w:type="dxa"/>
        <w:left w:w="0" w:type="dxa"/>
        <w:bottom w:w="0" w:type="dxa"/>
        <w:right w:w="0" w:type="dxa"/>
      </w:tblCellMar>
    </w:tblPr>
  </w:style>
  <w:style w:type="paragraph" w:customStyle="1" w:styleId="116">
    <w:name w:val="CM21"/>
    <w:basedOn w:val="36"/>
    <w:next w:val="36"/>
    <w:unhideWhenUsed/>
    <w:qFormat/>
    <w:uiPriority w:val="99"/>
    <w:pPr>
      <w:spacing w:beforeLines="0" w:afterLines="0"/>
    </w:pPr>
    <w:rPr>
      <w:rFonts w:hint="default"/>
      <w:sz w:val="24"/>
      <w:szCs w:val="24"/>
    </w:rPr>
  </w:style>
  <w:style w:type="paragraph" w:customStyle="1" w:styleId="117">
    <w:name w:val="CM3"/>
    <w:basedOn w:val="36"/>
    <w:next w:val="36"/>
    <w:unhideWhenUsed/>
    <w:qFormat/>
    <w:uiPriority w:val="99"/>
    <w:pPr>
      <w:spacing w:beforeLines="0" w:afterLines="0" w:line="500" w:lineRule="atLeast"/>
    </w:pPr>
    <w:rPr>
      <w:rFonts w:hint="default"/>
      <w:sz w:val="24"/>
      <w:szCs w:val="24"/>
    </w:rPr>
  </w:style>
  <w:style w:type="paragraph" w:customStyle="1" w:styleId="118">
    <w:name w:val="CM10"/>
    <w:basedOn w:val="36"/>
    <w:next w:val="36"/>
    <w:unhideWhenUsed/>
    <w:qFormat/>
    <w:uiPriority w:val="99"/>
    <w:pPr>
      <w:spacing w:beforeLines="0" w:afterLines="0" w:line="500" w:lineRule="atLeast"/>
    </w:pPr>
    <w:rPr>
      <w:rFonts w:hint="default"/>
      <w:sz w:val="24"/>
      <w:szCs w:val="24"/>
    </w:rPr>
  </w:style>
  <w:style w:type="paragraph" w:customStyle="1" w:styleId="119">
    <w:name w:val="CM11"/>
    <w:basedOn w:val="1"/>
    <w:next w:val="36"/>
    <w:qFormat/>
    <w:uiPriority w:val="0"/>
    <w:pPr>
      <w:autoSpaceDE w:val="0"/>
      <w:autoSpaceDN w:val="0"/>
      <w:adjustRightInd w:val="0"/>
      <w:spacing w:line="440" w:lineRule="atLeast"/>
      <w:jc w:val="left"/>
    </w:pPr>
    <w:rPr>
      <w:rFonts w:ascii=".." w:hAnsi="Times New Roman" w:eastAsia=".."/>
      <w:kern w:val="0"/>
      <w:sz w:val="24"/>
      <w:szCs w:val="24"/>
    </w:rPr>
  </w:style>
  <w:style w:type="paragraph" w:customStyle="1" w:styleId="120">
    <w:name w:val="CM17"/>
    <w:basedOn w:val="36"/>
    <w:next w:val="36"/>
    <w:unhideWhenUsed/>
    <w:qFormat/>
    <w:uiPriority w:val="99"/>
    <w:pPr>
      <w:spacing w:beforeLines="0" w:afterLines="0" w:line="500" w:lineRule="atLeast"/>
    </w:pPr>
    <w:rPr>
      <w:rFonts w:hint="default"/>
      <w:sz w:val="24"/>
      <w:szCs w:val="24"/>
    </w:rPr>
  </w:style>
  <w:style w:type="paragraph" w:customStyle="1" w:styleId="121">
    <w:name w:val="我的样式4正文"/>
    <w:basedOn w:val="1"/>
    <w:qFormat/>
    <w:uiPriority w:val="0"/>
    <w:pPr>
      <w:spacing w:line="520" w:lineRule="exact"/>
      <w:ind w:firstLine="492" w:firstLineChars="205"/>
    </w:pPr>
    <w:rPr>
      <w:sz w:val="24"/>
    </w:rPr>
  </w:style>
  <w:style w:type="paragraph" w:customStyle="1" w:styleId="122">
    <w:name w:val="表内容@"/>
    <w:basedOn w:val="1"/>
    <w:qFormat/>
    <w:uiPriority w:val="0"/>
    <w:pPr>
      <w:adjustRightInd w:val="0"/>
      <w:spacing w:line="0" w:lineRule="atLeast"/>
      <w:jc w:val="center"/>
    </w:pPr>
    <w:rPr>
      <w:rFonts w:ascii="宋体" w:hAnsi="宋体" w:cs="Arial"/>
      <w:szCs w:val="21"/>
    </w:rPr>
  </w:style>
  <w:style w:type="paragraph" w:customStyle="1" w:styleId="123">
    <w:name w:val="表头"/>
    <w:basedOn w:val="1"/>
    <w:next w:val="1"/>
    <w:qFormat/>
    <w:uiPriority w:val="0"/>
    <w:pPr>
      <w:tabs>
        <w:tab w:val="left" w:pos="2340"/>
      </w:tabs>
      <w:ind w:firstLine="482"/>
      <w:jc w:val="center"/>
    </w:pPr>
    <w:rPr>
      <w:rFonts w:asciiTheme="majorEastAsia" w:hAnsiTheme="majorEastAsia" w:eastAsiaTheme="majorEastAsia"/>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footer" Target="footer5.xml"/><Relationship Id="rId79" Type="http://schemas.openxmlformats.org/officeDocument/2006/relationships/customXml" Target="../customXml/item1.xml"/><Relationship Id="rId78" Type="http://schemas.openxmlformats.org/officeDocument/2006/relationships/image" Target="media/image44.jpeg"/><Relationship Id="rId77" Type="http://schemas.openxmlformats.org/officeDocument/2006/relationships/image" Target="media/image43.jpeg"/><Relationship Id="rId76" Type="http://schemas.openxmlformats.org/officeDocument/2006/relationships/image" Target="media/image42.jpeg"/><Relationship Id="rId75" Type="http://schemas.openxmlformats.org/officeDocument/2006/relationships/image" Target="media/image41.jpeg"/><Relationship Id="rId74" Type="http://schemas.openxmlformats.org/officeDocument/2006/relationships/image" Target="media/image40.jpeg"/><Relationship Id="rId73" Type="http://schemas.openxmlformats.org/officeDocument/2006/relationships/image" Target="media/image39.png"/><Relationship Id="rId72" Type="http://schemas.openxmlformats.org/officeDocument/2006/relationships/image" Target="media/image38.png"/><Relationship Id="rId71" Type="http://schemas.openxmlformats.org/officeDocument/2006/relationships/image" Target="media/image37.png"/><Relationship Id="rId70" Type="http://schemas.openxmlformats.org/officeDocument/2006/relationships/image" Target="media/image36.png"/><Relationship Id="rId7" Type="http://schemas.openxmlformats.org/officeDocument/2006/relationships/header" Target="header1.xml"/><Relationship Id="rId69" Type="http://schemas.openxmlformats.org/officeDocument/2006/relationships/image" Target="media/image35.png"/><Relationship Id="rId68" Type="http://schemas.openxmlformats.org/officeDocument/2006/relationships/image" Target="media/image34.png"/><Relationship Id="rId67" Type="http://schemas.openxmlformats.org/officeDocument/2006/relationships/image" Target="media/image33.png"/><Relationship Id="rId66" Type="http://schemas.openxmlformats.org/officeDocument/2006/relationships/image" Target="media/image32.png"/><Relationship Id="rId65" Type="http://schemas.openxmlformats.org/officeDocument/2006/relationships/image" Target="media/image31.png"/><Relationship Id="rId64" Type="http://schemas.openxmlformats.org/officeDocument/2006/relationships/image" Target="media/image30.png"/><Relationship Id="rId63" Type="http://schemas.openxmlformats.org/officeDocument/2006/relationships/image" Target="media/image29.wmf"/><Relationship Id="rId62" Type="http://schemas.openxmlformats.org/officeDocument/2006/relationships/oleObject" Target="embeddings/oleObject19.bin"/><Relationship Id="rId61" Type="http://schemas.openxmlformats.org/officeDocument/2006/relationships/image" Target="media/image28.wmf"/><Relationship Id="rId60" Type="http://schemas.openxmlformats.org/officeDocument/2006/relationships/oleObject" Target="embeddings/oleObject18.bin"/><Relationship Id="rId6" Type="http://schemas.openxmlformats.org/officeDocument/2006/relationships/footer" Target="footer4.xml"/><Relationship Id="rId59" Type="http://schemas.openxmlformats.org/officeDocument/2006/relationships/image" Target="media/image27.png"/><Relationship Id="rId58" Type="http://schemas.openxmlformats.org/officeDocument/2006/relationships/image" Target="media/image26.wmf"/><Relationship Id="rId57" Type="http://schemas.openxmlformats.org/officeDocument/2006/relationships/image" Target="media/image25.wmf"/><Relationship Id="rId56" Type="http://schemas.openxmlformats.org/officeDocument/2006/relationships/oleObject" Target="embeddings/oleObject17.bin"/><Relationship Id="rId55" Type="http://schemas.openxmlformats.org/officeDocument/2006/relationships/image" Target="media/image24.wmf"/><Relationship Id="rId54" Type="http://schemas.openxmlformats.org/officeDocument/2006/relationships/oleObject" Target="embeddings/oleObject16.bin"/><Relationship Id="rId53" Type="http://schemas.openxmlformats.org/officeDocument/2006/relationships/image" Target="media/image23.wmf"/><Relationship Id="rId52" Type="http://schemas.openxmlformats.org/officeDocument/2006/relationships/oleObject" Target="embeddings/oleObject15.bin"/><Relationship Id="rId51" Type="http://schemas.openxmlformats.org/officeDocument/2006/relationships/image" Target="media/image22.wmf"/><Relationship Id="rId50" Type="http://schemas.openxmlformats.org/officeDocument/2006/relationships/oleObject" Target="embeddings/oleObject14.bin"/><Relationship Id="rId5" Type="http://schemas.openxmlformats.org/officeDocument/2006/relationships/footer" Target="footer3.xml"/><Relationship Id="rId49" Type="http://schemas.openxmlformats.org/officeDocument/2006/relationships/image" Target="media/image21.wmf"/><Relationship Id="rId48" Type="http://schemas.openxmlformats.org/officeDocument/2006/relationships/oleObject" Target="embeddings/oleObject13.bin"/><Relationship Id="rId47" Type="http://schemas.openxmlformats.org/officeDocument/2006/relationships/image" Target="media/image20.wmf"/><Relationship Id="rId46" Type="http://schemas.openxmlformats.org/officeDocument/2006/relationships/oleObject" Target="embeddings/oleObject12.bin"/><Relationship Id="rId45" Type="http://schemas.openxmlformats.org/officeDocument/2006/relationships/image" Target="media/image19.wmf"/><Relationship Id="rId44" Type="http://schemas.openxmlformats.org/officeDocument/2006/relationships/oleObject" Target="embeddings/oleObject11.bin"/><Relationship Id="rId43" Type="http://schemas.openxmlformats.org/officeDocument/2006/relationships/image" Target="media/image18.wmf"/><Relationship Id="rId42" Type="http://schemas.openxmlformats.org/officeDocument/2006/relationships/oleObject" Target="embeddings/oleObject10.bin"/><Relationship Id="rId41" Type="http://schemas.openxmlformats.org/officeDocument/2006/relationships/image" Target="media/image17.w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wmf"/><Relationship Id="rId36" Type="http://schemas.openxmlformats.org/officeDocument/2006/relationships/oleObject" Target="embeddings/oleObject8.bin"/><Relationship Id="rId35" Type="http://schemas.openxmlformats.org/officeDocument/2006/relationships/image" Target="media/image13.wmf"/><Relationship Id="rId34" Type="http://schemas.openxmlformats.org/officeDocument/2006/relationships/oleObject" Target="embeddings/oleObject7.bin"/><Relationship Id="rId33" Type="http://schemas.openxmlformats.org/officeDocument/2006/relationships/image" Target="media/image12.wmf"/><Relationship Id="rId32" Type="http://schemas.openxmlformats.org/officeDocument/2006/relationships/oleObject" Target="embeddings/oleObject6.bin"/><Relationship Id="rId31" Type="http://schemas.openxmlformats.org/officeDocument/2006/relationships/image" Target="media/image11.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oleObject" Target="embeddings/oleObject4.bin"/><Relationship Id="rId27" Type="http://schemas.openxmlformats.org/officeDocument/2006/relationships/image" Target="media/image9.wmf"/><Relationship Id="rId26" Type="http://schemas.openxmlformats.org/officeDocument/2006/relationships/oleObject" Target="embeddings/oleObject3.bin"/><Relationship Id="rId25" Type="http://schemas.openxmlformats.org/officeDocument/2006/relationships/image" Target="media/image8.wmf"/><Relationship Id="rId24" Type="http://schemas.openxmlformats.org/officeDocument/2006/relationships/oleObject" Target="embeddings/oleObject2.bin"/><Relationship Id="rId23" Type="http://schemas.openxmlformats.org/officeDocument/2006/relationships/image" Target="media/image7.png"/><Relationship Id="rId22" Type="http://schemas.openxmlformats.org/officeDocument/2006/relationships/image" Target="media/image6.wmf"/><Relationship Id="rId21" Type="http://schemas.openxmlformats.org/officeDocument/2006/relationships/oleObject" Target="embeddings/oleObject1.bin"/><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9"/>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119</Pages>
  <Words>64870</Words>
  <Characters>76956</Characters>
  <Lines>1</Lines>
  <Paragraphs>1</Paragraphs>
  <TotalTime>19</TotalTime>
  <ScaleCrop>false</ScaleCrop>
  <LinksUpToDate>false</LinksUpToDate>
  <CharactersWithSpaces>77667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2020-08-13T14:53:00Z</dcterms:created>
  <dc:creator>TV0708</dc:creator>
  <cp:lastModifiedBy>W。</cp:lastModifiedBy>
  <cp:lastPrinted>2025-04-23T04:10:00Z</cp:lastPrinted>
  <dcterms:modified xsi:type="dcterms:W3CDTF">2026-03-23T03:01:55Z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CEED13834532464DAF59AAF45D1A1F4C_13</vt:lpwstr>
  </property>
  <property fmtid="{D5CDD505-2E9C-101B-9397-08002B2CF9AE}" pid="4" name="KSOTemplateDocerSaveRecord">
    <vt:lpwstr>eyJoZGlkIjoiZDRkNTUzYzRkMGIzNzUyMjkyZmQ3YmNkMDViOWUzYzQiLCJ1c2VySWQiOiI0NDY4MTY1NzIifQ==</vt:lpwstr>
  </property>
</Properties>
</file>