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B9013">
      <w:pPr>
        <w:widowControl/>
        <w:wordWrap w:val="0"/>
        <w:spacing w:line="500" w:lineRule="exact"/>
        <w:jc w:val="cente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pPr>
      <w:r>
        <w:rPr>
          <w:rFonts w:hint="eastAsia" w:ascii="方正小标宋简体" w:hAnsi="微软雅黑" w:eastAsia="方正小标宋简体" w:cs="宋体"/>
          <w:color w:val="000000" w:themeColor="text1"/>
          <w:kern w:val="0"/>
          <w:sz w:val="36"/>
          <w:szCs w:val="36"/>
          <w:lang w:eastAsia="zh-CN"/>
          <w14:textFill>
            <w14:solidFill>
              <w14:schemeClr w14:val="tx1"/>
            </w14:solidFill>
          </w14:textFill>
        </w:rPr>
        <w:t>大同市生态环境局新荣分局</w:t>
      </w:r>
    </w:p>
    <w:p w14:paraId="0F733211">
      <w:pPr>
        <w:jc w:val="center"/>
        <w:rPr>
          <w:rFonts w:hint="eastAsia" w:ascii="方正小标宋简体" w:hAnsi="微软雅黑" w:eastAsia="方正小标宋简体" w:cs="宋体"/>
          <w:color w:val="000000" w:themeColor="text1"/>
          <w:kern w:val="0"/>
          <w:sz w:val="36"/>
          <w:szCs w:val="36"/>
          <w14:textFill>
            <w14:solidFill>
              <w14:schemeClr w14:val="tx1"/>
            </w14:solidFill>
          </w14:textFill>
        </w:rPr>
      </w:pPr>
      <w:r>
        <w:rPr>
          <w:rFonts w:ascii="方正小标宋简体" w:hAnsi="微软雅黑" w:eastAsia="方正小标宋简体" w:cs="宋体"/>
          <w:color w:val="000000" w:themeColor="text1"/>
          <w:kern w:val="0"/>
          <w:sz w:val="36"/>
          <w:szCs w:val="36"/>
          <w14:textFill>
            <w14:solidFill>
              <w14:schemeClr w14:val="tx1"/>
            </w14:solidFill>
          </w14:textFill>
        </w:rPr>
        <w:t>关于</w:t>
      </w:r>
      <w:r>
        <w:rPr>
          <w:rFonts w:hint="default" w:ascii="方正小标宋简体" w:hAnsi="微软雅黑" w:eastAsia="方正小标宋简体" w:cs="宋体"/>
          <w:color w:val="000000" w:themeColor="text1"/>
          <w:kern w:val="0"/>
          <w:sz w:val="36"/>
          <w:szCs w:val="36"/>
          <w14:textFill>
            <w14:solidFill>
              <w14:schemeClr w14:val="tx1"/>
            </w14:solidFill>
          </w14:textFill>
        </w:rPr>
        <w:t>山西晋北采煤沉陷区新能源基地（新荣）170万千瓦光伏发电项目（变更）</w:t>
      </w:r>
      <w:r>
        <w:rPr>
          <w:rFonts w:ascii="方正小标宋简体" w:hAnsi="微软雅黑" w:eastAsia="方正小标宋简体" w:cs="宋体"/>
          <w:color w:val="000000" w:themeColor="text1"/>
          <w:kern w:val="0"/>
          <w:sz w:val="36"/>
          <w:szCs w:val="36"/>
          <w14:textFill>
            <w14:solidFill>
              <w14:schemeClr w14:val="tx1"/>
            </w14:solidFill>
          </w14:textFill>
        </w:rPr>
        <w:t>环境影响评价文件拟进行审查公示</w:t>
      </w:r>
    </w:p>
    <w:p w14:paraId="2B361550">
      <w:pPr>
        <w:widowControl/>
        <w:spacing w:line="640" w:lineRule="exact"/>
        <w:ind w:firstLine="640" w:firstLineChars="200"/>
        <w:jc w:val="left"/>
        <w:rPr>
          <w:rFonts w:hint="eastAsia" w:ascii="仿宋_GB2312" w:hAnsi="微软雅黑" w:eastAsia="仿宋_GB2312" w:cs="宋体"/>
          <w:color w:val="000000" w:themeColor="text1"/>
          <w:kern w:val="0"/>
          <w:sz w:val="32"/>
          <w:szCs w:val="32"/>
          <w14:textFill>
            <w14:solidFill>
              <w14:schemeClr w14:val="tx1"/>
            </w14:solidFill>
          </w14:textFill>
        </w:rPr>
      </w:pPr>
    </w:p>
    <w:p w14:paraId="170ED89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根据建设项目环境影响评价审批程序的有关规定，我</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分</w:t>
      </w:r>
      <w:r>
        <w:rPr>
          <w:rFonts w:hint="eastAsia" w:ascii="仿宋_GB2312" w:hAnsi="微软雅黑" w:eastAsia="仿宋_GB2312" w:cs="宋体"/>
          <w:color w:val="000000" w:themeColor="text1"/>
          <w:kern w:val="0"/>
          <w:sz w:val="32"/>
          <w:szCs w:val="32"/>
          <w14:textFill>
            <w14:solidFill>
              <w14:schemeClr w14:val="tx1"/>
            </w14:solidFill>
          </w14:textFill>
        </w:rPr>
        <w:t>局</w:t>
      </w:r>
      <w:r>
        <w:rPr>
          <w:rFonts w:ascii="仿宋_GB2312" w:hAnsi="微软雅黑" w:eastAsia="仿宋_GB2312" w:cs="宋体"/>
          <w:color w:val="000000" w:themeColor="text1"/>
          <w:kern w:val="0"/>
          <w:sz w:val="32"/>
          <w:szCs w:val="32"/>
          <w14:textFill>
            <w14:solidFill>
              <w14:schemeClr w14:val="tx1"/>
            </w14:solidFill>
          </w14:textFill>
        </w:rPr>
        <w:t>拟对</w:t>
      </w:r>
      <w:r>
        <w:rPr>
          <w:rFonts w:hint="default" w:ascii="仿宋_GB2312" w:hAnsi="微软雅黑" w:eastAsia="仿宋_GB2312" w:cs="宋体"/>
          <w:color w:val="000000" w:themeColor="text1"/>
          <w:kern w:val="0"/>
          <w:sz w:val="32"/>
          <w:szCs w:val="32"/>
          <w14:textFill>
            <w14:solidFill>
              <w14:schemeClr w14:val="tx1"/>
            </w14:solidFill>
          </w14:textFill>
        </w:rPr>
        <w:t>山西晋北采煤沉陷区新能源基地（新荣）170万千瓦光伏发电项目（变更）</w:t>
      </w:r>
      <w:r>
        <w:rPr>
          <w:rFonts w:ascii="仿宋_GB2312" w:hAnsi="微软雅黑" w:eastAsia="仿宋_GB2312" w:cs="宋体"/>
          <w:color w:val="000000" w:themeColor="text1"/>
          <w:kern w:val="0"/>
          <w:sz w:val="32"/>
          <w:szCs w:val="32"/>
          <w14:textFill>
            <w14:solidFill>
              <w14:schemeClr w14:val="tx1"/>
            </w14:solidFill>
          </w14:textFill>
        </w:rPr>
        <w:t>环境影响评价文件进行审查。现将拟审查的环境影响评价文件基本情况予以公示，公示期为20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26</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10</w:t>
      </w:r>
      <w:r>
        <w:rPr>
          <w:rFonts w:ascii="仿宋_GB2312" w:hAnsi="微软雅黑" w:eastAsia="仿宋_GB2312" w:cs="宋体"/>
          <w:color w:val="000000" w:themeColor="text1"/>
          <w:kern w:val="0"/>
          <w:sz w:val="32"/>
          <w:szCs w:val="32"/>
          <w14:textFill>
            <w14:solidFill>
              <w14:schemeClr w14:val="tx1"/>
            </w14:solidFill>
          </w14:textFill>
        </w:rPr>
        <w:t>日－20</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26</w:t>
      </w:r>
      <w:r>
        <w:rPr>
          <w:rFonts w:ascii="仿宋_GB2312" w:hAnsi="微软雅黑" w:eastAsia="仿宋_GB2312" w:cs="宋体"/>
          <w:color w:val="000000" w:themeColor="text1"/>
          <w:kern w:val="0"/>
          <w:sz w:val="32"/>
          <w:szCs w:val="32"/>
          <w14:textFill>
            <w14:solidFill>
              <w14:schemeClr w14:val="tx1"/>
            </w14:solidFill>
          </w14:textFill>
        </w:rPr>
        <w:t>年</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2</w:t>
      </w:r>
      <w:r>
        <w:rPr>
          <w:rFonts w:ascii="仿宋_GB2312" w:hAnsi="微软雅黑" w:eastAsia="仿宋_GB2312" w:cs="宋体"/>
          <w:color w:val="000000" w:themeColor="text1"/>
          <w:kern w:val="0"/>
          <w:sz w:val="32"/>
          <w:szCs w:val="32"/>
          <w14:textFill>
            <w14:solidFill>
              <w14:schemeClr w14:val="tx1"/>
            </w14:solidFill>
          </w14:textFill>
        </w:rPr>
        <w:t>月</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12</w:t>
      </w:r>
      <w:r>
        <w:rPr>
          <w:rFonts w:ascii="仿宋_GB2312" w:hAnsi="微软雅黑" w:eastAsia="仿宋_GB2312" w:cs="宋体"/>
          <w:color w:val="000000" w:themeColor="text1"/>
          <w:kern w:val="0"/>
          <w:sz w:val="32"/>
          <w:szCs w:val="32"/>
          <w14:textFill>
            <w14:solidFill>
              <w14:schemeClr w14:val="tx1"/>
            </w14:solidFill>
          </w14:textFill>
        </w:rPr>
        <w:t>日（</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3个工作</w:t>
      </w:r>
      <w:r>
        <w:rPr>
          <w:rFonts w:ascii="仿宋_GB2312" w:hAnsi="微软雅黑" w:eastAsia="仿宋_GB2312" w:cs="宋体"/>
          <w:color w:val="000000" w:themeColor="text1"/>
          <w:kern w:val="0"/>
          <w:sz w:val="32"/>
          <w:szCs w:val="32"/>
          <w14:textFill>
            <w14:solidFill>
              <w14:schemeClr w14:val="tx1"/>
            </w14:solidFill>
          </w14:textFill>
        </w:rPr>
        <w:t>日）。</w:t>
      </w:r>
    </w:p>
    <w:p w14:paraId="36A02047">
      <w:pPr>
        <w:widowControl/>
        <w:spacing w:line="640" w:lineRule="exact"/>
        <w:ind w:firstLine="640" w:firstLineChars="200"/>
        <w:jc w:val="left"/>
        <w:rPr>
          <w:rFonts w:ascii="仿宋_GB2312" w:hAnsi="微软雅黑" w:eastAsia="仿宋_GB2312" w:cs="宋体"/>
          <w:color w:val="000000" w:themeColor="text1"/>
          <w:kern w:val="0"/>
          <w:sz w:val="32"/>
          <w:szCs w:val="32"/>
          <w14:textFill>
            <w14:solidFill>
              <w14:schemeClr w14:val="tx1"/>
            </w14:solidFill>
          </w14:textFill>
        </w:rPr>
      </w:pPr>
      <w:r>
        <w:rPr>
          <w:rFonts w:ascii="仿宋_GB2312" w:hAnsi="微软雅黑" w:eastAsia="仿宋_GB2312" w:cs="宋体"/>
          <w:color w:val="000000" w:themeColor="text1"/>
          <w:kern w:val="0"/>
          <w:sz w:val="32"/>
          <w:szCs w:val="32"/>
          <w14:textFill>
            <w14:solidFill>
              <w14:schemeClr w14:val="tx1"/>
            </w14:solidFill>
          </w14:textFill>
        </w:rPr>
        <w:t>听证权利告知：依据《中华人民共和国行政许可法</w:t>
      </w:r>
      <w:bookmarkStart w:id="4" w:name="_GoBack"/>
      <w:bookmarkEnd w:id="4"/>
      <w:r>
        <w:rPr>
          <w:rFonts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14:textFill>
            <w14:solidFill>
              <w14:schemeClr w14:val="tx1"/>
            </w14:solidFill>
          </w14:textFill>
        </w:rPr>
        <w:t>该项目申请人、利害关系人可提出听证申请。</w:t>
      </w:r>
    </w:p>
    <w:p w14:paraId="54380404">
      <w:pPr>
        <w:widowControl/>
        <w:spacing w:line="640" w:lineRule="exact"/>
        <w:jc w:val="left"/>
        <w:rPr>
          <w:rFonts w:hint="default" w:ascii="仿宋_GB2312" w:hAnsi="微软雅黑" w:eastAsia="仿宋_GB2312" w:cs="宋体"/>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联系电话：</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传</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真：</w:t>
      </w:r>
      <w:r>
        <w:rPr>
          <w:rFonts w:ascii="仿宋_GB2312" w:hAnsi="微软雅黑" w:eastAsia="仿宋_GB2312" w:cs="宋体"/>
          <w:color w:val="000000" w:themeColor="text1"/>
          <w:kern w:val="0"/>
          <w:sz w:val="32"/>
          <w:szCs w:val="32"/>
          <w14:textFill>
            <w14:solidFill>
              <w14:schemeClr w14:val="tx1"/>
            </w14:solidFill>
          </w14:textFill>
        </w:rPr>
        <w:t>0352-307</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0277</w:t>
      </w:r>
    </w:p>
    <w:p w14:paraId="33FA668F">
      <w:pPr>
        <w:widowControl/>
        <w:spacing w:line="640" w:lineRule="exact"/>
        <w:jc w:val="left"/>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邮</w:t>
      </w:r>
      <w:r>
        <w:rPr>
          <w:rFonts w:ascii="仿宋_GB2312" w:hAnsi="微软雅黑" w:eastAsia="仿宋_GB2312" w:cs="宋体"/>
          <w:color w:val="000000" w:themeColor="text1"/>
          <w:kern w:val="0"/>
          <w:sz w:val="32"/>
          <w:szCs w:val="32"/>
          <w14:textFill>
            <w14:solidFill>
              <w14:schemeClr w14:val="tx1"/>
            </w14:solidFill>
          </w14:textFill>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编：</w:t>
      </w:r>
      <w:r>
        <w:rPr>
          <w:rFonts w:ascii="仿宋_GB2312" w:hAnsi="微软雅黑" w:eastAsia="仿宋_GB2312" w:cs="宋体"/>
          <w:color w:val="000000" w:themeColor="text1"/>
          <w:kern w:val="0"/>
          <w:sz w:val="32"/>
          <w:szCs w:val="32"/>
          <w14:textFill>
            <w14:solidFill>
              <w14:schemeClr w14:val="tx1"/>
            </w14:solidFill>
          </w14:textFill>
        </w:rPr>
        <w:t xml:space="preserve">037002           </w:t>
      </w:r>
      <w:r>
        <w:rPr>
          <w:rFonts w:hint="eastAsia" w:ascii="仿宋_GB2312" w:hAnsi="微软雅黑" w:eastAsia="仿宋_GB2312" w:cs="宋体"/>
          <w:color w:val="000000" w:themeColor="text1"/>
          <w:kern w:val="0"/>
          <w:sz w:val="32"/>
          <w:szCs w:val="32"/>
          <w14:textFill>
            <w14:solidFill>
              <w14:schemeClr w14:val="tx1"/>
            </w14:solidFill>
          </w14:textFill>
        </w:rPr>
        <w:t>通讯地址：大同市新荣区</w:t>
      </w:r>
      <w:r>
        <w:rPr>
          <w:rFonts w:hint="eastAsia" w:ascii="仿宋_GB2312" w:hAnsi="微软雅黑" w:eastAsia="仿宋_GB2312" w:cs="宋体"/>
          <w:color w:val="000000" w:themeColor="text1"/>
          <w:kern w:val="0"/>
          <w:sz w:val="32"/>
          <w:szCs w:val="32"/>
          <w:lang w:eastAsia="zh-CN"/>
          <w14:textFill>
            <w14:solidFill>
              <w14:schemeClr w14:val="tx1"/>
            </w14:solidFill>
          </w14:textFill>
        </w:rPr>
        <w:t>府西</w:t>
      </w:r>
      <w:r>
        <w:rPr>
          <w:rFonts w:hint="eastAsia" w:ascii="仿宋_GB2312" w:hAnsi="微软雅黑" w:eastAsia="仿宋_GB2312" w:cs="宋体"/>
          <w:color w:val="000000" w:themeColor="text1"/>
          <w:kern w:val="0"/>
          <w:sz w:val="32"/>
          <w:szCs w:val="32"/>
          <w14:textFill>
            <w14:solidFill>
              <w14:schemeClr w14:val="tx1"/>
            </w14:solidFill>
          </w14:textFill>
        </w:rPr>
        <w:t>街</w:t>
      </w:r>
    </w:p>
    <w:p w14:paraId="2DCB29F7">
      <w:pPr>
        <w:pStyle w:val="3"/>
        <w:rPr>
          <w:rFonts w:hint="eastAsia" w:ascii="仿宋_GB2312" w:hAnsi="微软雅黑" w:eastAsia="仿宋_GB2312" w:cs="宋体"/>
          <w:color w:val="000000" w:themeColor="text1"/>
          <w:kern w:val="0"/>
          <w:sz w:val="32"/>
          <w:szCs w:val="32"/>
          <w14:textFill>
            <w14:solidFill>
              <w14:schemeClr w14:val="tx1"/>
            </w14:solidFill>
          </w14:textFill>
        </w:rPr>
      </w:pPr>
    </w:p>
    <w:p w14:paraId="18FCE6B7">
      <w:pPr>
        <w:rPr>
          <w:rFonts w:hint="eastAsia" w:ascii="仿宋_GB2312" w:hAnsi="微软雅黑" w:eastAsia="仿宋_GB2312" w:cs="宋体"/>
          <w:color w:val="000000" w:themeColor="text1"/>
          <w:kern w:val="0"/>
          <w:sz w:val="32"/>
          <w:szCs w:val="32"/>
          <w14:textFill>
            <w14:solidFill>
              <w14:schemeClr w14:val="tx1"/>
            </w14:solidFill>
          </w14:textFill>
        </w:rPr>
      </w:pPr>
    </w:p>
    <w:p w14:paraId="0ECA35C6">
      <w:pPr>
        <w:pStyle w:val="3"/>
        <w:rPr>
          <w:rFonts w:hint="eastAsia" w:ascii="仿宋_GB2312" w:hAnsi="微软雅黑" w:eastAsia="仿宋_GB2312" w:cs="宋体"/>
          <w:color w:val="000000" w:themeColor="text1"/>
          <w:kern w:val="0"/>
          <w:sz w:val="32"/>
          <w:szCs w:val="32"/>
          <w14:textFill>
            <w14:solidFill>
              <w14:schemeClr w14:val="tx1"/>
            </w14:solidFill>
          </w14:textFill>
        </w:rPr>
      </w:pPr>
    </w:p>
    <w:p w14:paraId="18F2A6E2">
      <w:pPr>
        <w:rPr>
          <w:rFonts w:hint="eastAsia" w:ascii="仿宋_GB2312" w:hAnsi="微软雅黑" w:eastAsia="仿宋_GB2312" w:cs="宋体"/>
          <w:color w:val="000000" w:themeColor="text1"/>
          <w:kern w:val="0"/>
          <w:sz w:val="32"/>
          <w:szCs w:val="32"/>
          <w14:textFill>
            <w14:solidFill>
              <w14:schemeClr w14:val="tx1"/>
            </w14:solidFill>
          </w14:textFill>
        </w:rPr>
      </w:pPr>
    </w:p>
    <w:p w14:paraId="088410D1">
      <w:pPr>
        <w:pStyle w:val="3"/>
        <w:rPr>
          <w:rFonts w:hint="eastAsia"/>
        </w:rPr>
      </w:pPr>
    </w:p>
    <w:tbl>
      <w:tblPr>
        <w:tblStyle w:val="25"/>
        <w:tblW w:w="15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873"/>
        <w:gridCol w:w="1009"/>
        <w:gridCol w:w="1091"/>
        <w:gridCol w:w="1432"/>
        <w:gridCol w:w="3304"/>
        <w:gridCol w:w="7156"/>
      </w:tblGrid>
      <w:tr w14:paraId="2E2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dxa"/>
            <w:vAlign w:val="center"/>
          </w:tcPr>
          <w:p w14:paraId="1A6DDA8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序号</w:t>
            </w:r>
          </w:p>
        </w:tc>
        <w:tc>
          <w:tcPr>
            <w:tcW w:w="873" w:type="dxa"/>
            <w:vAlign w:val="center"/>
          </w:tcPr>
          <w:p w14:paraId="371BE3F7">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w:t>
            </w:r>
          </w:p>
          <w:p w14:paraId="0AEDEF90">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名称</w:t>
            </w:r>
          </w:p>
        </w:tc>
        <w:tc>
          <w:tcPr>
            <w:tcW w:w="1009" w:type="dxa"/>
            <w:vAlign w:val="center"/>
          </w:tcPr>
          <w:p w14:paraId="0838E327">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建设地点</w:t>
            </w:r>
          </w:p>
        </w:tc>
        <w:tc>
          <w:tcPr>
            <w:tcW w:w="1091" w:type="dxa"/>
            <w:vAlign w:val="center"/>
          </w:tcPr>
          <w:p w14:paraId="69B84BD6">
            <w:pPr>
              <w:widowControl/>
              <w:spacing w:line="300" w:lineRule="atLeast"/>
              <w:jc w:val="center"/>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建设</w:t>
            </w:r>
          </w:p>
          <w:p w14:paraId="20C6C232">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单位</w:t>
            </w:r>
          </w:p>
        </w:tc>
        <w:tc>
          <w:tcPr>
            <w:tcW w:w="1432" w:type="dxa"/>
            <w:vAlign w:val="center"/>
          </w:tcPr>
          <w:p w14:paraId="28979005">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环境影响评价机构</w:t>
            </w:r>
          </w:p>
        </w:tc>
        <w:tc>
          <w:tcPr>
            <w:tcW w:w="3304" w:type="dxa"/>
            <w:vAlign w:val="center"/>
          </w:tcPr>
          <w:p w14:paraId="0ED7C60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项目概况</w:t>
            </w:r>
          </w:p>
        </w:tc>
        <w:tc>
          <w:tcPr>
            <w:tcW w:w="7156" w:type="dxa"/>
            <w:vAlign w:val="center"/>
          </w:tcPr>
          <w:p w14:paraId="3A7A714F">
            <w:pPr>
              <w:widowControl/>
              <w:spacing w:line="300" w:lineRule="atLeast"/>
              <w:jc w:val="center"/>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14:textFill>
                  <w14:solidFill>
                    <w14:schemeClr w14:val="tx1"/>
                  </w14:solidFill>
                </w14:textFill>
              </w:rPr>
              <w:t>主要环境影响及预防或者减轻不良环境影响的对策和措施</w:t>
            </w:r>
          </w:p>
        </w:tc>
      </w:tr>
      <w:tr w14:paraId="35BF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1" w:hRule="atLeast"/>
          <w:jc w:val="center"/>
        </w:trPr>
        <w:tc>
          <w:tcPr>
            <w:tcW w:w="451" w:type="dxa"/>
          </w:tcPr>
          <w:p w14:paraId="0FD76C3F">
            <w:pPr>
              <w:pStyle w:val="7"/>
              <w:ind w:left="0" w:leftChars="0" w:firstLine="0" w:firstLineChars="0"/>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en-US" w:eastAsia="zh-CN"/>
                <w14:textFill>
                  <w14:solidFill>
                    <w14:schemeClr w14:val="tx1"/>
                  </w14:solidFill>
                </w14:textFill>
              </w:rPr>
              <w:t>1</w:t>
            </w:r>
          </w:p>
        </w:tc>
        <w:tc>
          <w:tcPr>
            <w:tcW w:w="873" w:type="dxa"/>
          </w:tcPr>
          <w:p w14:paraId="574F549F">
            <w:pPr>
              <w:pStyle w:val="7"/>
              <w:ind w:left="0" w:leftChars="0" w:firstLine="0" w:firstLineChars="0"/>
              <w:rPr>
                <w:rFonts w:hint="eastAsia" w:asciiTheme="minorEastAsia" w:hAnsiTheme="minorEastAsia" w:eastAsiaTheme="minorEastAsia" w:cstheme="minorEastAsia"/>
                <w:color w:val="000000" w:themeColor="text1"/>
                <w:kern w:val="0"/>
                <w:sz w:val="21"/>
                <w:szCs w:val="21"/>
                <w:vertAlign w:val="baseli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zh-CN"/>
                <w14:textFill>
                  <w14:solidFill>
                    <w14:schemeClr w14:val="tx1"/>
                  </w14:solidFill>
                </w14:textFill>
              </w:rPr>
              <w:t>山西晋北采煤沉陷区新能源基地（新荣）170万千瓦光伏发电项目（变更）</w:t>
            </w:r>
          </w:p>
        </w:tc>
        <w:tc>
          <w:tcPr>
            <w:tcW w:w="1009" w:type="dxa"/>
            <w:vAlign w:val="center"/>
          </w:tcPr>
          <w:p w14:paraId="07ED971F">
            <w:pPr>
              <w:widowControl/>
              <w:spacing w:line="388" w:lineRule="atLeast"/>
              <w:jc w:val="center"/>
              <w:rPr>
                <w:rFonts w:hint="default" w:asciiTheme="minorEastAsia" w:hAnsiTheme="minorEastAsia" w:eastAsiaTheme="minorEastAsia" w:cstheme="minorEastAsia"/>
                <w:color w:val="000000" w:themeColor="text1"/>
                <w:kern w:val="0"/>
                <w:sz w:val="21"/>
                <w:szCs w:val="21"/>
                <w:vertAlign w:val="baseline"/>
                <w:lang w:val="en-US"/>
                <w14:textFill>
                  <w14:solidFill>
                    <w14:schemeClr w14:val="tx1"/>
                  </w14:solidFill>
                </w14:textFill>
              </w:rPr>
            </w:pPr>
            <w:r>
              <w:rPr>
                <w:rFonts w:hint="default" w:ascii="Times New Roman" w:hAnsi="Times New Roman" w:eastAsia="宋体" w:cs="Times New Roman"/>
                <w:bCs/>
                <w:kern w:val="0"/>
                <w:sz w:val="21"/>
                <w:szCs w:val="24"/>
                <w:lang w:val="en-US" w:eastAsia="zh-CN" w:bidi="ar-SA"/>
              </w:rPr>
              <w:t>山西省大同市新荣区新荣镇、古店镇、郭家窑乡、破鲁堡乡、堡子湾乡、西村乡</w:t>
            </w:r>
          </w:p>
        </w:tc>
        <w:tc>
          <w:tcPr>
            <w:tcW w:w="1091" w:type="dxa"/>
            <w:vAlign w:val="center"/>
          </w:tcPr>
          <w:p w14:paraId="46253E76">
            <w:pPr>
              <w:widowControl/>
              <w:spacing w:line="388" w:lineRule="atLeast"/>
              <w:jc w:val="center"/>
              <w:rPr>
                <w:rFonts w:hint="default" w:ascii="Times New Roman" w:hAnsi="Times New Roman" w:eastAsia="宋体" w:cs="Times New Roman"/>
                <w:bCs/>
                <w:kern w:val="0"/>
                <w:sz w:val="21"/>
                <w:szCs w:val="24"/>
                <w:lang w:val="en-US" w:eastAsia="zh-CN" w:bidi="ar-SA"/>
              </w:rPr>
            </w:pPr>
            <w:r>
              <w:rPr>
                <w:rFonts w:hint="default" w:ascii="Times New Roman" w:hAnsi="Times New Roman" w:eastAsia="宋体" w:cs="Times New Roman"/>
                <w:bCs/>
                <w:kern w:val="0"/>
                <w:sz w:val="21"/>
                <w:szCs w:val="24"/>
                <w:lang w:val="en-US" w:eastAsia="zh-CN" w:bidi="ar-SA"/>
              </w:rPr>
              <w:t>晋能控股晋北能源（大同新荣区）有限公司</w:t>
            </w:r>
          </w:p>
        </w:tc>
        <w:tc>
          <w:tcPr>
            <w:tcW w:w="1432" w:type="dxa"/>
            <w:vAlign w:val="center"/>
          </w:tcPr>
          <w:p w14:paraId="65C2A877">
            <w:pPr>
              <w:widowControl/>
              <w:spacing w:line="388" w:lineRule="atLeast"/>
              <w:jc w:val="center"/>
              <w:rPr>
                <w:rFonts w:hint="default" w:ascii="Times New Roman" w:hAnsi="Times New Roman" w:eastAsia="宋体" w:cs="Times New Roman"/>
                <w:bCs/>
                <w:kern w:val="0"/>
                <w:sz w:val="21"/>
                <w:szCs w:val="24"/>
                <w:lang w:val="en-US" w:eastAsia="zh-CN" w:bidi="ar-SA"/>
              </w:rPr>
            </w:pPr>
            <w:r>
              <w:rPr>
                <w:rFonts w:hint="eastAsia" w:cs="Times New Roman"/>
                <w:bCs/>
                <w:kern w:val="0"/>
                <w:sz w:val="21"/>
                <w:szCs w:val="24"/>
                <w:lang w:val="en-US" w:eastAsia="zh-CN" w:bidi="ar-SA"/>
              </w:rPr>
              <w:t>中国能源建设集团山西省电力勘测设计院有限公司</w:t>
            </w:r>
          </w:p>
        </w:tc>
        <w:tc>
          <w:tcPr>
            <w:tcW w:w="3304" w:type="dxa"/>
            <w:vAlign w:val="center"/>
          </w:tcPr>
          <w:p w14:paraId="342D87B1">
            <w:pPr>
              <w:pStyle w:val="19"/>
              <w:jc w:val="left"/>
              <w:rPr>
                <w:rFonts w:hint="eastAsia"/>
                <w:lang w:eastAsia="zh-CN"/>
              </w:rPr>
            </w:pPr>
            <w:r>
              <w:rPr>
                <w:rFonts w:hint="eastAsia" w:ascii="Times New Roman" w:hAnsi="Times New Roman" w:eastAsia="宋体" w:cs="Times New Roman"/>
                <w:bCs/>
                <w:kern w:val="0"/>
                <w:sz w:val="21"/>
                <w:szCs w:val="24"/>
                <w:lang w:val="en-US" w:eastAsia="zh-CN" w:bidi="ar-SA"/>
              </w:rPr>
              <w:t>评价内容为变更后山西晋北采煤沉陷区新能源基地（新荣）170万千瓦光伏发电项目的全部内容，主要包括光伏场、箱变基础、检修道路、场内集电线路。本光伏项目不包含配套升压站和送出线路建设，根据晋北采煤沉陷区新能源基地规划，新荣区配套建设三座220kV升压站，通过三条220kV线路送至规划的新荣500kV汇集站。</w:t>
            </w:r>
          </w:p>
        </w:tc>
        <w:tc>
          <w:tcPr>
            <w:tcW w:w="7156" w:type="dxa"/>
            <w:vAlign w:val="top"/>
          </w:tcPr>
          <w:p w14:paraId="0FC827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主要环境影响及对策：</w:t>
            </w:r>
          </w:p>
          <w:p w14:paraId="220ED445">
            <w:pPr>
              <w:spacing w:line="320" w:lineRule="exact"/>
              <w:rPr>
                <w:rFonts w:ascii="宋体" w:hAnsi="宋体" w:cs="仿宋"/>
                <w:color w:val="000000" w:themeColor="text1"/>
                <w:spacing w:val="-2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详见附件：山西晋北采煤沉陷区新能源基地（新荣）170万千瓦光伏发电项目（变更）主要环境影响及预防或者减轻不良环境影响的对策和措施。</w:t>
            </w:r>
          </w:p>
          <w:p w14:paraId="57491DB4">
            <w:pPr>
              <w:spacing w:line="320" w:lineRule="exact"/>
              <w:rPr>
                <w:rFonts w:ascii="宋体" w:hAnsi="宋体" w:cs="仿宋"/>
                <w:color w:val="000000" w:themeColor="text1"/>
                <w:spacing w:val="-20"/>
                <w:sz w:val="21"/>
                <w:szCs w:val="21"/>
                <w14:textFill>
                  <w14:solidFill>
                    <w14:schemeClr w14:val="tx1"/>
                  </w14:solidFill>
                </w14:textFill>
              </w:rPr>
            </w:pPr>
          </w:p>
          <w:p w14:paraId="2E1E6E48">
            <w:pPr>
              <w:pStyle w:val="10"/>
              <w:numPr>
                <w:ilvl w:val="0"/>
                <w:numId w:val="0"/>
              </w:numPr>
              <w:ind w:leftChars="0"/>
              <w:rPr>
                <w:rFonts w:hint="eastAsia" w:asciiTheme="minorEastAsia" w:hAnsiTheme="minorEastAsia" w:eastAsiaTheme="minorEastAsia" w:cstheme="minorEastAsia"/>
                <w:b w:val="0"/>
                <w:bCs w:val="0"/>
                <w:color w:val="000000" w:themeColor="text1"/>
                <w:sz w:val="21"/>
                <w:szCs w:val="21"/>
                <w:lang w:val="en-US" w:eastAsia="zh-CN"/>
                <w14:textFill>
                  <w14:solidFill>
                    <w14:schemeClr w14:val="tx1"/>
                  </w14:solidFill>
                </w14:textFill>
              </w:rPr>
            </w:pPr>
          </w:p>
        </w:tc>
      </w:tr>
    </w:tbl>
    <w:p w14:paraId="5E0E5E8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附：山西晋北采煤沉陷区新能源基地（新荣）170万千瓦光伏发电项目（变更）主要环境影响及预防或者减轻不良环境影响的对策和措施。</w:t>
      </w:r>
    </w:p>
    <w:p w14:paraId="25A41BA8">
      <w:pPr>
        <w:pStyle w:val="7"/>
        <w:rPr>
          <w:rFonts w:hint="eastAsia" w:ascii="宋体" w:hAnsi="宋体"/>
          <w:b/>
          <w:bCs/>
          <w:color w:val="000000" w:themeColor="text1"/>
          <w:sz w:val="30"/>
          <w:szCs w:val="30"/>
          <w14:textFill>
            <w14:solidFill>
              <w14:schemeClr w14:val="tx1"/>
            </w14:solidFill>
          </w14:textFill>
        </w:rPr>
      </w:pPr>
    </w:p>
    <w:p w14:paraId="7A4A7B86">
      <w:pPr>
        <w:pStyle w:val="7"/>
        <w:rPr>
          <w:rFonts w:hint="eastAsia" w:ascii="宋体" w:hAnsi="宋体"/>
          <w:b/>
          <w:bCs/>
          <w:color w:val="000000" w:themeColor="text1"/>
          <w:sz w:val="30"/>
          <w:szCs w:val="30"/>
          <w14:textFill>
            <w14:solidFill>
              <w14:schemeClr w14:val="tx1"/>
            </w14:solidFill>
          </w14:textFill>
        </w:rPr>
      </w:pPr>
    </w:p>
    <w:p w14:paraId="78BD8DD8">
      <w:pPr>
        <w:pStyle w:val="7"/>
        <w:rPr>
          <w:rFonts w:hint="eastAsia" w:ascii="宋体" w:hAnsi="宋体"/>
          <w:b/>
          <w:bCs/>
          <w:color w:val="000000" w:themeColor="text1"/>
          <w:sz w:val="30"/>
          <w:szCs w:val="30"/>
          <w14:textFill>
            <w14:solidFill>
              <w14:schemeClr w14:val="tx1"/>
            </w14:solidFill>
          </w14:textFill>
        </w:rPr>
      </w:pPr>
    </w:p>
    <w:p w14:paraId="2B5740FD">
      <w:pPr>
        <w:pStyle w:val="7"/>
        <w:rPr>
          <w:rFonts w:hint="eastAsia" w:ascii="宋体" w:hAnsi="宋体"/>
          <w:b/>
          <w:bCs/>
          <w:color w:val="000000" w:themeColor="text1"/>
          <w:sz w:val="30"/>
          <w:szCs w:val="30"/>
          <w14:textFill>
            <w14:solidFill>
              <w14:schemeClr w14:val="tx1"/>
            </w14:solidFill>
          </w14:textFill>
        </w:rPr>
      </w:pPr>
    </w:p>
    <w:p w14:paraId="459CC9B4">
      <w:pPr>
        <w:pStyle w:val="7"/>
        <w:rPr>
          <w:rFonts w:hint="eastAsia" w:ascii="宋体" w:hAnsi="宋体"/>
          <w:b/>
          <w:bCs/>
          <w:color w:val="000000" w:themeColor="text1"/>
          <w:sz w:val="30"/>
          <w:szCs w:val="30"/>
          <w:lang w:eastAsia="zh-CN"/>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主要环境影响</w:t>
      </w:r>
      <w:r>
        <w:rPr>
          <w:rFonts w:hint="eastAsia" w:ascii="宋体" w:hAnsi="宋体"/>
          <w:b/>
          <w:bCs/>
          <w:color w:val="000000" w:themeColor="text1"/>
          <w:sz w:val="30"/>
          <w:szCs w:val="30"/>
          <w:lang w:eastAsia="zh-CN"/>
          <w14:textFill>
            <w14:solidFill>
              <w14:schemeClr w14:val="tx1"/>
            </w14:solidFill>
          </w14:textFill>
        </w:rPr>
        <w:t>和保护措施</w:t>
      </w:r>
    </w:p>
    <w:p w14:paraId="7BC398E4">
      <w:pPr>
        <w:pStyle w:val="8"/>
        <w:rPr>
          <w:rFonts w:hint="default" w:ascii="宋体" w:hAnsi="宋体" w:eastAsia="宋体" w:cs="Times New Roman"/>
          <w:b/>
          <w:bCs/>
          <w:color w:val="000000" w:themeColor="text1"/>
          <w:kern w:val="0"/>
          <w:sz w:val="30"/>
          <w:szCs w:val="30"/>
          <w:lang w:val="en-US" w:eastAsia="zh-CN" w:bidi="ar-SA"/>
          <w14:textFill>
            <w14:solidFill>
              <w14:schemeClr w14:val="tx1"/>
            </w14:solidFill>
          </w14:textFill>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施工期</w:t>
      </w:r>
    </w:p>
    <w:p w14:paraId="49E671D2">
      <w:pPr>
        <w:topLinePunct/>
        <w:autoSpaceDE w:val="0"/>
        <w:adjustRightInd w:val="0"/>
        <w:spacing w:line="500" w:lineRule="exact"/>
        <w:ind w:firstLine="482" w:firstLineChars="200"/>
        <w:rPr>
          <w:kern w:val="0"/>
          <w:sz w:val="24"/>
        </w:rPr>
      </w:pPr>
      <w:r>
        <w:rPr>
          <w:rFonts w:hint="eastAsia"/>
          <w:b/>
          <w:bCs/>
          <w:sz w:val="24"/>
          <w:lang w:val="en-US" w:eastAsia="zh-CN"/>
        </w:rPr>
        <w:t>1.</w:t>
      </w:r>
      <w:r>
        <w:rPr>
          <w:b/>
          <w:bCs/>
          <w:sz w:val="24"/>
        </w:rPr>
        <w:t xml:space="preserve"> 大气环境影响分析</w:t>
      </w:r>
    </w:p>
    <w:p w14:paraId="03F8E8BC">
      <w:pPr>
        <w:topLinePunct/>
        <w:autoSpaceDE w:val="0"/>
        <w:adjustRightInd w:val="0"/>
        <w:spacing w:line="500" w:lineRule="exact"/>
        <w:ind w:firstLine="480" w:firstLineChars="200"/>
        <w:rPr>
          <w:kern w:val="0"/>
          <w:sz w:val="24"/>
        </w:rPr>
      </w:pPr>
      <w:r>
        <w:rPr>
          <w:kern w:val="0"/>
          <w:sz w:val="24"/>
        </w:rPr>
        <w:t>（1）施工扬尘</w:t>
      </w:r>
    </w:p>
    <w:p w14:paraId="1ED01879">
      <w:pPr>
        <w:topLinePunct/>
        <w:autoSpaceDE w:val="0"/>
        <w:adjustRightInd w:val="0"/>
        <w:spacing w:line="500" w:lineRule="exact"/>
        <w:ind w:firstLine="480" w:firstLineChars="200"/>
        <w:rPr>
          <w:kern w:val="0"/>
          <w:sz w:val="24"/>
        </w:rPr>
      </w:pPr>
      <w:r>
        <w:rPr>
          <w:kern w:val="0"/>
          <w:sz w:val="24"/>
        </w:rPr>
        <w:t>本项目施工期，施工扬尘污染源主要来自施工道路修筑、基础开挖、建筑材料(水泥、沙子、石子、砖)搬运等施工扬尘，建筑材料及垃圾物料现场堆放、现有垃圾的清理及堆放等产生的短期堆场扬尘和施工现场内来往车辆行驶造成的现场道路扬尘等。</w:t>
      </w:r>
    </w:p>
    <w:p w14:paraId="68061AEA">
      <w:pPr>
        <w:topLinePunct/>
        <w:autoSpaceDE w:val="0"/>
        <w:adjustRightInd w:val="0"/>
        <w:spacing w:line="500" w:lineRule="exact"/>
        <w:ind w:firstLine="480" w:firstLineChars="200"/>
        <w:rPr>
          <w:kern w:val="0"/>
          <w:sz w:val="24"/>
        </w:rPr>
      </w:pPr>
      <w:r>
        <w:rPr>
          <w:kern w:val="0"/>
          <w:sz w:val="24"/>
        </w:rPr>
        <w:t>本项目在施工过程中当按照施工场地“六个百分百”（工地周边100%围挡、路面100%硬化、出入车辆100%清洗、物料堆放100%覆盖、工地100%湿法作业、渣土车辆100%苫盖）中对施工扬尘的控制要求，施工营地设置洗车平台。采取抑尘措施后，本项目施工期对大气环境的影响可接受。</w:t>
      </w:r>
    </w:p>
    <w:p w14:paraId="31FD0720">
      <w:pPr>
        <w:spacing w:line="500" w:lineRule="exact"/>
        <w:ind w:firstLine="480" w:firstLineChars="200"/>
        <w:rPr>
          <w:kern w:val="0"/>
          <w:szCs w:val="21"/>
        </w:rPr>
      </w:pPr>
      <w:r>
        <w:rPr>
          <w:sz w:val="24"/>
        </w:rPr>
        <w:t>（2）非道路移动机械源废气影响分析</w:t>
      </w:r>
    </w:p>
    <w:p w14:paraId="5B52907E">
      <w:pPr>
        <w:topLinePunct/>
        <w:autoSpaceDE w:val="0"/>
        <w:adjustRightInd w:val="0"/>
        <w:spacing w:line="500" w:lineRule="exact"/>
        <w:ind w:firstLine="480" w:firstLineChars="200"/>
        <w:rPr>
          <w:kern w:val="0"/>
          <w:sz w:val="24"/>
        </w:rPr>
      </w:pPr>
      <w:r>
        <w:rPr>
          <w:kern w:val="0"/>
          <w:sz w:val="24"/>
        </w:rPr>
        <w:t>非道路移动机械源的废气主要包括柴油机械的尾气、备用柴油发电车尾气等，尾气成分主要为有SO</w:t>
      </w:r>
      <w:r>
        <w:rPr>
          <w:kern w:val="0"/>
          <w:sz w:val="24"/>
          <w:vertAlign w:val="subscript"/>
        </w:rPr>
        <w:t>2</w:t>
      </w:r>
      <w:r>
        <w:rPr>
          <w:kern w:val="0"/>
          <w:sz w:val="24"/>
        </w:rPr>
        <w:t>、CO</w:t>
      </w:r>
      <w:r>
        <w:rPr>
          <w:kern w:val="0"/>
          <w:sz w:val="24"/>
          <w:vertAlign w:val="subscript"/>
        </w:rPr>
        <w:t>2</w:t>
      </w:r>
      <w:r>
        <w:rPr>
          <w:kern w:val="0"/>
          <w:sz w:val="24"/>
        </w:rPr>
        <w:t>、NO</w:t>
      </w:r>
      <w:r>
        <w:rPr>
          <w:kern w:val="0"/>
          <w:sz w:val="24"/>
          <w:vertAlign w:val="subscript"/>
        </w:rPr>
        <w:t>X</w:t>
      </w:r>
      <w:r>
        <w:rPr>
          <w:kern w:val="0"/>
          <w:sz w:val="24"/>
        </w:rPr>
        <w:t>和非甲烷总烃等。</w:t>
      </w:r>
    </w:p>
    <w:p w14:paraId="0CCFB317">
      <w:pPr>
        <w:topLinePunct/>
        <w:autoSpaceDE w:val="0"/>
        <w:adjustRightInd w:val="0"/>
        <w:spacing w:line="500" w:lineRule="exact"/>
        <w:ind w:firstLine="480" w:firstLineChars="200"/>
        <w:rPr>
          <w:kern w:val="0"/>
          <w:sz w:val="24"/>
        </w:rPr>
      </w:pPr>
      <w:r>
        <w:rPr>
          <w:kern w:val="0"/>
          <w:sz w:val="24"/>
        </w:rPr>
        <w:t>非道路移动机械选用达到非道路移动机械大气污染物排放标准的机械设备，鼓励非道路移动机械排放废气满足国三及以上标准。定期对作业机械进行排放检验和维修养护，认真做好施工期环境保护工作各类施工车辆在燃油时SO</w:t>
      </w:r>
      <w:r>
        <w:rPr>
          <w:kern w:val="0"/>
          <w:sz w:val="24"/>
          <w:vertAlign w:val="subscript"/>
        </w:rPr>
        <w:t>2</w:t>
      </w:r>
      <w:r>
        <w:rPr>
          <w:kern w:val="0"/>
          <w:sz w:val="24"/>
        </w:rPr>
        <w:t>、CO</w:t>
      </w:r>
      <w:r>
        <w:rPr>
          <w:kern w:val="0"/>
          <w:sz w:val="24"/>
          <w:vertAlign w:val="subscript"/>
        </w:rPr>
        <w:t>2</w:t>
      </w:r>
      <w:r>
        <w:rPr>
          <w:kern w:val="0"/>
          <w:sz w:val="24"/>
        </w:rPr>
        <w:t>、NO</w:t>
      </w:r>
      <w:r>
        <w:rPr>
          <w:kern w:val="0"/>
          <w:sz w:val="24"/>
          <w:vertAlign w:val="subscript"/>
        </w:rPr>
        <w:t>X</w:t>
      </w:r>
      <w:r>
        <w:rPr>
          <w:kern w:val="0"/>
          <w:sz w:val="24"/>
        </w:rPr>
        <w:t>和非甲烷总烃等大气污染物排放量不大，且施工时间较短、间断排放，且位于山顶开阔地带，有利于废气的扩散，对周围环境影响较小。</w:t>
      </w:r>
    </w:p>
    <w:p w14:paraId="53F13220">
      <w:pPr>
        <w:spacing w:line="500" w:lineRule="exact"/>
        <w:ind w:firstLine="482" w:firstLineChars="200"/>
        <w:rPr>
          <w:b/>
          <w:bCs/>
          <w:kern w:val="0"/>
          <w:szCs w:val="21"/>
        </w:rPr>
      </w:pPr>
      <w:r>
        <w:rPr>
          <w:rFonts w:hint="eastAsia"/>
          <w:b/>
          <w:bCs/>
          <w:sz w:val="24"/>
          <w:lang w:val="en-US" w:eastAsia="zh-CN"/>
        </w:rPr>
        <w:t>2.</w:t>
      </w:r>
      <w:r>
        <w:rPr>
          <w:b/>
          <w:bCs/>
          <w:sz w:val="24"/>
        </w:rPr>
        <w:t>水环境影响分析</w:t>
      </w:r>
    </w:p>
    <w:p w14:paraId="0941298C">
      <w:pPr>
        <w:topLinePunct/>
        <w:autoSpaceDE w:val="0"/>
        <w:adjustRightInd w:val="0"/>
        <w:spacing w:line="500" w:lineRule="exact"/>
        <w:ind w:firstLine="472" w:firstLineChars="200"/>
        <w:rPr>
          <w:kern w:val="0"/>
          <w:sz w:val="24"/>
        </w:rPr>
      </w:pPr>
      <w:r>
        <w:rPr>
          <w:snapToGrid w:val="0"/>
          <w:spacing w:val="-2"/>
          <w:kern w:val="0"/>
          <w:sz w:val="24"/>
        </w:rPr>
        <w:t>本项目施工期产生的废水主要来源于两方面：一是施工作业活动产生的施工废</w:t>
      </w:r>
      <w:r>
        <w:rPr>
          <w:snapToGrid w:val="0"/>
          <w:spacing w:val="-6"/>
          <w:kern w:val="0"/>
          <w:sz w:val="24"/>
        </w:rPr>
        <w:t>水，这部分废水中泥沙等悬浮物含量很高，一般呈碱性，部分废水还带有少量油污。</w:t>
      </w:r>
      <w:r>
        <w:rPr>
          <w:snapToGrid w:val="0"/>
          <w:spacing w:val="-4"/>
          <w:kern w:val="0"/>
          <w:sz w:val="24"/>
        </w:rPr>
        <w:t>二是现场施工人员产生的生活污水，主要含</w:t>
      </w:r>
      <w:r>
        <w:rPr>
          <w:rFonts w:eastAsia="Times New Roman"/>
          <w:snapToGrid w:val="0"/>
          <w:spacing w:val="-4"/>
          <w:kern w:val="0"/>
          <w:sz w:val="24"/>
        </w:rPr>
        <w:t>CODcr</w:t>
      </w:r>
      <w:r>
        <w:rPr>
          <w:snapToGrid w:val="0"/>
          <w:spacing w:val="-4"/>
          <w:kern w:val="0"/>
          <w:sz w:val="24"/>
        </w:rPr>
        <w:t>、</w:t>
      </w:r>
      <w:r>
        <w:rPr>
          <w:rFonts w:eastAsia="Times New Roman"/>
          <w:snapToGrid w:val="0"/>
          <w:spacing w:val="-4"/>
          <w:kern w:val="0"/>
          <w:sz w:val="24"/>
        </w:rPr>
        <w:t>BOD</w:t>
      </w:r>
      <w:r>
        <w:rPr>
          <w:rFonts w:eastAsia="Times New Roman"/>
          <w:snapToGrid w:val="0"/>
          <w:spacing w:val="-4"/>
          <w:kern w:val="0"/>
          <w:position w:val="-1"/>
          <w:sz w:val="24"/>
        </w:rPr>
        <w:t>5</w:t>
      </w:r>
      <w:r>
        <w:rPr>
          <w:snapToGrid w:val="0"/>
          <w:spacing w:val="-4"/>
          <w:kern w:val="0"/>
          <w:sz w:val="24"/>
        </w:rPr>
        <w:t>、</w:t>
      </w:r>
      <w:r>
        <w:rPr>
          <w:rFonts w:eastAsia="Times New Roman"/>
          <w:snapToGrid w:val="0"/>
          <w:spacing w:val="-4"/>
          <w:kern w:val="0"/>
          <w:sz w:val="24"/>
        </w:rPr>
        <w:t>NH</w:t>
      </w:r>
      <w:r>
        <w:rPr>
          <w:rFonts w:eastAsia="Times New Roman"/>
          <w:snapToGrid w:val="0"/>
          <w:spacing w:val="-4"/>
          <w:kern w:val="0"/>
          <w:sz w:val="24"/>
          <w:vertAlign w:val="subscript"/>
        </w:rPr>
        <w:t>3</w:t>
      </w:r>
      <w:r>
        <w:rPr>
          <w:rFonts w:eastAsia="Times New Roman"/>
          <w:snapToGrid w:val="0"/>
          <w:spacing w:val="-4"/>
          <w:kern w:val="0"/>
          <w:sz w:val="24"/>
        </w:rPr>
        <w:t>-N</w:t>
      </w:r>
      <w:r>
        <w:rPr>
          <w:snapToGrid w:val="0"/>
          <w:spacing w:val="-4"/>
          <w:kern w:val="0"/>
          <w:sz w:val="24"/>
        </w:rPr>
        <w:t>、</w:t>
      </w:r>
      <w:r>
        <w:rPr>
          <w:rFonts w:eastAsia="Times New Roman"/>
          <w:snapToGrid w:val="0"/>
          <w:spacing w:val="-5"/>
          <w:kern w:val="0"/>
          <w:sz w:val="24"/>
        </w:rPr>
        <w:t>SS</w:t>
      </w:r>
      <w:r>
        <w:rPr>
          <w:snapToGrid w:val="0"/>
          <w:spacing w:val="-5"/>
          <w:kern w:val="0"/>
          <w:sz w:val="24"/>
        </w:rPr>
        <w:t>等污染物。项目施工场地选择开阔平坦地带，减少废水影响。</w:t>
      </w:r>
    </w:p>
    <w:p w14:paraId="5423B39F">
      <w:pPr>
        <w:widowControl/>
        <w:kinsoku w:val="0"/>
        <w:autoSpaceDE w:val="0"/>
        <w:autoSpaceDN w:val="0"/>
        <w:adjustRightInd w:val="0"/>
        <w:snapToGrid w:val="0"/>
        <w:spacing w:line="500" w:lineRule="exact"/>
        <w:ind w:firstLine="468" w:firstLineChars="200"/>
        <w:textAlignment w:val="baseline"/>
        <w:rPr>
          <w:snapToGrid w:val="0"/>
          <w:kern w:val="0"/>
          <w:sz w:val="24"/>
        </w:rPr>
      </w:pPr>
      <w:r>
        <w:rPr>
          <w:snapToGrid w:val="0"/>
          <w:spacing w:val="-3"/>
          <w:kern w:val="0"/>
          <w:sz w:val="24"/>
        </w:rPr>
        <w:t>（</w:t>
      </w:r>
      <w:r>
        <w:rPr>
          <w:rFonts w:eastAsia="Times New Roman"/>
          <w:snapToGrid w:val="0"/>
          <w:spacing w:val="-3"/>
          <w:kern w:val="0"/>
          <w:sz w:val="24"/>
        </w:rPr>
        <w:t>1</w:t>
      </w:r>
      <w:r>
        <w:rPr>
          <w:snapToGrid w:val="0"/>
          <w:spacing w:val="-3"/>
          <w:kern w:val="0"/>
          <w:sz w:val="24"/>
        </w:rPr>
        <w:t>）施工废水</w:t>
      </w:r>
    </w:p>
    <w:p w14:paraId="6697B0C9">
      <w:pPr>
        <w:widowControl/>
        <w:kinsoku w:val="0"/>
        <w:autoSpaceDE w:val="0"/>
        <w:autoSpaceDN w:val="0"/>
        <w:adjustRightInd w:val="0"/>
        <w:snapToGrid w:val="0"/>
        <w:spacing w:line="500" w:lineRule="exact"/>
        <w:ind w:firstLine="475" w:firstLineChars="195"/>
        <w:jc w:val="left"/>
        <w:textAlignment w:val="baseline"/>
        <w:rPr>
          <w:snapToGrid w:val="0"/>
          <w:kern w:val="0"/>
          <w:sz w:val="24"/>
        </w:rPr>
      </w:pPr>
      <w:r>
        <w:rPr>
          <w:snapToGrid w:val="0"/>
          <w:spacing w:val="2"/>
          <w:kern w:val="0"/>
          <w:sz w:val="24"/>
        </w:rPr>
        <w:t>施工作业活动将会产生少量泥浆废水，此类废水所含</w:t>
      </w:r>
      <w:r>
        <w:rPr>
          <w:snapToGrid w:val="0"/>
          <w:spacing w:val="1"/>
          <w:kern w:val="0"/>
          <w:sz w:val="24"/>
        </w:rPr>
        <w:t>污染物主要为</w:t>
      </w:r>
      <w:r>
        <w:rPr>
          <w:rFonts w:eastAsia="Times New Roman"/>
          <w:snapToGrid w:val="0"/>
          <w:kern w:val="0"/>
          <w:sz w:val="24"/>
        </w:rPr>
        <w:t>SS</w:t>
      </w:r>
      <w:r>
        <w:rPr>
          <w:snapToGrid w:val="0"/>
          <w:spacing w:val="1"/>
          <w:kern w:val="0"/>
          <w:sz w:val="24"/>
        </w:rPr>
        <w:t>，浓度</w:t>
      </w:r>
      <w:r>
        <w:rPr>
          <w:rFonts w:eastAsia="Times New Roman"/>
          <w:snapToGrid w:val="0"/>
          <w:kern w:val="0"/>
          <w:sz w:val="24"/>
        </w:rPr>
        <w:t>500</w:t>
      </w:r>
      <w:r>
        <w:rPr>
          <w:snapToGrid w:val="0"/>
          <w:kern w:val="0"/>
          <w:sz w:val="24"/>
        </w:rPr>
        <w:t>～</w:t>
      </w:r>
      <w:r>
        <w:rPr>
          <w:rFonts w:eastAsia="Times New Roman"/>
          <w:snapToGrid w:val="0"/>
          <w:kern w:val="0"/>
          <w:sz w:val="24"/>
        </w:rPr>
        <w:t>2000mg/L</w:t>
      </w:r>
      <w:r>
        <w:rPr>
          <w:snapToGrid w:val="0"/>
          <w:kern w:val="0"/>
          <w:sz w:val="24"/>
        </w:rPr>
        <w:t>，呈弱酸性，并带有少量油污。本项目施工废水，如果处置</w:t>
      </w:r>
      <w:r>
        <w:rPr>
          <w:snapToGrid w:val="0"/>
          <w:spacing w:val="-1"/>
          <w:kern w:val="0"/>
          <w:sz w:val="24"/>
        </w:rPr>
        <w:t>措施不</w:t>
      </w:r>
      <w:r>
        <w:rPr>
          <w:snapToGrid w:val="0"/>
          <w:kern w:val="0"/>
          <w:sz w:val="24"/>
        </w:rPr>
        <w:t>当，容易造成水环境污染，因此，环评要求</w:t>
      </w:r>
      <w:r>
        <w:rPr>
          <w:snapToGrid w:val="0"/>
          <w:spacing w:val="-1"/>
          <w:kern w:val="0"/>
          <w:sz w:val="24"/>
        </w:rPr>
        <w:t>施工单位采取以下防治措施：</w:t>
      </w:r>
    </w:p>
    <w:p w14:paraId="64383F8B">
      <w:pPr>
        <w:widowControl/>
        <w:kinsoku w:val="0"/>
        <w:autoSpaceDE w:val="0"/>
        <w:autoSpaceDN w:val="0"/>
        <w:adjustRightInd w:val="0"/>
        <w:snapToGrid w:val="0"/>
        <w:spacing w:line="500" w:lineRule="exact"/>
        <w:ind w:firstLine="452" w:firstLineChars="200"/>
        <w:jc w:val="left"/>
        <w:textAlignment w:val="baseline"/>
        <w:rPr>
          <w:snapToGrid w:val="0"/>
          <w:kern w:val="0"/>
          <w:sz w:val="24"/>
        </w:rPr>
      </w:pPr>
      <w:r>
        <w:rPr>
          <w:rFonts w:hint="eastAsia" w:ascii="宋体" w:hAnsi="宋体" w:cs="宋体"/>
          <w:snapToGrid w:val="0"/>
          <w:spacing w:val="-7"/>
          <w:kern w:val="0"/>
          <w:sz w:val="24"/>
        </w:rPr>
        <w:t>①</w:t>
      </w:r>
      <w:r>
        <w:rPr>
          <w:snapToGrid w:val="0"/>
          <w:spacing w:val="-7"/>
          <w:kern w:val="0"/>
          <w:sz w:val="24"/>
        </w:rPr>
        <w:t>砂石料冲洗废水。悬浮物含量大，需修建沉淀池，进行沉淀处理后循环使用，</w:t>
      </w:r>
      <w:r>
        <w:rPr>
          <w:snapToGrid w:val="0"/>
          <w:spacing w:val="-1"/>
          <w:kern w:val="0"/>
          <w:sz w:val="24"/>
        </w:rPr>
        <w:t>可用于施工场地洒水抑尘等。</w:t>
      </w:r>
    </w:p>
    <w:p w14:paraId="39161A12">
      <w:pPr>
        <w:widowControl/>
        <w:kinsoku w:val="0"/>
        <w:autoSpaceDE w:val="0"/>
        <w:autoSpaceDN w:val="0"/>
        <w:adjustRightInd w:val="0"/>
        <w:snapToGrid w:val="0"/>
        <w:spacing w:line="500" w:lineRule="exact"/>
        <w:ind w:firstLine="472" w:firstLineChars="200"/>
        <w:jc w:val="left"/>
        <w:textAlignment w:val="baseline"/>
        <w:rPr>
          <w:snapToGrid w:val="0"/>
          <w:kern w:val="0"/>
          <w:sz w:val="24"/>
        </w:rPr>
      </w:pPr>
      <w:r>
        <w:rPr>
          <w:rFonts w:hint="eastAsia" w:ascii="宋体" w:hAnsi="宋体" w:cs="宋体"/>
          <w:snapToGrid w:val="0"/>
          <w:spacing w:val="-2"/>
          <w:kern w:val="0"/>
          <w:sz w:val="24"/>
        </w:rPr>
        <w:t>②</w:t>
      </w:r>
      <w:r>
        <w:rPr>
          <w:snapToGrid w:val="0"/>
          <w:spacing w:val="-2"/>
          <w:kern w:val="0"/>
          <w:sz w:val="24"/>
        </w:rPr>
        <w:t>机械和车辆冲洗废水。主要为含油废水，应尽量要求施工机械和车辆到附近</w:t>
      </w:r>
      <w:r>
        <w:rPr>
          <w:snapToGrid w:val="0"/>
          <w:spacing w:val="-1"/>
          <w:kern w:val="0"/>
          <w:sz w:val="24"/>
        </w:rPr>
        <w:t>专门清洗点或修理点进行清洗和修理，小部分在</w:t>
      </w:r>
      <w:r>
        <w:rPr>
          <w:snapToGrid w:val="0"/>
          <w:spacing w:val="-2"/>
          <w:kern w:val="0"/>
          <w:sz w:val="24"/>
        </w:rPr>
        <w:t>施工现场进行清洗和修理的施工机</w:t>
      </w:r>
      <w:r>
        <w:rPr>
          <w:snapToGrid w:val="0"/>
          <w:spacing w:val="-1"/>
          <w:kern w:val="0"/>
          <w:sz w:val="24"/>
        </w:rPr>
        <w:t>械、车辆所产生的含油废水或废弃物，不得随意</w:t>
      </w:r>
      <w:r>
        <w:rPr>
          <w:snapToGrid w:val="0"/>
          <w:spacing w:val="-2"/>
          <w:kern w:val="0"/>
          <w:sz w:val="24"/>
        </w:rPr>
        <w:t>弃置和倾流，可用容器收集，回收</w:t>
      </w:r>
      <w:r>
        <w:rPr>
          <w:snapToGrid w:val="0"/>
          <w:spacing w:val="-6"/>
          <w:kern w:val="0"/>
          <w:sz w:val="24"/>
        </w:rPr>
        <w:t>利用，以防油污染。机械保养冲洗废水、含油污水不得随意排放，应建小</w:t>
      </w:r>
      <w:r>
        <w:rPr>
          <w:snapToGrid w:val="0"/>
          <w:spacing w:val="-7"/>
          <w:kern w:val="0"/>
          <w:sz w:val="24"/>
        </w:rPr>
        <w:t>型隔油池，</w:t>
      </w:r>
      <w:r>
        <w:rPr>
          <w:snapToGrid w:val="0"/>
          <w:spacing w:val="-1"/>
          <w:kern w:val="0"/>
          <w:sz w:val="24"/>
        </w:rPr>
        <w:t>经隔油沉淀处理后回用。</w:t>
      </w:r>
    </w:p>
    <w:p w14:paraId="62C93C70">
      <w:pPr>
        <w:widowControl/>
        <w:kinsoku w:val="0"/>
        <w:autoSpaceDE w:val="0"/>
        <w:autoSpaceDN w:val="0"/>
        <w:adjustRightInd w:val="0"/>
        <w:snapToGrid w:val="0"/>
        <w:spacing w:line="500" w:lineRule="exact"/>
        <w:ind w:firstLine="520" w:firstLineChars="200"/>
        <w:jc w:val="left"/>
        <w:textAlignment w:val="baseline"/>
        <w:rPr>
          <w:snapToGrid w:val="0"/>
          <w:kern w:val="0"/>
          <w:sz w:val="24"/>
        </w:rPr>
      </w:pPr>
      <w:r>
        <w:rPr>
          <w:snapToGrid w:val="0"/>
          <w:spacing w:val="10"/>
          <w:kern w:val="0"/>
          <w:sz w:val="24"/>
        </w:rPr>
        <w:t>综上所述，本项目产生的施工废水均不外排，施工废水</w:t>
      </w:r>
      <w:r>
        <w:rPr>
          <w:snapToGrid w:val="0"/>
          <w:spacing w:val="9"/>
          <w:kern w:val="0"/>
          <w:sz w:val="24"/>
        </w:rPr>
        <w:t>主要污染物为</w:t>
      </w:r>
      <w:r>
        <w:rPr>
          <w:rFonts w:eastAsia="Times New Roman"/>
          <w:snapToGrid w:val="0"/>
          <w:kern w:val="0"/>
          <w:sz w:val="24"/>
        </w:rPr>
        <w:t>SS</w:t>
      </w:r>
      <w:r>
        <w:rPr>
          <w:snapToGrid w:val="0"/>
          <w:spacing w:val="9"/>
          <w:kern w:val="0"/>
          <w:sz w:val="24"/>
        </w:rPr>
        <w:t>、</w:t>
      </w:r>
      <w:r>
        <w:rPr>
          <w:rFonts w:eastAsia="Times New Roman"/>
          <w:snapToGrid w:val="0"/>
          <w:spacing w:val="-4"/>
          <w:kern w:val="0"/>
          <w:sz w:val="24"/>
        </w:rPr>
        <w:t>COD</w:t>
      </w:r>
      <w:r>
        <w:rPr>
          <w:rFonts w:eastAsia="Times New Roman"/>
          <w:snapToGrid w:val="0"/>
          <w:spacing w:val="-4"/>
          <w:kern w:val="0"/>
          <w:position w:val="-1"/>
          <w:sz w:val="24"/>
        </w:rPr>
        <w:t>Cr</w:t>
      </w:r>
      <w:r>
        <w:rPr>
          <w:snapToGrid w:val="0"/>
          <w:spacing w:val="-4"/>
          <w:kern w:val="0"/>
          <w:sz w:val="24"/>
        </w:rPr>
        <w:t>、石油类，因此经隔油、沉淀处理后，可用于施工中车辆冲洗和洒水抑尘等。</w:t>
      </w:r>
    </w:p>
    <w:p w14:paraId="29752D9F">
      <w:pPr>
        <w:widowControl/>
        <w:kinsoku w:val="0"/>
        <w:autoSpaceDE w:val="0"/>
        <w:autoSpaceDN w:val="0"/>
        <w:adjustRightInd w:val="0"/>
        <w:snapToGrid w:val="0"/>
        <w:spacing w:line="500" w:lineRule="exact"/>
        <w:ind w:firstLine="520" w:firstLineChars="200"/>
        <w:jc w:val="left"/>
        <w:textAlignment w:val="baseline"/>
        <w:rPr>
          <w:snapToGrid w:val="0"/>
          <w:spacing w:val="10"/>
          <w:kern w:val="0"/>
          <w:sz w:val="24"/>
        </w:rPr>
      </w:pPr>
      <w:r>
        <w:rPr>
          <w:snapToGrid w:val="0"/>
          <w:spacing w:val="10"/>
          <w:kern w:val="0"/>
          <w:sz w:val="24"/>
        </w:rPr>
        <w:t>（2）生活污水</w:t>
      </w:r>
    </w:p>
    <w:p w14:paraId="39F44102">
      <w:pPr>
        <w:pStyle w:val="80"/>
        <w:spacing w:line="480" w:lineRule="exact"/>
        <w:ind w:firstLine="480" w:firstLineChars="200"/>
        <w:jc w:val="left"/>
        <w:rPr>
          <w:rFonts w:eastAsia="仿宋"/>
          <w:bCs/>
          <w:sz w:val="24"/>
        </w:rPr>
      </w:pPr>
      <w:r>
        <w:rPr>
          <w:bCs/>
        </w:rPr>
        <w:t>施工生活区设置临时办公区，施工人员均为当地居民，建设单位项目部另行租用其他民房，值守人员不安排住宿在施工现场。本项目施工高峰期时作业人员约1</w:t>
      </w:r>
      <w:r>
        <w:rPr>
          <w:bCs/>
          <w:lang w:val="en-US"/>
        </w:rPr>
        <w:t>50</w:t>
      </w:r>
      <w:r>
        <w:rPr>
          <w:bCs/>
        </w:rPr>
        <w:t>人，按人均用水30L/d，则高峰生活用水量为</w:t>
      </w:r>
      <w:r>
        <w:rPr>
          <w:bCs/>
          <w:lang w:val="en-US"/>
        </w:rPr>
        <w:t>4.5</w:t>
      </w:r>
      <w:r>
        <w:rPr>
          <w:bCs/>
        </w:rPr>
        <w:t>m</w:t>
      </w:r>
      <w:r>
        <w:rPr>
          <w:bCs/>
          <w:vertAlign w:val="superscript"/>
        </w:rPr>
        <w:t>3</w:t>
      </w:r>
      <w:r>
        <w:rPr>
          <w:bCs/>
        </w:rPr>
        <w:t>/d，排污系数0.8，预计产生量</w:t>
      </w:r>
      <w:r>
        <w:rPr>
          <w:bCs/>
          <w:lang w:val="en-US"/>
        </w:rPr>
        <w:t>3.6</w:t>
      </w:r>
      <w:r>
        <w:rPr>
          <w:bCs/>
        </w:rPr>
        <w:t>m</w:t>
      </w:r>
      <w:r>
        <w:rPr>
          <w:bCs/>
          <w:vertAlign w:val="superscript"/>
        </w:rPr>
        <w:t>3</w:t>
      </w:r>
      <w:r>
        <w:rPr>
          <w:bCs/>
        </w:rPr>
        <w:t>/d，主要污染物及其浓度为COD：200mg/L，BOD</w:t>
      </w:r>
      <w:r>
        <w:rPr>
          <w:bCs/>
          <w:vertAlign w:val="subscript"/>
        </w:rPr>
        <w:t>5</w:t>
      </w:r>
      <w:r>
        <w:rPr>
          <w:bCs/>
        </w:rPr>
        <w:t>：100mg/L，SS：150mg/L。施工人员生活污水主要为日常洗涮等杂用废水，</w:t>
      </w:r>
      <w:r>
        <w:rPr>
          <w:kern w:val="0"/>
        </w:rPr>
        <w:t>生活污水</w:t>
      </w:r>
      <w:r>
        <w:rPr>
          <w:kern w:val="0"/>
          <w:lang w:val="en-US"/>
        </w:rPr>
        <w:t>经化粪池处理后定期清运</w:t>
      </w:r>
      <w:r>
        <w:rPr>
          <w:bCs/>
        </w:rPr>
        <w:t>。评价要求在施工生活区严格管理，严禁随地泼洒污水，保持生活区清洁卫生。施工期生活污水水量较小，回用后对周围地表水环境影响很小。</w:t>
      </w:r>
      <w:r>
        <w:rPr>
          <w:rFonts w:hint="eastAsia"/>
          <w:color w:val="auto"/>
          <w:sz w:val="24"/>
          <w:szCs w:val="24"/>
          <w:highlight w:val="none"/>
          <w:lang w:val="en-US" w:eastAsia="zh-CN"/>
        </w:rPr>
        <w:t>。</w:t>
      </w:r>
    </w:p>
    <w:p w14:paraId="71DDA1A0">
      <w:pPr>
        <w:pStyle w:val="80"/>
        <w:spacing w:line="480" w:lineRule="exact"/>
        <w:ind w:firstLine="602" w:firstLineChars="200"/>
        <w:jc w:val="center"/>
        <w:rPr>
          <w:rFonts w:hint="default" w:eastAsia="宋体"/>
          <w:kern w:val="0"/>
          <w:lang w:val="en-US" w:eastAsia="zh-CN"/>
        </w:rPr>
      </w:pPr>
      <w:r>
        <w:rPr>
          <w:rFonts w:hint="eastAsia" w:ascii="宋体" w:hAnsi="宋体" w:eastAsia="宋体" w:cs="Times New Roman"/>
          <w:b/>
          <w:bCs/>
          <w:color w:val="000000" w:themeColor="text1"/>
          <w:kern w:val="0"/>
          <w:sz w:val="30"/>
          <w:szCs w:val="30"/>
          <w:lang w:val="en-US" w:eastAsia="zh-CN" w:bidi="ar-SA"/>
          <w14:textFill>
            <w14:solidFill>
              <w14:schemeClr w14:val="tx1"/>
            </w14:solidFill>
          </w14:textFill>
        </w:rPr>
        <w:t>营运期</w:t>
      </w:r>
    </w:p>
    <w:tbl>
      <w:tblPr>
        <w:tblStyle w:val="24"/>
        <w:tblW w:w="1387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4"/>
        <w:gridCol w:w="433"/>
        <w:gridCol w:w="6317"/>
        <w:gridCol w:w="1563"/>
        <w:gridCol w:w="2962"/>
        <w:gridCol w:w="2158"/>
      </w:tblGrid>
      <w:tr w14:paraId="7FFB7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77" w:type="dxa"/>
            <w:gridSpan w:val="2"/>
            <w:vMerge w:val="restart"/>
            <w:tcBorders>
              <w:top w:val="single" w:color="auto" w:sz="8" w:space="0"/>
              <w:left w:val="single" w:color="auto" w:sz="8" w:space="0"/>
              <w:bottom w:val="single" w:color="auto" w:sz="4" w:space="0"/>
              <w:right w:val="single" w:color="auto" w:sz="4" w:space="0"/>
              <w:tl2br w:val="single" w:color="auto" w:sz="4" w:space="0"/>
            </w:tcBorders>
            <w:noWrap w:val="0"/>
            <w:vAlign w:val="top"/>
          </w:tcPr>
          <w:p w14:paraId="5B0A7CEB">
            <w:pPr>
              <w:pStyle w:val="20"/>
              <w:adjustRightInd w:val="0"/>
              <w:snapToGrid w:val="0"/>
              <w:spacing w:before="0" w:beforeAutospacing="0" w:after="0" w:afterAutospacing="0" w:line="320" w:lineRule="exact"/>
              <w:jc w:val="right"/>
              <w:rPr>
                <w:rFonts w:ascii="Times New Roman" w:hAnsi="Times New Roman"/>
                <w:kern w:val="2"/>
                <w:sz w:val="21"/>
                <w:szCs w:val="21"/>
              </w:rPr>
            </w:pPr>
            <w:r>
              <w:rPr>
                <w:rFonts w:ascii="Times New Roman" w:hAnsi="Times New Roman"/>
                <w:kern w:val="2"/>
                <w:sz w:val="21"/>
                <w:szCs w:val="21"/>
              </w:rPr>
              <w:t xml:space="preserve">内容 </w:t>
            </w:r>
          </w:p>
          <w:p w14:paraId="2755D0D2">
            <w:pPr>
              <w:pStyle w:val="20"/>
              <w:adjustRightInd w:val="0"/>
              <w:snapToGrid w:val="0"/>
              <w:spacing w:before="0" w:beforeAutospacing="0" w:after="0" w:afterAutospacing="0" w:line="320" w:lineRule="exact"/>
              <w:jc w:val="right"/>
              <w:rPr>
                <w:rFonts w:ascii="Times New Roman" w:hAnsi="Times New Roman"/>
                <w:kern w:val="2"/>
                <w:sz w:val="21"/>
                <w:szCs w:val="21"/>
              </w:rPr>
            </w:pPr>
          </w:p>
          <w:p w14:paraId="570267AA">
            <w:pPr>
              <w:pStyle w:val="20"/>
              <w:adjustRightInd w:val="0"/>
              <w:snapToGrid w:val="0"/>
              <w:spacing w:before="0" w:beforeAutospacing="0" w:after="0" w:afterAutospacing="0" w:line="320" w:lineRule="exact"/>
              <w:rPr>
                <w:rFonts w:ascii="Times New Roman" w:hAnsi="Times New Roman"/>
                <w:kern w:val="2"/>
                <w:sz w:val="21"/>
                <w:szCs w:val="21"/>
              </w:rPr>
            </w:pPr>
            <w:r>
              <w:rPr>
                <w:rFonts w:ascii="Times New Roman" w:hAnsi="Times New Roman"/>
                <w:kern w:val="2"/>
                <w:sz w:val="21"/>
                <w:szCs w:val="21"/>
              </w:rPr>
              <w:t>要素</w:t>
            </w:r>
          </w:p>
        </w:tc>
        <w:tc>
          <w:tcPr>
            <w:tcW w:w="7880" w:type="dxa"/>
            <w:gridSpan w:val="2"/>
            <w:tcBorders>
              <w:top w:val="single" w:color="auto" w:sz="8" w:space="0"/>
              <w:left w:val="single" w:color="auto" w:sz="4" w:space="0"/>
              <w:bottom w:val="single" w:color="auto" w:sz="4" w:space="0"/>
              <w:right w:val="single" w:color="auto" w:sz="4" w:space="0"/>
            </w:tcBorders>
            <w:noWrap w:val="0"/>
            <w:vAlign w:val="center"/>
          </w:tcPr>
          <w:p w14:paraId="1537D855">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施工期</w:t>
            </w:r>
          </w:p>
        </w:tc>
        <w:tc>
          <w:tcPr>
            <w:tcW w:w="5120" w:type="dxa"/>
            <w:gridSpan w:val="2"/>
            <w:tcBorders>
              <w:top w:val="single" w:color="auto" w:sz="8" w:space="0"/>
              <w:left w:val="single" w:color="auto" w:sz="4" w:space="0"/>
              <w:bottom w:val="single" w:color="auto" w:sz="4" w:space="0"/>
              <w:right w:val="single" w:color="auto" w:sz="8" w:space="0"/>
            </w:tcBorders>
            <w:noWrap w:val="0"/>
            <w:vAlign w:val="center"/>
          </w:tcPr>
          <w:p w14:paraId="47524059">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运营期</w:t>
            </w:r>
          </w:p>
        </w:tc>
      </w:tr>
      <w:tr w14:paraId="70502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77" w:type="dxa"/>
            <w:gridSpan w:val="2"/>
            <w:vMerge w:val="continue"/>
            <w:tcBorders>
              <w:top w:val="single" w:color="auto" w:sz="8" w:space="0"/>
              <w:left w:val="single" w:color="auto" w:sz="8" w:space="0"/>
              <w:bottom w:val="single" w:color="auto" w:sz="4" w:space="0"/>
              <w:right w:val="single" w:color="auto" w:sz="4" w:space="0"/>
            </w:tcBorders>
            <w:noWrap w:val="0"/>
            <w:vAlign w:val="center"/>
          </w:tcPr>
          <w:p w14:paraId="75BF7DEC">
            <w:pPr>
              <w:widowControl/>
              <w:jc w:val="left"/>
              <w:rPr>
                <w:szCs w:val="21"/>
              </w:rPr>
            </w:pP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B3E7B5B">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环境保护措施</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36F0F36">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验收要求</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25FE0B1E">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环境保护措施</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0F291915">
            <w:pPr>
              <w:pStyle w:val="20"/>
              <w:adjustRightInd w:val="0"/>
              <w:snapToGrid w:val="0"/>
              <w:spacing w:before="0" w:beforeAutospacing="0" w:after="0" w:afterAutospacing="0" w:line="320" w:lineRule="exact"/>
              <w:jc w:val="center"/>
              <w:rPr>
                <w:rFonts w:ascii="Times New Roman" w:hAnsi="Times New Roman"/>
                <w:kern w:val="2"/>
                <w:sz w:val="21"/>
                <w:szCs w:val="21"/>
              </w:rPr>
            </w:pPr>
            <w:r>
              <w:rPr>
                <w:rFonts w:ascii="Times New Roman" w:hAnsi="Times New Roman"/>
                <w:kern w:val="2"/>
                <w:sz w:val="21"/>
                <w:szCs w:val="21"/>
              </w:rPr>
              <w:t>验收要求</w:t>
            </w:r>
          </w:p>
        </w:tc>
      </w:tr>
      <w:tr w14:paraId="74037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4" w:type="dxa"/>
            <w:vMerge w:val="restart"/>
            <w:tcBorders>
              <w:top w:val="single" w:color="auto" w:sz="4" w:space="0"/>
              <w:left w:val="single" w:color="auto" w:sz="8" w:space="0"/>
              <w:right w:val="single" w:color="auto" w:sz="4" w:space="0"/>
            </w:tcBorders>
            <w:noWrap w:val="0"/>
            <w:vAlign w:val="center"/>
          </w:tcPr>
          <w:p w14:paraId="1E497120">
            <w:pPr>
              <w:adjustRightInd w:val="0"/>
              <w:snapToGrid w:val="0"/>
              <w:spacing w:line="320" w:lineRule="exact"/>
              <w:jc w:val="center"/>
              <w:rPr>
                <w:szCs w:val="21"/>
              </w:rPr>
            </w:pPr>
            <w:r>
              <w:rPr>
                <w:szCs w:val="21"/>
              </w:rPr>
              <w:t>陆生生态</w:t>
            </w:r>
          </w:p>
        </w:tc>
        <w:tc>
          <w:tcPr>
            <w:tcW w:w="433" w:type="dxa"/>
            <w:tcBorders>
              <w:top w:val="single" w:color="auto" w:sz="4" w:space="0"/>
              <w:left w:val="single" w:color="auto" w:sz="4" w:space="0"/>
              <w:bottom w:val="single" w:color="auto" w:sz="4" w:space="0"/>
              <w:right w:val="single" w:color="auto" w:sz="4" w:space="0"/>
            </w:tcBorders>
            <w:noWrap w:val="0"/>
            <w:vAlign w:val="center"/>
          </w:tcPr>
          <w:p w14:paraId="371117EA">
            <w:pPr>
              <w:adjustRightInd w:val="0"/>
              <w:snapToGrid w:val="0"/>
              <w:spacing w:line="320" w:lineRule="exact"/>
              <w:jc w:val="center"/>
              <w:rPr>
                <w:szCs w:val="21"/>
              </w:rPr>
            </w:pPr>
            <w:r>
              <w:rPr>
                <w:szCs w:val="21"/>
              </w:rPr>
              <w:t>光伏阵列区</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7A083E97">
            <w:pPr>
              <w:adjustRightInd w:val="0"/>
              <w:snapToGrid w:val="0"/>
              <w:jc w:val="left"/>
              <w:rPr>
                <w:szCs w:val="21"/>
              </w:rPr>
            </w:pPr>
            <w:bookmarkStart w:id="0" w:name="_Hlk80570114"/>
            <w:r>
              <w:rPr>
                <w:b/>
                <w:szCs w:val="21"/>
              </w:rPr>
              <w:t>工程措施：</w:t>
            </w:r>
            <w:r>
              <w:rPr>
                <w:rFonts w:hint="eastAsia" w:ascii="宋体" w:hAnsi="宋体" w:cs="宋体"/>
                <w:szCs w:val="21"/>
              </w:rPr>
              <w:t>①</w:t>
            </w:r>
            <w:r>
              <w:rPr>
                <w:szCs w:val="21"/>
              </w:rPr>
              <w:t>表土剥离及回覆施工前，对光伏场区需基础开挖、挖填场平且土层较厚的区域进行表土剥离，剥离厚度30cm，剥离面积27.08hm</w:t>
            </w:r>
            <w:r>
              <w:rPr>
                <w:szCs w:val="21"/>
                <w:vertAlign w:val="superscript"/>
              </w:rPr>
              <w:t>2</w:t>
            </w:r>
            <w:r>
              <w:rPr>
                <w:szCs w:val="21"/>
              </w:rPr>
              <w:t>，共剥离表土8.12万m</w:t>
            </w:r>
            <w:r>
              <w:rPr>
                <w:szCs w:val="21"/>
                <w:vertAlign w:val="superscript"/>
              </w:rPr>
              <w:t>3</w:t>
            </w:r>
            <w:r>
              <w:rPr>
                <w:szCs w:val="21"/>
              </w:rPr>
              <w:t>，剥离表土堆放于附近的施工区域空地。施工后期将表土回覆于植被恢复区，表土回覆量8.12万m</w:t>
            </w:r>
            <w:r>
              <w:rPr>
                <w:szCs w:val="21"/>
                <w:vertAlign w:val="superscript"/>
              </w:rPr>
              <w:t>3</w:t>
            </w:r>
            <w:r>
              <w:rPr>
                <w:szCs w:val="21"/>
              </w:rPr>
              <w:t>。</w:t>
            </w:r>
            <w:r>
              <w:rPr>
                <w:rFonts w:hint="eastAsia" w:ascii="宋体" w:hAnsi="宋体" w:cs="宋体"/>
                <w:szCs w:val="21"/>
              </w:rPr>
              <w:t>②</w:t>
            </w:r>
            <w:r>
              <w:rPr>
                <w:szCs w:val="21"/>
              </w:rPr>
              <w:t>生态排水沟在坡度较大的光伏阵列区底部，每隔5排光伏板修筑一条生态排水沟，接至场区道路排水沟内或自然沟底。排水沟采用土质梯形断面，底宽为0.4m，深0.4m，边坡1:1。共需布设排水沟17000m，土方开挖5440m</w:t>
            </w:r>
            <w:r>
              <w:rPr>
                <w:szCs w:val="21"/>
                <w:vertAlign w:val="superscript"/>
              </w:rPr>
              <w:t>3</w:t>
            </w:r>
            <w:r>
              <w:rPr>
                <w:szCs w:val="21"/>
              </w:rPr>
              <w:t>，沟内撒播草籽。</w:t>
            </w:r>
          </w:p>
          <w:p w14:paraId="6785689D">
            <w:pPr>
              <w:jc w:val="left"/>
              <w:rPr>
                <w:sz w:val="24"/>
              </w:rPr>
            </w:pPr>
            <w:r>
              <w:rPr>
                <w:b/>
                <w:szCs w:val="21"/>
              </w:rPr>
              <w:t>临时措施：</w:t>
            </w:r>
            <w:bookmarkEnd w:id="0"/>
            <w:bookmarkStart w:id="1" w:name="_Hlk80570227"/>
            <w:r>
              <w:rPr>
                <w:rFonts w:hint="eastAsia" w:ascii="宋体" w:hAnsi="宋体" w:cs="宋体"/>
                <w:szCs w:val="21"/>
              </w:rPr>
              <w:t>①</w:t>
            </w:r>
            <w:r>
              <w:rPr>
                <w:szCs w:val="21"/>
              </w:rPr>
              <w:t>施工前对光伏板基础周围、汇流箱周边施工区、箱变</w:t>
            </w:r>
            <w:r>
              <w:rPr>
                <w:bCs/>
                <w:szCs w:val="21"/>
              </w:rPr>
              <w:t>（含箱逆变一体机）</w:t>
            </w:r>
            <w:r>
              <w:rPr>
                <w:szCs w:val="21"/>
              </w:rPr>
              <w:t>周边施工区、场内电缆沟临时施工区等临时占压区域采用铺设彩条布的方式减少地表扰动，待施工结束后揭除彩条布并进行植被恢复；</w:t>
            </w:r>
            <w:r>
              <w:rPr>
                <w:rFonts w:hint="eastAsia" w:ascii="宋体" w:hAnsi="宋体" w:cs="宋体"/>
                <w:szCs w:val="21"/>
              </w:rPr>
              <w:t>②</w:t>
            </w:r>
            <w:r>
              <w:rPr>
                <w:szCs w:val="21"/>
              </w:rPr>
              <w:t>施工期间对剥离的表土采用彩条布进行苫盖，堆土四周用编织袋装土防护，采用两排编织袋。堆土边坡及顶部覆盖彩条布以防因水蚀而造成水土流失；</w:t>
            </w:r>
            <w:r>
              <w:rPr>
                <w:rFonts w:hint="eastAsia" w:ascii="宋体" w:hAnsi="宋体" w:cs="宋体"/>
                <w:szCs w:val="21"/>
              </w:rPr>
              <w:t>③</w:t>
            </w:r>
            <w:r>
              <w:rPr>
                <w:szCs w:val="21"/>
              </w:rPr>
              <w:t>箱变</w:t>
            </w:r>
            <w:r>
              <w:rPr>
                <w:bCs/>
                <w:szCs w:val="21"/>
              </w:rPr>
              <w:t>（含箱逆变一体机）</w:t>
            </w:r>
            <w:r>
              <w:rPr>
                <w:szCs w:val="21"/>
              </w:rPr>
              <w:t>土方临时拦挡和苫盖，堆土四周采用编织袋装土拦挡；</w:t>
            </w:r>
            <w:r>
              <w:rPr>
                <w:rFonts w:hint="eastAsia" w:ascii="宋体" w:hAnsi="宋体" w:cs="宋体"/>
                <w:szCs w:val="21"/>
              </w:rPr>
              <w:t>④</w:t>
            </w:r>
            <w:r>
              <w:rPr>
                <w:szCs w:val="21"/>
              </w:rPr>
              <w:t>联合条形基础开挖土方临时苫盖，对堆土四周洒水拍实并用彩条布进行苫盖；</w:t>
            </w:r>
            <w:r>
              <w:rPr>
                <w:rFonts w:hint="eastAsia" w:ascii="宋体" w:hAnsi="宋体" w:cs="宋体"/>
                <w:szCs w:val="21"/>
              </w:rPr>
              <w:t>⑤</w:t>
            </w:r>
            <w:r>
              <w:rPr>
                <w:szCs w:val="21"/>
              </w:rPr>
              <w:t>电缆沟堆土临时苫盖，对电缆壕沟逐层开挖的堆土进行彩条布苫盖</w:t>
            </w:r>
            <w:r>
              <w:rPr>
                <w:sz w:val="24"/>
              </w:rPr>
              <w:t>。</w:t>
            </w:r>
          </w:p>
          <w:bookmarkEnd w:id="1"/>
          <w:p w14:paraId="5BA1C7DF">
            <w:pPr>
              <w:adjustRightInd w:val="0"/>
              <w:snapToGrid w:val="0"/>
              <w:jc w:val="left"/>
              <w:rPr>
                <w:bCs/>
                <w:sz w:val="18"/>
                <w:szCs w:val="21"/>
              </w:rPr>
            </w:pPr>
            <w:r>
              <w:rPr>
                <w:b/>
                <w:szCs w:val="21"/>
              </w:rPr>
              <w:t>植物措施：</w:t>
            </w:r>
            <w:r>
              <w:rPr>
                <w:kern w:val="0"/>
              </w:rPr>
              <w:t>对光伏场区进行全面整地后采用灌草结合的方式恢复植被，草种选择</w:t>
            </w:r>
            <w:r>
              <w:rPr>
                <w:rFonts w:hint="eastAsia"/>
                <w:kern w:val="0"/>
              </w:rPr>
              <w:t>披碱草、扁穗冰草、紫花苜蓿</w:t>
            </w:r>
            <w:r>
              <w:rPr>
                <w:kern w:val="0"/>
              </w:rPr>
              <w:t>混播，</w:t>
            </w:r>
            <w:r>
              <w:rPr>
                <w:rFonts w:hint="eastAsia"/>
                <w:kern w:val="0"/>
              </w:rPr>
              <w:t>比例为3:3:4，</w:t>
            </w:r>
            <w:r>
              <w:rPr>
                <w:kern w:val="0"/>
              </w:rPr>
              <w:t>选择品质优良的一级草籽。撒播区域为光伏电池组件、光伏板间隙区域和光伏场区不扰动区域，共计撒播草籽1258.925hm</w:t>
            </w:r>
            <w:r>
              <w:rPr>
                <w:kern w:val="0"/>
                <w:vertAlign w:val="superscript"/>
              </w:rPr>
              <w:t>2</w:t>
            </w:r>
            <w:r>
              <w:rPr>
                <w:kern w:val="0"/>
              </w:rPr>
              <w:t>，播种密度：</w:t>
            </w:r>
            <w:r>
              <w:rPr>
                <w:rFonts w:hint="eastAsia"/>
                <w:kern w:val="0"/>
              </w:rPr>
              <w:t>披碱草</w:t>
            </w:r>
            <w:r>
              <w:rPr>
                <w:kern w:val="0"/>
              </w:rPr>
              <w:t>15kg/hm²，</w:t>
            </w:r>
            <w:r>
              <w:rPr>
                <w:rFonts w:hint="eastAsia"/>
                <w:kern w:val="0"/>
              </w:rPr>
              <w:t>扁穗冰草</w:t>
            </w:r>
            <w:r>
              <w:rPr>
                <w:kern w:val="0"/>
              </w:rPr>
              <w:t>15kg/hm²，紫花苜蓿20kg/hm²（即混合撒播密度10kg/hm²），</w:t>
            </w:r>
            <w:r>
              <w:t>需草种62946.25kg；</w:t>
            </w:r>
            <w:r>
              <w:rPr>
                <w:rFonts w:hint="eastAsia"/>
                <w:kern w:val="0"/>
              </w:rPr>
              <w:t>林光互补区域栽植灌木，灌木选择柠条（营养杯栽植、高0.</w:t>
            </w:r>
            <w:r>
              <w:rPr>
                <w:kern w:val="0"/>
              </w:rPr>
              <w:t>4</w:t>
            </w:r>
            <w:r>
              <w:rPr>
                <w:rFonts w:hint="eastAsia"/>
                <w:kern w:val="0"/>
              </w:rPr>
              <w:t>m以上）和沙棘（扦插苗栽植、高0.</w:t>
            </w:r>
            <w:r>
              <w:rPr>
                <w:kern w:val="0"/>
              </w:rPr>
              <w:t>4</w:t>
            </w:r>
            <w:r>
              <w:rPr>
                <w:rFonts w:hint="eastAsia"/>
                <w:kern w:val="0"/>
              </w:rPr>
              <w:t>m以上），5°及以下采用穴状整地的方式，5°以上采用鱼鳞坑整地的方式。穴状整地规格为40cm×40cm×30cm，鱼鳞坑整地规格为50cm×40cm×30cm，株距</w:t>
            </w:r>
            <w:r>
              <w:rPr>
                <w:kern w:val="0"/>
              </w:rPr>
              <w:t>3</w:t>
            </w:r>
            <w:r>
              <w:rPr>
                <w:rFonts w:hint="eastAsia"/>
                <w:kern w:val="0"/>
              </w:rPr>
              <w:t>.0m，行距</w:t>
            </w:r>
            <w:r>
              <w:rPr>
                <w:kern w:val="0"/>
              </w:rPr>
              <w:t>2</w:t>
            </w:r>
            <w:r>
              <w:rPr>
                <w:rFonts w:hint="eastAsia"/>
                <w:kern w:val="0"/>
              </w:rPr>
              <w:t>.0m，初植密度</w:t>
            </w:r>
            <w:r>
              <w:rPr>
                <w:kern w:val="0"/>
              </w:rPr>
              <w:t>1110</w:t>
            </w:r>
            <w:r>
              <w:rPr>
                <w:rFonts w:hint="eastAsia"/>
                <w:kern w:val="0"/>
              </w:rPr>
              <w:t>株/hm</w:t>
            </w:r>
            <w:r>
              <w:rPr>
                <w:rFonts w:hint="eastAsia"/>
                <w:kern w:val="0"/>
                <w:vertAlign w:val="superscript"/>
              </w:rPr>
              <w:t>2</w:t>
            </w:r>
            <w:r>
              <w:rPr>
                <w:rFonts w:hint="eastAsia"/>
                <w:kern w:val="0"/>
              </w:rPr>
              <w:t>，林光互补总面积为</w:t>
            </w:r>
            <w:r>
              <w:rPr>
                <w:kern w:val="0"/>
              </w:rPr>
              <w:t>141.7564</w:t>
            </w:r>
            <w:r>
              <w:rPr>
                <w:rFonts w:hint="eastAsia"/>
                <w:kern w:val="0"/>
              </w:rPr>
              <w:t>hm</w:t>
            </w:r>
            <w:r>
              <w:rPr>
                <w:rFonts w:hint="eastAsia"/>
                <w:kern w:val="0"/>
                <w:vertAlign w:val="superscript"/>
              </w:rPr>
              <w:t>2</w:t>
            </w:r>
            <w:r>
              <w:rPr>
                <w:rFonts w:hint="eastAsia"/>
                <w:kern w:val="0"/>
              </w:rPr>
              <w:t>，共栽植柠条和沙棘各</w:t>
            </w:r>
            <w:r>
              <w:rPr>
                <w:kern w:val="0"/>
              </w:rPr>
              <w:t>78675</w:t>
            </w:r>
            <w:r>
              <w:rPr>
                <w:rFonts w:hint="eastAsia"/>
                <w:kern w:val="0"/>
              </w:rPr>
              <w:t>株。植被栽植后进行三年的幼林抚育措施。</w:t>
            </w:r>
          </w:p>
          <w:p w14:paraId="1E9EE572">
            <w:pPr>
              <w:adjustRightInd w:val="0"/>
              <w:snapToGrid w:val="0"/>
              <w:spacing w:line="320" w:lineRule="exact"/>
              <w:jc w:val="left"/>
              <w:rPr>
                <w:szCs w:val="21"/>
              </w:rPr>
            </w:pPr>
            <w:bookmarkStart w:id="2" w:name="_Hlk80570250"/>
            <w:r>
              <w:rPr>
                <w:b/>
                <w:bCs/>
                <w:szCs w:val="21"/>
              </w:rPr>
              <w:t>管理措施：</w:t>
            </w:r>
            <w:r>
              <w:rPr>
                <w:bCs/>
                <w:szCs w:val="21"/>
              </w:rPr>
              <w:t>道路路面要定期洒水，临时堆放的土石料和运输车辆应遮盖；定期</w:t>
            </w:r>
            <w:r>
              <w:rPr>
                <w:szCs w:val="21"/>
              </w:rPr>
              <w:t>对施工生产生活区空地洒水降尘等。</w:t>
            </w:r>
            <w:bookmarkEnd w:id="2"/>
          </w:p>
        </w:tc>
        <w:tc>
          <w:tcPr>
            <w:tcW w:w="1563" w:type="dxa"/>
            <w:vMerge w:val="restart"/>
            <w:tcBorders>
              <w:top w:val="single" w:color="auto" w:sz="4" w:space="0"/>
              <w:left w:val="single" w:color="auto" w:sz="4" w:space="0"/>
              <w:bottom w:val="single" w:color="auto" w:sz="4" w:space="0"/>
              <w:right w:val="single" w:color="auto" w:sz="4" w:space="0"/>
            </w:tcBorders>
            <w:noWrap w:val="0"/>
            <w:vAlign w:val="center"/>
          </w:tcPr>
          <w:p w14:paraId="79E8A694">
            <w:pPr>
              <w:adjustRightInd w:val="0"/>
              <w:snapToGrid w:val="0"/>
              <w:spacing w:line="320" w:lineRule="exact"/>
              <w:jc w:val="center"/>
              <w:rPr>
                <w:szCs w:val="21"/>
              </w:rPr>
            </w:pPr>
            <w:r>
              <w:rPr>
                <w:szCs w:val="21"/>
              </w:rPr>
              <w:t>光伏场临时占地全部恢复植被，无裸露地表；验收依据《建设项目竣工环境保护验收技术规范</w:t>
            </w:r>
            <w:r>
              <w:rPr>
                <w:rFonts w:hint="eastAsia"/>
                <w:szCs w:val="21"/>
              </w:rPr>
              <w:t xml:space="preserve">  </w:t>
            </w:r>
            <w:r>
              <w:rPr>
                <w:szCs w:val="21"/>
              </w:rPr>
              <w:t>生态影响类》（HJ/T 394-2007）</w:t>
            </w:r>
          </w:p>
        </w:tc>
        <w:tc>
          <w:tcPr>
            <w:tcW w:w="2962" w:type="dxa"/>
            <w:vMerge w:val="restart"/>
            <w:tcBorders>
              <w:top w:val="single" w:color="auto" w:sz="4" w:space="0"/>
              <w:left w:val="single" w:color="auto" w:sz="4" w:space="0"/>
              <w:bottom w:val="single" w:color="auto" w:sz="4" w:space="0"/>
              <w:right w:val="single" w:color="auto" w:sz="4" w:space="0"/>
            </w:tcBorders>
            <w:noWrap w:val="0"/>
            <w:vAlign w:val="center"/>
          </w:tcPr>
          <w:p w14:paraId="7BD5CC40">
            <w:pPr>
              <w:pStyle w:val="20"/>
              <w:spacing w:before="0" w:beforeAutospacing="0" w:after="0" w:afterAutospacing="0" w:line="320" w:lineRule="exact"/>
              <w:jc w:val="center"/>
              <w:rPr>
                <w:rFonts w:ascii="Times New Roman" w:hAnsi="Times New Roman"/>
                <w:sz w:val="21"/>
                <w:szCs w:val="21"/>
              </w:rPr>
            </w:pPr>
            <w:r>
              <w:rPr>
                <w:rFonts w:ascii="Times New Roman" w:hAnsi="Times New Roman"/>
                <w:sz w:val="21"/>
                <w:szCs w:val="21"/>
              </w:rPr>
              <w:t>制定光伏场植被管理方案，对光伏场范围内的植被现状进行巡查，及时对未成活的区域进行土壤改良和植被补栽</w:t>
            </w:r>
          </w:p>
        </w:tc>
        <w:tc>
          <w:tcPr>
            <w:tcW w:w="2158" w:type="dxa"/>
            <w:vMerge w:val="restart"/>
            <w:tcBorders>
              <w:top w:val="single" w:color="auto" w:sz="4" w:space="0"/>
              <w:left w:val="single" w:color="auto" w:sz="4" w:space="0"/>
              <w:bottom w:val="single" w:color="auto" w:sz="4" w:space="0"/>
              <w:right w:val="single" w:color="auto" w:sz="8" w:space="0"/>
            </w:tcBorders>
            <w:noWrap w:val="0"/>
            <w:vAlign w:val="center"/>
          </w:tcPr>
          <w:p w14:paraId="4E50CDED">
            <w:pPr>
              <w:adjustRightInd w:val="0"/>
              <w:snapToGrid w:val="0"/>
              <w:spacing w:line="320" w:lineRule="exact"/>
              <w:jc w:val="center"/>
              <w:rPr>
                <w:szCs w:val="21"/>
              </w:rPr>
            </w:pPr>
            <w:r>
              <w:rPr>
                <w:szCs w:val="21"/>
              </w:rPr>
              <w:t>各区按环评要求完成生态恢复和土地复垦</w:t>
            </w:r>
          </w:p>
        </w:tc>
      </w:tr>
      <w:tr w14:paraId="13AA6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44" w:type="dxa"/>
            <w:vMerge w:val="continue"/>
            <w:tcBorders>
              <w:left w:val="single" w:color="auto" w:sz="8" w:space="0"/>
              <w:right w:val="single" w:color="auto" w:sz="4" w:space="0"/>
            </w:tcBorders>
            <w:noWrap w:val="0"/>
            <w:vAlign w:val="center"/>
          </w:tcPr>
          <w:p w14:paraId="66E55D09">
            <w:pPr>
              <w:widowControl/>
              <w:jc w:val="left"/>
              <w:rPr>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4415E007">
            <w:pPr>
              <w:adjustRightInd w:val="0"/>
              <w:snapToGrid w:val="0"/>
              <w:spacing w:line="320" w:lineRule="exact"/>
              <w:jc w:val="center"/>
              <w:rPr>
                <w:szCs w:val="21"/>
              </w:rPr>
            </w:pPr>
            <w:r>
              <w:rPr>
                <w:szCs w:val="21"/>
              </w:rPr>
              <w:t>道路工程区</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73D8B6CD">
            <w:pPr>
              <w:rPr>
                <w:szCs w:val="21"/>
              </w:rPr>
            </w:pPr>
            <w:r>
              <w:rPr>
                <w:b/>
                <w:szCs w:val="21"/>
              </w:rPr>
              <w:t>工程措施：</w:t>
            </w:r>
            <w:r>
              <w:rPr>
                <w:rFonts w:hint="eastAsia" w:ascii="宋体" w:hAnsi="宋体" w:cs="宋体"/>
                <w:kern w:val="0"/>
                <w:szCs w:val="21"/>
              </w:rPr>
              <w:t>①</w:t>
            </w:r>
            <w:r>
              <w:rPr>
                <w:kern w:val="0"/>
                <w:szCs w:val="21"/>
              </w:rPr>
              <w:t>表土剥离及回覆：</w:t>
            </w:r>
            <w:r>
              <w:rPr>
                <w:szCs w:val="21"/>
              </w:rPr>
              <w:t>施工前对道路挖填区域可剥离的表土进行剥离，面积为32.294hm</w:t>
            </w:r>
            <w:r>
              <w:rPr>
                <w:szCs w:val="21"/>
                <w:vertAlign w:val="superscript"/>
              </w:rPr>
              <w:t>2</w:t>
            </w:r>
            <w:r>
              <w:rPr>
                <w:szCs w:val="21"/>
              </w:rPr>
              <w:t>，剥离厚度30cm，表土剥离量为9.688万m</w:t>
            </w:r>
            <w:r>
              <w:rPr>
                <w:szCs w:val="21"/>
                <w:vertAlign w:val="superscript"/>
              </w:rPr>
              <w:t>3</w:t>
            </w:r>
            <w:r>
              <w:rPr>
                <w:szCs w:val="21"/>
              </w:rPr>
              <w:t>，表土回覆量为9.688万m</w:t>
            </w:r>
            <w:r>
              <w:rPr>
                <w:szCs w:val="21"/>
                <w:vertAlign w:val="superscript"/>
              </w:rPr>
              <w:t>3</w:t>
            </w:r>
            <w:r>
              <w:rPr>
                <w:szCs w:val="21"/>
              </w:rPr>
              <w:t>。剥离的表土就近堆于道路附近的表土堆存场区域内，待施工结束后进行表土回覆。</w:t>
            </w:r>
          </w:p>
          <w:p w14:paraId="1B77E958">
            <w:pPr>
              <w:rPr>
                <w:kern w:val="0"/>
                <w:szCs w:val="21"/>
              </w:rPr>
            </w:pPr>
            <w:r>
              <w:rPr>
                <w:rFonts w:hint="eastAsia" w:ascii="宋体" w:hAnsi="宋体" w:cs="宋体"/>
                <w:kern w:val="0"/>
                <w:szCs w:val="21"/>
              </w:rPr>
              <w:t>②</w:t>
            </w:r>
            <w:r>
              <w:rPr>
                <w:kern w:val="0"/>
                <w:szCs w:val="21"/>
              </w:rPr>
              <w:t>排水沟：对光伏场区拓宽道路、新建道路靠山体一侧设置浆砌石排水沟，排水沟断面为矩形，宽0.4m、深0.4m、厚度0.3m，采用M7.5浆砌片石砌筑。共布设浆砌石排水沟87.5km，浆砌石47250m</w:t>
            </w:r>
            <w:r>
              <w:rPr>
                <w:kern w:val="0"/>
                <w:szCs w:val="21"/>
                <w:vertAlign w:val="superscript"/>
              </w:rPr>
              <w:t>3</w:t>
            </w:r>
            <w:r>
              <w:rPr>
                <w:kern w:val="0"/>
                <w:szCs w:val="21"/>
              </w:rPr>
              <w:t>。</w:t>
            </w:r>
          </w:p>
          <w:p w14:paraId="2B4771BF">
            <w:pPr>
              <w:rPr>
                <w:szCs w:val="21"/>
              </w:rPr>
            </w:pPr>
            <w:r>
              <w:rPr>
                <w:b/>
                <w:szCs w:val="21"/>
              </w:rPr>
              <w:t>植物措施：</w:t>
            </w:r>
            <w:r>
              <w:rPr>
                <w:rFonts w:hint="eastAsia" w:ascii="宋体" w:hAnsi="宋体" w:cs="宋体"/>
                <w:kern w:val="0"/>
                <w:szCs w:val="21"/>
              </w:rPr>
              <w:t>①</w:t>
            </w:r>
            <w:r>
              <w:rPr>
                <w:szCs w:val="21"/>
              </w:rPr>
              <w:t>道路绿化带撒播草籽：对道路绿化带采取撒播草籽的方式绿化，草种选择白羊草和紫花苜蓿混播，选择品质优良的一级草籽，共计撒播草籽48.734hm</w:t>
            </w:r>
            <w:r>
              <w:rPr>
                <w:szCs w:val="21"/>
                <w:vertAlign w:val="superscript"/>
              </w:rPr>
              <w:t>2</w:t>
            </w:r>
            <w:r>
              <w:rPr>
                <w:szCs w:val="21"/>
              </w:rPr>
              <w:t>，播种密度：白羊草25kg/hm²，紫花苜蓿25kg/hm²（即混合撒播密度50kg/hm²），需草种2436.7kg。</w:t>
            </w:r>
          </w:p>
          <w:p w14:paraId="274C8D28">
            <w:pPr>
              <w:pStyle w:val="94"/>
              <w:spacing w:line="240" w:lineRule="auto"/>
              <w:ind w:firstLine="0" w:firstLineChars="0"/>
              <w:rPr>
                <w:sz w:val="21"/>
                <w:szCs w:val="21"/>
              </w:rPr>
            </w:pPr>
            <w:r>
              <w:rPr>
                <w:rFonts w:hint="eastAsia" w:ascii="宋体" w:hAnsi="宋体" w:cs="宋体"/>
                <w:sz w:val="21"/>
                <w:szCs w:val="21"/>
              </w:rPr>
              <w:t>②</w:t>
            </w:r>
            <w:r>
              <w:rPr>
                <w:sz w:val="21"/>
                <w:szCs w:val="21"/>
              </w:rPr>
              <w:t>临时占地灌草措施植被恢复：对施工临时占地（31.05hm</w:t>
            </w:r>
            <w:r>
              <w:rPr>
                <w:sz w:val="21"/>
                <w:szCs w:val="21"/>
                <w:vertAlign w:val="superscript"/>
              </w:rPr>
              <w:t>2</w:t>
            </w:r>
            <w:r>
              <w:rPr>
                <w:sz w:val="21"/>
                <w:szCs w:val="21"/>
              </w:rPr>
              <w:t>）和表土临时堆存场（5.224hm</w:t>
            </w:r>
            <w:r>
              <w:rPr>
                <w:sz w:val="21"/>
                <w:szCs w:val="21"/>
                <w:vertAlign w:val="superscript"/>
              </w:rPr>
              <w:t>2</w:t>
            </w:r>
            <w:r>
              <w:rPr>
                <w:sz w:val="21"/>
                <w:szCs w:val="21"/>
              </w:rPr>
              <w:t>）灌草结合的方式进行绿化。灌木选择柠条，采用穴状整地（30cm×30cm），营养钵移植，行距2.0m，株距2.0m，初植密度2500株/hm</w:t>
            </w:r>
            <w:r>
              <w:rPr>
                <w:sz w:val="21"/>
                <w:szCs w:val="21"/>
                <w:vertAlign w:val="superscript"/>
              </w:rPr>
              <w:t>2</w:t>
            </w:r>
            <w:r>
              <w:rPr>
                <w:sz w:val="21"/>
                <w:szCs w:val="21"/>
              </w:rPr>
              <w:t>，栽植面积36.274hm</w:t>
            </w:r>
            <w:r>
              <w:rPr>
                <w:sz w:val="21"/>
                <w:szCs w:val="21"/>
                <w:vertAlign w:val="superscript"/>
              </w:rPr>
              <w:t>2</w:t>
            </w:r>
            <w:r>
              <w:rPr>
                <w:sz w:val="21"/>
                <w:szCs w:val="21"/>
              </w:rPr>
              <w:t>，共需柠条90685株；草种选择白羊草和紫花苜蓿混播，选择品质优良的一级草籽，播种密度：白羊草25kg/hm²，紫花苜蓿25kg/hm²，撒播面积36.274hm</w:t>
            </w:r>
            <w:r>
              <w:rPr>
                <w:sz w:val="21"/>
                <w:szCs w:val="21"/>
                <w:vertAlign w:val="superscript"/>
              </w:rPr>
              <w:t>2</w:t>
            </w:r>
            <w:r>
              <w:rPr>
                <w:sz w:val="21"/>
                <w:szCs w:val="21"/>
              </w:rPr>
              <w:t>，需草种1813.70kg。</w:t>
            </w:r>
            <w:r>
              <w:rPr>
                <w:rFonts w:hint="eastAsia" w:ascii="宋体" w:hAnsi="宋体" w:cs="宋体"/>
                <w:sz w:val="21"/>
                <w:szCs w:val="21"/>
              </w:rPr>
              <w:t>③</w:t>
            </w:r>
            <w:r>
              <w:rPr>
                <w:sz w:val="21"/>
                <w:szCs w:val="21"/>
              </w:rPr>
              <w:t>道路两侧栽植乔灌木：对道路绿化带增加乔灌木栽植，考虑到避免影响光伏板采光，在紧邻光伏场区的道路区域只栽植灌木，其中拓宽道路长53km，其为单侧绿化带；新建道路长26.22km，其为双侧绿化带。绿化灌木选用柠条，采用穴状整地（30cm×30cm），营养钵栽植，行距1.0m，株距1.5m，共需栽植36708株，植被栽植之后进行三年的幼林抚育措施。</w:t>
            </w:r>
          </w:p>
          <w:p w14:paraId="703EC1F8">
            <w:pPr>
              <w:pStyle w:val="94"/>
              <w:spacing w:line="240" w:lineRule="auto"/>
              <w:ind w:firstLine="0" w:firstLineChars="0"/>
              <w:rPr>
                <w:sz w:val="21"/>
                <w:szCs w:val="21"/>
              </w:rPr>
            </w:pPr>
            <w:r>
              <w:rPr>
                <w:sz w:val="21"/>
                <w:szCs w:val="21"/>
              </w:rPr>
              <w:t>在远离光伏场区的道路区域栽植乔灌木，其中拓宽道路长272.66km，其为单侧绿化带；新建道路长81.12km，其为双侧绿化带。绿化乔木选择樟子松，采用穴状整地（60cm×60cm），株距3.0m，每侧绿化带栽植一行，共需樟子松152214株；灌木选用柠条，采用穴状整地（30cm×30cm），营养钵栽植，行距1.0m，株距3.0m，共需栽植152214株，植被栽植之后进行三年的幼林抚育措施。</w:t>
            </w:r>
          </w:p>
          <w:p w14:paraId="7A51E6ED">
            <w:pPr>
              <w:jc w:val="left"/>
              <w:rPr>
                <w:szCs w:val="21"/>
              </w:rPr>
            </w:pPr>
            <w:r>
              <w:rPr>
                <w:b/>
                <w:szCs w:val="21"/>
              </w:rPr>
              <w:t>临时措施：</w:t>
            </w:r>
            <w:r>
              <w:rPr>
                <w:szCs w:val="21"/>
              </w:rPr>
              <w:t>改造和新建道路表土拦挡和苫盖，堆土四周用编织袋装土防护，采用两排编织袋，堆土边坡及顶部覆盖彩条布以防因水蚀而造成水土流失。</w:t>
            </w:r>
          </w:p>
          <w:p w14:paraId="1372128E">
            <w:pPr>
              <w:spacing w:line="320" w:lineRule="exact"/>
              <w:jc w:val="left"/>
              <w:rPr>
                <w:b/>
                <w:szCs w:val="21"/>
              </w:rPr>
            </w:pPr>
            <w:r>
              <w:rPr>
                <w:b/>
                <w:bCs/>
                <w:szCs w:val="21"/>
              </w:rPr>
              <w:t>管理措施：</w:t>
            </w:r>
            <w:r>
              <w:rPr>
                <w:bCs/>
                <w:szCs w:val="21"/>
              </w:rPr>
              <w:t>检修道路建设过程中加强施工管理，制定严格的操作规程，线路铺设过程中划定施工路线，线路的铺设不得超过划定的范围。</w:t>
            </w:r>
          </w:p>
        </w:tc>
        <w:tc>
          <w:tcPr>
            <w:tcW w:w="1563" w:type="dxa"/>
            <w:vMerge w:val="continue"/>
            <w:tcBorders>
              <w:top w:val="single" w:color="auto" w:sz="4" w:space="0"/>
              <w:left w:val="single" w:color="auto" w:sz="4" w:space="0"/>
              <w:bottom w:val="single" w:color="auto" w:sz="4" w:space="0"/>
              <w:right w:val="single" w:color="auto" w:sz="4" w:space="0"/>
            </w:tcBorders>
            <w:noWrap w:val="0"/>
            <w:vAlign w:val="center"/>
          </w:tcPr>
          <w:p w14:paraId="21A7E182">
            <w:pPr>
              <w:widowControl/>
              <w:jc w:val="left"/>
              <w:rPr>
                <w:szCs w:val="21"/>
              </w:rPr>
            </w:pPr>
          </w:p>
        </w:tc>
        <w:tc>
          <w:tcPr>
            <w:tcW w:w="2962" w:type="dxa"/>
            <w:vMerge w:val="continue"/>
            <w:tcBorders>
              <w:top w:val="single" w:color="auto" w:sz="4" w:space="0"/>
              <w:left w:val="single" w:color="auto" w:sz="4" w:space="0"/>
              <w:bottom w:val="single" w:color="auto" w:sz="4" w:space="0"/>
              <w:right w:val="single" w:color="auto" w:sz="4" w:space="0"/>
            </w:tcBorders>
            <w:noWrap w:val="0"/>
            <w:vAlign w:val="center"/>
          </w:tcPr>
          <w:p w14:paraId="215F05E4">
            <w:pPr>
              <w:widowControl/>
              <w:jc w:val="left"/>
              <w:rPr>
                <w:kern w:val="0"/>
                <w:szCs w:val="21"/>
              </w:rPr>
            </w:pPr>
          </w:p>
        </w:tc>
        <w:tc>
          <w:tcPr>
            <w:tcW w:w="2158" w:type="dxa"/>
            <w:vMerge w:val="continue"/>
            <w:tcBorders>
              <w:top w:val="single" w:color="auto" w:sz="4" w:space="0"/>
              <w:left w:val="single" w:color="auto" w:sz="4" w:space="0"/>
              <w:bottom w:val="single" w:color="auto" w:sz="4" w:space="0"/>
              <w:right w:val="single" w:color="auto" w:sz="8" w:space="0"/>
            </w:tcBorders>
            <w:noWrap w:val="0"/>
            <w:vAlign w:val="center"/>
          </w:tcPr>
          <w:p w14:paraId="65AF3758">
            <w:pPr>
              <w:widowControl/>
              <w:jc w:val="left"/>
              <w:rPr>
                <w:szCs w:val="21"/>
              </w:rPr>
            </w:pPr>
          </w:p>
        </w:tc>
      </w:tr>
      <w:tr w14:paraId="68F3D9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 w:type="dxa"/>
            <w:vMerge w:val="continue"/>
            <w:tcBorders>
              <w:left w:val="single" w:color="auto" w:sz="8" w:space="0"/>
              <w:right w:val="single" w:color="auto" w:sz="4" w:space="0"/>
            </w:tcBorders>
            <w:noWrap w:val="0"/>
            <w:vAlign w:val="center"/>
          </w:tcPr>
          <w:p w14:paraId="2889EC07">
            <w:pPr>
              <w:widowControl/>
              <w:jc w:val="left"/>
              <w:rPr>
                <w:szCs w:val="21"/>
              </w:rPr>
            </w:pPr>
          </w:p>
        </w:tc>
        <w:tc>
          <w:tcPr>
            <w:tcW w:w="433" w:type="dxa"/>
            <w:tcBorders>
              <w:top w:val="single" w:color="auto" w:sz="4" w:space="0"/>
              <w:left w:val="single" w:color="auto" w:sz="4" w:space="0"/>
              <w:bottom w:val="single" w:color="auto" w:sz="4" w:space="0"/>
              <w:right w:val="single" w:color="auto" w:sz="4" w:space="0"/>
            </w:tcBorders>
            <w:noWrap w:val="0"/>
            <w:vAlign w:val="center"/>
          </w:tcPr>
          <w:p w14:paraId="3B80A402">
            <w:pPr>
              <w:spacing w:line="320" w:lineRule="exact"/>
              <w:jc w:val="center"/>
              <w:rPr>
                <w:spacing w:val="6"/>
                <w:szCs w:val="21"/>
              </w:rPr>
            </w:pPr>
            <w:r>
              <w:rPr>
                <w:spacing w:val="6"/>
                <w:szCs w:val="21"/>
              </w:rPr>
              <w:t>集电线路</w:t>
            </w:r>
          </w:p>
          <w:p w14:paraId="3DCBA706">
            <w:pPr>
              <w:spacing w:line="320" w:lineRule="exact"/>
              <w:jc w:val="center"/>
              <w:rPr>
                <w:szCs w:val="21"/>
              </w:rPr>
            </w:pPr>
            <w:r>
              <w:rPr>
                <w:spacing w:val="6"/>
                <w:szCs w:val="21"/>
              </w:rPr>
              <w:t>区</w:t>
            </w:r>
          </w:p>
        </w:tc>
        <w:tc>
          <w:tcPr>
            <w:tcW w:w="6317" w:type="dxa"/>
            <w:tcBorders>
              <w:top w:val="single" w:color="auto" w:sz="4" w:space="0"/>
              <w:left w:val="single" w:color="auto" w:sz="4" w:space="0"/>
              <w:right w:val="single" w:color="auto" w:sz="4" w:space="0"/>
            </w:tcBorders>
            <w:noWrap w:val="0"/>
            <w:vAlign w:val="center"/>
          </w:tcPr>
          <w:p w14:paraId="18110722">
            <w:pPr>
              <w:jc w:val="left"/>
              <w:rPr>
                <w:b/>
                <w:szCs w:val="21"/>
              </w:rPr>
            </w:pPr>
            <w:bookmarkStart w:id="3" w:name="_Hlk80569982"/>
            <w:r>
              <w:rPr>
                <w:rFonts w:hint="eastAsia"/>
                <w:b/>
                <w:szCs w:val="21"/>
              </w:rPr>
              <w:t>避让措施</w:t>
            </w:r>
            <w:r>
              <w:rPr>
                <w:rFonts w:hint="eastAsia"/>
                <w:szCs w:val="21"/>
              </w:rPr>
              <w:t>：集电线路的铁塔选址避让生态保护红线等区域，优先选用其它草地，施工作业时严格控制施工作业面积，禁止超出施工边界围栏进行作业。</w:t>
            </w:r>
          </w:p>
          <w:p w14:paraId="79317EDB">
            <w:pPr>
              <w:jc w:val="left"/>
              <w:rPr>
                <w:kern w:val="0"/>
                <w:szCs w:val="21"/>
              </w:rPr>
            </w:pPr>
            <w:r>
              <w:rPr>
                <w:b/>
                <w:szCs w:val="21"/>
              </w:rPr>
              <w:t>工程措施：</w:t>
            </w:r>
            <w:r>
              <w:rPr>
                <w:szCs w:val="21"/>
              </w:rPr>
              <w:t>对塔基区可剥离表土区域（4.27hm</w:t>
            </w:r>
            <w:r>
              <w:rPr>
                <w:szCs w:val="21"/>
                <w:vertAlign w:val="superscript"/>
              </w:rPr>
              <w:t>2</w:t>
            </w:r>
            <w:r>
              <w:rPr>
                <w:szCs w:val="21"/>
              </w:rPr>
              <w:t>）和电缆线路区可剥离表土区域（6.74hm</w:t>
            </w:r>
            <w:r>
              <w:rPr>
                <w:szCs w:val="21"/>
                <w:vertAlign w:val="superscript"/>
              </w:rPr>
              <w:t>2</w:t>
            </w:r>
            <w:r>
              <w:rPr>
                <w:szCs w:val="21"/>
              </w:rPr>
              <w:t>）进行表土剥离，剥离面积11.01hm</w:t>
            </w:r>
            <w:r>
              <w:rPr>
                <w:szCs w:val="21"/>
                <w:vertAlign w:val="superscript"/>
              </w:rPr>
              <w:t>2</w:t>
            </w:r>
            <w:r>
              <w:rPr>
                <w:szCs w:val="21"/>
              </w:rPr>
              <w:t>，剥离厚度30cm，剥离量3.30万m</w:t>
            </w:r>
            <w:r>
              <w:rPr>
                <w:szCs w:val="21"/>
                <w:vertAlign w:val="superscript"/>
              </w:rPr>
              <w:t>3</w:t>
            </w:r>
            <w:r>
              <w:rPr>
                <w:szCs w:val="21"/>
              </w:rPr>
              <w:t>。施工结束后回覆表土，表土回覆量3.30万m</w:t>
            </w:r>
            <w:r>
              <w:rPr>
                <w:szCs w:val="21"/>
                <w:vertAlign w:val="superscript"/>
              </w:rPr>
              <w:t>3</w:t>
            </w:r>
            <w:r>
              <w:rPr>
                <w:szCs w:val="21"/>
              </w:rPr>
              <w:t>，其中人工回覆1.52万m</w:t>
            </w:r>
            <w:r>
              <w:rPr>
                <w:szCs w:val="21"/>
                <w:vertAlign w:val="superscript"/>
              </w:rPr>
              <w:t>3</w:t>
            </w:r>
            <w:r>
              <w:rPr>
                <w:szCs w:val="21"/>
              </w:rPr>
              <w:t>、机械回覆1.78万m</w:t>
            </w:r>
            <w:r>
              <w:rPr>
                <w:szCs w:val="21"/>
                <w:vertAlign w:val="superscript"/>
              </w:rPr>
              <w:t>3</w:t>
            </w:r>
            <w:r>
              <w:rPr>
                <w:szCs w:val="21"/>
              </w:rPr>
              <w:t>。</w:t>
            </w:r>
          </w:p>
          <w:p w14:paraId="7B764572">
            <w:pPr>
              <w:rPr>
                <w:szCs w:val="21"/>
              </w:rPr>
            </w:pPr>
            <w:r>
              <w:rPr>
                <w:b/>
                <w:szCs w:val="21"/>
              </w:rPr>
              <w:t>植物措施：</w:t>
            </w:r>
            <w:bookmarkEnd w:id="3"/>
            <w:r>
              <w:rPr>
                <w:rFonts w:hint="eastAsia" w:ascii="宋体" w:hAnsi="宋体" w:cs="宋体"/>
                <w:kern w:val="0"/>
                <w:szCs w:val="21"/>
              </w:rPr>
              <w:t>①</w:t>
            </w:r>
            <w:r>
              <w:rPr>
                <w:szCs w:val="21"/>
              </w:rPr>
              <w:t>全面整地：施工结束后对塔基及塔基施工区占地和直埋电缆占地进行全面整地，整地方式采用人工+机械全面整地，耕深0.2-0.3m。</w:t>
            </w:r>
            <w:r>
              <w:rPr>
                <w:rFonts w:hint="eastAsia" w:ascii="宋体" w:hAnsi="宋体" w:cs="宋体"/>
                <w:szCs w:val="21"/>
              </w:rPr>
              <w:t>②</w:t>
            </w:r>
            <w:r>
              <w:rPr>
                <w:szCs w:val="21"/>
              </w:rPr>
              <w:t>撒播草籽植被恢复：塔基和直埋电缆占地范围内不适合种植乔灌木，故覆土并全面整地后，对该区域撒播草籽进行植被恢复。草种选择白羊草和紫花苜蓿混播，选择品质优良的一级草籽，播种密度为白羊草25kg/hm</w:t>
            </w:r>
            <w:r>
              <w:rPr>
                <w:szCs w:val="21"/>
                <w:vertAlign w:val="superscript"/>
              </w:rPr>
              <w:t>2</w:t>
            </w:r>
            <w:r>
              <w:rPr>
                <w:szCs w:val="21"/>
              </w:rPr>
              <w:t>、紫花苜蓿25kg/hm</w:t>
            </w:r>
            <w:r>
              <w:rPr>
                <w:szCs w:val="21"/>
                <w:vertAlign w:val="superscript"/>
              </w:rPr>
              <w:t>2</w:t>
            </w:r>
            <w:r>
              <w:rPr>
                <w:szCs w:val="21"/>
              </w:rPr>
              <w:t>，撒播面积65.32hm</w:t>
            </w:r>
            <w:r>
              <w:rPr>
                <w:szCs w:val="21"/>
                <w:vertAlign w:val="superscript"/>
              </w:rPr>
              <w:t>2</w:t>
            </w:r>
            <w:r>
              <w:rPr>
                <w:szCs w:val="21"/>
              </w:rPr>
              <w:t>，需草种3216kg。</w:t>
            </w:r>
            <w:r>
              <w:rPr>
                <w:rFonts w:hint="eastAsia" w:ascii="宋体" w:hAnsi="宋体" w:cs="宋体"/>
                <w:szCs w:val="21"/>
              </w:rPr>
              <w:t>③</w:t>
            </w:r>
            <w:r>
              <w:rPr>
                <w:szCs w:val="21"/>
              </w:rPr>
              <w:t>灌草措施植被恢复：集电线路施工区（包括跨越施工区、材料堆放场地、牵张场、施工便道）采用灌草结合的方式进行绿化。灌木选择柠条，采用穴状整地（30cm×30cm），营养钵移植，行距2.0m，株距2.0m，初植密度2500株/hm</w:t>
            </w:r>
            <w:r>
              <w:rPr>
                <w:szCs w:val="21"/>
                <w:vertAlign w:val="superscript"/>
              </w:rPr>
              <w:t>2</w:t>
            </w:r>
            <w:r>
              <w:rPr>
                <w:szCs w:val="21"/>
              </w:rPr>
              <w:t>，栽植面积79.44hm</w:t>
            </w:r>
            <w:r>
              <w:rPr>
                <w:szCs w:val="21"/>
                <w:vertAlign w:val="superscript"/>
              </w:rPr>
              <w:t>2</w:t>
            </w:r>
            <w:r>
              <w:rPr>
                <w:szCs w:val="21"/>
              </w:rPr>
              <w:t>，共需柠条198600株；草种选择白羊草和紫花苜蓿混播，选择品质优良的一级草籽，需草种3972kg。</w:t>
            </w:r>
          </w:p>
          <w:p w14:paraId="6C264C4C">
            <w:pPr>
              <w:jc w:val="left"/>
              <w:rPr>
                <w:spacing w:val="6"/>
                <w:szCs w:val="21"/>
              </w:rPr>
            </w:pPr>
            <w:r>
              <w:rPr>
                <w:b/>
                <w:szCs w:val="21"/>
              </w:rPr>
              <w:t>临时措施：</w:t>
            </w:r>
            <w:r>
              <w:rPr>
                <w:szCs w:val="21"/>
              </w:rPr>
              <w:t>对塔基区域剥离的表土进行彩条布苫盖、对开挖不能及时回填的土方进行编织袋拦挡和彩条布苫盖。堆土边坡及顶部覆盖彩条布以防因水蚀而造成水土流失。对电缆线路区逐层开挖的堆土进行彩条布苫盖。集电线路施工区（包括材料堆放场地、跨/钻越施工场地、牵张场、施工便道）占地79.44hm</w:t>
            </w:r>
            <w:r>
              <w:rPr>
                <w:szCs w:val="21"/>
                <w:vertAlign w:val="superscript"/>
              </w:rPr>
              <w:t>2</w:t>
            </w:r>
            <w:r>
              <w:rPr>
                <w:szCs w:val="21"/>
              </w:rPr>
              <w:t>，施工前进行彩条布铺设。电缆线路区设备材料及施工区占地宽度为2.5m，扣除与道路占地重叠的86km电缆线路作业带，共占地10.60hm</w:t>
            </w:r>
            <w:r>
              <w:rPr>
                <w:szCs w:val="21"/>
                <w:vertAlign w:val="superscript"/>
              </w:rPr>
              <w:t>2</w:t>
            </w:r>
            <w:r>
              <w:rPr>
                <w:szCs w:val="21"/>
              </w:rPr>
              <w:t>，施工前进行彩条布铺设。</w:t>
            </w:r>
          </w:p>
        </w:tc>
        <w:tc>
          <w:tcPr>
            <w:tcW w:w="1563" w:type="dxa"/>
            <w:vMerge w:val="continue"/>
            <w:tcBorders>
              <w:top w:val="single" w:color="auto" w:sz="4" w:space="0"/>
              <w:left w:val="single" w:color="auto" w:sz="4" w:space="0"/>
              <w:bottom w:val="single" w:color="auto" w:sz="4" w:space="0"/>
              <w:right w:val="single" w:color="auto" w:sz="4" w:space="0"/>
            </w:tcBorders>
            <w:noWrap w:val="0"/>
            <w:vAlign w:val="center"/>
          </w:tcPr>
          <w:p w14:paraId="458D86C1">
            <w:pPr>
              <w:widowControl/>
              <w:jc w:val="left"/>
              <w:rPr>
                <w:szCs w:val="21"/>
              </w:rPr>
            </w:pPr>
          </w:p>
        </w:tc>
        <w:tc>
          <w:tcPr>
            <w:tcW w:w="2962" w:type="dxa"/>
            <w:vMerge w:val="continue"/>
            <w:tcBorders>
              <w:top w:val="single" w:color="auto" w:sz="4" w:space="0"/>
              <w:left w:val="single" w:color="auto" w:sz="4" w:space="0"/>
              <w:bottom w:val="single" w:color="auto" w:sz="4" w:space="0"/>
              <w:right w:val="single" w:color="auto" w:sz="4" w:space="0"/>
            </w:tcBorders>
            <w:noWrap w:val="0"/>
            <w:vAlign w:val="center"/>
          </w:tcPr>
          <w:p w14:paraId="440B2FFE">
            <w:pPr>
              <w:widowControl/>
              <w:jc w:val="left"/>
              <w:rPr>
                <w:kern w:val="0"/>
                <w:szCs w:val="21"/>
              </w:rPr>
            </w:pPr>
          </w:p>
        </w:tc>
        <w:tc>
          <w:tcPr>
            <w:tcW w:w="2158" w:type="dxa"/>
            <w:vMerge w:val="continue"/>
            <w:tcBorders>
              <w:top w:val="single" w:color="auto" w:sz="4" w:space="0"/>
              <w:left w:val="single" w:color="auto" w:sz="4" w:space="0"/>
              <w:bottom w:val="single" w:color="auto" w:sz="4" w:space="0"/>
              <w:right w:val="single" w:color="auto" w:sz="8" w:space="0"/>
            </w:tcBorders>
            <w:noWrap w:val="0"/>
            <w:vAlign w:val="center"/>
          </w:tcPr>
          <w:p w14:paraId="04A4A9E6">
            <w:pPr>
              <w:widowControl/>
              <w:jc w:val="left"/>
              <w:rPr>
                <w:szCs w:val="21"/>
              </w:rPr>
            </w:pPr>
          </w:p>
        </w:tc>
      </w:tr>
      <w:tr w14:paraId="324E7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44" w:type="dxa"/>
            <w:vMerge w:val="continue"/>
            <w:tcBorders>
              <w:left w:val="single" w:color="auto" w:sz="8" w:space="0"/>
              <w:right w:val="single" w:color="auto" w:sz="4" w:space="0"/>
            </w:tcBorders>
            <w:noWrap w:val="0"/>
            <w:vAlign w:val="center"/>
          </w:tcPr>
          <w:p w14:paraId="7B1490F9">
            <w:pPr>
              <w:widowControl/>
              <w:jc w:val="left"/>
              <w:rPr>
                <w:szCs w:val="21"/>
              </w:rPr>
            </w:pPr>
          </w:p>
        </w:tc>
        <w:tc>
          <w:tcPr>
            <w:tcW w:w="433" w:type="dxa"/>
            <w:tcBorders>
              <w:top w:val="single" w:color="auto" w:sz="4" w:space="0"/>
              <w:left w:val="single" w:color="auto" w:sz="4" w:space="0"/>
              <w:right w:val="single" w:color="auto" w:sz="4" w:space="0"/>
            </w:tcBorders>
            <w:noWrap w:val="0"/>
            <w:vAlign w:val="center"/>
          </w:tcPr>
          <w:p w14:paraId="1517C3A4">
            <w:pPr>
              <w:adjustRightInd w:val="0"/>
              <w:snapToGrid w:val="0"/>
              <w:spacing w:line="320" w:lineRule="exact"/>
              <w:jc w:val="center"/>
              <w:rPr>
                <w:szCs w:val="21"/>
              </w:rPr>
            </w:pPr>
            <w:r>
              <w:rPr>
                <w:szCs w:val="21"/>
              </w:rPr>
              <w:t>施工生产生活区</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1606C118">
            <w:pPr>
              <w:adjustRightInd w:val="0"/>
              <w:snapToGrid w:val="0"/>
              <w:spacing w:line="320" w:lineRule="exact"/>
              <w:rPr>
                <w:szCs w:val="21"/>
              </w:rPr>
            </w:pPr>
            <w:r>
              <w:rPr>
                <w:b/>
                <w:szCs w:val="21"/>
              </w:rPr>
              <w:t>工程措施：</w:t>
            </w:r>
            <w:r>
              <w:rPr>
                <w:szCs w:val="21"/>
              </w:rPr>
              <w:t>对该区域进行全面整地，整地方式采用机械全面整地。</w:t>
            </w:r>
          </w:p>
          <w:p w14:paraId="397D4BE1">
            <w:pPr>
              <w:rPr>
                <w:szCs w:val="21"/>
              </w:rPr>
            </w:pPr>
            <w:r>
              <w:rPr>
                <w:b/>
                <w:szCs w:val="21"/>
              </w:rPr>
              <w:t>临时措施：</w:t>
            </w:r>
            <w:r>
              <w:rPr>
                <w:szCs w:val="21"/>
              </w:rPr>
              <w:t>为降低重型机械及车辆对施工生产生活区原地貌的扰动。在每个施工机械区域铺设6mm厚钢板对施工生产生活区的砂石料场、综合加工场等区域铺设彩条布。</w:t>
            </w:r>
          </w:p>
          <w:p w14:paraId="777B1EC3">
            <w:pPr>
              <w:pStyle w:val="94"/>
              <w:spacing w:line="240" w:lineRule="auto"/>
              <w:ind w:firstLine="0" w:firstLineChars="0"/>
              <w:rPr>
                <w:bCs/>
                <w:sz w:val="21"/>
                <w:szCs w:val="21"/>
              </w:rPr>
            </w:pPr>
            <w:r>
              <w:rPr>
                <w:b/>
                <w:sz w:val="21"/>
                <w:szCs w:val="21"/>
              </w:rPr>
              <w:t>植物措施：</w:t>
            </w:r>
            <w:r>
              <w:rPr>
                <w:kern w:val="2"/>
                <w:sz w:val="21"/>
                <w:szCs w:val="21"/>
              </w:rPr>
              <w:t>全面整地后，对施工生产生活区采用灌草结合的方式进行绿化。灌木选择柠条，采用穴状整地（30cm×30cm），营养钵移植，行距2.0m，株距1.0m，初植密度2500株/hm</w:t>
            </w:r>
            <w:r>
              <w:rPr>
                <w:kern w:val="2"/>
                <w:sz w:val="21"/>
                <w:szCs w:val="21"/>
                <w:vertAlign w:val="superscript"/>
              </w:rPr>
              <w:t>2</w:t>
            </w:r>
            <w:r>
              <w:rPr>
                <w:kern w:val="2"/>
                <w:sz w:val="21"/>
                <w:szCs w:val="21"/>
              </w:rPr>
              <w:t>，共需柠条26250株；草种选择白羊草和紫花苜蓿混播，选择品质优良的一级草籽，</w:t>
            </w:r>
            <w:r>
              <w:rPr>
                <w:rFonts w:ascii="Times New Roman" w:hAnsi="Times New Roman" w:eastAsia="宋体" w:cs="Times New Roman"/>
                <w:kern w:val="2"/>
                <w:sz w:val="21"/>
                <w:szCs w:val="21"/>
              </w:rPr>
              <w:t>播种密度：白羊草25kg/hm²，紫花苜蓿25kg/hm²，共计撒播草籽7.0hm</w:t>
            </w:r>
            <w:r>
              <w:rPr>
                <w:rFonts w:ascii="Times New Roman" w:hAnsi="Times New Roman" w:eastAsia="宋体" w:cs="Times New Roman"/>
                <w:kern w:val="2"/>
                <w:sz w:val="21"/>
                <w:szCs w:val="21"/>
                <w:vertAlign w:val="superscript"/>
              </w:rPr>
              <w:t>2</w:t>
            </w:r>
            <w:r>
              <w:rPr>
                <w:rFonts w:ascii="Times New Roman" w:hAnsi="Times New Roman" w:eastAsia="宋体" w:cs="Times New Roman"/>
                <w:kern w:val="2"/>
                <w:sz w:val="21"/>
                <w:szCs w:val="21"/>
              </w:rPr>
              <w:t>，</w:t>
            </w:r>
            <w:r>
              <w:rPr>
                <w:kern w:val="2"/>
                <w:sz w:val="21"/>
                <w:szCs w:val="21"/>
              </w:rPr>
              <w:t>需草种350kg。</w:t>
            </w:r>
          </w:p>
          <w:p w14:paraId="655A8774">
            <w:pPr>
              <w:adjustRightInd w:val="0"/>
              <w:snapToGrid w:val="0"/>
              <w:spacing w:line="320" w:lineRule="exact"/>
              <w:rPr>
                <w:szCs w:val="21"/>
              </w:rPr>
            </w:pPr>
            <w:r>
              <w:rPr>
                <w:b/>
                <w:bCs/>
                <w:szCs w:val="21"/>
              </w:rPr>
              <w:t>管理措施：</w:t>
            </w:r>
            <w:r>
              <w:rPr>
                <w:bCs/>
                <w:szCs w:val="21"/>
              </w:rPr>
              <w:t>道路路面要定期洒水，临时堆放的土石料和运输车辆应遮盖；定期对施工生产生活区空地洒水降尘等。</w:t>
            </w:r>
          </w:p>
        </w:tc>
        <w:tc>
          <w:tcPr>
            <w:tcW w:w="1563" w:type="dxa"/>
            <w:vMerge w:val="continue"/>
            <w:tcBorders>
              <w:top w:val="single" w:color="auto" w:sz="4" w:space="0"/>
              <w:left w:val="single" w:color="auto" w:sz="4" w:space="0"/>
              <w:bottom w:val="single" w:color="auto" w:sz="4" w:space="0"/>
              <w:right w:val="single" w:color="auto" w:sz="4" w:space="0"/>
            </w:tcBorders>
            <w:noWrap w:val="0"/>
            <w:vAlign w:val="center"/>
          </w:tcPr>
          <w:p w14:paraId="6D68E20A">
            <w:pPr>
              <w:widowControl/>
              <w:jc w:val="left"/>
              <w:rPr>
                <w:szCs w:val="21"/>
              </w:rPr>
            </w:pPr>
          </w:p>
        </w:tc>
        <w:tc>
          <w:tcPr>
            <w:tcW w:w="2962" w:type="dxa"/>
            <w:vMerge w:val="continue"/>
            <w:tcBorders>
              <w:top w:val="single" w:color="auto" w:sz="4" w:space="0"/>
              <w:left w:val="single" w:color="auto" w:sz="4" w:space="0"/>
              <w:bottom w:val="single" w:color="auto" w:sz="4" w:space="0"/>
              <w:right w:val="single" w:color="auto" w:sz="4" w:space="0"/>
            </w:tcBorders>
            <w:noWrap w:val="0"/>
            <w:vAlign w:val="center"/>
          </w:tcPr>
          <w:p w14:paraId="479CDA96">
            <w:pPr>
              <w:widowControl/>
              <w:jc w:val="left"/>
              <w:rPr>
                <w:kern w:val="0"/>
                <w:szCs w:val="21"/>
              </w:rPr>
            </w:pPr>
          </w:p>
        </w:tc>
        <w:tc>
          <w:tcPr>
            <w:tcW w:w="2158" w:type="dxa"/>
            <w:vMerge w:val="continue"/>
            <w:tcBorders>
              <w:top w:val="single" w:color="auto" w:sz="4" w:space="0"/>
              <w:left w:val="single" w:color="auto" w:sz="4" w:space="0"/>
              <w:bottom w:val="single" w:color="auto" w:sz="4" w:space="0"/>
              <w:right w:val="single" w:color="auto" w:sz="8" w:space="0"/>
            </w:tcBorders>
            <w:noWrap w:val="0"/>
            <w:vAlign w:val="center"/>
          </w:tcPr>
          <w:p w14:paraId="63865BD4">
            <w:pPr>
              <w:widowControl/>
              <w:jc w:val="left"/>
              <w:rPr>
                <w:szCs w:val="21"/>
              </w:rPr>
            </w:pPr>
          </w:p>
        </w:tc>
      </w:tr>
      <w:tr w14:paraId="1C598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444" w:type="dxa"/>
            <w:vMerge w:val="continue"/>
            <w:tcBorders>
              <w:left w:val="single" w:color="auto" w:sz="8" w:space="0"/>
              <w:bottom w:val="single" w:color="auto" w:sz="4" w:space="0"/>
              <w:right w:val="single" w:color="auto" w:sz="4" w:space="0"/>
            </w:tcBorders>
            <w:noWrap w:val="0"/>
            <w:vAlign w:val="center"/>
          </w:tcPr>
          <w:p w14:paraId="378D7016">
            <w:pPr>
              <w:widowControl/>
              <w:jc w:val="left"/>
              <w:rPr>
                <w:szCs w:val="21"/>
              </w:rPr>
            </w:pPr>
          </w:p>
        </w:tc>
        <w:tc>
          <w:tcPr>
            <w:tcW w:w="433" w:type="dxa"/>
            <w:tcBorders>
              <w:left w:val="single" w:color="auto" w:sz="4" w:space="0"/>
              <w:bottom w:val="single" w:color="auto" w:sz="4" w:space="0"/>
              <w:right w:val="single" w:color="auto" w:sz="4" w:space="0"/>
            </w:tcBorders>
            <w:noWrap w:val="0"/>
            <w:vAlign w:val="center"/>
          </w:tcPr>
          <w:p w14:paraId="29B14049">
            <w:pPr>
              <w:adjustRightInd w:val="0"/>
              <w:snapToGrid w:val="0"/>
              <w:spacing w:line="320" w:lineRule="exact"/>
              <w:jc w:val="center"/>
              <w:rPr>
                <w:szCs w:val="21"/>
              </w:rPr>
            </w:pPr>
            <w:r>
              <w:rPr>
                <w:rFonts w:hint="eastAsia"/>
                <w:szCs w:val="21"/>
              </w:rPr>
              <w:t>水源地等敏感区</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2CC78B2">
            <w:pPr>
              <w:adjustRightInd w:val="0"/>
              <w:snapToGrid w:val="0"/>
              <w:spacing w:line="320" w:lineRule="exact"/>
              <w:rPr>
                <w:szCs w:val="21"/>
              </w:rPr>
            </w:pPr>
            <w:r>
              <w:rPr>
                <w:rFonts w:hint="eastAsia"/>
                <w:szCs w:val="21"/>
              </w:rPr>
              <w:t>（1）避让：划定施工作业带，严禁跨区域施工，保护项目周围环境不被影响，降低对生态环境的扰动影响。</w:t>
            </w:r>
          </w:p>
          <w:p w14:paraId="55CFD029">
            <w:pPr>
              <w:adjustRightInd w:val="0"/>
              <w:snapToGrid w:val="0"/>
              <w:spacing w:line="320" w:lineRule="exact"/>
              <w:rPr>
                <w:szCs w:val="21"/>
              </w:rPr>
            </w:pPr>
            <w:r>
              <w:rPr>
                <w:rFonts w:hint="eastAsia"/>
                <w:szCs w:val="21"/>
              </w:rPr>
              <w:t>（2）减缓：①选用大功率光伏板减少了光伏板数量和项目占地；</w:t>
            </w:r>
          </w:p>
          <w:p w14:paraId="1C63E0CB">
            <w:pPr>
              <w:adjustRightInd w:val="0"/>
              <w:snapToGrid w:val="0"/>
              <w:spacing w:line="320" w:lineRule="exact"/>
              <w:rPr>
                <w:szCs w:val="21"/>
              </w:rPr>
            </w:pPr>
            <w:r>
              <w:rPr>
                <w:rFonts w:hint="eastAsia"/>
                <w:szCs w:val="21"/>
              </w:rPr>
              <w:t>②架设塔体采用无人机放线，避免砍伐通道，可节省60%以上植被清理量；③电缆沟使用链式开沟机窄幅开挖，控制沟槽宽度，可从传统1.5m缩至1.2m，电缆施工作业带从6m减少至4m，减少土方量和植被破坏。电缆沟沟壁采用生态护坡，防止水土流失。④尽量利用现有道路，检修道路210.7km，其中利用现有道路142.4km，仅在可利用道路尽头通向光伏阵列区处新建道路68.3km，减少道路占地；⑤临时占地尽量选择在未利用地及劣质地上，减少植被破坏；⑥避开雨季施工，场区周边开挖载水沟防止雨水冲刷引发二次沙化；⑦施工结束采取工程、生物措施相结合的方式对影响区域进行生态修复。</w:t>
            </w:r>
          </w:p>
          <w:p w14:paraId="13D06B24">
            <w:pPr>
              <w:adjustRightInd w:val="0"/>
              <w:snapToGrid w:val="0"/>
              <w:spacing w:line="320" w:lineRule="exact"/>
              <w:rPr>
                <w:szCs w:val="21"/>
              </w:rPr>
            </w:pPr>
            <w:r>
              <w:rPr>
                <w:rFonts w:hint="eastAsia"/>
                <w:szCs w:val="21"/>
              </w:rPr>
              <w:t>（3）恢复及补偿：本项目因地制宜分为光伏阵列防治区、道路防治区、集电线路防治区、施工生产生活区防治区共四个防治区，采取工程、生物措施相结合，灌草相结合，选用耐干旱、耐瘠薄、抗风沙的当地优势种沙棘、柠条及披碱草、扁穗冰草、紫花苜蓿科学配置林草植被类型和密度，对项目区进行生态修复及补偿，营造防风固沙林网。</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4ADDCFD">
            <w:pPr>
              <w:widowControl/>
              <w:jc w:val="left"/>
              <w:rPr>
                <w:szCs w:val="21"/>
              </w:rPr>
            </w:pPr>
          </w:p>
        </w:tc>
        <w:tc>
          <w:tcPr>
            <w:tcW w:w="2962" w:type="dxa"/>
            <w:tcBorders>
              <w:top w:val="single" w:color="auto" w:sz="4" w:space="0"/>
              <w:left w:val="single" w:color="auto" w:sz="4" w:space="0"/>
              <w:bottom w:val="single" w:color="auto" w:sz="4" w:space="0"/>
              <w:right w:val="single" w:color="auto" w:sz="4" w:space="0"/>
            </w:tcBorders>
            <w:noWrap w:val="0"/>
            <w:vAlign w:val="center"/>
          </w:tcPr>
          <w:p w14:paraId="530AE87B">
            <w:pPr>
              <w:widowControl/>
              <w:jc w:val="left"/>
              <w:rPr>
                <w:kern w:val="0"/>
                <w:szCs w:val="21"/>
              </w:rPr>
            </w:pPr>
          </w:p>
        </w:tc>
        <w:tc>
          <w:tcPr>
            <w:tcW w:w="2158" w:type="dxa"/>
            <w:tcBorders>
              <w:top w:val="single" w:color="auto" w:sz="4" w:space="0"/>
              <w:left w:val="single" w:color="auto" w:sz="4" w:space="0"/>
              <w:bottom w:val="single" w:color="auto" w:sz="4" w:space="0"/>
              <w:right w:val="single" w:color="auto" w:sz="8" w:space="0"/>
            </w:tcBorders>
            <w:noWrap w:val="0"/>
            <w:vAlign w:val="center"/>
          </w:tcPr>
          <w:p w14:paraId="640BBCCD">
            <w:pPr>
              <w:widowControl/>
              <w:jc w:val="left"/>
              <w:rPr>
                <w:szCs w:val="21"/>
              </w:rPr>
            </w:pPr>
          </w:p>
        </w:tc>
      </w:tr>
      <w:tr w14:paraId="32DC4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02108FBF">
            <w:pPr>
              <w:adjustRightInd w:val="0"/>
              <w:snapToGrid w:val="0"/>
              <w:spacing w:line="320" w:lineRule="exact"/>
              <w:jc w:val="center"/>
              <w:rPr>
                <w:szCs w:val="21"/>
              </w:rPr>
            </w:pPr>
            <w:r>
              <w:rPr>
                <w:szCs w:val="21"/>
              </w:rPr>
              <w:t>水生生态</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7AB96EFA">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73B63AC">
            <w:pPr>
              <w:adjustRightInd w:val="0"/>
              <w:snapToGrid w:val="0"/>
              <w:spacing w:line="320" w:lineRule="exact"/>
              <w:jc w:val="center"/>
              <w:rPr>
                <w:szCs w:val="21"/>
              </w:rPr>
            </w:pPr>
            <w:r>
              <w:rPr>
                <w:szCs w:val="21"/>
              </w:rPr>
              <w:t>/</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69B6E165">
            <w:pPr>
              <w:adjustRightInd w:val="0"/>
              <w:snapToGrid w:val="0"/>
              <w:spacing w:line="320" w:lineRule="exact"/>
              <w:jc w:val="center"/>
              <w:rPr>
                <w:szCs w:val="21"/>
              </w:rPr>
            </w:pPr>
            <w:r>
              <w:rPr>
                <w:szCs w:val="21"/>
              </w:rPr>
              <w:t>/</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56DAA275">
            <w:pPr>
              <w:adjustRightInd w:val="0"/>
              <w:snapToGrid w:val="0"/>
              <w:spacing w:line="320" w:lineRule="exact"/>
              <w:jc w:val="center"/>
              <w:rPr>
                <w:szCs w:val="21"/>
              </w:rPr>
            </w:pPr>
            <w:r>
              <w:rPr>
                <w:szCs w:val="21"/>
              </w:rPr>
              <w:t>/</w:t>
            </w:r>
          </w:p>
        </w:tc>
      </w:tr>
      <w:tr w14:paraId="71FBC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031172EE">
            <w:pPr>
              <w:adjustRightInd w:val="0"/>
              <w:snapToGrid w:val="0"/>
              <w:spacing w:line="320" w:lineRule="exact"/>
              <w:jc w:val="center"/>
              <w:rPr>
                <w:szCs w:val="21"/>
              </w:rPr>
            </w:pPr>
            <w:r>
              <w:rPr>
                <w:szCs w:val="21"/>
              </w:rPr>
              <w:t>地表水环境</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7C7C14C6">
            <w:pPr>
              <w:pStyle w:val="82"/>
              <w:spacing w:before="24" w:after="24" w:line="240" w:lineRule="auto"/>
              <w:rPr>
                <w:rFonts w:ascii="Times New Roman"/>
                <w:bCs/>
                <w:spacing w:val="6"/>
                <w:sz w:val="21"/>
              </w:rPr>
            </w:pPr>
            <w:r>
              <w:rPr>
                <w:rFonts w:ascii="Times New Roman"/>
                <w:sz w:val="21"/>
              </w:rPr>
              <w:t>水源地保护区内不设置施工营地，物料堆存、加工等工段均设置在保护区之外，水源地保护区内不产生生活、生产废水。项目水源地保护区外设置施工营地，设置有化粪池，施工期间施工人员生活污水经化粪池处理后定期清运；在施工区建设临时排水沟和沉淀池用于集中收集生产废水，经沉淀中和处理后回用于施工现场洒水抑尘，不外排；施工开挖边坡在雨季用塑料布进行遮盖，在施工场地的雨水汇流处设置沉淀池，雨水经沉淀后回用于道路和施工营地洒水；避免废水进入水源保护区水体。施工基坑底部四周设置排水沟和集水坑。基坑（槽）开挖后，应立即施工垫层，对基坑进行封闭，防止水浸和暴露，并应及时进行地下结构的施工，避开雨季施工</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7377B28">
            <w:pPr>
              <w:adjustRightInd w:val="0"/>
              <w:snapToGrid w:val="0"/>
              <w:spacing w:line="320" w:lineRule="exact"/>
              <w:jc w:val="center"/>
              <w:rPr>
                <w:szCs w:val="21"/>
              </w:rPr>
            </w:pPr>
            <w:r>
              <w:rPr>
                <w:szCs w:val="21"/>
              </w:rPr>
              <w:t>施工期废水回用不外排</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77617D97">
            <w:pPr>
              <w:adjustRightInd w:val="0"/>
              <w:snapToGrid w:val="0"/>
              <w:spacing w:line="320" w:lineRule="exact"/>
              <w:jc w:val="center"/>
              <w:rPr>
                <w:szCs w:val="21"/>
              </w:rPr>
            </w:pPr>
            <w:r>
              <w:rPr>
                <w:kern w:val="0"/>
                <w:szCs w:val="21"/>
              </w:rPr>
              <w:t>光伏面板清洗频次较低，水源地保护区内光伏面板采用机械动力（风力）吹扫、静电吸附或干式刮板除尘等干式清洁方式清洁光伏板，无废水产生；水源地保护区外光伏面板采用湿法清洁方式清洁光伏板，清洗废水不含清洁剂，清洗后排至光伏板下方，自然蒸发或被植被吸收，无废水外排</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411D94B3">
            <w:pPr>
              <w:adjustRightInd w:val="0"/>
              <w:snapToGrid w:val="0"/>
              <w:spacing w:line="320" w:lineRule="exact"/>
              <w:jc w:val="center"/>
              <w:rPr>
                <w:szCs w:val="21"/>
              </w:rPr>
            </w:pPr>
            <w:r>
              <w:rPr>
                <w:szCs w:val="21"/>
              </w:rPr>
              <w:t>运营期废水回用不外排</w:t>
            </w:r>
          </w:p>
        </w:tc>
      </w:tr>
      <w:tr w14:paraId="185584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39EB25D2">
            <w:pPr>
              <w:adjustRightInd w:val="0"/>
              <w:snapToGrid w:val="0"/>
              <w:spacing w:line="320" w:lineRule="exact"/>
              <w:jc w:val="center"/>
              <w:rPr>
                <w:szCs w:val="21"/>
              </w:rPr>
            </w:pPr>
            <w:r>
              <w:rPr>
                <w:szCs w:val="21"/>
              </w:rPr>
              <w:t>地下水及土壤环境</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20ACF6E3">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F590807">
            <w:pPr>
              <w:adjustRightInd w:val="0"/>
              <w:snapToGrid w:val="0"/>
              <w:spacing w:line="320" w:lineRule="exact"/>
              <w:jc w:val="center"/>
              <w:rPr>
                <w:szCs w:val="21"/>
              </w:rPr>
            </w:pPr>
            <w:r>
              <w:rPr>
                <w:szCs w:val="21"/>
              </w:rPr>
              <w:t>/</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239971B6">
            <w:pPr>
              <w:adjustRightInd w:val="0"/>
              <w:snapToGrid w:val="0"/>
              <w:spacing w:line="320" w:lineRule="exact"/>
              <w:jc w:val="center"/>
              <w:rPr>
                <w:kern w:val="0"/>
                <w:szCs w:val="21"/>
              </w:rPr>
            </w:pPr>
            <w:r>
              <w:rPr>
                <w:kern w:val="0"/>
                <w:szCs w:val="21"/>
              </w:rPr>
              <w:t>箱变（含箱逆变一体机）事故油池均做防渗处理，且箱变（含箱逆变一体机）检修废油盛装在高密度聚乙烯桶中，并均放在防渗托盘上方，防止危废泄露</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6CEF7C08">
            <w:pPr>
              <w:adjustRightInd w:val="0"/>
              <w:snapToGrid w:val="0"/>
              <w:spacing w:line="320" w:lineRule="exact"/>
              <w:jc w:val="center"/>
              <w:rPr>
                <w:kern w:val="0"/>
                <w:szCs w:val="21"/>
              </w:rPr>
            </w:pPr>
            <w:r>
              <w:rPr>
                <w:kern w:val="0"/>
                <w:szCs w:val="21"/>
              </w:rPr>
              <w:t>达到对应的防渗要求</w:t>
            </w:r>
          </w:p>
        </w:tc>
      </w:tr>
      <w:tr w14:paraId="7D1D3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1BBC9A1E">
            <w:pPr>
              <w:adjustRightInd w:val="0"/>
              <w:snapToGrid w:val="0"/>
              <w:spacing w:line="320" w:lineRule="exact"/>
              <w:jc w:val="center"/>
              <w:rPr>
                <w:szCs w:val="21"/>
              </w:rPr>
            </w:pPr>
            <w:r>
              <w:rPr>
                <w:szCs w:val="21"/>
              </w:rPr>
              <w:t>声环境</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BE42077">
            <w:pPr>
              <w:adjustRightInd w:val="0"/>
              <w:snapToGrid w:val="0"/>
              <w:spacing w:line="320" w:lineRule="exact"/>
              <w:jc w:val="center"/>
              <w:rPr>
                <w:szCs w:val="21"/>
              </w:rPr>
            </w:pPr>
            <w:r>
              <w:rPr>
                <w:szCs w:val="21"/>
              </w:rPr>
              <w:t xml:space="preserve">优先选用低噪声施工工艺和施工机械，合理安排施工时间，定期对施工机械进行维护和保养。运输车辆减速慢行，限制车辆鸣笛 </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E729304">
            <w:pPr>
              <w:adjustRightInd w:val="0"/>
              <w:snapToGrid w:val="0"/>
              <w:spacing w:line="320" w:lineRule="exact"/>
              <w:jc w:val="center"/>
              <w:rPr>
                <w:szCs w:val="21"/>
              </w:rPr>
            </w:pPr>
            <w:r>
              <w:rPr>
                <w:szCs w:val="21"/>
              </w:rPr>
              <w:t>满足《建筑施工噪声排放标准》（GB 12523-2025）</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1DF77869">
            <w:pPr>
              <w:adjustRightInd w:val="0"/>
              <w:snapToGrid w:val="0"/>
              <w:spacing w:line="320" w:lineRule="exact"/>
              <w:jc w:val="center"/>
              <w:rPr>
                <w:szCs w:val="21"/>
              </w:rPr>
            </w:pPr>
            <w:r>
              <w:rPr>
                <w:spacing w:val="6"/>
                <w:szCs w:val="21"/>
              </w:rPr>
              <w:t>箱变</w:t>
            </w:r>
            <w:r>
              <w:rPr>
                <w:bCs/>
                <w:szCs w:val="21"/>
              </w:rPr>
              <w:t>（含箱逆变一体机）</w:t>
            </w:r>
            <w:r>
              <w:rPr>
                <w:spacing w:val="6"/>
                <w:szCs w:val="21"/>
              </w:rPr>
              <w:t>采用低噪声设备、合理布局、油箱装置隔振并且基础减震</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5BEFD7B1">
            <w:pPr>
              <w:spacing w:line="320" w:lineRule="exact"/>
              <w:jc w:val="center"/>
              <w:rPr>
                <w:szCs w:val="21"/>
              </w:rPr>
            </w:pPr>
            <w:r>
              <w:rPr>
                <w:kern w:val="0"/>
                <w:szCs w:val="21"/>
              </w:rPr>
              <w:t>区域满足《声环境质量标准》（GB 3096-2008）1类标准</w:t>
            </w:r>
          </w:p>
        </w:tc>
      </w:tr>
      <w:tr w14:paraId="46E9BD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27C4C2CD">
            <w:pPr>
              <w:adjustRightInd w:val="0"/>
              <w:snapToGrid w:val="0"/>
              <w:spacing w:line="320" w:lineRule="exact"/>
              <w:jc w:val="center"/>
              <w:rPr>
                <w:szCs w:val="21"/>
              </w:rPr>
            </w:pPr>
            <w:r>
              <w:rPr>
                <w:szCs w:val="21"/>
              </w:rPr>
              <w:t>振动</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BA76D61">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02DD2E59">
            <w:pPr>
              <w:adjustRightInd w:val="0"/>
              <w:snapToGrid w:val="0"/>
              <w:spacing w:line="320" w:lineRule="exact"/>
              <w:jc w:val="center"/>
              <w:rPr>
                <w:szCs w:val="21"/>
              </w:rPr>
            </w:pPr>
            <w:r>
              <w:rPr>
                <w:szCs w:val="21"/>
              </w:rPr>
              <w:t>/</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72818999">
            <w:pPr>
              <w:adjustRightInd w:val="0"/>
              <w:snapToGrid w:val="0"/>
              <w:spacing w:line="320" w:lineRule="exact"/>
              <w:jc w:val="center"/>
              <w:rPr>
                <w:szCs w:val="21"/>
              </w:rPr>
            </w:pPr>
            <w:r>
              <w:rPr>
                <w:szCs w:val="21"/>
              </w:rPr>
              <w:t>/</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3A7CE291">
            <w:pPr>
              <w:adjustRightInd w:val="0"/>
              <w:snapToGrid w:val="0"/>
              <w:spacing w:line="320" w:lineRule="exact"/>
              <w:jc w:val="center"/>
              <w:rPr>
                <w:szCs w:val="21"/>
              </w:rPr>
            </w:pPr>
            <w:r>
              <w:rPr>
                <w:szCs w:val="21"/>
              </w:rPr>
              <w:t>/</w:t>
            </w:r>
          </w:p>
        </w:tc>
      </w:tr>
      <w:tr w14:paraId="3B870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518E5867">
            <w:pPr>
              <w:adjustRightInd w:val="0"/>
              <w:snapToGrid w:val="0"/>
              <w:spacing w:line="320" w:lineRule="exact"/>
              <w:jc w:val="center"/>
              <w:rPr>
                <w:szCs w:val="21"/>
              </w:rPr>
            </w:pPr>
            <w:r>
              <w:rPr>
                <w:szCs w:val="21"/>
              </w:rPr>
              <w:t>大气环境</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85F24F7">
            <w:pPr>
              <w:spacing w:line="320" w:lineRule="exact"/>
              <w:jc w:val="left"/>
              <w:rPr>
                <w:szCs w:val="21"/>
              </w:rPr>
            </w:pPr>
            <w:r>
              <w:rPr>
                <w:rFonts w:hint="eastAsia"/>
                <w:szCs w:val="21"/>
              </w:rPr>
              <w:t>（1）施工扬尘：水源地保护区内不设置施工营地，物料堆存、加工等工段均设置在保护区之外。项目建设施工期废气污染源主要来自土方的挖掘扬尘及人来车往造成的现场道路扬尘，施工机械设备废气， 推土机、汽车等燃油机械在运行时排放的尾气等。</w:t>
            </w:r>
          </w:p>
          <w:p w14:paraId="1A256EA2">
            <w:pPr>
              <w:spacing w:line="320" w:lineRule="exact"/>
              <w:jc w:val="left"/>
              <w:rPr>
                <w:szCs w:val="21"/>
              </w:rPr>
            </w:pPr>
            <w:r>
              <w:rPr>
                <w:rFonts w:hint="eastAsia"/>
                <w:szCs w:val="21"/>
              </w:rPr>
              <w:t>水源地内各类土石方开挖施工，必须采取有效抑尘措施，确保不产生扬尘污染；暂时不能开工的裸露空置建设用地要及时全部进行覆盖或者绿化；遇有大风或重污染天气，应按规定停止土方开挖、回填、拆除等可能产生扬尘的作业，落实重污染天气应急响应扬尘防治差异化管控措施。水源地保护区内施工现场土石方等应及时清运。开展非道路移动机械监管，做好进出施工现场信息登记，严禁未经信息编码登记的非道路移动机械进入施工现场作业。</w:t>
            </w:r>
          </w:p>
          <w:p w14:paraId="17222DF8">
            <w:pPr>
              <w:spacing w:line="320" w:lineRule="exact"/>
              <w:jc w:val="left"/>
              <w:rPr>
                <w:szCs w:val="21"/>
              </w:rPr>
            </w:pPr>
            <w:r>
              <w:rPr>
                <w:rFonts w:hint="eastAsia"/>
                <w:szCs w:val="21"/>
              </w:rPr>
              <w:t>在施工过程中当遵循施工场地“六个百分百”（临时施工营地周边100%围挡、路面100%硬化、出入车辆100%清洗、物料堆放100%覆盖、工地100%湿法作业、渣土车辆100%苫盖）中对施工扬尘的控制要求。</w:t>
            </w:r>
          </w:p>
          <w:p w14:paraId="39E0A211">
            <w:pPr>
              <w:spacing w:line="320" w:lineRule="exact"/>
              <w:jc w:val="left"/>
              <w:rPr>
                <w:szCs w:val="21"/>
              </w:rPr>
            </w:pPr>
            <w:r>
              <w:rPr>
                <w:szCs w:val="21"/>
              </w:rPr>
              <w:t>（</w:t>
            </w:r>
            <w:r>
              <w:rPr>
                <w:rFonts w:hint="eastAsia"/>
                <w:szCs w:val="21"/>
              </w:rPr>
              <w:t>2</w:t>
            </w:r>
            <w:r>
              <w:rPr>
                <w:szCs w:val="21"/>
              </w:rPr>
              <w:t>）运输车辆：</w:t>
            </w:r>
            <w:r>
              <w:rPr>
                <w:rFonts w:hint="eastAsia"/>
                <w:szCs w:val="21"/>
              </w:rPr>
              <w:t>运输散装物料、建筑垃圾、工程渣土的车辆必须全密闭覆盖，严禁沿途泄漏、撒落、飞扬；出场前需经洗车台彻底冲洗车轮、车身，杜绝带泥上路。</w:t>
            </w:r>
          </w:p>
          <w:p w14:paraId="53190C79">
            <w:pPr>
              <w:spacing w:line="320" w:lineRule="exact"/>
              <w:jc w:val="left"/>
              <w:rPr>
                <w:szCs w:val="21"/>
              </w:rPr>
            </w:pPr>
            <w:r>
              <w:rPr>
                <w:rFonts w:hint="eastAsia"/>
                <w:szCs w:val="21"/>
              </w:rPr>
              <w:t>（3）非道路移动机械</w:t>
            </w:r>
            <w:r>
              <w:rPr>
                <w:szCs w:val="21"/>
              </w:rPr>
              <w:t>：</w:t>
            </w:r>
            <w:r>
              <w:rPr>
                <w:rFonts w:hint="eastAsia"/>
                <w:szCs w:val="21"/>
              </w:rPr>
              <w:t>进入施工现场的机械（装载机、挖掘机、压路机、打桩机等），必须满足《非道路移动机械用柴油机排气污染物排放限值及测量方法》（GB20891—2014）第三阶段及以上标准，排放无可见烟。</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46E9A7F6">
            <w:pPr>
              <w:adjustRightInd w:val="0"/>
              <w:snapToGrid w:val="0"/>
              <w:spacing w:line="320" w:lineRule="exact"/>
              <w:jc w:val="center"/>
              <w:rPr>
                <w:szCs w:val="21"/>
              </w:rPr>
            </w:pPr>
            <w:r>
              <w:rPr>
                <w:szCs w:val="21"/>
              </w:rPr>
              <w:t>严格管控，防治扬尘及非道路移动机械等废气污染</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32EBF1F2">
            <w:pPr>
              <w:adjustRightInd w:val="0"/>
              <w:snapToGrid w:val="0"/>
              <w:spacing w:line="320" w:lineRule="exact"/>
              <w:jc w:val="center"/>
              <w:rPr>
                <w:szCs w:val="21"/>
              </w:rPr>
            </w:pPr>
            <w:r>
              <w:rPr>
                <w:szCs w:val="21"/>
              </w:rPr>
              <w:t>/</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5DA4ED8A">
            <w:pPr>
              <w:adjustRightInd w:val="0"/>
              <w:snapToGrid w:val="0"/>
              <w:spacing w:line="320" w:lineRule="exact"/>
              <w:jc w:val="center"/>
              <w:rPr>
                <w:szCs w:val="21"/>
              </w:rPr>
            </w:pPr>
            <w:r>
              <w:rPr>
                <w:szCs w:val="21"/>
              </w:rPr>
              <w:t>/</w:t>
            </w:r>
          </w:p>
        </w:tc>
      </w:tr>
      <w:tr w14:paraId="76F48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4F6E2AF8">
            <w:pPr>
              <w:adjustRightInd w:val="0"/>
              <w:snapToGrid w:val="0"/>
              <w:spacing w:line="320" w:lineRule="exact"/>
              <w:jc w:val="center"/>
              <w:rPr>
                <w:szCs w:val="21"/>
              </w:rPr>
            </w:pPr>
            <w:r>
              <w:rPr>
                <w:szCs w:val="21"/>
              </w:rPr>
              <w:t>固体废物</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FE26537">
            <w:pPr>
              <w:pStyle w:val="82"/>
              <w:spacing w:before="24" w:after="24" w:line="240" w:lineRule="auto"/>
              <w:rPr>
                <w:rFonts w:ascii="Times New Roman"/>
                <w:sz w:val="21"/>
              </w:rPr>
            </w:pPr>
            <w:r>
              <w:rPr>
                <w:rFonts w:ascii="Times New Roman"/>
                <w:sz w:val="21"/>
              </w:rPr>
              <w:t>水源地保护区内不设置施工营地，物料堆存、加工等工段均设置在保护区之外，水源地保护区内不产生生活垃圾；设备包装的拆除在水源地保护区之外进行，水源地保护区内不产生设备废弃包装；施工产生的少量土方及时清运出保护区，用于其他区域建设的土地平整。项目水源地保护区外设置施工营地，产生生活垃圾集中收集后定期由环卫部门统一处置；对各分项工程的挖方、填方、余方和借方合理规划和调配，全部挖填平衡，并恢复植被，不产生工程土石弃方。产生的可回用建筑垃圾全部回用，废弃不能被利用的建筑垃圾清运到运往环卫部门指定地点合理处置</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4CCEFE1">
            <w:pPr>
              <w:adjustRightInd w:val="0"/>
              <w:snapToGrid w:val="0"/>
              <w:spacing w:line="320" w:lineRule="exact"/>
              <w:jc w:val="center"/>
              <w:rPr>
                <w:szCs w:val="21"/>
              </w:rPr>
            </w:pPr>
            <w:r>
              <w:rPr>
                <w:spacing w:val="6"/>
                <w:szCs w:val="21"/>
              </w:rPr>
              <w:t>按照环评要求合理处置</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0235AD12">
            <w:pPr>
              <w:spacing w:line="320" w:lineRule="exact"/>
              <w:jc w:val="center"/>
              <w:rPr>
                <w:szCs w:val="21"/>
              </w:rPr>
            </w:pPr>
            <w:r>
              <w:t>检修、维修时产生的生活垃圾和废旧包装，由工作人员撤场时带走；废旧光伏组件、废电气元件由生产厂家回收处置或由就近单位回收处置；</w:t>
            </w:r>
          </w:p>
          <w:p w14:paraId="0D6EEA95">
            <w:pPr>
              <w:adjustRightInd w:val="0"/>
              <w:snapToGrid w:val="0"/>
              <w:spacing w:line="320" w:lineRule="exact"/>
              <w:jc w:val="center"/>
              <w:rPr>
                <w:szCs w:val="21"/>
              </w:rPr>
            </w:pPr>
            <w:r>
              <w:rPr>
                <w:kern w:val="0"/>
                <w:szCs w:val="21"/>
              </w:rPr>
              <w:t>水源地保护区内箱变采用干式变压器，水源地保护区外箱变采用油浸式变压器，每台油浸式箱变（含箱逆变一体机）设置1座2.5m</w:t>
            </w:r>
            <w:r>
              <w:rPr>
                <w:kern w:val="0"/>
                <w:szCs w:val="21"/>
                <w:vertAlign w:val="superscript"/>
              </w:rPr>
              <w:t>3</w:t>
            </w:r>
            <w:r>
              <w:rPr>
                <w:kern w:val="0"/>
                <w:szCs w:val="21"/>
              </w:rPr>
              <w:t>事故油池，事故油池重点防渗，箱变（含箱逆变一体机）检修废油，依托新荣三座升压站内危废</w:t>
            </w:r>
            <w:r>
              <w:rPr>
                <w:rFonts w:ascii="Times New Roman" w:hAnsi="Times New Roman" w:eastAsia="宋体" w:cs="Times New Roman"/>
                <w:kern w:val="0"/>
                <w:szCs w:val="21"/>
              </w:rPr>
              <w:t>贮存点</w:t>
            </w:r>
            <w:r>
              <w:rPr>
                <w:kern w:val="0"/>
                <w:szCs w:val="21"/>
              </w:rPr>
              <w:t>暂存，定期交由有危废资质的单位处置</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1D18F57F">
            <w:pPr>
              <w:spacing w:line="320" w:lineRule="exact"/>
              <w:jc w:val="center"/>
              <w:rPr>
                <w:kern w:val="0"/>
                <w:szCs w:val="21"/>
              </w:rPr>
            </w:pPr>
            <w:r>
              <w:rPr>
                <w:kern w:val="0"/>
                <w:szCs w:val="21"/>
              </w:rPr>
              <w:t>合理处置，符合《一般工业固体废物贮存和填埋控制标准》 （GB18599-2020)，《危险废物贮存污染控制标准》（GB18597-2023）</w:t>
            </w:r>
          </w:p>
        </w:tc>
      </w:tr>
      <w:tr w14:paraId="7696E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69ED3FBB">
            <w:pPr>
              <w:adjustRightInd w:val="0"/>
              <w:snapToGrid w:val="0"/>
              <w:spacing w:line="320" w:lineRule="exact"/>
              <w:jc w:val="center"/>
              <w:rPr>
                <w:szCs w:val="21"/>
              </w:rPr>
            </w:pPr>
            <w:r>
              <w:rPr>
                <w:szCs w:val="21"/>
              </w:rPr>
              <w:t>电磁环境</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33F9AAF6">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799DBCF">
            <w:pPr>
              <w:adjustRightInd w:val="0"/>
              <w:snapToGrid w:val="0"/>
              <w:spacing w:line="320" w:lineRule="exact"/>
              <w:jc w:val="center"/>
              <w:rPr>
                <w:szCs w:val="21"/>
              </w:rPr>
            </w:pPr>
            <w:r>
              <w:rPr>
                <w:szCs w:val="21"/>
              </w:rPr>
              <w:t>/</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78A8F428">
            <w:pPr>
              <w:adjustRightInd w:val="0"/>
              <w:snapToGrid w:val="0"/>
              <w:spacing w:line="320" w:lineRule="exact"/>
              <w:jc w:val="center"/>
              <w:rPr>
                <w:szCs w:val="21"/>
              </w:rPr>
            </w:pPr>
            <w:r>
              <w:rPr>
                <w:szCs w:val="21"/>
              </w:rPr>
              <w:t>/</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752455CE">
            <w:pPr>
              <w:adjustRightInd w:val="0"/>
              <w:snapToGrid w:val="0"/>
              <w:spacing w:line="320" w:lineRule="exact"/>
              <w:jc w:val="center"/>
              <w:rPr>
                <w:szCs w:val="21"/>
              </w:rPr>
            </w:pPr>
            <w:r>
              <w:rPr>
                <w:szCs w:val="21"/>
              </w:rPr>
              <w:t>/</w:t>
            </w:r>
          </w:p>
        </w:tc>
      </w:tr>
      <w:tr w14:paraId="6E582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6BB9B3B1">
            <w:pPr>
              <w:adjustRightInd w:val="0"/>
              <w:snapToGrid w:val="0"/>
              <w:spacing w:line="320" w:lineRule="exact"/>
              <w:jc w:val="center"/>
              <w:rPr>
                <w:szCs w:val="21"/>
              </w:rPr>
            </w:pPr>
            <w:r>
              <w:rPr>
                <w:szCs w:val="21"/>
              </w:rPr>
              <w:t>环境风险</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46A7AAA2">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6D2025F">
            <w:pPr>
              <w:adjustRightInd w:val="0"/>
              <w:snapToGrid w:val="0"/>
              <w:spacing w:line="320" w:lineRule="exact"/>
              <w:jc w:val="center"/>
              <w:rPr>
                <w:szCs w:val="21"/>
              </w:rPr>
            </w:pPr>
            <w:r>
              <w:rPr>
                <w:szCs w:val="21"/>
              </w:rPr>
              <w:t>/</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3BFF9BB2">
            <w:pPr>
              <w:spacing w:line="320" w:lineRule="exact"/>
              <w:jc w:val="center"/>
            </w:pPr>
            <w:r>
              <w:t>油浸式箱变（含箱逆变一体机）事故油池均做防渗处理</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64DD753B">
            <w:pPr>
              <w:spacing w:line="320" w:lineRule="exact"/>
              <w:jc w:val="center"/>
            </w:pPr>
            <w:r>
              <w:t>环境风险可控</w:t>
            </w:r>
          </w:p>
        </w:tc>
      </w:tr>
      <w:tr w14:paraId="47F2E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gridSpan w:val="2"/>
            <w:tcBorders>
              <w:top w:val="single" w:color="auto" w:sz="4" w:space="0"/>
              <w:left w:val="single" w:color="auto" w:sz="8" w:space="0"/>
              <w:bottom w:val="single" w:color="auto" w:sz="4" w:space="0"/>
              <w:right w:val="single" w:color="auto" w:sz="4" w:space="0"/>
            </w:tcBorders>
            <w:noWrap w:val="0"/>
            <w:vAlign w:val="center"/>
          </w:tcPr>
          <w:p w14:paraId="70929361">
            <w:pPr>
              <w:adjustRightInd w:val="0"/>
              <w:snapToGrid w:val="0"/>
              <w:spacing w:line="320" w:lineRule="exact"/>
              <w:jc w:val="center"/>
              <w:rPr>
                <w:szCs w:val="21"/>
              </w:rPr>
            </w:pPr>
            <w:r>
              <w:rPr>
                <w:szCs w:val="21"/>
              </w:rPr>
              <w:t>环境监测</w:t>
            </w:r>
          </w:p>
        </w:tc>
        <w:tc>
          <w:tcPr>
            <w:tcW w:w="6317" w:type="dxa"/>
            <w:tcBorders>
              <w:top w:val="single" w:color="auto" w:sz="4" w:space="0"/>
              <w:left w:val="single" w:color="auto" w:sz="4" w:space="0"/>
              <w:bottom w:val="single" w:color="auto" w:sz="4" w:space="0"/>
              <w:right w:val="single" w:color="auto" w:sz="4" w:space="0"/>
            </w:tcBorders>
            <w:noWrap w:val="0"/>
            <w:vAlign w:val="center"/>
          </w:tcPr>
          <w:p w14:paraId="7C20389A">
            <w:pPr>
              <w:spacing w:line="320" w:lineRule="exact"/>
              <w:jc w:val="center"/>
            </w:pPr>
            <w:r>
              <w:t>在施工期对工程涉及的陆生生态环境质量进行监测</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321B194">
            <w:pPr>
              <w:spacing w:line="320" w:lineRule="exact"/>
              <w:jc w:val="center"/>
            </w:pPr>
            <w:r>
              <w:t>植物物种、存活率和覆盖率，施工占用植被情况及恢复情况</w:t>
            </w:r>
          </w:p>
        </w:tc>
        <w:tc>
          <w:tcPr>
            <w:tcW w:w="2962" w:type="dxa"/>
            <w:tcBorders>
              <w:top w:val="single" w:color="auto" w:sz="4" w:space="0"/>
              <w:left w:val="single" w:color="auto" w:sz="4" w:space="0"/>
              <w:bottom w:val="single" w:color="auto" w:sz="4" w:space="0"/>
              <w:right w:val="single" w:color="auto" w:sz="4" w:space="0"/>
            </w:tcBorders>
            <w:noWrap w:val="0"/>
            <w:vAlign w:val="center"/>
          </w:tcPr>
          <w:p w14:paraId="5DEBDB98">
            <w:pPr>
              <w:spacing w:line="320" w:lineRule="exact"/>
              <w:jc w:val="center"/>
            </w:pPr>
            <w:r>
              <w:t>区域周边生态环境监测，运营期的最初3年，每年1次</w:t>
            </w:r>
          </w:p>
        </w:tc>
        <w:tc>
          <w:tcPr>
            <w:tcW w:w="2158" w:type="dxa"/>
            <w:tcBorders>
              <w:top w:val="single" w:color="auto" w:sz="4" w:space="0"/>
              <w:left w:val="single" w:color="auto" w:sz="4" w:space="0"/>
              <w:bottom w:val="single" w:color="auto" w:sz="4" w:space="0"/>
              <w:right w:val="single" w:color="auto" w:sz="8" w:space="0"/>
            </w:tcBorders>
            <w:noWrap w:val="0"/>
            <w:vAlign w:val="center"/>
          </w:tcPr>
          <w:p w14:paraId="428AA904">
            <w:pPr>
              <w:spacing w:line="320" w:lineRule="exact"/>
              <w:jc w:val="center"/>
            </w:pPr>
            <w:r>
              <w:t>植物物种、存活率、和覆盖率</w:t>
            </w:r>
          </w:p>
        </w:tc>
      </w:tr>
      <w:tr w14:paraId="430453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gridSpan w:val="2"/>
            <w:tcBorders>
              <w:top w:val="single" w:color="auto" w:sz="4" w:space="0"/>
              <w:left w:val="single" w:color="auto" w:sz="8" w:space="0"/>
              <w:bottom w:val="single" w:color="auto" w:sz="8" w:space="0"/>
              <w:right w:val="single" w:color="auto" w:sz="4" w:space="0"/>
            </w:tcBorders>
            <w:noWrap w:val="0"/>
            <w:vAlign w:val="center"/>
          </w:tcPr>
          <w:p w14:paraId="0E55471F">
            <w:pPr>
              <w:adjustRightInd w:val="0"/>
              <w:snapToGrid w:val="0"/>
              <w:spacing w:line="320" w:lineRule="exact"/>
              <w:jc w:val="center"/>
              <w:rPr>
                <w:szCs w:val="21"/>
              </w:rPr>
            </w:pPr>
            <w:r>
              <w:rPr>
                <w:szCs w:val="21"/>
              </w:rPr>
              <w:t>其他</w:t>
            </w:r>
          </w:p>
        </w:tc>
        <w:tc>
          <w:tcPr>
            <w:tcW w:w="6317" w:type="dxa"/>
            <w:tcBorders>
              <w:top w:val="single" w:color="auto" w:sz="4" w:space="0"/>
              <w:left w:val="single" w:color="auto" w:sz="4" w:space="0"/>
              <w:bottom w:val="single" w:color="auto" w:sz="8" w:space="0"/>
              <w:right w:val="single" w:color="auto" w:sz="4" w:space="0"/>
            </w:tcBorders>
            <w:noWrap w:val="0"/>
            <w:vAlign w:val="center"/>
          </w:tcPr>
          <w:p w14:paraId="39CC1AEC">
            <w:pPr>
              <w:adjustRightInd w:val="0"/>
              <w:snapToGrid w:val="0"/>
              <w:spacing w:line="320" w:lineRule="exact"/>
              <w:jc w:val="center"/>
              <w:rPr>
                <w:szCs w:val="21"/>
              </w:rPr>
            </w:pPr>
            <w:r>
              <w:rPr>
                <w:szCs w:val="21"/>
              </w:rPr>
              <w:t>/</w:t>
            </w:r>
          </w:p>
        </w:tc>
        <w:tc>
          <w:tcPr>
            <w:tcW w:w="1563" w:type="dxa"/>
            <w:tcBorders>
              <w:top w:val="single" w:color="auto" w:sz="4" w:space="0"/>
              <w:left w:val="single" w:color="auto" w:sz="4" w:space="0"/>
              <w:bottom w:val="single" w:color="auto" w:sz="8" w:space="0"/>
              <w:right w:val="single" w:color="auto" w:sz="4" w:space="0"/>
            </w:tcBorders>
            <w:noWrap w:val="0"/>
            <w:vAlign w:val="center"/>
          </w:tcPr>
          <w:p w14:paraId="616BF3EB">
            <w:pPr>
              <w:adjustRightInd w:val="0"/>
              <w:snapToGrid w:val="0"/>
              <w:spacing w:line="320" w:lineRule="exact"/>
              <w:jc w:val="center"/>
              <w:rPr>
                <w:szCs w:val="21"/>
              </w:rPr>
            </w:pPr>
            <w:r>
              <w:rPr>
                <w:szCs w:val="21"/>
              </w:rPr>
              <w:t>/</w:t>
            </w:r>
          </w:p>
        </w:tc>
        <w:tc>
          <w:tcPr>
            <w:tcW w:w="5120" w:type="dxa"/>
            <w:gridSpan w:val="2"/>
            <w:tcBorders>
              <w:top w:val="single" w:color="auto" w:sz="4" w:space="0"/>
              <w:left w:val="single" w:color="auto" w:sz="4" w:space="0"/>
              <w:bottom w:val="single" w:color="auto" w:sz="8" w:space="0"/>
              <w:right w:val="single" w:color="auto" w:sz="8" w:space="0"/>
            </w:tcBorders>
            <w:noWrap w:val="0"/>
            <w:vAlign w:val="center"/>
          </w:tcPr>
          <w:p w14:paraId="73650739">
            <w:pPr>
              <w:adjustRightInd w:val="0"/>
              <w:snapToGrid w:val="0"/>
              <w:spacing w:line="320" w:lineRule="exact"/>
              <w:jc w:val="center"/>
              <w:rPr>
                <w:szCs w:val="21"/>
              </w:rPr>
            </w:pPr>
            <w:r>
              <w:rPr>
                <w:szCs w:val="21"/>
              </w:rPr>
              <w:t>（1）工程环评审批及工程竣工后，按环保要求及时进行竣工环保验收；</w:t>
            </w:r>
          </w:p>
          <w:p w14:paraId="28525000">
            <w:pPr>
              <w:adjustRightInd w:val="0"/>
              <w:snapToGrid w:val="0"/>
              <w:spacing w:line="320" w:lineRule="exact"/>
              <w:jc w:val="center"/>
              <w:rPr>
                <w:szCs w:val="21"/>
              </w:rPr>
            </w:pPr>
            <w:r>
              <w:rPr>
                <w:szCs w:val="21"/>
              </w:rPr>
              <w:t>（2）定期进行巡查和环境影响监测，对于不利环境的影响应及时进行处理</w:t>
            </w:r>
          </w:p>
        </w:tc>
      </w:tr>
    </w:tbl>
    <w:p w14:paraId="1D8713E1">
      <w:pPr>
        <w:pStyle w:val="80"/>
        <w:spacing w:line="480" w:lineRule="exact"/>
        <w:ind w:firstLine="480" w:firstLineChars="200"/>
        <w:jc w:val="left"/>
        <w:rPr>
          <w:kern w:val="0"/>
        </w:rPr>
      </w:pPr>
    </w:p>
    <w:p w14:paraId="38783EFC">
      <w:pPr>
        <w:pStyle w:val="8"/>
        <w:rPr>
          <w:rFonts w:hint="eastAsia"/>
          <w:lang w:val="en-US" w:eastAsia="zh-CN"/>
        </w:rPr>
      </w:pPr>
    </w:p>
    <w:sectPr>
      <w:pgSz w:w="16838" w:h="11906" w:orient="landscape"/>
      <w:pgMar w:top="567" w:right="1440" w:bottom="567"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PMingLiU">
    <w:altName w:val="Sitka Text"/>
    <w:panose1 w:val="02020500000000000000"/>
    <w:charset w:val="78"/>
    <w:family w:val="roman"/>
    <w:pitch w:val="default"/>
    <w:sig w:usb0="00000000" w:usb1="00000000" w:usb2="00000016" w:usb3="00000000" w:csb0="00100001" w:csb1="00000000"/>
  </w:font>
  <w:font w:name="Sitka Text">
    <w:panose1 w:val="00000000000000000000"/>
    <w:charset w:val="00"/>
    <w:family w:val="auto"/>
    <w:pitch w:val="default"/>
    <w:sig w:usb0="A00002EF" w:usb1="4000204B" w:usb2="00000000" w:usb3="00000000" w:csb0="2000019F" w:csb1="00000000"/>
  </w:font>
  <w:font w:name="仿宋_GB2312)">
    <w:altName w:val="宋体"/>
    <w:panose1 w:val="00000000000000000000"/>
    <w:charset w:val="86"/>
    <w:family w:val="roman"/>
    <w:pitch w:val="default"/>
    <w:sig w:usb0="00000000" w:usb1="00000000" w:usb2="00000000" w:usb3="00000000" w:csb0="00000000" w:csb1="00000000"/>
  </w:font>
  <w:font w:name="Segoe UI Emoji">
    <w:panose1 w:val="020B0502040204020203"/>
    <w:charset w:val="00"/>
    <w:family w:val="swiss"/>
    <w:pitch w:val="default"/>
    <w:sig w:usb0="00000001" w:usb1="02000000" w:usb2="08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CB07F"/>
    <w:multiLevelType w:val="singleLevel"/>
    <w:tmpl w:val="F2BCB07F"/>
    <w:lvl w:ilvl="0" w:tentative="0">
      <w:start w:val="1"/>
      <w:numFmt w:val="bullet"/>
      <w:pStyle w:val="14"/>
      <w:lvlText w:val=""/>
      <w:lvlJc w:val="left"/>
      <w:pPr>
        <w:tabs>
          <w:tab w:val="left" w:pos="2040"/>
        </w:tabs>
        <w:ind w:left="2040" w:hanging="360"/>
      </w:pPr>
      <w:rPr>
        <w:rFonts w:hint="default" w:ascii="Wingdings" w:hAnsi="Wingdings"/>
      </w:rPr>
    </w:lvl>
  </w:abstractNum>
  <w:abstractNum w:abstractNumId="1">
    <w:nsid w:val="46335E6F"/>
    <w:multiLevelType w:val="multilevel"/>
    <w:tmpl w:val="46335E6F"/>
    <w:lvl w:ilvl="0" w:tentative="0">
      <w:start w:val="1"/>
      <w:numFmt w:val="decimal"/>
      <w:pStyle w:val="50"/>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6DE37B95"/>
    <w:multiLevelType w:val="multilevel"/>
    <w:tmpl w:val="6DE37B95"/>
    <w:lvl w:ilvl="0" w:tentative="0">
      <w:start w:val="1"/>
      <w:numFmt w:val="decimal"/>
      <w:lvlText w:val="1.4.5.%1"/>
      <w:lvlJc w:val="left"/>
      <w:pPr>
        <w:tabs>
          <w:tab w:val="left" w:pos="720"/>
        </w:tabs>
        <w:ind w:left="0" w:firstLine="0"/>
      </w:pPr>
      <w:rPr>
        <w:rFonts w:hint="eastAsia"/>
      </w:rPr>
    </w:lvl>
    <w:lvl w:ilvl="1" w:tentative="0">
      <w:start w:val="1"/>
      <w:numFmt w:val="decimal"/>
      <w:pStyle w:val="49"/>
      <w:lvlText w:val="%1.%2"/>
      <w:lvlJc w:val="left"/>
      <w:pPr>
        <w:tabs>
          <w:tab w:val="left" w:pos="360"/>
        </w:tabs>
        <w:ind w:left="0" w:firstLine="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ODkxYmE5MWVkOWYwMGJmYzcyZGVkNDA0ZDI2OTQifQ=="/>
  </w:docVars>
  <w:rsids>
    <w:rsidRoot w:val="42132A50"/>
    <w:rsid w:val="03C51E3B"/>
    <w:rsid w:val="03EF279C"/>
    <w:rsid w:val="05290F90"/>
    <w:rsid w:val="06F71208"/>
    <w:rsid w:val="0B761604"/>
    <w:rsid w:val="0BB9541D"/>
    <w:rsid w:val="0C310483"/>
    <w:rsid w:val="0CE62B73"/>
    <w:rsid w:val="10AE35B0"/>
    <w:rsid w:val="10CB6044"/>
    <w:rsid w:val="117B1454"/>
    <w:rsid w:val="145148B8"/>
    <w:rsid w:val="161E62C2"/>
    <w:rsid w:val="16961ED8"/>
    <w:rsid w:val="220E36CE"/>
    <w:rsid w:val="2630148F"/>
    <w:rsid w:val="28EE08A3"/>
    <w:rsid w:val="295E6690"/>
    <w:rsid w:val="2A422D3E"/>
    <w:rsid w:val="2B4213CE"/>
    <w:rsid w:val="2EA7393D"/>
    <w:rsid w:val="303C0C05"/>
    <w:rsid w:val="30FC4F88"/>
    <w:rsid w:val="335D431A"/>
    <w:rsid w:val="34493901"/>
    <w:rsid w:val="358E1CB2"/>
    <w:rsid w:val="372D24B2"/>
    <w:rsid w:val="375370A1"/>
    <w:rsid w:val="3C065895"/>
    <w:rsid w:val="3C823798"/>
    <w:rsid w:val="3E6748FC"/>
    <w:rsid w:val="3E7A1991"/>
    <w:rsid w:val="3EED05DA"/>
    <w:rsid w:val="42132A50"/>
    <w:rsid w:val="443F68B0"/>
    <w:rsid w:val="4627338B"/>
    <w:rsid w:val="4E5A5D25"/>
    <w:rsid w:val="4F6770FC"/>
    <w:rsid w:val="514821E5"/>
    <w:rsid w:val="51D76269"/>
    <w:rsid w:val="554B2FD1"/>
    <w:rsid w:val="574949F9"/>
    <w:rsid w:val="58FE360A"/>
    <w:rsid w:val="5B154D8F"/>
    <w:rsid w:val="5B6C7F1C"/>
    <w:rsid w:val="5BFA6989"/>
    <w:rsid w:val="5C614A63"/>
    <w:rsid w:val="5C6C0137"/>
    <w:rsid w:val="5D5657E0"/>
    <w:rsid w:val="5E272DFD"/>
    <w:rsid w:val="65E21D05"/>
    <w:rsid w:val="68DC45EC"/>
    <w:rsid w:val="6A405BA9"/>
    <w:rsid w:val="6A5C30D7"/>
    <w:rsid w:val="6BCC11D3"/>
    <w:rsid w:val="6BD63ACE"/>
    <w:rsid w:val="6D535020"/>
    <w:rsid w:val="6D896B48"/>
    <w:rsid w:val="6EF86E51"/>
    <w:rsid w:val="6FC51E46"/>
    <w:rsid w:val="74E2767B"/>
    <w:rsid w:val="770D6919"/>
    <w:rsid w:val="7A7A089E"/>
    <w:rsid w:val="7E4260CB"/>
    <w:rsid w:val="7FFB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0" w:lineRule="atLeast"/>
      <w:jc w:val="center"/>
      <w:outlineLvl w:val="0"/>
    </w:pPr>
    <w:rPr>
      <w:rFonts w:eastAsia="仿宋_GB2312"/>
      <w:spacing w:val="-20"/>
      <w:sz w:val="30"/>
    </w:rPr>
  </w:style>
  <w:style w:type="paragraph" w:styleId="3">
    <w:name w:val="heading 2"/>
    <w:basedOn w:val="1"/>
    <w:next w:val="1"/>
    <w:autoRedefine/>
    <w:qFormat/>
    <w:uiPriority w:val="0"/>
    <w:pPr>
      <w:keepNext/>
      <w:keepLines/>
      <w:spacing w:before="260" w:after="260" w:line="416" w:lineRule="auto"/>
      <w:ind w:firstLine="643" w:firstLineChars="200"/>
      <w:outlineLvl w:val="1"/>
    </w:pPr>
    <w:rPr>
      <w:rFonts w:ascii="仿宋_GB2312" w:hAnsi="Arial" w:eastAsia="仿宋_GB2312"/>
      <w:b/>
      <w:bCs/>
      <w:sz w:val="32"/>
      <w:szCs w:val="32"/>
    </w:rPr>
  </w:style>
  <w:style w:type="paragraph" w:styleId="4">
    <w:name w:val="heading 3"/>
    <w:basedOn w:val="1"/>
    <w:next w:val="1"/>
    <w:autoRedefine/>
    <w:qFormat/>
    <w:uiPriority w:val="0"/>
    <w:pPr>
      <w:keepNext/>
      <w:keepLines/>
      <w:spacing w:before="10" w:line="480" w:lineRule="atLeast"/>
      <w:outlineLvl w:val="2"/>
    </w:pPr>
    <w:rPr>
      <w:rFonts w:eastAsia="黑体"/>
      <w:bCs/>
      <w:sz w:val="28"/>
      <w:szCs w:val="32"/>
      <w:lang w:val="zh-CN"/>
    </w:rPr>
  </w:style>
  <w:style w:type="paragraph" w:styleId="5">
    <w:name w:val="heading 4"/>
    <w:basedOn w:val="1"/>
    <w:next w:val="1"/>
    <w:autoRedefine/>
    <w:qFormat/>
    <w:uiPriority w:val="0"/>
    <w:pPr>
      <w:keepNext/>
      <w:keepLines/>
      <w:spacing w:line="560" w:lineRule="exact"/>
      <w:outlineLvl w:val="3"/>
    </w:pPr>
    <w:rPr>
      <w:rFonts w:ascii="Cambria" w:hAnsi="Cambria" w:eastAsia="宋体" w:cs="Times New Roman"/>
      <w:b/>
      <w:bCs/>
      <w:kern w:val="0"/>
      <w:sz w:val="24"/>
      <w:szCs w:val="28"/>
    </w:rPr>
  </w:style>
  <w:style w:type="paragraph" w:styleId="6">
    <w:name w:val="heading 8"/>
    <w:basedOn w:val="1"/>
    <w:next w:val="1"/>
    <w:unhideWhenUsed/>
    <w:qFormat/>
    <w:uiPriority w:val="0"/>
    <w:pPr>
      <w:adjustRightInd w:val="0"/>
      <w:snapToGrid w:val="0"/>
      <w:spacing w:line="360" w:lineRule="auto"/>
      <w:ind w:firstLine="504" w:firstLineChars="200"/>
      <w:outlineLvl w:val="7"/>
    </w:pPr>
    <w:rPr>
      <w:spacing w:val="6"/>
      <w:sz w:val="24"/>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99"/>
    <w:pPr>
      <w:ind w:firstLine="420"/>
    </w:pPr>
    <w:rPr>
      <w:kern w:val="0"/>
    </w:rPr>
  </w:style>
  <w:style w:type="paragraph" w:customStyle="1" w:styleId="8">
    <w:name w:val="Default"/>
    <w:basedOn w:val="9"/>
    <w:autoRedefine/>
    <w:qFormat/>
    <w:uiPriority w:val="0"/>
    <w:pPr>
      <w:widowControl w:val="0"/>
      <w:autoSpaceDE w:val="0"/>
      <w:autoSpaceDN w:val="0"/>
      <w:adjustRightInd w:val="0"/>
      <w:spacing w:after="200" w:line="276" w:lineRule="auto"/>
    </w:pPr>
    <w:rPr>
      <w:rFonts w:hint="eastAsia" w:ascii="仿宋_GB2312" w:hAnsi="仿宋_GB2312" w:eastAsia="仿宋_GB2312" w:cs="Times New Roman"/>
      <w:color w:val="000000"/>
      <w:sz w:val="24"/>
      <w:szCs w:val="22"/>
      <w:lang w:val="en-US" w:eastAsia="zh-CN" w:bidi="ar-SA"/>
    </w:rPr>
  </w:style>
  <w:style w:type="paragraph" w:customStyle="1" w:styleId="9">
    <w:name w:val="表内容@"/>
    <w:basedOn w:val="1"/>
    <w:autoRedefine/>
    <w:qFormat/>
    <w:uiPriority w:val="0"/>
    <w:pPr>
      <w:adjustRightInd w:val="0"/>
      <w:spacing w:line="0" w:lineRule="atLeast"/>
      <w:jc w:val="center"/>
    </w:pPr>
    <w:rPr>
      <w:rFonts w:ascii="宋体" w:hAnsi="宋体" w:cs="Arial"/>
    </w:rPr>
  </w:style>
  <w:style w:type="paragraph" w:styleId="10">
    <w:name w:val="Body Text"/>
    <w:basedOn w:val="1"/>
    <w:next w:val="1"/>
    <w:autoRedefine/>
    <w:qFormat/>
    <w:uiPriority w:val="0"/>
    <w:pPr>
      <w:spacing w:after="120"/>
    </w:pPr>
  </w:style>
  <w:style w:type="paragraph" w:styleId="11">
    <w:name w:val="Body Text Indent"/>
    <w:basedOn w:val="1"/>
    <w:autoRedefine/>
    <w:qFormat/>
    <w:uiPriority w:val="0"/>
    <w:pPr>
      <w:spacing w:after="120" w:afterLines="0"/>
      <w:ind w:left="420" w:leftChars="200"/>
    </w:pPr>
  </w:style>
  <w:style w:type="paragraph" w:styleId="12">
    <w:name w:val="Block Text"/>
    <w:basedOn w:val="1"/>
    <w:autoRedefine/>
    <w:qFormat/>
    <w:uiPriority w:val="0"/>
    <w:pPr>
      <w:snapToGrid w:val="0"/>
      <w:spacing w:line="420" w:lineRule="exact"/>
      <w:ind w:left="101" w:leftChars="48" w:right="149" w:rightChars="71" w:firstLine="426" w:firstLineChars="203"/>
    </w:pPr>
  </w:style>
  <w:style w:type="paragraph" w:styleId="13">
    <w:name w:val="Plain Text"/>
    <w:basedOn w:val="1"/>
    <w:next w:val="1"/>
    <w:autoRedefine/>
    <w:qFormat/>
    <w:uiPriority w:val="99"/>
    <w:pPr>
      <w:spacing w:line="240" w:lineRule="auto"/>
      <w:ind w:firstLine="0" w:firstLineChars="0"/>
    </w:pPr>
    <w:rPr>
      <w:rFonts w:ascii="宋体" w:hAnsi="Courier New"/>
      <w:kern w:val="0"/>
      <w:sz w:val="20"/>
      <w:szCs w:val="21"/>
    </w:rPr>
  </w:style>
  <w:style w:type="paragraph" w:styleId="14">
    <w:name w:val="List Bullet 5"/>
    <w:basedOn w:val="1"/>
    <w:autoRedefine/>
    <w:qFormat/>
    <w:uiPriority w:val="0"/>
    <w:pPr>
      <w:numPr>
        <w:ilvl w:val="0"/>
        <w:numId w:val="1"/>
      </w:numPr>
    </w:p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ind w:left="180" w:firstLine="360"/>
    </w:pPr>
    <w:rPr>
      <w:rFonts w:hint="eastAsia" w:ascii="宋体"/>
      <w:sz w:val="24"/>
      <w:szCs w:val="20"/>
    </w:rPr>
  </w:style>
  <w:style w:type="paragraph" w:styleId="17">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autoRedefine/>
    <w:qFormat/>
    <w:uiPriority w:val="0"/>
    <w:pPr>
      <w:spacing w:line="480" w:lineRule="exact"/>
      <w:ind w:firstLine="630" w:firstLineChars="225"/>
    </w:pPr>
    <w:rPr>
      <w:rFonts w:ascii="楷体_GB2312" w:eastAsia="楷体_GB2312"/>
      <w:sz w:val="28"/>
    </w:rPr>
  </w:style>
  <w:style w:type="paragraph" w:styleId="19">
    <w:name w:val="table of figures"/>
    <w:basedOn w:val="1"/>
    <w:next w:val="1"/>
    <w:autoRedefine/>
    <w:semiHidden/>
    <w:qFormat/>
    <w:uiPriority w:val="0"/>
    <w:pPr>
      <w:spacing w:beforeLines="50" w:afterLines="50" w:line="500" w:lineRule="exact"/>
      <w:jc w:val="center"/>
    </w:pPr>
    <w:rPr>
      <w:rFonts w:ascii="仿宋_GB2312" w:eastAsia="仿宋_GB2312"/>
      <w:sz w:val="28"/>
      <w:szCs w:val="20"/>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qFormat/>
    <w:uiPriority w:val="0"/>
    <w:pPr>
      <w:outlineLvl w:val="0"/>
    </w:pPr>
    <w:rPr>
      <w:rFonts w:ascii="Cambria" w:hAnsi="Cambria" w:eastAsia="Cambria"/>
      <w:b/>
      <w:sz w:val="32"/>
      <w:szCs w:val="32"/>
    </w:rPr>
  </w:style>
  <w:style w:type="paragraph" w:styleId="22">
    <w:name w:val="Body Text First Indent"/>
    <w:basedOn w:val="1"/>
    <w:next w:val="19"/>
    <w:autoRedefine/>
    <w:qFormat/>
    <w:uiPriority w:val="0"/>
    <w:pPr>
      <w:ind w:firstLine="420" w:firstLineChars="100"/>
    </w:pPr>
    <w:rPr>
      <w:szCs w:val="24"/>
    </w:rPr>
  </w:style>
  <w:style w:type="paragraph" w:styleId="23">
    <w:name w:val="Body Text First Indent 2"/>
    <w:basedOn w:val="1"/>
    <w:next w:val="1"/>
    <w:autoRedefine/>
    <w:qFormat/>
    <w:uiPriority w:val="0"/>
    <w:pPr>
      <w:spacing w:after="120" w:afterLines="0" w:line="240" w:lineRule="auto"/>
      <w:ind w:left="420" w:leftChars="200" w:firstLine="420"/>
    </w:pPr>
    <w:rPr>
      <w:rFonts w:ascii="Times New Roman" w:eastAsia="宋体"/>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rFonts w:ascii="Times New Roman" w:hAnsi="Times New Roman" w:eastAsia="宋体" w:cs="Times New Roman"/>
      <w:color w:val="0000CC"/>
      <w:u w:val="single"/>
    </w:rPr>
  </w:style>
  <w:style w:type="character" w:styleId="28">
    <w:name w:val="annotation reference"/>
    <w:semiHidden/>
    <w:qFormat/>
    <w:uiPriority w:val="0"/>
    <w:rPr>
      <w:sz w:val="21"/>
      <w:szCs w:val="21"/>
    </w:rPr>
  </w:style>
  <w:style w:type="paragraph" w:customStyle="1" w:styleId="29">
    <w:name w:val="表格文字"/>
    <w:basedOn w:val="30"/>
    <w:autoRedefine/>
    <w:qFormat/>
    <w:uiPriority w:val="0"/>
    <w:pPr>
      <w:tabs>
        <w:tab w:val="left" w:pos="5880"/>
      </w:tabs>
      <w:snapToGrid w:val="0"/>
      <w:spacing w:line="240" w:lineRule="atLeast"/>
      <w:jc w:val="center"/>
    </w:pPr>
    <w:rPr>
      <w:rFonts w:ascii="宋体" w:hAnsi="宋体"/>
      <w:kern w:val="0"/>
      <w:position w:val="-24"/>
      <w:szCs w:val="20"/>
    </w:rPr>
  </w:style>
  <w:style w:type="paragraph" w:customStyle="1" w:styleId="30">
    <w:name w:val="我的正文"/>
    <w:basedOn w:val="1"/>
    <w:qFormat/>
    <w:uiPriority w:val="0"/>
    <w:pPr>
      <w:ind w:firstLine="538"/>
    </w:pPr>
    <w:rPr>
      <w:sz w:val="28"/>
      <w:szCs w:val="20"/>
    </w:rPr>
  </w:style>
  <w:style w:type="paragraph" w:customStyle="1" w:styleId="31">
    <w:name w:val="Body Text 2"/>
    <w:basedOn w:val="1"/>
    <w:autoRedefine/>
    <w:qFormat/>
    <w:uiPriority w:val="0"/>
    <w:pPr>
      <w:autoSpaceDE w:val="0"/>
      <w:autoSpaceDN w:val="0"/>
      <w:adjustRightInd w:val="0"/>
      <w:spacing w:line="480" w:lineRule="atLeast"/>
      <w:ind w:firstLine="570" w:firstLineChars="0"/>
    </w:pPr>
    <w:rPr>
      <w:rFonts w:ascii="宋体" w:hAnsi="Tms Rmn"/>
      <w:kern w:val="0"/>
      <w:sz w:val="28"/>
      <w:szCs w:val="20"/>
    </w:rPr>
  </w:style>
  <w:style w:type="paragraph" w:customStyle="1" w:styleId="32">
    <w:name w:val="报告正文"/>
    <w:basedOn w:val="1"/>
    <w:autoRedefine/>
    <w:qFormat/>
    <w:uiPriority w:val="0"/>
    <w:pPr>
      <w:widowControl w:val="0"/>
      <w:autoSpaceDE w:val="0"/>
      <w:autoSpaceDN w:val="0"/>
      <w:adjustRightInd w:val="0"/>
      <w:snapToGrid w:val="0"/>
      <w:spacing w:line="360" w:lineRule="auto"/>
      <w:ind w:firstLine="200" w:firstLineChars="200"/>
    </w:pPr>
    <w:rPr>
      <w:sz w:val="24"/>
    </w:rPr>
  </w:style>
  <w:style w:type="paragraph" w:customStyle="1" w:styleId="33">
    <w:name w:val="Table Paragraph"/>
    <w:basedOn w:val="1"/>
    <w:qFormat/>
    <w:uiPriority w:val="1"/>
    <w:rPr>
      <w:rFonts w:ascii="宋体" w:hAnsi="宋体" w:eastAsia="宋体" w:cs="宋体"/>
      <w:lang w:val="zh-CN" w:eastAsia="zh-CN" w:bidi="zh-CN"/>
    </w:rPr>
  </w:style>
  <w:style w:type="paragraph" w:customStyle="1" w:styleId="34">
    <w:name w:val="纯文本1"/>
    <w:basedOn w:val="1"/>
    <w:autoRedefine/>
    <w:qFormat/>
    <w:uiPriority w:val="0"/>
    <w:pPr>
      <w:adjustRightInd w:val="0"/>
      <w:textAlignment w:val="baseline"/>
    </w:pPr>
    <w:rPr>
      <w:rFonts w:ascii="宋体" w:hAnsi="Courier New" w:eastAsia="仿宋_GB2312"/>
      <w:sz w:val="28"/>
      <w:szCs w:val="21"/>
    </w:rPr>
  </w:style>
  <w:style w:type="paragraph" w:customStyle="1" w:styleId="35">
    <w:name w:val="表头文字"/>
    <w:basedOn w:val="1"/>
    <w:autoRedefine/>
    <w:qFormat/>
    <w:uiPriority w:val="0"/>
    <w:pPr>
      <w:widowControl/>
      <w:adjustRightInd w:val="0"/>
      <w:snapToGrid w:val="0"/>
      <w:spacing w:line="360" w:lineRule="exact"/>
      <w:ind w:firstLine="480" w:firstLineChars="200"/>
      <w:textAlignment w:val="baseline"/>
    </w:pPr>
    <w:rPr>
      <w:rFonts w:ascii="Calibri" w:hAnsi="Calibri" w:cs="宋体"/>
      <w:b/>
      <w:bCs/>
      <w:kern w:val="0"/>
      <w:sz w:val="24"/>
      <w:szCs w:val="24"/>
    </w:rPr>
  </w:style>
  <w:style w:type="paragraph" w:customStyle="1" w:styleId="36">
    <w:name w:val="正文文字缩进"/>
    <w:basedOn w:val="1"/>
    <w:qFormat/>
    <w:uiPriority w:val="0"/>
    <w:pPr>
      <w:keepNext w:val="0"/>
      <w:keepLines w:val="0"/>
      <w:widowControl/>
      <w:suppressLineNumbers w:val="0"/>
      <w:spacing w:line="351" w:lineRule="atLeast"/>
      <w:ind w:left="436" w:firstLine="419"/>
      <w:jc w:val="both"/>
      <w:textAlignment w:val="baseline"/>
    </w:pPr>
    <w:rPr>
      <w:rFonts w:hint="default" w:ascii="仿宋_GB2312" w:hAnsi="宋体" w:eastAsia="仿宋_GB2312" w:cs="仿宋_GB2312"/>
      <w:color w:val="000000"/>
      <w:kern w:val="0"/>
      <w:sz w:val="30"/>
      <w:szCs w:val="30"/>
      <w:lang w:val="en-US" w:eastAsia="zh-CN" w:bidi="ar"/>
    </w:rPr>
  </w:style>
  <w:style w:type="paragraph" w:customStyle="1" w:styleId="37">
    <w:name w:val="_Style 2"/>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38">
    <w:name w:val="Plain Text"/>
    <w:basedOn w:val="1"/>
    <w:qFormat/>
    <w:uiPriority w:val="0"/>
    <w:rPr>
      <w:rFonts w:ascii="宋体" w:hAnsi="Courier New" w:cs="Courier New"/>
      <w:szCs w:val="21"/>
    </w:rPr>
  </w:style>
  <w:style w:type="paragraph" w:customStyle="1" w:styleId="39">
    <w:name w:val="5正文"/>
    <w:basedOn w:val="1"/>
    <w:autoRedefine/>
    <w:qFormat/>
    <w:uiPriority w:val="0"/>
    <w:pPr>
      <w:ind w:firstLine="200" w:firstLineChars="200"/>
    </w:pPr>
    <w:rPr>
      <w:sz w:val="28"/>
      <w:szCs w:val="20"/>
    </w:rPr>
  </w:style>
  <w:style w:type="paragraph" w:customStyle="1" w:styleId="40">
    <w:name w:val="样式2"/>
    <w:basedOn w:val="7"/>
    <w:qFormat/>
    <w:uiPriority w:val="0"/>
    <w:pPr>
      <w:ind w:firstLine="480" w:firstLineChars="200"/>
    </w:pPr>
    <w:rPr>
      <w:sz w:val="24"/>
      <w:szCs w:val="24"/>
    </w:rPr>
  </w:style>
  <w:style w:type="paragraph" w:customStyle="1" w:styleId="41">
    <w:name w:val="正文1"/>
    <w:basedOn w:val="11"/>
    <w:autoRedefine/>
    <w:qFormat/>
    <w:uiPriority w:val="0"/>
    <w:pPr>
      <w:spacing w:beforeLines="25" w:afterLines="25" w:line="480" w:lineRule="exact"/>
      <w:ind w:firstLine="480" w:firstLineChars="200"/>
      <w:jc w:val="left"/>
    </w:pPr>
    <w:rPr>
      <w:sz w:val="24"/>
      <w:szCs w:val="24"/>
    </w:rPr>
  </w:style>
  <w:style w:type="paragraph" w:customStyle="1" w:styleId="42">
    <w:name w:val="新利正文"/>
    <w:basedOn w:val="1"/>
    <w:autoRedefine/>
    <w:qFormat/>
    <w:uiPriority w:val="99"/>
    <w:pPr>
      <w:adjustRightInd w:val="0"/>
      <w:snapToGrid w:val="0"/>
      <w:spacing w:beforeLines="25" w:line="440" w:lineRule="exact"/>
      <w:ind w:firstLine="480" w:firstLineChars="200"/>
    </w:pPr>
    <w:rPr>
      <w:color w:val="000000"/>
      <w:kern w:val="32"/>
      <w:sz w:val="24"/>
      <w:szCs w:val="24"/>
    </w:rPr>
  </w:style>
  <w:style w:type="paragraph" w:customStyle="1" w:styleId="43">
    <w:name w:val="1"/>
    <w:basedOn w:val="1"/>
    <w:next w:val="34"/>
    <w:autoRedefine/>
    <w:qFormat/>
    <w:uiPriority w:val="0"/>
    <w:pPr>
      <w:snapToGrid w:val="0"/>
      <w:spacing w:line="360" w:lineRule="exact"/>
    </w:pPr>
    <w:rPr>
      <w:rFonts w:ascii="宋体" w:hAnsi="Courier New" w:cs="宋体"/>
      <w:kern w:val="24"/>
      <w:sz w:val="24"/>
      <w:szCs w:val="24"/>
    </w:rPr>
  </w:style>
  <w:style w:type="paragraph" w:customStyle="1" w:styleId="44">
    <w:name w:val="a表内容"/>
    <w:basedOn w:val="1"/>
    <w:autoRedefine/>
    <w:qFormat/>
    <w:uiPriority w:val="0"/>
    <w:pPr>
      <w:jc w:val="center"/>
    </w:pPr>
    <w:rPr>
      <w:szCs w:val="21"/>
    </w:rPr>
  </w:style>
  <w:style w:type="paragraph" w:customStyle="1" w:styleId="45">
    <w:name w:val="中文报告书样式"/>
    <w:basedOn w:val="1"/>
    <w:autoRedefine/>
    <w:qFormat/>
    <w:uiPriority w:val="0"/>
    <w:pPr>
      <w:adjustRightInd w:val="0"/>
      <w:spacing w:line="480" w:lineRule="atLeast"/>
      <w:ind w:firstLine="482"/>
      <w:textAlignment w:val="baseline"/>
    </w:pPr>
    <w:rPr>
      <w:rFonts w:eastAsia="宋体"/>
      <w:kern w:val="24"/>
      <w:sz w:val="24"/>
      <w:lang w:val="en-US" w:eastAsia="zh-CN" w:bidi="ar-SA"/>
    </w:rPr>
  </w:style>
  <w:style w:type="paragraph" w:customStyle="1" w:styleId="46">
    <w:name w:val="表"/>
    <w:basedOn w:val="21"/>
    <w:qFormat/>
    <w:uiPriority w:val="0"/>
    <w:pPr>
      <w:spacing w:line="300" w:lineRule="exact"/>
    </w:pPr>
    <w:rPr>
      <w:rFonts w:ascii="Times New Roman" w:hAnsi="Times New Roman" w:eastAsia="宋体"/>
      <w:bCs/>
      <w:sz w:val="21"/>
    </w:rPr>
  </w:style>
  <w:style w:type="paragraph" w:customStyle="1" w:styleId="47">
    <w:name w:val="表头图题"/>
    <w:basedOn w:val="1"/>
    <w:qFormat/>
    <w:uiPriority w:val="0"/>
    <w:pPr>
      <w:spacing w:line="240" w:lineRule="auto"/>
      <w:ind w:firstLine="0" w:firstLineChars="0"/>
      <w:jc w:val="center"/>
    </w:pPr>
    <w:rPr>
      <w:rFonts w:eastAsia="仿宋"/>
      <w:b/>
    </w:rPr>
  </w:style>
  <w:style w:type="paragraph" w:customStyle="1" w:styleId="48">
    <w:name w:val="zhang正文"/>
    <w:basedOn w:val="11"/>
    <w:qFormat/>
    <w:uiPriority w:val="0"/>
    <w:pPr>
      <w:keepNext w:val="0"/>
      <w:keepLines w:val="0"/>
      <w:widowControl w:val="0"/>
      <w:suppressLineNumbers w:val="0"/>
      <w:autoSpaceDE w:val="0"/>
      <w:autoSpaceDN w:val="0"/>
      <w:adjustRightInd w:val="0"/>
      <w:snapToGrid w:val="0"/>
      <w:spacing w:before="0" w:beforeLines="0" w:beforeAutospacing="0" w:after="0" w:afterLines="0" w:afterAutospacing="0" w:line="500" w:lineRule="exact"/>
      <w:ind w:left="0" w:right="0" w:firstLine="539"/>
      <w:jc w:val="both"/>
    </w:pPr>
    <w:rPr>
      <w:rFonts w:hint="default" w:ascii="Times New Roman" w:hAnsi="Times New Roman" w:eastAsia="楷体_GB2312" w:cs="Times New Roman"/>
      <w:color w:val="auto"/>
      <w:kern w:val="0"/>
      <w:sz w:val="28"/>
      <w:szCs w:val="20"/>
      <w:lang w:val="en-US" w:eastAsia="zh-CN" w:bidi="ar-SA"/>
    </w:rPr>
  </w:style>
  <w:style w:type="paragraph" w:customStyle="1" w:styleId="49">
    <w:name w:val="引言二级条标题"/>
    <w:basedOn w:val="50"/>
    <w:next w:val="1"/>
    <w:autoRedefine/>
    <w:qFormat/>
    <w:uiPriority w:val="0"/>
    <w:pPr>
      <w:numPr>
        <w:ilvl w:val="1"/>
        <w:numId w:val="2"/>
      </w:numPr>
      <w:tabs>
        <w:tab w:val="left" w:pos="720"/>
      </w:tabs>
    </w:pPr>
  </w:style>
  <w:style w:type="paragraph" w:customStyle="1" w:styleId="50">
    <w:name w:val="引言一级条标题"/>
    <w:basedOn w:val="1"/>
    <w:next w:val="51"/>
    <w:qFormat/>
    <w:uiPriority w:val="0"/>
    <w:pPr>
      <w:numPr>
        <w:ilvl w:val="0"/>
        <w:numId w:val="3"/>
      </w:numPr>
    </w:pPr>
    <w:rPr>
      <w:rFonts w:eastAsia="黑体"/>
      <w:b/>
    </w:rPr>
  </w:style>
  <w:style w:type="paragraph" w:customStyle="1" w:styleId="51">
    <w:name w:val="段"/>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52">
    <w:name w:val="表头、图题"/>
    <w:basedOn w:val="1"/>
    <w:qFormat/>
    <w:uiPriority w:val="0"/>
    <w:pPr>
      <w:ind w:firstLine="0" w:firstLineChars="0"/>
      <w:jc w:val="center"/>
    </w:pPr>
    <w:rPr>
      <w:rFonts w:eastAsia="仿宋"/>
      <w:b/>
    </w:rPr>
  </w:style>
  <w:style w:type="paragraph" w:customStyle="1" w:styleId="53">
    <w:name w:val="HJN-ZZ"/>
    <w:basedOn w:val="1"/>
    <w:qFormat/>
    <w:uiPriority w:val="0"/>
    <w:pPr>
      <w:ind w:firstLine="482"/>
      <w:jc w:val="left"/>
    </w:pPr>
    <w:rPr>
      <w:rFonts w:ascii="宋体" w:hAnsi="宋体" w:eastAsia="PMingLiU" w:cs="Times New Roman"/>
      <w:kern w:val="21"/>
      <w:szCs w:val="20"/>
    </w:rPr>
  </w:style>
  <w:style w:type="paragraph" w:customStyle="1" w:styleId="54">
    <w:name w:val="表格标题"/>
    <w:basedOn w:val="1"/>
    <w:qFormat/>
    <w:uiPriority w:val="0"/>
    <w:pPr>
      <w:spacing w:before="120" w:line="400" w:lineRule="exact"/>
      <w:jc w:val="center"/>
    </w:pPr>
    <w:rPr>
      <w:rFonts w:ascii="黑体" w:hAnsi="Calibri" w:eastAsia="黑体" w:cs="Times New Roman"/>
      <w:kern w:val="0"/>
      <w:sz w:val="24"/>
      <w:szCs w:val="20"/>
    </w:rPr>
  </w:style>
  <w:style w:type="paragraph" w:styleId="55">
    <w:name w:val="List Paragraph"/>
    <w:basedOn w:val="1"/>
    <w:qFormat/>
    <w:uiPriority w:val="0"/>
    <w:pPr>
      <w:ind w:firstLine="420" w:firstLineChars="200"/>
    </w:pPr>
    <w:rPr>
      <w:rFonts w:ascii="Times New Roman" w:hAnsi="Times New Roman" w:eastAsia="宋体" w:cs="Times New Roman"/>
    </w:rPr>
  </w:style>
  <w:style w:type="paragraph" w:customStyle="1" w:styleId="56">
    <w:name w:val="样式 样式 首行缩进:  2 字符 + (西文) Times New Roman (中文) 宋体 小四 首行缩进:  2 ..."/>
    <w:basedOn w:val="57"/>
    <w:qFormat/>
    <w:uiPriority w:val="0"/>
    <w:pPr>
      <w:spacing w:line="480" w:lineRule="exact"/>
    </w:pPr>
    <w:rPr>
      <w:rFonts w:ascii="Times New Roman" w:hAnsi="宋体" w:eastAsia="Times New Roman"/>
      <w:sz w:val="24"/>
    </w:rPr>
  </w:style>
  <w:style w:type="paragraph" w:customStyle="1" w:styleId="57">
    <w:name w:val="样式 首行缩进:  2 字符"/>
    <w:basedOn w:val="1"/>
    <w:autoRedefine/>
    <w:qFormat/>
    <w:uiPriority w:val="0"/>
    <w:pPr>
      <w:ind w:firstLine="200" w:firstLineChars="200"/>
    </w:pPr>
    <w:rPr>
      <w:rFonts w:ascii="仿宋_GB2312)" w:eastAsia="仿宋_GB2312" w:cs="宋体"/>
      <w:sz w:val="28"/>
      <w:szCs w:val="20"/>
    </w:rPr>
  </w:style>
  <w:style w:type="paragraph" w:customStyle="1" w:styleId="58">
    <w:name w:val="5-正文"/>
    <w:basedOn w:val="1"/>
    <w:qFormat/>
    <w:uiPriority w:val="0"/>
    <w:pPr>
      <w:snapToGrid w:val="0"/>
      <w:spacing w:line="480" w:lineRule="exact"/>
      <w:ind w:firstLine="200" w:firstLineChars="200"/>
    </w:pPr>
    <w:rPr>
      <w:sz w:val="24"/>
      <w:szCs w:val="20"/>
    </w:rPr>
  </w:style>
  <w:style w:type="paragraph" w:customStyle="1" w:styleId="59">
    <w:name w:val="样式 样式 黑色 行距: 固定值 25 磅 + 首行缩进:  2 字符"/>
    <w:basedOn w:val="1"/>
    <w:qFormat/>
    <w:uiPriority w:val="0"/>
    <w:pPr>
      <w:adjustRightInd/>
      <w:spacing w:line="295" w:lineRule="auto"/>
      <w:ind w:firstLine="200"/>
      <w:textAlignment w:val="auto"/>
    </w:pPr>
    <w:rPr>
      <w:rFonts w:cs="宋体"/>
      <w:color w:val="000000"/>
      <w:kern w:val="2"/>
      <w:sz w:val="25"/>
      <w:szCs w:val="20"/>
    </w:rPr>
  </w:style>
  <w:style w:type="paragraph" w:customStyle="1" w:styleId="60">
    <w:name w:val="文本"/>
    <w:basedOn w:val="1"/>
    <w:qFormat/>
    <w:uiPriority w:val="0"/>
    <w:pPr>
      <w:snapToGrid w:val="0"/>
      <w:ind w:firstLine="480"/>
      <w:textAlignment w:val="auto"/>
    </w:pPr>
    <w:rPr>
      <w:rFonts w:ascii="宋体" w:hAnsi="宋体"/>
      <w:kern w:val="2"/>
      <w:szCs w:val="24"/>
    </w:rPr>
  </w:style>
  <w:style w:type="paragraph" w:customStyle="1" w:styleId="61">
    <w:name w:val="表头"/>
    <w:basedOn w:val="7"/>
    <w:qFormat/>
    <w:uiPriority w:val="0"/>
    <w:pPr>
      <w:snapToGrid w:val="0"/>
      <w:spacing w:line="440" w:lineRule="exact"/>
      <w:textAlignment w:val="auto"/>
    </w:pPr>
    <w:rPr>
      <w:rFonts w:ascii="宋体" w:hAnsi="宋体"/>
      <w:b/>
      <w:bCs/>
      <w:kern w:val="2"/>
      <w:sz w:val="24"/>
      <w:szCs w:val="24"/>
    </w:rPr>
  </w:style>
  <w:style w:type="paragraph" w:customStyle="1" w:styleId="62">
    <w:name w:val="表题"/>
    <w:basedOn w:val="11"/>
    <w:qFormat/>
    <w:uiPriority w:val="0"/>
    <w:pPr>
      <w:tabs>
        <w:tab w:val="left" w:pos="4305"/>
      </w:tabs>
      <w:snapToGrid w:val="0"/>
      <w:spacing w:beforeLines="20" w:after="0" w:line="240" w:lineRule="auto"/>
      <w:ind w:left="0" w:leftChars="0" w:firstLine="0" w:firstLineChars="0"/>
      <w:jc w:val="center"/>
      <w:textAlignment w:val="auto"/>
    </w:pPr>
    <w:rPr>
      <w:rFonts w:hAnsi="宋体"/>
      <w:b/>
      <w:sz w:val="24"/>
      <w:szCs w:val="20"/>
      <w:lang w:val="zh-CN" w:eastAsia="zh-CN"/>
    </w:rPr>
  </w:style>
  <w:style w:type="paragraph" w:customStyle="1" w:styleId="63">
    <w:name w:val="无间隔1"/>
    <w:basedOn w:val="10"/>
    <w:next w:val="10"/>
    <w:qFormat/>
    <w:uiPriority w:val="1"/>
    <w:pPr>
      <w:snapToGrid w:val="0"/>
      <w:spacing w:before="0" w:line="360" w:lineRule="exact"/>
      <w:ind w:firstLine="0" w:firstLineChars="0"/>
      <w:jc w:val="center"/>
    </w:pPr>
    <w:rPr>
      <w:rFonts w:ascii="Times New Roman" w:eastAsia="黑体"/>
      <w:spacing w:val="0"/>
      <w:kern w:val="2"/>
      <w:sz w:val="21"/>
      <w:szCs w:val="20"/>
      <w:lang w:val="en-US"/>
    </w:rPr>
  </w:style>
  <w:style w:type="paragraph" w:customStyle="1" w:styleId="64">
    <w:name w:val="表文1"/>
    <w:basedOn w:val="1"/>
    <w:qFormat/>
    <w:uiPriority w:val="0"/>
    <w:pPr>
      <w:adjustRightInd/>
      <w:spacing w:line="240" w:lineRule="auto"/>
      <w:ind w:firstLine="0" w:firstLineChars="0"/>
      <w:jc w:val="center"/>
      <w:textAlignment w:val="auto"/>
    </w:pPr>
    <w:rPr>
      <w:kern w:val="2"/>
      <w:sz w:val="21"/>
    </w:rPr>
  </w:style>
  <w:style w:type="paragraph" w:customStyle="1" w:styleId="65">
    <w:name w:val="表格及图片名称"/>
    <w:basedOn w:val="1"/>
    <w:qFormat/>
    <w:uiPriority w:val="0"/>
    <w:pPr>
      <w:widowControl/>
      <w:snapToGrid w:val="0"/>
      <w:spacing w:line="480" w:lineRule="exact"/>
      <w:ind w:firstLine="0" w:firstLineChars="0"/>
      <w:jc w:val="center"/>
      <w:textAlignment w:val="auto"/>
    </w:pPr>
    <w:rPr>
      <w:rFonts w:ascii="Segoe UI Emoji" w:hAnsi="Segoe UI Emoji" w:eastAsia="Segoe UI Emoji"/>
      <w:snapToGrid w:val="0"/>
      <w:sz w:val="21"/>
    </w:rPr>
  </w:style>
  <w:style w:type="paragraph" w:customStyle="1" w:styleId="66">
    <w:name w:val="表中"/>
    <w:qFormat/>
    <w:uiPriority w:val="0"/>
    <w:pPr>
      <w:jc w:val="both"/>
    </w:pPr>
    <w:rPr>
      <w:rFonts w:ascii="Times New Roman" w:hAnsi="Times New Roman" w:eastAsia="宋体" w:cs="Times New Roman"/>
      <w:color w:val="000000"/>
      <w:kern w:val="44"/>
      <w:sz w:val="18"/>
      <w:lang w:val="en-US" w:eastAsia="zh-CN" w:bidi="ar-SA"/>
    </w:rPr>
  </w:style>
  <w:style w:type="paragraph" w:customStyle="1" w:styleId="67">
    <w:name w:val="表头1-1"/>
    <w:basedOn w:val="1"/>
    <w:qFormat/>
    <w:uiPriority w:val="0"/>
    <w:pPr>
      <w:spacing w:line="360" w:lineRule="auto"/>
      <w:jc w:val="center"/>
    </w:pPr>
    <w:rPr>
      <w:b/>
    </w:rPr>
  </w:style>
  <w:style w:type="paragraph" w:customStyle="1" w:styleId="68">
    <w:name w:val="表内文字"/>
    <w:basedOn w:val="69"/>
    <w:qFormat/>
    <w:uiPriority w:val="0"/>
    <w:rPr>
      <w:rFonts w:eastAsia="仿宋"/>
    </w:rPr>
  </w:style>
  <w:style w:type="paragraph" w:customStyle="1" w:styleId="69">
    <w:name w:val="表格内文本"/>
    <w:basedOn w:val="1"/>
    <w:qFormat/>
    <w:uiPriority w:val="0"/>
    <w:pPr>
      <w:pBdr>
        <w:top w:val="none" w:color="auto" w:sz="0" w:space="1"/>
        <w:left w:val="none" w:color="auto" w:sz="0" w:space="4"/>
        <w:bottom w:val="none" w:color="auto" w:sz="0" w:space="1"/>
        <w:right w:val="none" w:color="auto" w:sz="0" w:space="4"/>
      </w:pBdr>
      <w:spacing w:line="240" w:lineRule="auto"/>
      <w:ind w:firstLine="0" w:firstLineChars="0"/>
      <w:jc w:val="center"/>
    </w:pPr>
    <w:rPr>
      <w:rFonts w:ascii="Times New Roman" w:hAnsi="Times New Roman" w:eastAsia="宋体"/>
      <w:sz w:val="21"/>
    </w:rPr>
  </w:style>
  <w:style w:type="paragraph" w:customStyle="1" w:styleId="70">
    <w:name w:val="Char Char Char Char Char Char Char1"/>
    <w:basedOn w:val="1"/>
    <w:qFormat/>
    <w:uiPriority w:val="0"/>
    <w:pPr>
      <w:snapToGrid w:val="0"/>
      <w:spacing w:line="360" w:lineRule="auto"/>
      <w:ind w:firstLine="529" w:firstLineChars="200"/>
    </w:pPr>
    <w:rPr>
      <w:rFonts w:ascii="宋体" w:hAnsi="宋体"/>
      <w:b/>
    </w:rPr>
  </w:style>
  <w:style w:type="paragraph" w:customStyle="1" w:styleId="71">
    <w:name w:val="新正文11"/>
    <w:basedOn w:val="1"/>
    <w:qFormat/>
    <w:uiPriority w:val="0"/>
    <w:pPr>
      <w:autoSpaceDE w:val="0"/>
      <w:autoSpaceDN w:val="0"/>
      <w:adjustRightInd w:val="0"/>
      <w:spacing w:line="480" w:lineRule="exact"/>
      <w:ind w:firstLine="200" w:firstLineChars="200"/>
      <w:jc w:val="left"/>
    </w:pPr>
    <w:rPr>
      <w:rFonts w:hAnsi="宋体"/>
      <w:kern w:val="0"/>
      <w:sz w:val="24"/>
    </w:rPr>
  </w:style>
  <w:style w:type="paragraph" w:customStyle="1" w:styleId="72">
    <w:name w:val="新正文"/>
    <w:basedOn w:val="1"/>
    <w:qFormat/>
    <w:uiPriority w:val="0"/>
    <w:pPr>
      <w:widowControl/>
      <w:adjustRightInd w:val="0"/>
      <w:snapToGrid w:val="0"/>
      <w:spacing w:line="480" w:lineRule="exact"/>
      <w:ind w:firstLine="480" w:firstLineChars="200"/>
      <w:jc w:val="left"/>
    </w:pPr>
    <w:rPr>
      <w:color w:val="000000"/>
      <w:kern w:val="0"/>
      <w:sz w:val="24"/>
    </w:rPr>
  </w:style>
  <w:style w:type="paragraph" w:customStyle="1" w:styleId="73">
    <w:name w:val="表头文字1"/>
    <w:basedOn w:val="1"/>
    <w:qFormat/>
    <w:uiPriority w:val="0"/>
    <w:pPr>
      <w:spacing w:line="480" w:lineRule="exact"/>
      <w:jc w:val="center"/>
    </w:pPr>
    <w:rPr>
      <w:rFonts w:hAnsi="宋体"/>
      <w:b/>
      <w:szCs w:val="21"/>
    </w:rPr>
  </w:style>
  <w:style w:type="paragraph" w:customStyle="1" w:styleId="74">
    <w:name w:val="表格文字11"/>
    <w:basedOn w:val="1"/>
    <w:qFormat/>
    <w:uiPriority w:val="0"/>
    <w:pPr>
      <w:snapToGrid w:val="0"/>
      <w:spacing w:line="400" w:lineRule="exact"/>
      <w:jc w:val="center"/>
    </w:pPr>
    <w:rPr>
      <w:spacing w:val="6"/>
      <w:szCs w:val="21"/>
    </w:rPr>
  </w:style>
  <w:style w:type="paragraph" w:customStyle="1" w:styleId="75">
    <w:name w:val="正文01"/>
    <w:basedOn w:val="1"/>
    <w:qFormat/>
    <w:uiPriority w:val="0"/>
    <w:pPr>
      <w:spacing w:before="60" w:line="460" w:lineRule="exact"/>
      <w:ind w:firstLine="200" w:firstLineChars="200"/>
    </w:pPr>
    <w:rPr>
      <w:rFonts w:ascii="Arial" w:hAnsi="Arial"/>
      <w:kern w:val="0"/>
      <w:sz w:val="24"/>
    </w:rPr>
  </w:style>
  <w:style w:type="paragraph" w:customStyle="1" w:styleId="76">
    <w:name w:val="正文2"/>
    <w:basedOn w:val="1"/>
    <w:qFormat/>
    <w:uiPriority w:val="0"/>
    <w:pPr>
      <w:spacing w:before="156" w:beforeLines="50" w:line="360" w:lineRule="auto"/>
      <w:ind w:firstLine="560" w:firstLineChars="200"/>
    </w:pPr>
    <w:rPr>
      <w:kern w:val="0"/>
      <w:sz w:val="24"/>
      <w:szCs w:val="20"/>
    </w:rPr>
  </w:style>
  <w:style w:type="paragraph" w:customStyle="1" w:styleId="77">
    <w:name w:val=" Char Char Char3 Char"/>
    <w:basedOn w:val="1"/>
    <w:qFormat/>
    <w:uiPriority w:val="0"/>
    <w:pPr>
      <w:spacing w:line="360" w:lineRule="auto"/>
      <w:ind w:firstLine="200" w:firstLineChars="200"/>
    </w:pPr>
    <w:rPr>
      <w:rFonts w:ascii="Calibri" w:hAnsi="Calibri"/>
    </w:rPr>
  </w:style>
  <w:style w:type="paragraph" w:customStyle="1" w:styleId="78">
    <w:name w:val="样式 标题 4 + 段前: 5 磅 段后: 3 磅 行距: 固定值 26 磅"/>
    <w:basedOn w:val="5"/>
    <w:autoRedefine/>
    <w:qFormat/>
    <w:uiPriority w:val="0"/>
    <w:pPr>
      <w:spacing w:before="0" w:after="0" w:line="500" w:lineRule="exact"/>
    </w:pPr>
    <w:rPr>
      <w:rFonts w:ascii="楷体_GB2312" w:eastAsia="楷体_GB2312"/>
      <w:bCs w:val="0"/>
      <w:szCs w:val="20"/>
    </w:rPr>
  </w:style>
  <w:style w:type="paragraph" w:customStyle="1" w:styleId="79">
    <w:name w:val="正文内容"/>
    <w:autoRedefine/>
    <w:qFormat/>
    <w:uiPriority w:val="0"/>
    <w:pPr>
      <w:widowControl w:val="0"/>
      <w:snapToGrid w:val="0"/>
      <w:spacing w:before="60" w:after="60" w:line="440" w:lineRule="exact"/>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0">
    <w:name w:val="Style2"/>
    <w:basedOn w:val="1"/>
    <w:autoRedefine/>
    <w:unhideWhenUsed/>
    <w:qFormat/>
    <w:uiPriority w:val="99"/>
    <w:pPr>
      <w:spacing w:line="405" w:lineRule="exact"/>
      <w:ind w:firstLine="420"/>
    </w:pPr>
    <w:rPr>
      <w:sz w:val="24"/>
    </w:rPr>
  </w:style>
  <w:style w:type="paragraph" w:customStyle="1" w:styleId="81">
    <w:name w:val="正文样式"/>
    <w:basedOn w:val="1"/>
    <w:autoRedefine/>
    <w:qFormat/>
    <w:uiPriority w:val="0"/>
    <w:pPr>
      <w:spacing w:line="360" w:lineRule="auto"/>
      <w:ind w:firstLine="480" w:firstLineChars="200"/>
    </w:pPr>
    <w:rPr>
      <w:sz w:val="24"/>
    </w:rPr>
  </w:style>
  <w:style w:type="paragraph" w:customStyle="1" w:styleId="82">
    <w:name w:val="表格"/>
    <w:basedOn w:val="13"/>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83">
    <w:name w:val="正文文本 21"/>
    <w:basedOn w:val="1"/>
    <w:autoRedefine/>
    <w:qFormat/>
    <w:uiPriority w:val="0"/>
    <w:pPr>
      <w:adjustRightInd w:val="0"/>
      <w:jc w:val="center"/>
      <w:textAlignment w:val="baseline"/>
    </w:pPr>
    <w:rPr>
      <w:sz w:val="24"/>
      <w:szCs w:val="20"/>
    </w:rPr>
  </w:style>
  <w:style w:type="paragraph" w:customStyle="1" w:styleId="84">
    <w:name w:val="Table Text"/>
    <w:basedOn w:val="1"/>
    <w:semiHidden/>
    <w:qFormat/>
    <w:uiPriority w:val="0"/>
    <w:rPr>
      <w:rFonts w:ascii="宋体" w:hAnsi="宋体" w:eastAsia="宋体" w:cs="宋体"/>
      <w:sz w:val="20"/>
      <w:szCs w:val="20"/>
      <w:lang w:val="en-US" w:eastAsia="en-US" w:bidi="ar-SA"/>
    </w:rPr>
  </w:style>
  <w:style w:type="paragraph" w:customStyle="1" w:styleId="85">
    <w:name w:val="正文新 Char"/>
    <w:basedOn w:val="1"/>
    <w:autoRedefine/>
    <w:qFormat/>
    <w:uiPriority w:val="0"/>
    <w:pPr>
      <w:spacing w:line="360" w:lineRule="auto"/>
      <w:ind w:firstLine="480" w:firstLineChars="200"/>
    </w:pPr>
    <w:rPr>
      <w:rFonts w:cs="宋体"/>
      <w:sz w:val="24"/>
    </w:rPr>
  </w:style>
  <w:style w:type="paragraph" w:customStyle="1" w:styleId="86">
    <w:name w:val="1正文"/>
    <w:basedOn w:val="1"/>
    <w:autoRedefine/>
    <w:qFormat/>
    <w:uiPriority w:val="0"/>
    <w:pPr>
      <w:spacing w:line="360" w:lineRule="auto"/>
      <w:ind w:firstLine="200" w:firstLineChars="200"/>
    </w:pPr>
    <w:rPr>
      <w:rFonts w:ascii="Times New Roman" w:hAnsi="Times New Roman" w:cs="宋体"/>
      <w:sz w:val="24"/>
    </w:rPr>
  </w:style>
  <w:style w:type="paragraph" w:customStyle="1" w:styleId="87">
    <w:name w:val="zhengwen"/>
    <w:basedOn w:val="1"/>
    <w:semiHidden/>
    <w:qFormat/>
    <w:uiPriority w:val="0"/>
    <w:pPr>
      <w:spacing w:line="440" w:lineRule="exact"/>
      <w:ind w:firstLine="480" w:firstLineChars="200"/>
    </w:pPr>
    <w:rPr>
      <w:rFonts w:hAnsi="宋体"/>
      <w:sz w:val="24"/>
      <w:szCs w:val="24"/>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14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9">
    <w:name w:val="表中文字"/>
    <w:basedOn w:val="1"/>
    <w:autoRedefine/>
    <w:qFormat/>
    <w:uiPriority w:val="0"/>
    <w:pPr>
      <w:adjustRightInd w:val="0"/>
      <w:snapToGrid w:val="0"/>
      <w:jc w:val="center"/>
    </w:pPr>
  </w:style>
  <w:style w:type="paragraph" w:customStyle="1" w:styleId="90">
    <w:name w:val="表内正文"/>
    <w:basedOn w:val="1"/>
    <w:qFormat/>
    <w:uiPriority w:val="0"/>
    <w:pPr>
      <w:spacing w:line="240" w:lineRule="auto"/>
      <w:ind w:firstLine="0" w:firstLineChars="0"/>
    </w:pPr>
    <w:rPr>
      <w:rFonts w:ascii="仿宋_GB2312" w:hAnsi="宋体" w:eastAsia="仿宋_GB2312"/>
      <w:sz w:val="21"/>
      <w:szCs w:val="24"/>
    </w:rPr>
  </w:style>
  <w:style w:type="character" w:customStyle="1" w:styleId="91">
    <w:name w:val="正文文本 (2)5"/>
    <w:basedOn w:val="92"/>
    <w:qFormat/>
    <w:uiPriority w:val="0"/>
    <w:rPr>
      <w:rFonts w:cs="宋体"/>
      <w:u w:val="none"/>
    </w:rPr>
  </w:style>
  <w:style w:type="character" w:customStyle="1" w:styleId="92">
    <w:name w:val="正文文本 (2)_"/>
    <w:basedOn w:val="26"/>
    <w:link w:val="93"/>
    <w:qFormat/>
    <w:uiPriority w:val="0"/>
    <w:rPr>
      <w:rFonts w:ascii="宋体" w:hAnsi="宋体" w:eastAsia="Times New Roman" w:cs="Times New Roman"/>
      <w:kern w:val="0"/>
      <w:sz w:val="22"/>
      <w:szCs w:val="22"/>
    </w:rPr>
  </w:style>
  <w:style w:type="paragraph" w:customStyle="1" w:styleId="93">
    <w:name w:val="正文文本 (2)1"/>
    <w:basedOn w:val="1"/>
    <w:link w:val="92"/>
    <w:qFormat/>
    <w:uiPriority w:val="0"/>
    <w:pPr>
      <w:shd w:val="clear" w:color="auto" w:fill="FFFFFF"/>
      <w:spacing w:line="240" w:lineRule="atLeast"/>
      <w:ind w:hanging="300"/>
      <w:jc w:val="left"/>
    </w:pPr>
    <w:rPr>
      <w:rFonts w:ascii="宋体" w:hAnsi="宋体" w:eastAsia="Times New Roman" w:cs="Times New Roman"/>
      <w:kern w:val="0"/>
      <w:sz w:val="22"/>
      <w:szCs w:val="22"/>
    </w:rPr>
  </w:style>
  <w:style w:type="paragraph" w:customStyle="1" w:styleId="94">
    <w:name w:val="水保"/>
    <w:basedOn w:val="1"/>
    <w:qFormat/>
    <w:uiPriority w:val="0"/>
    <w:pPr>
      <w:spacing w:line="560" w:lineRule="exact"/>
      <w:ind w:firstLine="200" w:firstLineChars="200"/>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10</Pages>
  <Words>1729</Words>
  <Characters>1888</Characters>
  <Lines>0</Lines>
  <Paragraphs>0</Paragraphs>
  <TotalTime>0</TotalTime>
  <ScaleCrop>false</ScaleCrop>
  <LinksUpToDate>false</LinksUpToDate>
  <CharactersWithSpaces>1911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2018-09-14T07:04:00Z</dcterms:created>
  <dc:creator>lenovo</dc:creator>
  <cp:lastModifiedBy>smile</cp:lastModifiedBy>
  <dcterms:modified xsi:type="dcterms:W3CDTF">2026-02-10T01:30:24Z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65903887E09E4240B5F3D5AAE9AD1D07</vt:lpwstr>
  </property>
  <property fmtid="{D5CDD505-2E9C-101B-9397-08002B2CF9AE}" pid="4" name="KSOTemplateDocerSaveRecord">
    <vt:lpwstr>eyJoZGlkIjoiZDI0ODkxYmE5MWVkOWYwMGJmYzcyZGVkNDA0ZDI2OTQiLCJ1c2VySWQiOiIzNDAxNDAwOTcifQ==</vt:lpwstr>
  </property>
</Properties>
</file>