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2025〕29号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67058D3E">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山西鑫光工贸有限公司珍珠岩</w:t>
      </w:r>
    </w:p>
    <w:p w14:paraId="217EAE6B">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11"/>
          <w:w w:val="100"/>
          <w:kern w:val="2"/>
          <w:sz w:val="44"/>
          <w:szCs w:val="44"/>
          <w:lang w:val="en-US" w:eastAsia="zh-CN" w:bidi="ar-SA"/>
        </w:rPr>
        <w:t>烘干生产线建设项目</w:t>
      </w: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4E9EBEBF">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44567099">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山西鑫光工贸有限公司</w:t>
      </w:r>
      <w:r>
        <w:rPr>
          <w:rStyle w:val="10"/>
          <w:rFonts w:ascii="仿宋_GB2312" w:hAnsi="仿宋_GB2312" w:eastAsia="仿宋_GB2312"/>
          <w:b w:val="0"/>
          <w:i w:val="0"/>
          <w:caps w:val="0"/>
          <w:spacing w:val="0"/>
          <w:w w:val="100"/>
          <w:kern w:val="2"/>
          <w:sz w:val="32"/>
          <w:szCs w:val="32"/>
          <w:lang w:val="en-US" w:eastAsia="zh-CN" w:bidi="ar-SA"/>
        </w:rPr>
        <w:t>：</w:t>
      </w:r>
    </w:p>
    <w:p w14:paraId="52841352">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山西鑫光工贸有限公司珍珠岩烘干生产线建设项目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山西鑫光工贸有限公司珍珠岩烘干生产线建设项目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3AE46D4C">
      <w:pPr>
        <w:pStyle w:val="11"/>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位于山西省大同市灵丘县火车站路北山西鑫光工贸有限公司年产6万吨超细煅烧高岭土加工技改项目（一期）厂现有厂区内，</w:t>
      </w:r>
      <w:r>
        <w:rPr>
          <w:rStyle w:val="10"/>
          <w:rFonts w:hint="eastAsia" w:ascii="仿宋_GB2312" w:hAnsi="仿宋" w:eastAsia="仿宋_GB2312" w:cs="Times New Roman"/>
          <w:b w:val="0"/>
          <w:i w:val="0"/>
          <w:caps w:val="0"/>
          <w:spacing w:val="-6"/>
          <w:w w:val="100"/>
          <w:kern w:val="2"/>
          <w:sz w:val="32"/>
          <w:szCs w:val="32"/>
          <w:lang w:val="en-US" w:eastAsia="zh-CN" w:bidi="ar-SA"/>
        </w:rPr>
        <w:t>占地10000平方米，总建筑面积5000平方米，其中生产车间3000平方米利旧、库房1200平方米利旧、生活用房8间300平方米利旧、进行场地硬化500平方米、绿化1350平方米。新购置安装风选机、筛分机、烘干机、膨化机等机械设备。预计年加工20万吨珍珠岩。</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1000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120</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12%</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根据国家发展和改革委员会发布实施的《产业结构调整指导目录（2024年本）》，该项目不属于鼓励类、限制类和淘汰类项目，且项目已取得灵</w:t>
      </w:r>
      <w:r>
        <w:rPr>
          <w:rStyle w:val="10"/>
          <w:rFonts w:hint="eastAsia" w:ascii="仿宋_GB2312" w:hAnsi="仿宋" w:eastAsia="仿宋_GB2312"/>
          <w:b w:val="0"/>
          <w:i w:val="0"/>
          <w:caps w:val="0"/>
          <w:color w:val="000000"/>
          <w:spacing w:val="-20"/>
          <w:w w:val="100"/>
          <w:sz w:val="32"/>
          <w:szCs w:val="32"/>
          <w:lang w:val="en-US" w:eastAsia="zh-CN" w:bidi="ar-SA"/>
        </w:rPr>
        <w:t>丘县发展改革和科技局下发的备案证（项目代码：</w:t>
      </w:r>
      <w:r>
        <w:rPr>
          <w:rStyle w:val="10"/>
          <w:rFonts w:hint="eastAsia" w:ascii="仿宋_GB2312" w:hAnsi="仿宋" w:eastAsia="仿宋_GB2312"/>
          <w:b w:val="0"/>
          <w:i w:val="0"/>
          <w:caps w:val="0"/>
          <w:color w:val="000000"/>
          <w:spacing w:val="0"/>
          <w:w w:val="100"/>
          <w:sz w:val="32"/>
          <w:szCs w:val="32"/>
          <w:lang w:val="en-US" w:eastAsia="zh-CN" w:bidi="ar-SA"/>
        </w:rPr>
        <w:t>2508-140224-89-01-312253）。</w:t>
      </w:r>
      <w:r>
        <w:rPr>
          <w:rStyle w:val="10"/>
          <w:rFonts w:ascii="仿宋_GB2312" w:hAnsi="仿宋" w:eastAsia="仿宋_GB2312"/>
          <w:b w:val="0"/>
          <w:i w:val="0"/>
          <w:caps w:val="0"/>
          <w:color w:val="000000"/>
          <w:spacing w:val="0"/>
          <w:w w:val="100"/>
          <w:sz w:val="32"/>
          <w:szCs w:val="32"/>
          <w:lang w:val="en-US" w:eastAsia="zh-CN" w:bidi="ar-SA"/>
        </w:rPr>
        <w:t>在全面落实《报告表》提出的污染防治和生态保护措施的前提下，工程建设对环境的不利影响可得到缓解和控制。我局原则同意《报告表》所列建设项目的性质、规模、地点、采用的生产工艺和采取的环境保护措施。</w:t>
      </w:r>
    </w:p>
    <w:p w14:paraId="6991118D">
      <w:pPr>
        <w:pStyle w:val="11"/>
        <w:keepNext w:val="0"/>
        <w:keepLines w:val="0"/>
        <w:pageBreakBefore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二、</w:t>
      </w:r>
      <w:r>
        <w:rPr>
          <w:rStyle w:val="10"/>
          <w:rFonts w:ascii="仿宋_GB2312" w:hAnsi="仿宋_GB2312" w:eastAsia="仿宋_GB2312"/>
          <w:b w:val="0"/>
          <w:i w:val="0"/>
          <w:caps w:val="0"/>
          <w:color w:val="000000"/>
          <w:spacing w:val="0"/>
          <w:w w:val="100"/>
          <w:kern w:val="2"/>
          <w:sz w:val="32"/>
          <w:szCs w:val="32"/>
          <w:lang w:val="en-US" w:eastAsia="zh-CN" w:bidi="ar-SA"/>
        </w:rPr>
        <w:t>在项目建设和运行管理中，必须对照《报告表》逐一落实各项环保对策措施，重点做好以下工作：</w:t>
      </w:r>
    </w:p>
    <w:p w14:paraId="591CD7E3">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0"/>
          <w:w w:val="100"/>
          <w:kern w:val="2"/>
          <w:sz w:val="32"/>
          <w:szCs w:val="32"/>
          <w:lang w:val="en-US" w:eastAsia="zh-CN" w:bidi="ar-SA"/>
        </w:rPr>
        <w:t>施工过程中</w:t>
      </w:r>
      <w:r>
        <w:rPr>
          <w:rStyle w:val="10"/>
          <w:rFonts w:ascii="仿宋_GB2312" w:hAnsi="仿宋_GB2312" w:eastAsia="仿宋_GB2312"/>
          <w:b w:val="0"/>
          <w:i w:val="0"/>
          <w:caps w:val="0"/>
          <w:color w:val="000000"/>
          <w:spacing w:val="0"/>
          <w:w w:val="100"/>
          <w:kern w:val="2"/>
          <w:sz w:val="32"/>
          <w:szCs w:val="32"/>
          <w:lang w:val="en-US" w:eastAsia="zh-CN" w:bidi="ar-SA"/>
        </w:rPr>
        <w:t>加强</w:t>
      </w:r>
      <w:r>
        <w:rPr>
          <w:rStyle w:val="10"/>
          <w:rFonts w:hint="eastAsia" w:ascii="仿宋_GB2312" w:hAnsi="仿宋_GB2312" w:eastAsia="仿宋_GB2312"/>
          <w:b w:val="0"/>
          <w:i w:val="0"/>
          <w:caps w:val="0"/>
          <w:color w:val="000000"/>
          <w:spacing w:val="0"/>
          <w:w w:val="100"/>
          <w:kern w:val="2"/>
          <w:sz w:val="32"/>
          <w:szCs w:val="32"/>
          <w:lang w:val="en-US" w:eastAsia="zh-CN" w:bidi="ar-SA"/>
        </w:rPr>
        <w:t>废气、废水、噪声、固体废物</w:t>
      </w:r>
      <w:r>
        <w:rPr>
          <w:rStyle w:val="10"/>
          <w:rFonts w:ascii="仿宋_GB2312" w:hAnsi="仿宋_GB2312" w:eastAsia="仿宋_GB2312"/>
          <w:b w:val="0"/>
          <w:i w:val="0"/>
          <w:caps w:val="0"/>
          <w:color w:val="000000"/>
          <w:spacing w:val="0"/>
          <w:w w:val="100"/>
          <w:kern w:val="2"/>
          <w:sz w:val="32"/>
          <w:szCs w:val="32"/>
          <w:lang w:val="en-US" w:eastAsia="zh-CN" w:bidi="ar-SA"/>
        </w:rPr>
        <w:t>环境管理，落实《报告表》提出的各项污染防治措施，降低对周边的影响。</w:t>
      </w:r>
    </w:p>
    <w:p w14:paraId="7404194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both"/>
        <w:textAlignment w:val="baseline"/>
        <w:rPr>
          <w:rStyle w:val="10"/>
          <w:rFonts w:ascii="仿宋_GB2312" w:hAnsi="仿宋_GB2312" w:eastAsia="仿宋_GB2312"/>
          <w:b w:val="0"/>
          <w:i w:val="0"/>
          <w:caps w:val="0"/>
          <w:color w:val="0000FF"/>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全封闭原料库，地面硬化，原料为吨袋包装；风选机全封闭排气口设引风管，筛分机全封闭，顶部设引风管，料仓上方设置集气罩，收集的粉尘汇入一台布袋除尘器处理，处理后废气由排气筒排放；烘干机设置低氮燃烧装置，废气经排气筒排放；在烘干机的机头和机尾排气口设引风管，烘干机废气经收集后通过一台布袋除尘器处理，处理后废气由排气筒排放；提升机和筛分机均全封闭，提升机的进料斗三面封闭，投料一侧设挡帘，顶部设集尘罩，筛分机全封闭顶部设引风管，收集的粉尘汇入一台布袋除尘器处理，处理后废气由排气筒排放；1#成品料仓、包装机对辊破碎机顶部及2#成品料仓、包装机顶部分别设置集尘罩，收集的粉尘分别经布袋除尘器处理后通过排气筒排放；输送皮带进行全封闭，转载、跌落点全封闭；膨化机采用低氮燃烧装置，燃烧废气经排气筒排放；限制超载，路面经常清扫和洒水，进出口处建1座洗车平台。营运期项目风选、筛分、烘干机、1#成品料仓、包装机对辊破碎机及2#成品料仓、包装机布袋除尘器产生的颗粒物和无组织颗粒物排放</w:t>
      </w:r>
      <w:r>
        <w:rPr>
          <w:rStyle w:val="10"/>
          <w:rFonts w:hint="eastAsia" w:ascii="仿宋_GB2312" w:hAnsi="仿宋_GB2312" w:eastAsia="仿宋_GB2312"/>
          <w:b w:val="0"/>
          <w:i w:val="0"/>
          <w:caps w:val="0"/>
          <w:color w:val="000000"/>
          <w:spacing w:val="-11"/>
          <w:w w:val="100"/>
          <w:kern w:val="2"/>
          <w:sz w:val="32"/>
          <w:szCs w:val="32"/>
          <w:lang w:val="en-US" w:eastAsia="zh-CN" w:bidi="ar-SA"/>
        </w:rPr>
        <w:t>参照执行《耐火材料工业大气污染物排放标准》</w:t>
      </w:r>
      <w:r>
        <w:rPr>
          <w:rStyle w:val="10"/>
          <w:rFonts w:hint="eastAsia" w:ascii="仿宋_GB2312" w:hAnsi="仿宋_GB2312" w:eastAsia="仿宋_GB2312"/>
          <w:b w:val="0"/>
          <w:i w:val="0"/>
          <w:caps w:val="0"/>
          <w:color w:val="000000"/>
          <w:spacing w:val="0"/>
          <w:w w:val="100"/>
          <w:kern w:val="2"/>
          <w:sz w:val="32"/>
          <w:szCs w:val="32"/>
          <w:lang w:val="en-US" w:eastAsia="zh-CN" w:bidi="ar-SA"/>
        </w:rPr>
        <w:t>（DB14/2800-2023）中排放限值。膨化机、烘干机燃烧废气参照执行《锅炉大气污</w:t>
      </w:r>
      <w:r>
        <w:rPr>
          <w:rStyle w:val="10"/>
          <w:rFonts w:hint="eastAsia" w:ascii="仿宋_GB2312" w:hAnsi="仿宋_GB2312" w:eastAsia="仿宋_GB2312"/>
          <w:b w:val="0"/>
          <w:i w:val="0"/>
          <w:caps w:val="0"/>
          <w:color w:val="000000"/>
          <w:spacing w:val="-6"/>
          <w:w w:val="100"/>
          <w:kern w:val="2"/>
          <w:sz w:val="32"/>
          <w:szCs w:val="32"/>
          <w:lang w:val="en-US" w:eastAsia="zh-CN" w:bidi="ar-SA"/>
        </w:rPr>
        <w:t>染物排放标准》（DB14-1929-2019）中新建燃气锅炉的标准限值。</w:t>
      </w:r>
    </w:p>
    <w:p w14:paraId="20D8AF9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运营期冷却水冷却后循环使用，不外排；洗车废水经沉淀池沉淀后回用，不外排；设导流渠用于收集场区内初期雨水，厂区最低处设1座210m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3</w:t>
      </w:r>
      <w:r>
        <w:rPr>
          <w:rStyle w:val="10"/>
          <w:rFonts w:hint="eastAsia" w:ascii="仿宋_GB2312" w:hAnsi="仿宋_GB2312" w:eastAsia="仿宋_GB2312"/>
          <w:b w:val="0"/>
          <w:i w:val="0"/>
          <w:caps w:val="0"/>
          <w:color w:val="000000"/>
          <w:spacing w:val="0"/>
          <w:w w:val="100"/>
          <w:kern w:val="2"/>
          <w:sz w:val="32"/>
          <w:szCs w:val="32"/>
          <w:lang w:val="en-US" w:eastAsia="zh-CN" w:bidi="ar-SA"/>
        </w:rPr>
        <w:t>的初期雨水收集池，收集的初期雨水经沉淀后回用于洒水抑尘，不外排。生活污水排入旱厕，定期清掏用于农田施肥。</w:t>
      </w:r>
    </w:p>
    <w:p w14:paraId="7FE8FE8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运营期选用低噪声设备，基础减震、设置软连接、定期维护、厂房隔声等措施。运营期厂界噪</w:t>
      </w:r>
      <w:r>
        <w:rPr>
          <w:rStyle w:val="10"/>
          <w:rFonts w:hint="eastAsia" w:ascii="仿宋_GB2312" w:hAnsi="仿宋_GB2312" w:eastAsia="仿宋_GB2312"/>
          <w:b w:val="0"/>
          <w:i w:val="0"/>
          <w:caps w:val="0"/>
          <w:color w:val="000000"/>
          <w:spacing w:val="-6"/>
          <w:w w:val="100"/>
          <w:kern w:val="2"/>
          <w:sz w:val="32"/>
          <w:szCs w:val="32"/>
          <w:lang w:val="en-US" w:eastAsia="zh-CN" w:bidi="ar-SA"/>
        </w:rPr>
        <w:t>声排放执行《工业企业厂界环境噪声排放标准》</w:t>
      </w:r>
      <w:r>
        <w:rPr>
          <w:rStyle w:val="10"/>
          <w:rFonts w:hint="eastAsia" w:ascii="仿宋_GB2312" w:hAnsi="仿宋_GB2312" w:eastAsia="仿宋_GB2312"/>
          <w:b w:val="0"/>
          <w:i w:val="0"/>
          <w:caps w:val="0"/>
          <w:color w:val="000000"/>
          <w:spacing w:val="0"/>
          <w:w w:val="100"/>
          <w:kern w:val="2"/>
          <w:sz w:val="32"/>
          <w:szCs w:val="32"/>
          <w:lang w:val="en-US" w:eastAsia="zh-CN" w:bidi="ar-SA"/>
        </w:rPr>
        <w:t>（GB12348-2008）2类标准。</w:t>
      </w:r>
    </w:p>
    <w:p w14:paraId="4D20AE4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除尘灰及风选、筛分废料外售至砖厂；设备维修产生的废矿物油、废油桶经新建1座15m</w:t>
      </w:r>
      <w:r>
        <w:rPr>
          <w:rStyle w:val="10"/>
          <w:rFonts w:hint="eastAsia" w:ascii="仿宋_GB2312" w:hAnsi="仿宋_GB2312" w:eastAsia="仿宋_GB2312"/>
          <w:b w:val="0"/>
          <w:i w:val="0"/>
          <w:caps w:val="0"/>
          <w:color w:val="000000"/>
          <w:spacing w:val="0"/>
          <w:w w:val="100"/>
          <w:kern w:val="2"/>
          <w:sz w:val="32"/>
          <w:szCs w:val="32"/>
          <w:vertAlign w:val="superscript"/>
          <w:lang w:val="en-US" w:eastAsia="zh-CN" w:bidi="ar-SA"/>
        </w:rPr>
        <w:t>2</w:t>
      </w:r>
      <w:r>
        <w:rPr>
          <w:rStyle w:val="10"/>
          <w:rFonts w:hint="eastAsia" w:ascii="仿宋_GB2312" w:hAnsi="仿宋_GB2312" w:eastAsia="仿宋_GB2312"/>
          <w:b w:val="0"/>
          <w:i w:val="0"/>
          <w:caps w:val="0"/>
          <w:color w:val="000000"/>
          <w:spacing w:val="0"/>
          <w:w w:val="100"/>
          <w:kern w:val="2"/>
          <w:sz w:val="32"/>
          <w:szCs w:val="32"/>
          <w:lang w:val="en-US" w:eastAsia="zh-CN" w:bidi="ar-SA"/>
        </w:rPr>
        <w:t>危废贮存库暂存收集后，定期交由危废处置单位处理；生活垃圾，利用现有垃圾桶收集，由环卫部门统一处理。一般工业固体废物执行《一般工业固体废物贮存和填埋污染控制标准》（GB18599-2020）中的有关规定。</w:t>
      </w:r>
      <w:r>
        <w:rPr>
          <w:rStyle w:val="10"/>
          <w:rFonts w:hint="eastAsia" w:ascii="仿宋_GB2312" w:hAnsi="仿宋_GB2312" w:eastAsia="仿宋_GB2312"/>
          <w:b w:val="0"/>
          <w:i w:val="0"/>
          <w:caps w:val="0"/>
          <w:color w:val="auto"/>
          <w:spacing w:val="0"/>
          <w:w w:val="100"/>
          <w:kern w:val="2"/>
          <w:sz w:val="32"/>
          <w:szCs w:val="32"/>
          <w:lang w:val="en-US" w:eastAsia="zh-CN" w:bidi="ar-SA"/>
        </w:rPr>
        <w:t>危险废物贮存执行《危险废物贮存污染控制标准》（GB18597-2023）中的有关规定。</w:t>
      </w:r>
    </w:p>
    <w:p w14:paraId="6C94BD1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6、加强厂区的绿化美化工作，改善周边生态环境。</w:t>
      </w:r>
    </w:p>
    <w:p w14:paraId="72C3CA69">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三、该项</w:t>
      </w:r>
      <w:r>
        <w:rPr>
          <w:rStyle w:val="10"/>
          <w:rFonts w:hint="eastAsia" w:ascii="仿宋_GB2312" w:hAnsi="仿宋_GB2312" w:eastAsia="仿宋_GB2312"/>
          <w:b w:val="0"/>
          <w:i w:val="0"/>
          <w:caps w:val="0"/>
          <w:color w:val="auto"/>
          <w:spacing w:val="0"/>
          <w:w w:val="100"/>
          <w:kern w:val="2"/>
          <w:sz w:val="32"/>
          <w:szCs w:val="32"/>
          <w:lang w:val="en-US" w:eastAsia="zh-CN" w:bidi="ar-SA"/>
        </w:rPr>
        <w:t>目污染物排放量为颗粒物2.135t/a、二氧化硫0.016t/a、氮氧化物0.714t/a。</w:t>
      </w:r>
    </w:p>
    <w:p w14:paraId="2E91A5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117A3EB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0"/>
          <w:w w:val="100"/>
          <w:kern w:val="0"/>
          <w:sz w:val="32"/>
          <w:szCs w:val="32"/>
          <w:lang w:val="en-US" w:eastAsia="zh-CN" w:bidi="ar-SA"/>
        </w:rPr>
        <w:t>五、</w:t>
      </w:r>
      <w:r>
        <w:rPr>
          <w:rStyle w:val="10"/>
          <w:rFonts w:ascii="仿宋_GB2312" w:hAnsi="仿宋_GB2312" w:eastAsia="仿宋_GB2312"/>
          <w:b w:val="0"/>
          <w:i w:val="0"/>
          <w:caps w:val="0"/>
          <w:spacing w:val="0"/>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7558031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六、大同市灵丘县生态环境保护综合行政执法队负责该项目建设期及运营期日常监督管理工作。</w:t>
      </w:r>
    </w:p>
    <w:p w14:paraId="7D52C86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4D071AD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bookmarkStart w:id="0" w:name="_GoBack"/>
      <w:bookmarkEnd w:id="0"/>
    </w:p>
    <w:p w14:paraId="6F291D0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6F6E439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0747837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4480" w:firstLineChars="1400"/>
        <w:jc w:val="both"/>
        <w:textAlignment w:val="baseline"/>
        <w:rPr>
          <w:rFonts w:hint="eastAsia" w:ascii="仿宋_GB2312" w:hAnsi="仿宋_GB2312" w:eastAsia="仿宋_GB2312" w:cs="仿宋_GB2312"/>
          <w:spacing w:val="0"/>
          <w:sz w:val="32"/>
          <w:szCs w:val="32"/>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5</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12</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30</w:t>
      </w:r>
      <w:r>
        <w:rPr>
          <w:rStyle w:val="10"/>
          <w:rFonts w:ascii="仿宋_GB2312" w:hAnsi="仿宋_GB2312" w:eastAsia="仿宋_GB2312"/>
          <w:b w:val="0"/>
          <w:i w:val="0"/>
          <w:caps w:val="0"/>
          <w:spacing w:val="0"/>
          <w:w w:val="100"/>
          <w:kern w:val="2"/>
          <w:sz w:val="32"/>
          <w:szCs w:val="32"/>
          <w:lang w:val="en-US" w:eastAsia="zh-CN" w:bidi="ar-SA"/>
        </w:rPr>
        <w:t>日</w:t>
      </w:r>
    </w:p>
    <w:p w14:paraId="3DD4E71E">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firstLine="6384" w:firstLineChars="1400"/>
        <w:jc w:val="both"/>
        <w:textAlignment w:val="baseline"/>
        <w:rPr>
          <w:rFonts w:hint="eastAsia" w:ascii="仿宋" w:hAnsi="仿宋" w:eastAsia="仿宋" w:cs="仿宋"/>
          <w:color w:val="auto"/>
          <w:spacing w:val="68"/>
          <w:sz w:val="32"/>
          <w:szCs w:val="32"/>
          <w:u w:val="single"/>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BC63B74"/>
    <w:rsid w:val="0EEC057A"/>
    <w:rsid w:val="0F6A0E1E"/>
    <w:rsid w:val="10892C41"/>
    <w:rsid w:val="12F34CE0"/>
    <w:rsid w:val="13AC7923"/>
    <w:rsid w:val="178A1E07"/>
    <w:rsid w:val="1E8A2A3D"/>
    <w:rsid w:val="1ED24E6B"/>
    <w:rsid w:val="1EDD7021"/>
    <w:rsid w:val="25462E46"/>
    <w:rsid w:val="290F64C9"/>
    <w:rsid w:val="2AB54E7F"/>
    <w:rsid w:val="3B9F3D19"/>
    <w:rsid w:val="3F9B5BB1"/>
    <w:rsid w:val="42074515"/>
    <w:rsid w:val="48D423BE"/>
    <w:rsid w:val="49D10ACC"/>
    <w:rsid w:val="4EC64BEA"/>
    <w:rsid w:val="4F0C50FB"/>
    <w:rsid w:val="5AD216C5"/>
    <w:rsid w:val="61DE04AF"/>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1451</Words>
  <Characters>1554</Characters>
  <Lines>0</Lines>
  <Paragraphs>0</Paragraphs>
  <TotalTime>1</TotalTime>
  <ScaleCrop>false</ScaleCrop>
  <LinksUpToDate>false</LinksUpToDate>
  <CharactersWithSpaces>1557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2025-12-30T02:19:31Z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