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2025〕23号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039D1E1C">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灵丘县恒昌混凝土搅拌有限责任公司新建搅拌站项目</w:t>
      </w: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60406F59">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40FFDA46">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灵丘县恒昌混凝土搅拌有限责任公司</w:t>
      </w:r>
      <w:r>
        <w:rPr>
          <w:rStyle w:val="10"/>
          <w:rFonts w:ascii="仿宋_GB2312" w:hAnsi="仿宋_GB2312" w:eastAsia="仿宋_GB2312"/>
          <w:b w:val="0"/>
          <w:i w:val="0"/>
          <w:caps w:val="0"/>
          <w:spacing w:val="0"/>
          <w:w w:val="100"/>
          <w:kern w:val="2"/>
          <w:sz w:val="32"/>
          <w:szCs w:val="32"/>
          <w:lang w:val="en-US" w:eastAsia="zh-CN" w:bidi="ar-SA"/>
        </w:rPr>
        <w:t>：</w:t>
      </w:r>
    </w:p>
    <w:p w14:paraId="3059F738">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灵丘县恒昌混凝土搅拌有限责任公司新建搅拌站项目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灵丘县恒昌混凝土搅拌有限责任公司新建搅拌站项目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6F5A00B8">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位于山西省大同市灵丘县武灵镇灵源村1公里处</w:t>
      </w:r>
      <w:r>
        <w:rPr>
          <w:rStyle w:val="10"/>
          <w:rFonts w:hint="eastAsia" w:ascii="仿宋_GB2312" w:hAnsi="仿宋" w:eastAsia="仿宋_GB2312"/>
          <w:b w:val="0"/>
          <w:i w:val="0"/>
          <w:caps w:val="0"/>
          <w:color w:val="auto"/>
          <w:spacing w:val="0"/>
          <w:w w:val="100"/>
          <w:sz w:val="32"/>
          <w:szCs w:val="32"/>
          <w:lang w:val="en-US" w:eastAsia="zh-CN" w:bidi="ar-SA"/>
        </w:rPr>
        <w:t>。</w:t>
      </w:r>
      <w:r>
        <w:rPr>
          <w:rStyle w:val="10"/>
          <w:rFonts w:hint="default" w:ascii="仿宋_GB2312" w:hAnsi="仿宋" w:eastAsia="仿宋_GB2312" w:cs="Times New Roman"/>
          <w:b w:val="0"/>
          <w:i w:val="0"/>
          <w:caps w:val="0"/>
          <w:spacing w:val="-6"/>
          <w:w w:val="100"/>
          <w:kern w:val="2"/>
          <w:sz w:val="32"/>
          <w:szCs w:val="32"/>
          <w:lang w:val="en-US" w:eastAsia="zh-CN" w:bidi="ar-SA"/>
        </w:rPr>
        <w:t>用地面积</w:t>
      </w:r>
      <w:r>
        <w:rPr>
          <w:rStyle w:val="10"/>
          <w:rFonts w:hint="eastAsia" w:ascii="仿宋_GB2312" w:hAnsi="仿宋" w:eastAsia="仿宋_GB2312"/>
          <w:b w:val="0"/>
          <w:i w:val="0"/>
          <w:caps w:val="0"/>
          <w:color w:val="auto"/>
          <w:spacing w:val="0"/>
          <w:w w:val="100"/>
          <w:sz w:val="32"/>
          <w:szCs w:val="32"/>
          <w:lang w:val="en-US" w:eastAsia="zh-CN" w:bidi="ar-SA"/>
        </w:rPr>
        <w:t>32793</w:t>
      </w:r>
      <w:r>
        <w:rPr>
          <w:rStyle w:val="10"/>
          <w:rFonts w:hint="default" w:ascii="仿宋_GB2312" w:hAnsi="仿宋" w:eastAsia="仿宋_GB2312" w:cs="Times New Roman"/>
          <w:b w:val="0"/>
          <w:i w:val="0"/>
          <w:caps w:val="0"/>
          <w:spacing w:val="-6"/>
          <w:w w:val="100"/>
          <w:kern w:val="2"/>
          <w:sz w:val="32"/>
          <w:szCs w:val="32"/>
          <w:lang w:val="en-US" w:eastAsia="zh-CN" w:bidi="ar-SA"/>
        </w:rPr>
        <w:t>m</w:t>
      </w:r>
      <w:r>
        <w:rPr>
          <w:rStyle w:val="10"/>
          <w:rFonts w:hint="default" w:ascii="仿宋_GB2312" w:hAnsi="仿宋" w:eastAsia="仿宋_GB2312" w:cs="Times New Roman"/>
          <w:b w:val="0"/>
          <w:i w:val="0"/>
          <w:caps w:val="0"/>
          <w:spacing w:val="-6"/>
          <w:w w:val="100"/>
          <w:kern w:val="2"/>
          <w:sz w:val="32"/>
          <w:szCs w:val="32"/>
          <w:vertAlign w:val="superscript"/>
          <w:lang w:val="en-US" w:eastAsia="zh-CN" w:bidi="ar-SA"/>
        </w:rPr>
        <w:t>2</w:t>
      </w:r>
      <w:r>
        <w:rPr>
          <w:rStyle w:val="10"/>
          <w:rFonts w:hint="eastAsia" w:ascii="仿宋_GB2312" w:hAnsi="仿宋" w:eastAsia="仿宋_GB2312" w:cs="Times New Roman"/>
          <w:b w:val="0"/>
          <w:i w:val="0"/>
          <w:caps w:val="0"/>
          <w:spacing w:val="-6"/>
          <w:w w:val="100"/>
          <w:kern w:val="2"/>
          <w:sz w:val="32"/>
          <w:szCs w:val="32"/>
          <w:lang w:val="en-US" w:eastAsia="zh-CN" w:bidi="ar-SA"/>
        </w:rPr>
        <w:t>。建设一条180m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/h混凝土生产线，生产线年产混凝土20万m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；一条120m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/h混凝土生产线，生产线年产混凝土10万m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，同时配套建设原料库、筒仓及其他生产辅助设施。项目建成后年产混凝土30万m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2800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313</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11.18%</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根据国家发展和改革委员会发布实施的《产业结构调整指导目录（2024年本）》，该项目不属于鼓励类、限制类和淘汰类项目，且项目已取得灵丘县发展改革和科技局下发的备案证，项目代码为“2510-140224-89-01-402176”。</w:t>
      </w:r>
      <w:r>
        <w:rPr>
          <w:rStyle w:val="10"/>
          <w:rFonts w:ascii="仿宋_GB2312" w:hAnsi="仿宋" w:eastAsia="仿宋_GB2312"/>
          <w:b w:val="0"/>
          <w:i w:val="0"/>
          <w:caps w:val="0"/>
          <w:color w:val="000000"/>
          <w:spacing w:val="0"/>
          <w:w w:val="100"/>
          <w:sz w:val="32"/>
          <w:szCs w:val="32"/>
          <w:lang w:val="en-US" w:eastAsia="zh-CN" w:bidi="ar-SA"/>
        </w:rPr>
        <w:t>在全面落实《报告表》提出的污染防治和生态保护措施的前提下，工程建设对环境的不利影响可得到缓解和控制。我</w:t>
      </w:r>
      <w:r>
        <w:rPr>
          <w:rStyle w:val="10"/>
          <w:rFonts w:hint="eastAsia" w:ascii="仿宋_GB2312" w:hAnsi="仿宋" w:eastAsia="仿宋_GB2312"/>
          <w:b w:val="0"/>
          <w:i w:val="0"/>
          <w:caps w:val="0"/>
          <w:color w:val="000000"/>
          <w:spacing w:val="0"/>
          <w:w w:val="100"/>
          <w:sz w:val="32"/>
          <w:szCs w:val="32"/>
          <w:lang w:val="en-US" w:eastAsia="zh-CN" w:bidi="ar-SA"/>
        </w:rPr>
        <w:t>分</w:t>
      </w:r>
      <w:r>
        <w:rPr>
          <w:rStyle w:val="10"/>
          <w:rFonts w:ascii="仿宋_GB2312" w:hAnsi="仿宋" w:eastAsia="仿宋_GB2312"/>
          <w:b w:val="0"/>
          <w:i w:val="0"/>
          <w:caps w:val="0"/>
          <w:color w:val="000000"/>
          <w:spacing w:val="0"/>
          <w:w w:val="100"/>
          <w:sz w:val="32"/>
          <w:szCs w:val="32"/>
          <w:lang w:val="en-US" w:eastAsia="zh-CN" w:bidi="ar-SA"/>
        </w:rPr>
        <w:t>局原则同意《报告表》所列建设项目的性质、规模、地点、采用的生产工艺和采取的环境保护措施。</w:t>
      </w:r>
    </w:p>
    <w:p w14:paraId="77947B87">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二、</w:t>
      </w:r>
      <w:r>
        <w:rPr>
          <w:rStyle w:val="10"/>
          <w:rFonts w:ascii="仿宋_GB2312" w:hAnsi="仿宋_GB2312" w:eastAsia="仿宋_GB2312"/>
          <w:b w:val="0"/>
          <w:i w:val="0"/>
          <w:caps w:val="0"/>
          <w:color w:val="000000"/>
          <w:spacing w:val="0"/>
          <w:w w:val="100"/>
          <w:kern w:val="2"/>
          <w:sz w:val="32"/>
          <w:szCs w:val="32"/>
          <w:lang w:val="en-US" w:eastAsia="zh-CN" w:bidi="ar-SA"/>
        </w:rPr>
        <w:t>在项目建设和运行管理中，必须对照《报告表》逐一落实各项环保对策措施，重点做好以下工作：</w:t>
      </w:r>
    </w:p>
    <w:p w14:paraId="11B19FC4">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0"/>
          <w:w w:val="100"/>
          <w:kern w:val="2"/>
          <w:sz w:val="32"/>
          <w:szCs w:val="32"/>
          <w:lang w:val="en-US" w:eastAsia="zh-CN" w:bidi="ar-SA"/>
        </w:rPr>
        <w:t>施工过程严格落实“六个百分之百”，</w:t>
      </w:r>
      <w:r>
        <w:rPr>
          <w:rStyle w:val="10"/>
          <w:rFonts w:ascii="仿宋_GB2312" w:hAnsi="仿宋_GB2312" w:eastAsia="仿宋_GB2312"/>
          <w:b w:val="0"/>
          <w:i w:val="0"/>
          <w:caps w:val="0"/>
          <w:color w:val="000000"/>
          <w:spacing w:val="0"/>
          <w:w w:val="100"/>
          <w:kern w:val="2"/>
          <w:sz w:val="32"/>
          <w:szCs w:val="32"/>
          <w:lang w:val="en-US" w:eastAsia="zh-CN" w:bidi="ar-SA"/>
        </w:rPr>
        <w:t>加强</w:t>
      </w:r>
      <w:r>
        <w:rPr>
          <w:rStyle w:val="10"/>
          <w:rFonts w:hint="eastAsia" w:ascii="仿宋_GB2312" w:hAnsi="仿宋_GB2312" w:eastAsia="仿宋_GB2312"/>
          <w:b w:val="0"/>
          <w:i w:val="0"/>
          <w:caps w:val="0"/>
          <w:color w:val="000000"/>
          <w:spacing w:val="0"/>
          <w:w w:val="100"/>
          <w:kern w:val="2"/>
          <w:sz w:val="32"/>
          <w:szCs w:val="32"/>
          <w:lang w:val="en-US" w:eastAsia="zh-CN" w:bidi="ar-SA"/>
        </w:rPr>
        <w:t>废水、噪声、固体废物</w:t>
      </w:r>
      <w:r>
        <w:rPr>
          <w:rStyle w:val="10"/>
          <w:rFonts w:ascii="仿宋_GB2312" w:hAnsi="仿宋_GB2312" w:eastAsia="仿宋_GB2312"/>
          <w:b w:val="0"/>
          <w:i w:val="0"/>
          <w:caps w:val="0"/>
          <w:color w:val="000000"/>
          <w:spacing w:val="0"/>
          <w:w w:val="100"/>
          <w:kern w:val="2"/>
          <w:sz w:val="32"/>
          <w:szCs w:val="32"/>
          <w:lang w:val="en-US" w:eastAsia="zh-CN" w:bidi="ar-SA"/>
        </w:rPr>
        <w:t>环境管理，落实《报</w:t>
      </w:r>
      <w:r>
        <w:rPr>
          <w:rStyle w:val="10"/>
          <w:rFonts w:ascii="仿宋_GB2312" w:hAnsi="仿宋_GB2312" w:eastAsia="仿宋_GB2312"/>
          <w:b w:val="0"/>
          <w:i w:val="0"/>
          <w:caps w:val="0"/>
          <w:color w:val="000000"/>
          <w:spacing w:val="-6"/>
          <w:w w:val="100"/>
          <w:kern w:val="2"/>
          <w:sz w:val="32"/>
          <w:szCs w:val="32"/>
          <w:lang w:val="en-US" w:eastAsia="zh-CN" w:bidi="ar-SA"/>
        </w:rPr>
        <w:t>告表》提出的各项污染防治及生态保护措施，降低对周边的影响。</w:t>
      </w:r>
    </w:p>
    <w:p w14:paraId="5A034D0C">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ascii="仿宋_GB2312" w:hAnsi="仿宋_GB2312" w:eastAsia="仿宋_GB2312"/>
          <w:b w:val="0"/>
          <w:i w:val="0"/>
          <w:caps w:val="0"/>
          <w:color w:val="0000FF"/>
          <w:spacing w:val="-6"/>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1#、2#混凝土生产线砂子和石子上料粉尘收集后分别经1台布袋除尘器除尘后通过排气筒排放。1#、2#混凝土生产线水泥筒仓废气及其混凝土生产线粉煤灰、矿粉筒仓运输车打料废气，都在筒仓仓顶安装MC型脉冲式仓顶布袋除尘器，打料产生的粉尘经自带布袋除尘器除尘后通过排气筒排放（筒仓顶部距地面 20m）。1#、2#混凝土生产线混凝土搅拌废气，经各自布袋除尘器除尘后通过排气筒排放。原料库全封闭，地面硬化，原料库内设置喷淋洒水装置。厂区道路硬化，采取清扫、洒水等措施保持清洁。砂子和石子输送采用全封闭斜式皮带。</w:t>
      </w:r>
      <w:r>
        <w:rPr>
          <w:rStyle w:val="10"/>
          <w:rFonts w:hint="eastAsia" w:ascii="仿宋_GB2312" w:hAnsi="仿宋_GB2312" w:eastAsia="仿宋_GB2312"/>
          <w:b w:val="0"/>
          <w:i w:val="0"/>
          <w:caps w:val="0"/>
          <w:color w:val="000000"/>
          <w:spacing w:val="-6"/>
          <w:w w:val="100"/>
          <w:kern w:val="2"/>
          <w:sz w:val="32"/>
          <w:szCs w:val="32"/>
          <w:lang w:val="en-US" w:eastAsia="zh-CN" w:bidi="ar-SA"/>
        </w:rPr>
        <w:t>营运期有组织粉尘执行《水泥工业大气污染物排放标准》（DB14/3176-2024）中表1标准限值，厂区内颗粒物无组织排放执行《水泥工业大气污染物排放标准》（DB14/3176-2024）中表2标准限值。无组织粉尘执行《水泥工业大气污染物排放标准》（GB4915-2013）中表3标准限值。</w:t>
      </w:r>
    </w:p>
    <w:p w14:paraId="276379D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运营期搅拌机清洗废水、罐车冲洗废水、混凝土搅拌作业区地面清洗废水和实验废水排入砂石分离机，废水经砂石分离后，浆水通过管道进入沉淀池，沉淀后清水全部回用于生产。设1座10m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0"/>
          <w:w w:val="100"/>
          <w:kern w:val="2"/>
          <w:sz w:val="32"/>
          <w:szCs w:val="32"/>
          <w:lang w:val="en-US" w:eastAsia="zh-CN" w:bidi="ar-SA"/>
        </w:rPr>
        <w:t>沉淀池，车辆清洗废水经沉淀池沉淀后回用于车辆冲洗。生活污水排入厂区旱厕，定期清掏，用作农肥。建设1座100m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0"/>
          <w:w w:val="100"/>
          <w:kern w:val="2"/>
          <w:sz w:val="32"/>
          <w:szCs w:val="32"/>
          <w:lang w:val="en-US" w:eastAsia="zh-CN" w:bidi="ar-SA"/>
        </w:rPr>
        <w:t>初期雨水收集池，收集后的初期雨水经沉淀后用于洒水抑尘。</w:t>
      </w:r>
    </w:p>
    <w:p w14:paraId="362988D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运营期要选用低噪声设备，隔声、基础减振，定期维护，加强管理。运营期厂界噪声排放执行《工业企业厂界环境噪声排放标准》（GB12348-2008）2类标准。</w:t>
      </w:r>
    </w:p>
    <w:p w14:paraId="0E4E751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除尘灰和沉淀池泥沙收集回用于生产工序。混凝土试块作为建筑材料外售建材公司。废矿物油和废油桶等危险废物分类收集后暂存于10m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2</w:t>
      </w:r>
      <w:r>
        <w:rPr>
          <w:rStyle w:val="10"/>
          <w:rFonts w:hint="eastAsia" w:ascii="仿宋_GB2312" w:hAnsi="仿宋_GB2312" w:eastAsia="仿宋_GB2312"/>
          <w:b w:val="0"/>
          <w:i w:val="0"/>
          <w:caps w:val="0"/>
          <w:color w:val="000000"/>
          <w:spacing w:val="0"/>
          <w:w w:val="100"/>
          <w:kern w:val="2"/>
          <w:sz w:val="32"/>
          <w:szCs w:val="32"/>
          <w:lang w:val="en-US" w:eastAsia="zh-CN" w:bidi="ar-SA"/>
        </w:rPr>
        <w:t>危废贮存库，定期由有资质单位回收处理。生活垃圾由环卫部门统一收集处理。该</w:t>
      </w:r>
      <w:r>
        <w:rPr>
          <w:rStyle w:val="10"/>
          <w:rFonts w:hint="eastAsia" w:ascii="仿宋_GB2312" w:hAnsi="仿宋_GB2312" w:eastAsia="仿宋_GB2312"/>
          <w:b w:val="0"/>
          <w:i w:val="0"/>
          <w:caps w:val="0"/>
          <w:color w:val="auto"/>
          <w:spacing w:val="0"/>
          <w:w w:val="100"/>
          <w:kern w:val="2"/>
          <w:sz w:val="32"/>
          <w:szCs w:val="32"/>
          <w:lang w:val="en-US" w:eastAsia="zh-CN" w:bidi="ar-SA"/>
        </w:rPr>
        <w:t>项目不涉及一般工业固体废物贮存和填埋。危险废物贮存执行《危险废物贮存污染控制标准》（GB18597-2023）中的有关规定。</w:t>
      </w:r>
    </w:p>
    <w:p w14:paraId="7CFCF03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6、加强厂区的绿化美化工作，改善周边生态环境。</w:t>
      </w:r>
    </w:p>
    <w:p w14:paraId="24F4D36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三、该项</w:t>
      </w:r>
      <w:r>
        <w:rPr>
          <w:rStyle w:val="10"/>
          <w:rFonts w:hint="eastAsia" w:ascii="仿宋_GB2312" w:hAnsi="仿宋_GB2312" w:eastAsia="仿宋_GB2312"/>
          <w:b w:val="0"/>
          <w:i w:val="0"/>
          <w:caps w:val="0"/>
          <w:color w:val="auto"/>
          <w:spacing w:val="0"/>
          <w:w w:val="100"/>
          <w:kern w:val="2"/>
          <w:sz w:val="32"/>
          <w:szCs w:val="32"/>
          <w:lang w:val="en-US" w:eastAsia="zh-CN" w:bidi="ar-SA"/>
        </w:rPr>
        <w:t>目污染物排放量为颗粒物2.4874t/a。</w:t>
      </w:r>
    </w:p>
    <w:p w14:paraId="4003515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365ADB0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0"/>
          <w:w w:val="100"/>
          <w:kern w:val="0"/>
          <w:sz w:val="32"/>
          <w:szCs w:val="32"/>
          <w:lang w:val="en-US" w:eastAsia="zh-CN" w:bidi="ar-SA"/>
        </w:rPr>
        <w:t>五、</w:t>
      </w:r>
      <w:r>
        <w:rPr>
          <w:rStyle w:val="10"/>
          <w:rFonts w:ascii="仿宋_GB2312" w:hAnsi="仿宋_GB2312" w:eastAsia="仿宋_GB2312"/>
          <w:b w:val="0"/>
          <w:i w:val="0"/>
          <w:caps w:val="0"/>
          <w:spacing w:val="0"/>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6248DB2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六、大同市灵丘县生态环境保护综合行政执法队负责该项目建设期及运营期日常监督管理工作。</w:t>
      </w:r>
    </w:p>
    <w:p w14:paraId="28C69B4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baseline"/>
        <w:rPr>
          <w:rStyle w:val="10"/>
          <w:rFonts w:ascii="仿宋_GB2312" w:hAnsi="仿宋_GB2312" w:eastAsia="仿宋_GB2312"/>
          <w:b w:val="0"/>
          <w:i w:val="0"/>
          <w:caps w:val="0"/>
          <w:spacing w:val="0"/>
          <w:w w:val="100"/>
          <w:kern w:val="2"/>
          <w:sz w:val="21"/>
          <w:szCs w:val="21"/>
          <w:lang w:val="en-US" w:eastAsia="zh-CN" w:bidi="ar-SA"/>
        </w:rPr>
      </w:pPr>
    </w:p>
    <w:p w14:paraId="3E17799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bookmarkStart w:id="0" w:name="_GoBack"/>
      <w:bookmarkEnd w:id="0"/>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29B29A8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4480" w:firstLineChars="1400"/>
        <w:jc w:val="both"/>
        <w:textAlignment w:val="baseline"/>
        <w:rPr>
          <w:rFonts w:hint="eastAsia" w:ascii="仿宋" w:hAnsi="仿宋" w:eastAsia="仿宋" w:cs="仿宋"/>
          <w:color w:val="auto"/>
          <w:spacing w:val="68"/>
          <w:sz w:val="32"/>
          <w:szCs w:val="32"/>
          <w:u w:val="single"/>
          <w:lang w:val="en-US" w:eastAsia="zh-CN"/>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5</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10</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31</w:t>
      </w:r>
      <w:r>
        <w:rPr>
          <w:rStyle w:val="10"/>
          <w:rFonts w:ascii="仿宋_GB2312" w:hAnsi="仿宋_GB2312" w:eastAsia="仿宋_GB2312"/>
          <w:b w:val="0"/>
          <w:i w:val="0"/>
          <w:caps w:val="0"/>
          <w:spacing w:val="0"/>
          <w:w w:val="100"/>
          <w:kern w:val="2"/>
          <w:sz w:val="32"/>
          <w:szCs w:val="32"/>
          <w:lang w:val="en-US" w:eastAsia="zh-CN" w:bidi="ar-SA"/>
        </w:rPr>
        <w:t>日</w:t>
      </w: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BC63B74"/>
    <w:rsid w:val="0EEC057A"/>
    <w:rsid w:val="0F6A0E1E"/>
    <w:rsid w:val="10892C41"/>
    <w:rsid w:val="13AC7923"/>
    <w:rsid w:val="178A1E07"/>
    <w:rsid w:val="1E8A2A3D"/>
    <w:rsid w:val="1ED24E6B"/>
    <w:rsid w:val="1EDD7021"/>
    <w:rsid w:val="25462E46"/>
    <w:rsid w:val="290F64C9"/>
    <w:rsid w:val="2AB54E7F"/>
    <w:rsid w:val="32DF495A"/>
    <w:rsid w:val="3B9F3D19"/>
    <w:rsid w:val="3F9B5BB1"/>
    <w:rsid w:val="42074515"/>
    <w:rsid w:val="48D423BE"/>
    <w:rsid w:val="49D10ACC"/>
    <w:rsid w:val="4EC64BEA"/>
    <w:rsid w:val="4F0C50FB"/>
    <w:rsid w:val="5AD216C5"/>
    <w:rsid w:val="61DE04AF"/>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535</Words>
  <Characters>579</Characters>
  <Lines>0</Lines>
  <Paragraphs>0</Paragraphs>
  <TotalTime>4</TotalTime>
  <ScaleCrop>false</ScaleCrop>
  <LinksUpToDate>false</LinksUpToDate>
  <CharactersWithSpaces>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2025-10-31T09:08:31Z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