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sz w:val="32"/>
        </w:rPr>
      </w:pPr>
    </w:p>
    <w:p>
      <w:pPr>
        <w:pStyle w:val="10"/>
        <w:overflowPunct w:val="0"/>
        <w:rPr>
          <w:rFonts w:ascii="Times New Roman" w:cs="Times New Roman"/>
          <w:color w:val="auto"/>
        </w:rPr>
      </w:pPr>
    </w:p>
    <w:p>
      <w:pPr>
        <w:pStyle w:val="10"/>
        <w:overflowPunct w:val="0"/>
        <w:rPr>
          <w:rFonts w:ascii="Times New Roman" w:cs="Times New Roman"/>
          <w:color w:val="auto"/>
        </w:rPr>
      </w:pPr>
    </w:p>
    <w:p>
      <w:pPr>
        <w:overflowPunct w:val="0"/>
        <w:snapToGrid w:val="0"/>
        <w:spacing w:line="570" w:lineRule="exact"/>
        <w:ind w:firstLine="640" w:firstLineChars="200"/>
        <w:jc w:val="right"/>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同环函（服务）〔2025〕</w:t>
      </w:r>
      <w:r>
        <w:rPr>
          <w:rFonts w:hint="eastAsia" w:ascii="仿宋_GB2312" w:hAnsi="仿宋_GB2312" w:eastAsia="仿宋_GB2312" w:cs="仿宋_GB2312"/>
          <w:kern w:val="2"/>
          <w:sz w:val="32"/>
          <w:szCs w:val="32"/>
          <w:highlight w:val="none"/>
          <w:lang w:val="en-US" w:eastAsia="zh-CN" w:bidi="ar-SA"/>
        </w:rPr>
        <w:t>56</w:t>
      </w:r>
      <w:r>
        <w:rPr>
          <w:rFonts w:hint="eastAsia" w:ascii="仿宋_GB2312" w:hAnsi="仿宋_GB2312" w:eastAsia="仿宋_GB2312" w:cs="仿宋_GB2312"/>
          <w:sz w:val="32"/>
          <w:szCs w:val="32"/>
        </w:rPr>
        <w:t>号</w:t>
      </w:r>
    </w:p>
    <w:p>
      <w:pPr>
        <w:overflowPunct w:val="0"/>
        <w:rPr>
          <w:sz w:val="30"/>
          <w:szCs w:val="30"/>
        </w:rPr>
      </w:pPr>
    </w:p>
    <w:p>
      <w:pPr>
        <w:overflowPunct w:val="0"/>
        <w:spacing w:line="360" w:lineRule="auto"/>
        <w:jc w:val="center"/>
        <w:outlineLvl w:val="0"/>
        <w:rPr>
          <w:rFonts w:hint="eastAsia" w:eastAsia="方正小标宋简体"/>
          <w:bCs/>
          <w:sz w:val="40"/>
          <w:szCs w:val="40"/>
        </w:rPr>
      </w:pPr>
      <w:r>
        <w:rPr>
          <w:rFonts w:eastAsia="方正小标宋简体"/>
          <w:bCs/>
          <w:sz w:val="40"/>
          <w:szCs w:val="40"/>
        </w:rPr>
        <w:t>关于</w:t>
      </w:r>
      <w:r>
        <w:rPr>
          <w:rFonts w:hint="eastAsia" w:eastAsia="方正小标宋简体"/>
          <w:bCs/>
          <w:sz w:val="40"/>
          <w:szCs w:val="40"/>
        </w:rPr>
        <w:t>大同市云冈区同昌源环保科技有限公司</w:t>
      </w:r>
    </w:p>
    <w:p>
      <w:pPr>
        <w:overflowPunct w:val="0"/>
        <w:spacing w:line="360" w:lineRule="auto"/>
        <w:jc w:val="center"/>
        <w:outlineLvl w:val="0"/>
        <w:rPr>
          <w:rFonts w:hint="eastAsia" w:eastAsia="方正小标宋简体"/>
          <w:bCs/>
          <w:sz w:val="40"/>
          <w:szCs w:val="40"/>
          <w:lang w:eastAsia="zh-CN"/>
        </w:rPr>
      </w:pPr>
      <w:r>
        <w:rPr>
          <w:rFonts w:hint="eastAsia" w:eastAsia="方正小标宋简体"/>
          <w:bCs/>
          <w:sz w:val="40"/>
          <w:szCs w:val="40"/>
        </w:rPr>
        <w:t>利用煤矸石填沟造林项目环境影响报告书</w:t>
      </w:r>
      <w:r>
        <w:rPr>
          <w:rFonts w:eastAsia="方正小标宋简体"/>
          <w:bCs/>
          <w:sz w:val="40"/>
          <w:szCs w:val="40"/>
        </w:rPr>
        <w:t>的批复</w:t>
      </w:r>
    </w:p>
    <w:p>
      <w:pPr>
        <w:pStyle w:val="2"/>
        <w:overflowPunct w:val="0"/>
        <w:spacing w:line="640" w:lineRule="exact"/>
        <w:jc w:val="both"/>
        <w:rPr>
          <w:sz w:val="36"/>
          <w:szCs w:val="36"/>
        </w:rPr>
      </w:pPr>
    </w:p>
    <w:p>
      <w:pPr>
        <w:pStyle w:val="2"/>
        <w:keepNext w:val="0"/>
        <w:keepLines w:val="0"/>
        <w:pageBreakBefore w:val="0"/>
        <w:widowControl w:val="0"/>
        <w:kinsoku/>
        <w:wordWrap/>
        <w:overflowPunct w:val="0"/>
        <w:topLinePunct w:val="0"/>
        <w:autoSpaceDE/>
        <w:autoSpaceDN/>
        <w:bidi w:val="0"/>
        <w:adjustRightInd/>
        <w:spacing w:line="590" w:lineRule="exact"/>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大同市云冈区同昌源环保科技有限公司：</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你公司报送的《关于&lt;大同市云冈区同昌源环保科技有限公司利用煤矸石填沟造林项目环境影响报告书&gt;</w:t>
      </w:r>
      <w:r>
        <w:rPr>
          <w:rFonts w:hint="eastAsia" w:ascii="仿宋_GB2312" w:hAnsi="仿宋_GB2312" w:eastAsia="仿宋_GB2312" w:cs="仿宋_GB2312"/>
          <w:color w:val="auto"/>
          <w:sz w:val="32"/>
          <w:szCs w:val="32"/>
        </w:rPr>
        <w:t>（以下简称《报告书》）</w:t>
      </w:r>
      <w:r>
        <w:rPr>
          <w:rFonts w:hint="eastAsia" w:ascii="仿宋_GB2312" w:hAnsi="仿宋_GB2312" w:eastAsia="仿宋_GB2312" w:cs="仿宋_GB2312"/>
          <w:bCs/>
          <w:color w:val="auto"/>
          <w:sz w:val="32"/>
          <w:szCs w:val="32"/>
        </w:rPr>
        <w:t>报批申请》及相关资料收悉。</w:t>
      </w:r>
      <w:r>
        <w:rPr>
          <w:rFonts w:hint="eastAsia" w:ascii="仿宋_GB2312" w:hAnsi="仿宋_GB2312" w:eastAsia="仿宋_GB2312" w:cs="仿宋_GB2312"/>
          <w:color w:val="auto"/>
          <w:sz w:val="32"/>
          <w:szCs w:val="32"/>
        </w:rPr>
        <w:t>结合大同市生态环境评估中心出具的《关于&lt;</w:t>
      </w:r>
      <w:r>
        <w:rPr>
          <w:rFonts w:hint="eastAsia" w:ascii="仿宋_GB2312" w:hAnsi="仿宋_GB2312" w:eastAsia="仿宋_GB2312" w:cs="仿宋_GB2312"/>
          <w:bCs/>
          <w:color w:val="auto"/>
          <w:sz w:val="32"/>
          <w:szCs w:val="32"/>
        </w:rPr>
        <w:t>&lt;大同市云冈区同昌源环保科技有限公司利用煤矸石填沟造林项目环境影响报告书</w:t>
      </w:r>
      <w:r>
        <w:rPr>
          <w:rFonts w:hint="eastAsia" w:ascii="仿宋_GB2312" w:hAnsi="仿宋_GB2312" w:eastAsia="仿宋_GB2312" w:cs="仿宋_GB2312"/>
          <w:color w:val="auto"/>
          <w:sz w:val="32"/>
          <w:szCs w:val="32"/>
        </w:rPr>
        <w:t>&gt;的技术评估报告》（同环评估</w:t>
      </w:r>
      <w:r>
        <w:rPr>
          <w:rFonts w:hint="eastAsia" w:ascii="仿宋_GB2312" w:hAnsi="仿宋_GB2312" w:eastAsia="仿宋_GB2312" w:cs="仿宋_GB2312"/>
          <w:bCs/>
          <w:color w:val="auto"/>
          <w:sz w:val="32"/>
          <w:szCs w:val="32"/>
        </w:rPr>
        <w:t>函〔2025〕</w:t>
      </w:r>
      <w:r>
        <w:rPr>
          <w:rFonts w:hint="eastAsia" w:ascii="仿宋_GB2312" w:hAnsi="仿宋_GB2312" w:eastAsia="仿宋_GB2312" w:cs="仿宋_GB2312"/>
          <w:bCs/>
          <w:color w:val="auto"/>
          <w:sz w:val="32"/>
          <w:szCs w:val="32"/>
          <w:lang w:val="en-US" w:eastAsia="zh-CN"/>
        </w:rPr>
        <w:t>129</w:t>
      </w:r>
      <w:r>
        <w:rPr>
          <w:rFonts w:hint="eastAsia" w:ascii="仿宋_GB2312" w:hAnsi="仿宋_GB2312" w:eastAsia="仿宋_GB2312" w:cs="仿宋_GB2312"/>
          <w:color w:val="auto"/>
          <w:sz w:val="32"/>
          <w:szCs w:val="32"/>
        </w:rPr>
        <w:t>号），经研究，批复如下：</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一、该项目为新建项目，建设地点位于大同市云冈区鸦儿崖乡鸦儿崖村北侧1km处，项目利用煤矸石作为填充物对云冈区鸦儿崖乡鸦儿崖村北1km</w:t>
      </w:r>
      <w:r>
        <w:rPr>
          <w:rFonts w:hint="eastAsia" w:ascii="仿宋_GB2312" w:hAnsi="仿宋_GB2312" w:eastAsia="仿宋_GB2312" w:cs="仿宋_GB2312"/>
          <w:bCs/>
          <w:color w:val="auto"/>
          <w:sz w:val="32"/>
          <w:szCs w:val="32"/>
          <w:lang w:val="zh-CN"/>
        </w:rPr>
        <w:t>的一处荒沟</w:t>
      </w:r>
      <w:r>
        <w:rPr>
          <w:rFonts w:hint="eastAsia" w:ascii="仿宋_GB2312" w:hAnsi="仿宋_GB2312" w:eastAsia="仿宋_GB2312" w:cs="仿宋_GB2312"/>
          <w:bCs/>
          <w:color w:val="auto"/>
          <w:sz w:val="32"/>
          <w:szCs w:val="32"/>
        </w:rPr>
        <w:t>进行</w:t>
      </w:r>
      <w:r>
        <w:rPr>
          <w:rFonts w:hint="eastAsia" w:ascii="仿宋_GB2312" w:hAnsi="仿宋_GB2312" w:eastAsia="仿宋_GB2312" w:cs="仿宋_GB2312"/>
          <w:bCs/>
          <w:color w:val="auto"/>
          <w:sz w:val="32"/>
          <w:szCs w:val="32"/>
          <w:lang w:val="en-US" w:eastAsia="zh-CN"/>
        </w:rPr>
        <w:t>填沟造林</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项目</w:t>
      </w:r>
      <w:r>
        <w:rPr>
          <w:rFonts w:hint="eastAsia" w:ascii="仿宋_GB2312" w:hAnsi="仿宋_GB2312" w:eastAsia="仿宋_GB2312" w:cs="仿宋_GB2312"/>
          <w:bCs/>
          <w:color w:val="auto"/>
          <w:sz w:val="32"/>
          <w:szCs w:val="32"/>
        </w:rPr>
        <w:t>场地中心</w:t>
      </w:r>
      <w:r>
        <w:rPr>
          <w:rFonts w:hint="eastAsia" w:ascii="仿宋_GB2312" w:hAnsi="仿宋_GB2312" w:eastAsia="仿宋_GB2312" w:cs="仿宋_GB2312"/>
          <w:bCs/>
          <w:color w:val="auto"/>
          <w:sz w:val="32"/>
          <w:szCs w:val="32"/>
          <w:lang w:val="en-GB"/>
        </w:rPr>
        <w:t>地理坐标为：东经112°59′15.573″，北纬39°58′48.236″</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大同市云冈区</w:t>
      </w:r>
      <w:r>
        <w:rPr>
          <w:rFonts w:hint="eastAsia" w:ascii="仿宋_GB2312" w:hAnsi="仿宋_GB2312" w:eastAsia="仿宋_GB2312" w:cs="仿宋_GB2312"/>
          <w:bCs/>
          <w:color w:val="auto"/>
          <w:sz w:val="32"/>
          <w:szCs w:val="32"/>
        </w:rPr>
        <w:t>行政审批服务管理局对该项目</w:t>
      </w:r>
      <w:r>
        <w:rPr>
          <w:rFonts w:hint="eastAsia" w:ascii="仿宋_GB2312" w:hAnsi="仿宋_GB2312" w:eastAsia="仿宋_GB2312" w:cs="仿宋_GB2312"/>
          <w:bCs/>
          <w:color w:val="auto"/>
          <w:sz w:val="32"/>
          <w:szCs w:val="32"/>
          <w:lang w:eastAsia="zh-CN"/>
        </w:rPr>
        <w:t>进行了</w:t>
      </w:r>
      <w:r>
        <w:rPr>
          <w:rFonts w:hint="eastAsia" w:ascii="仿宋_GB2312" w:hAnsi="仿宋_GB2312" w:eastAsia="仿宋_GB2312" w:cs="仿宋_GB2312"/>
          <w:bCs/>
          <w:color w:val="auto"/>
          <w:sz w:val="32"/>
          <w:szCs w:val="32"/>
        </w:rPr>
        <w:t>备案（项目代码：</w:t>
      </w:r>
      <w:r>
        <w:rPr>
          <w:rFonts w:hint="eastAsia" w:ascii="仿宋_GB2312" w:hAnsi="仿宋_GB2312" w:eastAsia="仿宋_GB2312" w:cs="仿宋_GB2312"/>
          <w:bCs/>
          <w:color w:val="auto"/>
          <w:sz w:val="32"/>
          <w:szCs w:val="32"/>
          <w:lang w:val="zh-CN"/>
        </w:rPr>
        <w:t>2103-140214-89-01-115946</w:t>
      </w:r>
      <w:r>
        <w:rPr>
          <w:rFonts w:hint="eastAsia" w:ascii="仿宋_GB2312" w:hAnsi="仿宋_GB2312" w:eastAsia="仿宋_GB2312" w:cs="仿宋_GB2312"/>
          <w:bCs/>
          <w:color w:val="auto"/>
          <w:sz w:val="32"/>
          <w:szCs w:val="32"/>
        </w:rPr>
        <w:t>），主要建设内容包括：防渗工程、挡矸墙、截排水工程、回填作业和复垦造林工程及其他辅助工程，项目总投资</w:t>
      </w:r>
      <w:r>
        <w:rPr>
          <w:rFonts w:hint="eastAsia" w:ascii="仿宋_GB2312" w:hAnsi="仿宋_GB2312" w:eastAsia="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000万元，环保投资</w:t>
      </w:r>
      <w:r>
        <w:rPr>
          <w:rFonts w:hint="eastAsia" w:ascii="仿宋_GB2312" w:hAnsi="仿宋_GB2312" w:eastAsia="仿宋_GB2312" w:cs="仿宋_GB2312"/>
          <w:bCs/>
          <w:color w:val="auto"/>
          <w:sz w:val="32"/>
          <w:szCs w:val="32"/>
          <w:lang w:val="en-US" w:eastAsia="zh-CN"/>
        </w:rPr>
        <w:t>394万元，环保投资占总投资的39.4%</w:t>
      </w:r>
      <w:r>
        <w:rPr>
          <w:rFonts w:hint="eastAsia" w:ascii="仿宋_GB2312" w:hAnsi="仿宋_GB2312" w:eastAsia="仿宋_GB2312" w:cs="仿宋_GB2312"/>
          <w:bCs/>
          <w:color w:val="auto"/>
          <w:sz w:val="32"/>
          <w:szCs w:val="32"/>
        </w:rPr>
        <w:t>。2025年</w:t>
      </w:r>
      <w:r>
        <w:rPr>
          <w:rFonts w:hint="eastAsia" w:ascii="仿宋_GB2312" w:hAnsi="仿宋_GB2312" w:eastAsia="仿宋_GB2312" w:cs="仿宋_GB2312"/>
          <w:bCs/>
          <w:color w:val="auto"/>
          <w:sz w:val="32"/>
          <w:szCs w:val="32"/>
          <w:lang w:val="en-US" w:eastAsia="zh-CN"/>
        </w:rPr>
        <w:t>4</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25</w:t>
      </w:r>
      <w:r>
        <w:rPr>
          <w:rFonts w:hint="eastAsia" w:ascii="仿宋_GB2312" w:hAnsi="仿宋_GB2312" w:eastAsia="仿宋_GB2312" w:cs="仿宋_GB2312"/>
          <w:bCs/>
          <w:color w:val="auto"/>
          <w:sz w:val="32"/>
          <w:szCs w:val="32"/>
        </w:rPr>
        <w:t>日，大同市云冈区自然资源局以“</w:t>
      </w:r>
      <w:r>
        <w:rPr>
          <w:rFonts w:hint="eastAsia" w:ascii="仿宋_GB2312" w:hAnsi="仿宋_GB2312" w:eastAsia="仿宋_GB2312" w:cs="仿宋_GB2312"/>
          <w:bCs/>
          <w:color w:val="auto"/>
          <w:sz w:val="32"/>
          <w:szCs w:val="32"/>
          <w:lang w:eastAsia="zh-CN"/>
        </w:rPr>
        <w:t>云冈自然资发〔2025〕85号</w:t>
      </w:r>
      <w:r>
        <w:rPr>
          <w:rFonts w:hint="eastAsia" w:ascii="仿宋_GB2312" w:hAnsi="仿宋_GB2312" w:eastAsia="仿宋_GB2312" w:cs="仿宋_GB2312"/>
          <w:bCs/>
          <w:color w:val="auto"/>
          <w:sz w:val="32"/>
          <w:szCs w:val="32"/>
        </w:rPr>
        <w:t>”出具了《</w:t>
      </w:r>
      <w:r>
        <w:rPr>
          <w:rFonts w:hint="eastAsia" w:ascii="仿宋_GB2312" w:hAnsi="仿宋_GB2312" w:eastAsia="仿宋_GB2312" w:cs="仿宋_GB2312"/>
          <w:bCs/>
          <w:color w:val="auto"/>
          <w:sz w:val="32"/>
          <w:szCs w:val="32"/>
          <w:lang w:val="zh-CN"/>
        </w:rPr>
        <w:t>关于对</w:t>
      </w:r>
      <w:r>
        <w:rPr>
          <w:rFonts w:hint="eastAsia" w:ascii="仿宋_GB2312" w:hAnsi="仿宋_GB2312" w:eastAsia="仿宋_GB2312" w:cs="仿宋_GB2312"/>
          <w:bCs/>
          <w:color w:val="auto"/>
          <w:sz w:val="32"/>
          <w:szCs w:val="32"/>
        </w:rPr>
        <w:t>&lt;大同市云冈区同昌源环保科技有限公司利用煤矸石填沟造林项目</w:t>
      </w:r>
      <w:r>
        <w:rPr>
          <w:rFonts w:hint="eastAsia" w:ascii="仿宋_GB2312" w:hAnsi="仿宋_GB2312" w:eastAsia="仿宋_GB2312" w:cs="仿宋_GB2312"/>
          <w:bCs/>
          <w:color w:val="auto"/>
          <w:sz w:val="32"/>
          <w:szCs w:val="32"/>
          <w:lang w:val="zh-CN"/>
        </w:rPr>
        <w:t>生态修复方案</w:t>
      </w:r>
      <w:r>
        <w:rPr>
          <w:rFonts w:hint="eastAsia" w:ascii="仿宋_GB2312" w:hAnsi="仿宋_GB2312" w:eastAsia="仿宋_GB2312" w:cs="仿宋_GB2312"/>
          <w:bCs/>
          <w:color w:val="auto"/>
          <w:sz w:val="32"/>
          <w:szCs w:val="32"/>
          <w:lang w:val="en-US" w:eastAsia="zh-CN"/>
        </w:rPr>
        <w:t>&gt;</w:t>
      </w:r>
      <w:r>
        <w:rPr>
          <w:rFonts w:hint="eastAsia" w:ascii="仿宋_GB2312" w:hAnsi="仿宋_GB2312" w:eastAsia="仿宋_GB2312" w:cs="仿宋_GB2312"/>
          <w:bCs/>
          <w:color w:val="auto"/>
          <w:sz w:val="32"/>
          <w:szCs w:val="32"/>
          <w:lang w:val="zh-CN"/>
        </w:rPr>
        <w:t>评审意见的批复》</w:t>
      </w:r>
      <w:r>
        <w:rPr>
          <w:rFonts w:hint="eastAsia" w:ascii="仿宋_GB2312" w:hAnsi="仿宋_GB2312" w:eastAsia="仿宋_GB2312" w:cs="仿宋_GB2312"/>
          <w:bCs/>
          <w:color w:val="auto"/>
          <w:sz w:val="32"/>
          <w:szCs w:val="32"/>
        </w:rPr>
        <w:t>。项目占地面积</w:t>
      </w:r>
      <w:r>
        <w:rPr>
          <w:rFonts w:hint="eastAsia" w:ascii="仿宋_GB2312" w:hAnsi="仿宋_GB2312" w:eastAsia="仿宋_GB2312" w:cs="仿宋_GB2312"/>
          <w:bCs/>
          <w:color w:val="auto"/>
          <w:sz w:val="32"/>
          <w:szCs w:val="32"/>
          <w:lang w:val="en-US" w:eastAsia="zh-CN"/>
        </w:rPr>
        <w:t>14.85</w:t>
      </w:r>
      <w:r>
        <w:rPr>
          <w:rFonts w:hint="eastAsia" w:ascii="仿宋_GB2312" w:hAnsi="仿宋_GB2312" w:eastAsia="仿宋_GB2312" w:cs="仿宋_GB2312"/>
          <w:bCs/>
          <w:color w:val="auto"/>
          <w:sz w:val="32"/>
          <w:szCs w:val="32"/>
        </w:rPr>
        <w:t>hm</w:t>
      </w:r>
      <w:r>
        <w:rPr>
          <w:rFonts w:hint="eastAsia" w:ascii="仿宋_GB2312" w:hAnsi="仿宋_GB2312" w:eastAsia="仿宋_GB2312" w:cs="仿宋_GB2312"/>
          <w:bCs/>
          <w:color w:val="auto"/>
          <w:sz w:val="32"/>
          <w:szCs w:val="32"/>
          <w:vertAlign w:val="superscript"/>
        </w:rPr>
        <w:t>2</w:t>
      </w:r>
      <w:r>
        <w:rPr>
          <w:rFonts w:hint="eastAsia" w:ascii="仿宋_GB2312" w:hAnsi="仿宋_GB2312" w:eastAsia="仿宋_GB2312" w:cs="仿宋_GB2312"/>
          <w:bCs/>
          <w:color w:val="auto"/>
          <w:sz w:val="32"/>
          <w:szCs w:val="32"/>
        </w:rPr>
        <w:t>，其中可有效利用部分占地面积为</w:t>
      </w:r>
      <w:r>
        <w:rPr>
          <w:rFonts w:hint="eastAsia" w:ascii="仿宋_GB2312" w:hAnsi="仿宋_GB2312" w:eastAsia="仿宋_GB2312" w:cs="仿宋_GB2312"/>
          <w:bCs/>
          <w:color w:val="auto"/>
          <w:sz w:val="32"/>
          <w:szCs w:val="32"/>
          <w:lang w:val="en-US" w:eastAsia="zh-CN"/>
        </w:rPr>
        <w:t>10.93</w:t>
      </w:r>
      <w:r>
        <w:rPr>
          <w:rFonts w:hint="eastAsia" w:ascii="仿宋_GB2312" w:hAnsi="仿宋_GB2312" w:eastAsia="仿宋_GB2312" w:cs="仿宋_GB2312"/>
          <w:bCs/>
          <w:color w:val="auto"/>
          <w:sz w:val="32"/>
          <w:szCs w:val="32"/>
        </w:rPr>
        <w:t>hm</w:t>
      </w:r>
      <w:r>
        <w:rPr>
          <w:rFonts w:hint="eastAsia" w:ascii="仿宋_GB2312" w:hAnsi="仿宋_GB2312" w:eastAsia="仿宋_GB2312" w:cs="仿宋_GB2312"/>
          <w:bCs/>
          <w:color w:val="auto"/>
          <w:sz w:val="32"/>
          <w:szCs w:val="32"/>
          <w:vertAlign w:val="superscript"/>
        </w:rPr>
        <w:t>2</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项目区库容为</w:t>
      </w:r>
      <w:r>
        <w:rPr>
          <w:rFonts w:hint="eastAsia" w:ascii="仿宋_GB2312" w:hAnsi="仿宋_GB2312" w:eastAsia="仿宋_GB2312" w:cs="仿宋_GB2312"/>
          <w:bCs/>
          <w:color w:val="auto"/>
          <w:sz w:val="32"/>
          <w:szCs w:val="32"/>
          <w:lang w:val="en-US" w:eastAsia="zh-CN"/>
        </w:rPr>
        <w:t>164.64</w:t>
      </w:r>
      <w:r>
        <w:rPr>
          <w:rFonts w:hint="eastAsia" w:ascii="仿宋_GB2312" w:hAnsi="仿宋_GB2312" w:eastAsia="仿宋_GB2312" w:cs="仿宋_GB2312"/>
          <w:bCs/>
          <w:color w:val="auto"/>
          <w:sz w:val="32"/>
          <w:szCs w:val="32"/>
        </w:rPr>
        <w:t>万m</w:t>
      </w:r>
      <w:r>
        <w:rPr>
          <w:rFonts w:hint="eastAsia" w:ascii="仿宋_GB2312" w:hAnsi="仿宋_GB2312" w:eastAsia="仿宋_GB2312" w:cs="仿宋_GB2312"/>
          <w:bCs/>
          <w:color w:val="auto"/>
          <w:sz w:val="32"/>
          <w:szCs w:val="32"/>
          <w:vertAlign w:val="superscript"/>
        </w:rPr>
        <w:t>3</w:t>
      </w:r>
      <w:r>
        <w:rPr>
          <w:rFonts w:hint="eastAsia" w:ascii="仿宋_GB2312" w:hAnsi="仿宋_GB2312" w:eastAsia="仿宋_GB2312" w:cs="仿宋_GB2312"/>
          <w:bCs/>
          <w:color w:val="auto"/>
          <w:sz w:val="32"/>
          <w:szCs w:val="32"/>
        </w:rPr>
        <w:t>，矸石</w:t>
      </w:r>
      <w:r>
        <w:rPr>
          <w:rFonts w:hint="eastAsia" w:ascii="仿宋_GB2312" w:hAnsi="仿宋_GB2312" w:eastAsia="仿宋_GB2312" w:cs="仿宋_GB2312"/>
          <w:bCs/>
          <w:color w:val="auto"/>
          <w:sz w:val="32"/>
          <w:szCs w:val="32"/>
          <w:lang w:eastAsia="zh-CN"/>
        </w:rPr>
        <w:t>填充量</w:t>
      </w:r>
      <w:r>
        <w:rPr>
          <w:rFonts w:hint="eastAsia" w:ascii="仿宋_GB2312" w:hAnsi="仿宋_GB2312" w:eastAsia="仿宋_GB2312" w:cs="仿宋_GB2312"/>
          <w:bCs/>
          <w:color w:val="auto"/>
          <w:sz w:val="32"/>
          <w:szCs w:val="32"/>
        </w:rPr>
        <w:t xml:space="preserve"> 129.10万m</w:t>
      </w:r>
      <w:r>
        <w:rPr>
          <w:rFonts w:hint="eastAsia" w:ascii="仿宋_GB2312" w:hAnsi="仿宋_GB2312" w:eastAsia="仿宋_GB2312" w:cs="仿宋_GB2312"/>
          <w:bCs/>
          <w:color w:val="auto"/>
          <w:sz w:val="32"/>
          <w:szCs w:val="32"/>
          <w:vertAlign w:val="superscript"/>
        </w:rPr>
        <w:t>3</w:t>
      </w:r>
      <w:r>
        <w:rPr>
          <w:rFonts w:hint="eastAsia" w:ascii="仿宋_GB2312" w:hAnsi="仿宋_GB2312" w:eastAsia="仿宋_GB2312" w:cs="仿宋_GB2312"/>
          <w:bCs/>
          <w:color w:val="auto"/>
          <w:sz w:val="32"/>
          <w:szCs w:val="32"/>
          <w:vertAlign w:val="baseline"/>
          <w:lang w:eastAsia="zh-CN"/>
        </w:rPr>
        <w:t>（</w:t>
      </w:r>
      <w:r>
        <w:rPr>
          <w:rFonts w:hint="eastAsia" w:ascii="仿宋_GB2312" w:hAnsi="仿宋_GB2312" w:eastAsia="仿宋_GB2312" w:cs="仿宋_GB2312"/>
          <w:bCs/>
          <w:color w:val="auto"/>
          <w:sz w:val="32"/>
          <w:szCs w:val="32"/>
          <w:lang w:val="en-US" w:eastAsia="zh-CN"/>
        </w:rPr>
        <w:t>154.92</w:t>
      </w:r>
      <w:r>
        <w:rPr>
          <w:rFonts w:hint="eastAsia" w:ascii="仿宋_GB2312" w:hAnsi="仿宋_GB2312" w:eastAsia="仿宋_GB2312" w:cs="仿宋_GB2312"/>
          <w:bCs/>
          <w:color w:val="auto"/>
          <w:sz w:val="32"/>
          <w:szCs w:val="32"/>
        </w:rPr>
        <w:t>万吨</w:t>
      </w:r>
      <w:r>
        <w:rPr>
          <w:rFonts w:hint="eastAsia" w:ascii="仿宋_GB2312" w:hAnsi="仿宋_GB2312" w:eastAsia="仿宋_GB2312" w:cs="仿宋_GB2312"/>
          <w:bCs/>
          <w:color w:val="auto"/>
          <w:sz w:val="32"/>
          <w:szCs w:val="32"/>
          <w:vertAlign w:val="baseline"/>
          <w:lang w:eastAsia="zh-CN"/>
        </w:rPr>
        <w:t>）</w:t>
      </w:r>
      <w:r>
        <w:rPr>
          <w:rFonts w:hint="eastAsia" w:ascii="仿宋_GB2312" w:hAnsi="仿宋_GB2312" w:eastAsia="仿宋_GB2312" w:cs="仿宋_GB2312"/>
          <w:bCs/>
          <w:color w:val="auto"/>
          <w:sz w:val="32"/>
          <w:szCs w:val="32"/>
        </w:rPr>
        <w:t xml:space="preserve"> 。本项目</w:t>
      </w:r>
      <w:r>
        <w:rPr>
          <w:rFonts w:hint="eastAsia" w:ascii="仿宋_GB2312" w:hAnsi="仿宋_GB2312" w:eastAsia="仿宋_GB2312" w:cs="仿宋_GB2312"/>
          <w:bCs/>
          <w:color w:val="auto"/>
          <w:sz w:val="32"/>
          <w:szCs w:val="32"/>
          <w:lang w:val="en-US" w:eastAsia="zh-CN"/>
        </w:rPr>
        <w:t>填沟造林</w:t>
      </w:r>
      <w:r>
        <w:rPr>
          <w:rFonts w:hint="eastAsia" w:ascii="仿宋_GB2312" w:hAnsi="仿宋_GB2312" w:eastAsia="仿宋_GB2312" w:cs="仿宋_GB2312"/>
          <w:bCs/>
          <w:color w:val="auto"/>
          <w:sz w:val="32"/>
          <w:szCs w:val="32"/>
        </w:rPr>
        <w:t>场地内通过采取覆土、栽植乔木</w:t>
      </w:r>
      <w:r>
        <w:rPr>
          <w:rFonts w:hint="eastAsia"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rPr>
        <w:t>灌木</w:t>
      </w:r>
      <w:r>
        <w:rPr>
          <w:rFonts w:hint="eastAsia" w:ascii="仿宋_GB2312" w:hAnsi="仿宋_GB2312" w:eastAsia="仿宋_GB2312" w:cs="仿宋_GB2312"/>
          <w:bCs/>
          <w:color w:val="auto"/>
          <w:sz w:val="32"/>
          <w:szCs w:val="32"/>
          <w:lang w:val="en-US" w:eastAsia="zh-CN"/>
        </w:rPr>
        <w:t>和草地</w:t>
      </w:r>
      <w:r>
        <w:rPr>
          <w:rFonts w:hint="eastAsia" w:ascii="仿宋_GB2312" w:hAnsi="仿宋_GB2312" w:eastAsia="仿宋_GB2312" w:cs="仿宋_GB2312"/>
          <w:bCs/>
          <w:color w:val="auto"/>
          <w:sz w:val="32"/>
          <w:szCs w:val="32"/>
        </w:rPr>
        <w:t>等措施，</w:t>
      </w:r>
      <w:r>
        <w:rPr>
          <w:rFonts w:hint="eastAsia" w:ascii="仿宋_GB2312" w:hAnsi="仿宋_GB2312" w:eastAsia="仿宋_GB2312" w:cs="仿宋_GB2312"/>
          <w:bCs/>
          <w:color w:val="auto"/>
          <w:sz w:val="32"/>
          <w:szCs w:val="32"/>
          <w:lang w:val="en-US" w:eastAsia="zh-CN"/>
        </w:rPr>
        <w:t>填沟造林</w:t>
      </w:r>
      <w:r>
        <w:rPr>
          <w:rFonts w:hint="eastAsia" w:ascii="仿宋_GB2312" w:hAnsi="仿宋_GB2312" w:eastAsia="仿宋_GB2312" w:cs="仿宋_GB2312"/>
          <w:bCs/>
          <w:color w:val="auto"/>
          <w:sz w:val="32"/>
          <w:szCs w:val="32"/>
        </w:rPr>
        <w:t>完成后可恢复乔木林地</w:t>
      </w:r>
      <w:r>
        <w:rPr>
          <w:rFonts w:hint="eastAsia" w:ascii="仿宋_GB2312" w:hAnsi="仿宋_GB2312" w:eastAsia="仿宋_GB2312" w:cs="仿宋_GB2312"/>
          <w:bCs/>
          <w:color w:val="auto"/>
          <w:sz w:val="32"/>
          <w:szCs w:val="32"/>
          <w:lang w:val="en-US" w:eastAsia="zh-CN"/>
        </w:rPr>
        <w:t>7.243</w:t>
      </w:r>
      <w:r>
        <w:rPr>
          <w:rFonts w:hint="eastAsia" w:ascii="仿宋_GB2312" w:hAnsi="仿宋_GB2312" w:eastAsia="仿宋_GB2312" w:cs="仿宋_GB2312"/>
          <w:bCs/>
          <w:color w:val="auto"/>
          <w:sz w:val="32"/>
          <w:szCs w:val="32"/>
        </w:rPr>
        <w:t>hm</w:t>
      </w:r>
      <w:r>
        <w:rPr>
          <w:rFonts w:hint="eastAsia" w:ascii="仿宋_GB2312" w:hAnsi="仿宋_GB2312" w:eastAsia="仿宋_GB2312" w:cs="仿宋_GB2312"/>
          <w:bCs/>
          <w:color w:val="auto"/>
          <w:sz w:val="32"/>
          <w:szCs w:val="32"/>
          <w:vertAlign w:val="superscript"/>
        </w:rPr>
        <w:t>2</w:t>
      </w:r>
      <w:r>
        <w:rPr>
          <w:rFonts w:hint="eastAsia" w:ascii="仿宋_GB2312" w:hAnsi="仿宋_GB2312" w:eastAsia="仿宋_GB2312" w:cs="仿宋_GB2312"/>
          <w:bCs/>
          <w:color w:val="auto"/>
          <w:sz w:val="32"/>
          <w:szCs w:val="32"/>
        </w:rPr>
        <w:t>，灌木林地</w:t>
      </w:r>
      <w:r>
        <w:rPr>
          <w:rFonts w:hint="eastAsia" w:ascii="仿宋_GB2312" w:hAnsi="仿宋_GB2312" w:eastAsia="仿宋_GB2312" w:cs="仿宋_GB2312"/>
          <w:bCs/>
          <w:color w:val="auto"/>
          <w:sz w:val="32"/>
          <w:szCs w:val="32"/>
          <w:lang w:val="en-US" w:eastAsia="zh-CN"/>
        </w:rPr>
        <w:t>2.6</w:t>
      </w:r>
      <w:r>
        <w:rPr>
          <w:rFonts w:hint="eastAsia" w:ascii="仿宋_GB2312" w:hAnsi="仿宋_GB2312" w:eastAsia="仿宋_GB2312" w:cs="仿宋_GB2312"/>
          <w:bCs/>
          <w:color w:val="auto"/>
          <w:sz w:val="32"/>
          <w:szCs w:val="32"/>
        </w:rPr>
        <w:t>hm</w:t>
      </w:r>
      <w:r>
        <w:rPr>
          <w:rFonts w:hint="eastAsia" w:ascii="仿宋_GB2312" w:hAnsi="仿宋_GB2312" w:eastAsia="仿宋_GB2312" w:cs="仿宋_GB2312"/>
          <w:bCs/>
          <w:color w:val="auto"/>
          <w:sz w:val="32"/>
          <w:szCs w:val="32"/>
          <w:vertAlign w:val="superscript"/>
        </w:rPr>
        <w:t>2</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其他草地1.087</w:t>
      </w:r>
      <w:r>
        <w:rPr>
          <w:rFonts w:hint="eastAsia" w:ascii="仿宋_GB2312" w:hAnsi="仿宋_GB2312" w:eastAsia="仿宋_GB2312" w:cs="仿宋_GB2312"/>
          <w:bCs/>
          <w:color w:val="auto"/>
          <w:sz w:val="32"/>
          <w:szCs w:val="32"/>
        </w:rPr>
        <w:t>hm</w:t>
      </w:r>
      <w:r>
        <w:rPr>
          <w:rFonts w:hint="eastAsia" w:ascii="仿宋_GB2312" w:hAnsi="仿宋_GB2312" w:eastAsia="仿宋_GB2312" w:cs="仿宋_GB2312"/>
          <w:bCs/>
          <w:color w:val="auto"/>
          <w:sz w:val="32"/>
          <w:szCs w:val="32"/>
          <w:vertAlign w:val="superscript"/>
        </w:rPr>
        <w:t>2</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合计</w:t>
      </w:r>
      <w:r>
        <w:rPr>
          <w:rFonts w:hint="eastAsia" w:ascii="仿宋_GB2312" w:hAnsi="仿宋_GB2312" w:eastAsia="仿宋_GB2312" w:cs="仿宋_GB2312"/>
          <w:bCs/>
          <w:color w:val="auto"/>
          <w:sz w:val="32"/>
          <w:szCs w:val="32"/>
          <w:lang w:val="en-US" w:eastAsia="zh-CN"/>
        </w:rPr>
        <w:t>10.93</w:t>
      </w:r>
      <w:r>
        <w:rPr>
          <w:rFonts w:hint="eastAsia" w:ascii="仿宋_GB2312" w:hAnsi="仿宋_GB2312" w:eastAsia="仿宋_GB2312" w:cs="仿宋_GB2312"/>
          <w:bCs/>
          <w:color w:val="auto"/>
          <w:sz w:val="32"/>
          <w:szCs w:val="32"/>
        </w:rPr>
        <w:t>hm</w:t>
      </w:r>
      <w:r>
        <w:rPr>
          <w:rFonts w:hint="eastAsia" w:ascii="仿宋_GB2312" w:hAnsi="仿宋_GB2312" w:eastAsia="仿宋_GB2312" w:cs="仿宋_GB2312"/>
          <w:bCs/>
          <w:color w:val="auto"/>
          <w:sz w:val="32"/>
          <w:szCs w:val="32"/>
          <w:vertAlign w:val="superscript"/>
        </w:rPr>
        <w:t>2</w:t>
      </w:r>
      <w:r>
        <w:rPr>
          <w:rFonts w:hint="eastAsia" w:ascii="仿宋_GB2312" w:hAnsi="仿宋_GB2312" w:eastAsia="仿宋_GB2312" w:cs="仿宋_GB2312"/>
          <w:bCs/>
          <w:color w:val="auto"/>
          <w:sz w:val="32"/>
          <w:szCs w:val="32"/>
          <w:lang w:val="zh-CN"/>
        </w:rPr>
        <w:t>。</w:t>
      </w:r>
      <w:r>
        <w:rPr>
          <w:rFonts w:hint="eastAsia" w:ascii="仿宋_GB2312" w:hAnsi="仿宋_GB2312" w:eastAsia="仿宋_GB2312" w:cs="仿宋_GB2312"/>
          <w:bCs/>
          <w:color w:val="auto"/>
          <w:sz w:val="32"/>
          <w:szCs w:val="32"/>
        </w:rPr>
        <w:t>依据项目技术评估报告，项目在全面落实《报告书》提出的各项生态保护措施后，项目实施对区域环境影响可接受。我局原则同意《报告书》的环境影响评价总体结论和各项生态环境保护措施。</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二、你公司在项目设计、建设、运行和环境管理中要认真落实《报告书》提出的各项环保要求，并重点做好以下几方面工作：</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1、本项目采用煤矸石作为</w:t>
      </w:r>
      <w:r>
        <w:rPr>
          <w:rFonts w:hint="eastAsia" w:ascii="仿宋_GB2312" w:hAnsi="仿宋_GB2312" w:eastAsia="仿宋_GB2312" w:cs="仿宋_GB2312"/>
          <w:bCs/>
          <w:color w:val="auto"/>
          <w:sz w:val="32"/>
          <w:szCs w:val="32"/>
          <w:lang w:val="en-US" w:eastAsia="zh-CN"/>
        </w:rPr>
        <w:t>填沟造林</w:t>
      </w:r>
      <w:r>
        <w:rPr>
          <w:rFonts w:hint="eastAsia" w:ascii="仿宋_GB2312" w:hAnsi="仿宋_GB2312" w:eastAsia="仿宋_GB2312" w:cs="仿宋_GB2312"/>
          <w:bCs/>
          <w:color w:val="auto"/>
          <w:sz w:val="32"/>
          <w:szCs w:val="32"/>
        </w:rPr>
        <w:t>区充填物料，禁止充填危险废物、生活垃圾、污水处理厂污泥以及其不相容的一般工业固体废物。充填物料煤矸石进场前，须对煤矸石成分进行测定，满足《一般工业固体废物贮存和填埋污染控制标准》(GB18599-2020) 中相应标准后方可进行充填活动。</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严格落实施工期环境保护措施。施工期洗车废水经沉淀处理后回用，不外排；采取施工场地设置围挡、物料遮盖、定期洒水、粉状物料密闭运输等措施减少扬尘；合理安排施工时间，夜间禁止高噪音机械作业，运输车辆经过沿线村庄时禁止鸣笛等；施工期临时产生的弃土、弃渣要定点、合理堆放，并及时运送到填方区，及时回填；生活垃圾由环卫部门统一清运。</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3、严格落实大气污染防治措施。煤矸石应密闭运输，确保煤矸石在运输过程中不外泄；运输道路路面要经常清扫和洒水，保持路面清洁和一定的空气湿度；填充场地进出口处设置洗车平台，对进、出场车辆车身和轮胎进行清洗；煤矸石装卸、压实、覆土等作业过程要采取洒水降尘措施，禁止大风天气作业，抑制扬尘污染</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严格落实</w:t>
      </w:r>
      <w:r>
        <w:rPr>
          <w:rFonts w:hint="eastAsia" w:ascii="仿宋_GB2312" w:hAnsi="仿宋_GB2312" w:eastAsia="仿宋_GB2312" w:cs="仿宋_GB2312"/>
          <w:bCs/>
          <w:color w:val="auto"/>
          <w:sz w:val="32"/>
          <w:szCs w:val="32"/>
          <w:lang w:eastAsia="zh-CN"/>
        </w:rPr>
        <w:t>矸石</w:t>
      </w:r>
      <w:r>
        <w:rPr>
          <w:rFonts w:hint="eastAsia" w:ascii="仿宋_GB2312" w:hAnsi="仿宋_GB2312" w:eastAsia="仿宋_GB2312" w:cs="仿宋_GB2312"/>
          <w:bCs/>
          <w:color w:val="auto"/>
          <w:sz w:val="32"/>
          <w:szCs w:val="32"/>
        </w:rPr>
        <w:t>堆放作业方式，</w:t>
      </w:r>
      <w:r>
        <w:rPr>
          <w:rFonts w:hint="eastAsia" w:ascii="仿宋_GB2312" w:hAnsi="仿宋_GB2312" w:eastAsia="仿宋_GB2312" w:cs="仿宋_GB2312"/>
          <w:bCs/>
          <w:color w:val="auto"/>
          <w:sz w:val="32"/>
          <w:szCs w:val="32"/>
          <w:lang w:eastAsia="zh-CN"/>
        </w:rPr>
        <w:t>作业时应采取洒水抑尘措施，</w:t>
      </w:r>
      <w:r>
        <w:rPr>
          <w:rFonts w:hint="eastAsia" w:ascii="仿宋_GB2312" w:hAnsi="仿宋_GB2312" w:eastAsia="仿宋_GB2312" w:cs="仿宋_GB2312"/>
          <w:bCs/>
          <w:color w:val="auto"/>
          <w:sz w:val="32"/>
          <w:szCs w:val="32"/>
        </w:rPr>
        <w:t>矸石倾倒后利用推土机及时摊平压实，做到即堆即压</w:t>
      </w:r>
      <w:r>
        <w:rPr>
          <w:rFonts w:hint="eastAsia" w:ascii="仿宋_GB2312" w:hAnsi="仿宋_GB2312" w:eastAsia="仿宋_GB2312" w:cs="仿宋_GB2312"/>
          <w:bCs/>
          <w:color w:val="auto"/>
          <w:sz w:val="32"/>
          <w:szCs w:val="32"/>
          <w:lang w:eastAsia="zh-CN"/>
        </w:rPr>
        <w:t>，并按要求覆盖黄土层，进行压实，隔绝空气，</w:t>
      </w:r>
      <w:r>
        <w:rPr>
          <w:rFonts w:hint="eastAsia" w:ascii="仿宋_GB2312" w:hAnsi="仿宋_GB2312" w:eastAsia="仿宋_GB2312" w:cs="仿宋_GB2312"/>
          <w:bCs/>
          <w:color w:val="auto"/>
          <w:sz w:val="32"/>
          <w:szCs w:val="32"/>
        </w:rPr>
        <w:t>避免矸石长期露天堆</w:t>
      </w:r>
      <w:r>
        <w:rPr>
          <w:rFonts w:hint="eastAsia" w:ascii="仿宋_GB2312" w:hAnsi="仿宋_GB2312" w:eastAsia="仿宋_GB2312" w:cs="仿宋_GB2312"/>
          <w:bCs/>
          <w:color w:val="auto"/>
          <w:sz w:val="32"/>
          <w:szCs w:val="32"/>
          <w:lang w:eastAsia="zh-CN"/>
        </w:rPr>
        <w:t>放，</w:t>
      </w:r>
      <w:r>
        <w:rPr>
          <w:rFonts w:hint="eastAsia" w:ascii="仿宋_GB2312" w:hAnsi="仿宋_GB2312" w:eastAsia="仿宋_GB2312" w:cs="仿宋_GB2312"/>
          <w:bCs/>
          <w:color w:val="auto"/>
          <w:sz w:val="32"/>
          <w:szCs w:val="32"/>
        </w:rPr>
        <w:t>预防矸石自</w:t>
      </w:r>
      <w:r>
        <w:rPr>
          <w:rFonts w:hint="eastAsia" w:ascii="仿宋_GB2312" w:hAnsi="仿宋_GB2312" w:eastAsia="仿宋_GB2312" w:cs="仿宋_GB2312"/>
          <w:bCs/>
          <w:color w:val="auto"/>
          <w:sz w:val="32"/>
          <w:szCs w:val="32"/>
          <w:lang w:eastAsia="zh-CN"/>
        </w:rPr>
        <w:t>燃。</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严格落实噪声污染防治措施。本项目的噪声源主要包括推土机、压路机、运输车辆等机械设备，你公司要合理安排施工时间，禁止夜间进行产生强噪声污染的作业，作业应选择低噪声设备、加强维护保养，确保机械设备运转良好，降低噪声影响。加强运输车辆调度管理，运输路线尽量远离村庄等居民区，途经村庄时应减缓车速，禁止鸣笛，禁止夜间运输，避免对周边居民造成影响。</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严格落实水污染防治措施。管理站人员产生的洗漱废水用于场地内泼洒抑尘，不外排；车辆清洗废水经收集沉淀处理后回用于洒水抑尘，不外排；雨季时场地上游及周边汇水通过截排水措施排出场地外，下游出口处设置消力池，防止雨水对下游的冲刷。</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6、严格落实防渗措施。按照《报告书》要求落实</w:t>
      </w:r>
      <w:r>
        <w:rPr>
          <w:rFonts w:hint="eastAsia" w:ascii="仿宋_GB2312" w:hAnsi="仿宋_GB2312" w:eastAsia="仿宋_GB2312" w:cs="仿宋_GB2312"/>
          <w:bCs/>
          <w:color w:val="auto"/>
          <w:sz w:val="32"/>
          <w:szCs w:val="32"/>
          <w:lang w:eastAsia="zh-CN"/>
        </w:rPr>
        <w:t>分区</w:t>
      </w:r>
      <w:r>
        <w:rPr>
          <w:rFonts w:hint="eastAsia" w:ascii="仿宋_GB2312" w:hAnsi="仿宋_GB2312" w:eastAsia="仿宋_GB2312" w:cs="仿宋_GB2312"/>
          <w:bCs/>
          <w:color w:val="auto"/>
          <w:sz w:val="32"/>
          <w:szCs w:val="32"/>
        </w:rPr>
        <w:t>防渗要求和措施，对边坡及沟底采用素土夯实，夯实厚度不小于0.75m，确保确保夯实后渗透系数小于1×10</w:t>
      </w:r>
      <w:r>
        <w:rPr>
          <w:rFonts w:hint="eastAsia" w:ascii="仿宋_GB2312" w:hAnsi="仿宋_GB2312" w:eastAsia="仿宋_GB2312" w:cs="仿宋_GB2312"/>
          <w:bCs/>
          <w:color w:val="auto"/>
          <w:sz w:val="32"/>
          <w:szCs w:val="32"/>
          <w:vertAlign w:val="superscript"/>
        </w:rPr>
        <w:t>-5</w:t>
      </w:r>
      <w:r>
        <w:rPr>
          <w:rFonts w:hint="eastAsia" w:ascii="仿宋_GB2312" w:hAnsi="仿宋_GB2312" w:eastAsia="仿宋_GB2312" w:cs="仿宋_GB2312"/>
          <w:bCs/>
          <w:color w:val="auto"/>
          <w:sz w:val="32"/>
          <w:szCs w:val="32"/>
        </w:rPr>
        <w:t>cm/s</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须满足《一般工业固体废物贮存和填埋污染控制标准》 (GB18599-2020)相关要求；严格按照工程设计方案规范建设截排水工程，及时将雨水排出填充区</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避免对场内填充材料造成淋溶</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 xml:space="preserve"> </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7、严格落实生态保护措施。按《报告书》要求严格落实防沙治沙、水土保持、土地复垦及生态修复治理等生态保护措施，按设计要求分台阶填充、分台阶生态修复，及时对边坡、平台等进行生态治理和植被绿化，并做好后期管护工作，确保各项生态恢复治理措施落实到位。</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8、严格落实环境管理制度。你公司要建立健全各项环境管理制度，按要求设置相应的环境管理机构和人员，负责项目实施和运营过程的环境管理工作；加强项目环境风险防范，严格落实《报告书》提出的各项环境风险防范措施，规范编制突发环境事件应急预案，提高环境风险防范意识与应急能力，储备环境应急物资，并定期开展应急演练；严格履行环境监测计划，定期对大气、噪声、地下水环境和土壤环境进行监测，并根据监测结果及时采取补救措施，妥善解决可能出现的环境问题，确保环境安全。</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9、项目实施前依法办理其他相关手续。</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三、项目填充和</w:t>
      </w:r>
      <w:r>
        <w:rPr>
          <w:rFonts w:hint="eastAsia" w:ascii="仿宋_GB2312" w:hAnsi="仿宋_GB2312" w:eastAsia="仿宋_GB2312" w:cs="仿宋_GB2312"/>
          <w:bCs/>
          <w:color w:val="auto"/>
          <w:sz w:val="32"/>
          <w:szCs w:val="32"/>
          <w:lang w:val="en-US" w:eastAsia="zh-CN"/>
        </w:rPr>
        <w:t>填沟造林</w:t>
      </w:r>
      <w:r>
        <w:rPr>
          <w:rFonts w:hint="eastAsia" w:ascii="仿宋_GB2312" w:hAnsi="仿宋_GB2312" w:eastAsia="仿宋_GB2312" w:cs="仿宋_GB2312"/>
          <w:bCs/>
          <w:color w:val="auto"/>
          <w:sz w:val="32"/>
          <w:szCs w:val="32"/>
        </w:rPr>
        <w:t>过程中，如有新颁布的生态环境保护政策、规范、标准涉及本项目，应严格执行新的管控要求。</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四、建立健全项目信息公开机制，按照《建设项目环境影响评价信息公开机制方案》等要求，及时、如实向社会公开项目相关信息，并主动接受社会监督。</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你公司须严格执行环保“三同时”制度，按照国家排污许可有关管理规定，申请排污许可证，按证排污；须按照国家规定的标准和程序实施竣工环境保护验收；如项目的性质、规模、地点、工艺或者防治污染、防止生态破坏的措施发生重大变动的情况，应当重新报批建设项目环境影响评价文件。</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六、大同市生态环境局</w:t>
      </w:r>
      <w:r>
        <w:rPr>
          <w:rFonts w:hint="eastAsia" w:ascii="仿宋_GB2312" w:hAnsi="仿宋_GB2312" w:eastAsia="仿宋_GB2312" w:cs="仿宋_GB2312"/>
          <w:bCs/>
          <w:color w:val="auto"/>
          <w:sz w:val="32"/>
          <w:szCs w:val="32"/>
          <w:lang w:val="en-US" w:eastAsia="zh-CN"/>
        </w:rPr>
        <w:t>云冈</w:t>
      </w:r>
      <w:r>
        <w:rPr>
          <w:rFonts w:hint="eastAsia" w:ascii="仿宋_GB2312" w:hAnsi="仿宋_GB2312" w:eastAsia="仿宋_GB2312" w:cs="仿宋_GB2312"/>
          <w:bCs/>
          <w:color w:val="auto"/>
          <w:sz w:val="32"/>
          <w:szCs w:val="32"/>
        </w:rPr>
        <w:t>分局按照职责负责该项目“三同时”监督检查及日常监督管理工作。</w:t>
      </w:r>
    </w:p>
    <w:p>
      <w:pPr>
        <w:keepNext w:val="0"/>
        <w:keepLines w:val="0"/>
        <w:pageBreakBefore w:val="0"/>
        <w:widowControl w:val="0"/>
        <w:kinsoku/>
        <w:wordWrap/>
        <w:overflowPunct w:val="0"/>
        <w:topLinePunct w:val="0"/>
        <w:autoSpaceDE/>
        <w:autoSpaceDN/>
        <w:bidi w:val="0"/>
        <w:adjustRightInd/>
        <w:snapToGrid w:val="0"/>
        <w:spacing w:line="59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七、你公司收到本批复10个工作日内，要将批准后的《报告书》送大同市生态环境局</w:t>
      </w:r>
      <w:r>
        <w:rPr>
          <w:rFonts w:hint="eastAsia" w:ascii="仿宋_GB2312" w:hAnsi="仿宋_GB2312" w:eastAsia="仿宋_GB2312" w:cs="仿宋_GB2312"/>
          <w:bCs/>
          <w:color w:val="auto"/>
          <w:sz w:val="32"/>
          <w:szCs w:val="32"/>
          <w:lang w:val="en-US" w:eastAsia="zh-CN"/>
        </w:rPr>
        <w:t>云冈</w:t>
      </w:r>
      <w:r>
        <w:rPr>
          <w:rFonts w:hint="eastAsia" w:ascii="仿宋_GB2312" w:hAnsi="仿宋_GB2312" w:eastAsia="仿宋_GB2312" w:cs="仿宋_GB2312"/>
          <w:bCs/>
          <w:color w:val="auto"/>
          <w:sz w:val="32"/>
          <w:szCs w:val="32"/>
        </w:rPr>
        <w:t>分局，并按规定接受各级生态环境部门的日常监督检查。</w:t>
      </w:r>
    </w:p>
    <w:p>
      <w:pPr>
        <w:pStyle w:val="2"/>
        <w:overflowPunct w:val="0"/>
        <w:spacing w:line="600" w:lineRule="exact"/>
        <w:ind w:firstLine="640" w:firstLineChars="200"/>
        <w:jc w:val="both"/>
        <w:rPr>
          <w:rFonts w:ascii="仿宋_GB2312" w:hAnsi="仿宋_GB2312" w:eastAsia="仿宋_GB2312" w:cs="仿宋_GB2312"/>
          <w:color w:val="auto"/>
          <w:sz w:val="32"/>
          <w:szCs w:val="32"/>
        </w:rPr>
      </w:pPr>
    </w:p>
    <w:p>
      <w:pPr>
        <w:pStyle w:val="2"/>
        <w:overflowPunct w:val="0"/>
        <w:spacing w:line="600" w:lineRule="exact"/>
        <w:ind w:firstLine="640" w:firstLineChars="200"/>
        <w:jc w:val="both"/>
        <w:rPr>
          <w:rFonts w:ascii="仿宋_GB2312" w:hAnsi="仿宋_GB2312" w:eastAsia="仿宋_GB2312" w:cs="仿宋_GB2312"/>
          <w:color w:val="auto"/>
          <w:sz w:val="32"/>
          <w:szCs w:val="32"/>
        </w:rPr>
      </w:pPr>
    </w:p>
    <w:p>
      <w:pPr>
        <w:pStyle w:val="2"/>
        <w:overflowPunct w:val="0"/>
        <w:spacing w:line="600" w:lineRule="exact"/>
        <w:ind w:firstLine="640" w:firstLineChars="200"/>
        <w:jc w:val="both"/>
        <w:rPr>
          <w:rFonts w:ascii="仿宋_GB2312" w:hAnsi="仿宋_GB2312" w:eastAsia="仿宋_GB2312" w:cs="仿宋_GB2312"/>
          <w:color w:val="auto"/>
          <w:sz w:val="32"/>
          <w:szCs w:val="32"/>
        </w:rPr>
      </w:pPr>
    </w:p>
    <w:p>
      <w:pPr>
        <w:pStyle w:val="2"/>
        <w:overflowPunct w:val="0"/>
        <w:spacing w:line="660" w:lineRule="exact"/>
        <w:ind w:firstLine="5120" w:firstLineChars="16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大同市生态环境局</w:t>
      </w:r>
    </w:p>
    <w:p>
      <w:pPr>
        <w:overflowPunct w:val="0"/>
        <w:spacing w:line="620" w:lineRule="exact"/>
        <w:ind w:right="640"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highlight w:val="none"/>
        </w:rPr>
        <w:t xml:space="preserve"> 2025年</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w:t>
      </w:r>
    </w:p>
    <w:p>
      <w:pPr>
        <w:pStyle w:val="2"/>
        <w:overflowPunct w:val="0"/>
        <w:spacing w:line="600" w:lineRule="exact"/>
        <w:jc w:val="both"/>
        <w:rPr>
          <w:rFonts w:hint="eastAsia" w:ascii="仿宋_GB2312" w:hAnsi="仿宋_GB2312" w:eastAsia="仿宋_GB2312" w:cs="仿宋_GB2312"/>
          <w:bCs/>
          <w:color w:val="auto"/>
          <w:sz w:val="32"/>
          <w:szCs w:val="32"/>
        </w:rPr>
      </w:pPr>
    </w:p>
    <w:p>
      <w:pPr>
        <w:pStyle w:val="2"/>
        <w:overflowPunct w:val="0"/>
        <w:spacing w:line="600" w:lineRule="exact"/>
        <w:jc w:val="both"/>
        <w:rPr>
          <w:rFonts w:hint="eastAsia" w:ascii="仿宋_GB2312" w:hAnsi="仿宋_GB2312" w:eastAsia="仿宋_GB2312" w:cs="仿宋_GB2312"/>
          <w:bCs/>
          <w:color w:val="auto"/>
          <w:sz w:val="32"/>
          <w:szCs w:val="32"/>
        </w:rPr>
      </w:pPr>
      <w:bookmarkStart w:id="0" w:name="_GoBack"/>
      <w:bookmarkEnd w:id="0"/>
    </w:p>
    <w:p>
      <w:pPr>
        <w:pStyle w:val="2"/>
        <w:overflowPunct w:val="0"/>
        <w:spacing w:line="600" w:lineRule="exact"/>
        <w:jc w:val="both"/>
        <w:rPr>
          <w:rFonts w:hint="eastAsia" w:ascii="仿宋_GB2312" w:hAnsi="仿宋_GB2312" w:eastAsia="仿宋_GB2312" w:cs="仿宋_GB2312"/>
          <w:bCs/>
          <w:color w:val="auto"/>
          <w:sz w:val="32"/>
          <w:szCs w:val="32"/>
        </w:rPr>
      </w:pPr>
    </w:p>
    <w:p>
      <w:pPr>
        <w:pStyle w:val="2"/>
        <w:overflowPunct w:val="0"/>
        <w:spacing w:line="600" w:lineRule="exact"/>
        <w:jc w:val="both"/>
        <w:rPr>
          <w:rFonts w:hint="eastAsia" w:ascii="仿宋_GB2312" w:hAnsi="仿宋_GB2312" w:eastAsia="仿宋_GB2312" w:cs="仿宋_GB2312"/>
          <w:bCs/>
          <w:color w:val="auto"/>
          <w:sz w:val="32"/>
          <w:szCs w:val="32"/>
        </w:rPr>
      </w:pPr>
    </w:p>
    <w:p>
      <w:pPr>
        <w:pStyle w:val="2"/>
        <w:overflowPunct w:val="0"/>
        <w:spacing w:line="600" w:lineRule="exact"/>
        <w:jc w:val="both"/>
        <w:rPr>
          <w:rFonts w:hint="eastAsia" w:ascii="仿宋_GB2312" w:hAnsi="仿宋_GB2312" w:eastAsia="仿宋_GB2312" w:cs="仿宋_GB2312"/>
          <w:bCs/>
          <w:color w:val="auto"/>
          <w:sz w:val="32"/>
          <w:szCs w:val="32"/>
        </w:rPr>
      </w:pPr>
    </w:p>
    <w:p>
      <w:pPr>
        <w:pStyle w:val="2"/>
        <w:overflowPunct w:val="0"/>
        <w:spacing w:line="600" w:lineRule="exact"/>
        <w:jc w:val="both"/>
        <w:rPr>
          <w:rFonts w:hint="eastAsia" w:ascii="仿宋_GB2312" w:hAnsi="仿宋_GB2312" w:eastAsia="仿宋_GB2312" w:cs="仿宋_GB2312"/>
          <w:bCs/>
          <w:color w:val="auto"/>
          <w:sz w:val="32"/>
          <w:szCs w:val="32"/>
        </w:rPr>
      </w:pPr>
    </w:p>
    <w:p>
      <w:pPr>
        <w:pStyle w:val="2"/>
        <w:overflowPunct w:val="0"/>
        <w:spacing w:line="600" w:lineRule="exact"/>
        <w:jc w:val="both"/>
        <w:rPr>
          <w:color w:val="auto"/>
        </w:rPr>
      </w:pPr>
      <w:r>
        <w:rPr>
          <w:rFonts w:hint="eastAsia" w:ascii="仿宋_GB2312" w:hAnsi="仿宋_GB2312" w:eastAsia="仿宋_GB2312" w:cs="仿宋_GB2312"/>
          <w:bCs/>
          <w:color w:val="auto"/>
          <w:sz w:val="32"/>
          <w:szCs w:val="32"/>
        </w:rPr>
        <w:t>抄送：市生态环境局</w:t>
      </w:r>
      <w:r>
        <w:rPr>
          <w:rFonts w:hint="eastAsia" w:ascii="仿宋_GB2312" w:hAnsi="仿宋_GB2312" w:eastAsia="仿宋_GB2312" w:cs="仿宋_GB2312"/>
          <w:bCs/>
          <w:color w:val="auto"/>
          <w:sz w:val="32"/>
          <w:szCs w:val="32"/>
          <w:lang w:val="en-US" w:eastAsia="zh-CN"/>
        </w:rPr>
        <w:t>云冈</w:t>
      </w:r>
      <w:r>
        <w:rPr>
          <w:rFonts w:hint="eastAsia" w:ascii="仿宋_GB2312" w:hAnsi="仿宋_GB2312" w:eastAsia="仿宋_GB2312" w:cs="仿宋_GB2312"/>
          <w:bCs/>
          <w:color w:val="auto"/>
          <w:sz w:val="32"/>
          <w:szCs w:val="32"/>
        </w:rPr>
        <w:t>分局，市生态环境评估中心。</w:t>
      </w:r>
    </w:p>
    <w:sectPr>
      <w:headerReference r:id="rId3" w:type="default"/>
      <w:footerReference r:id="rId4" w:type="default"/>
      <w:footerReference r:id="rId5" w:type="even"/>
      <w:pgSz w:w="11906" w:h="16838"/>
      <w:pgMar w:top="1588" w:right="1474" w:bottom="147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- 5 -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30F33"/>
    <w:rsid w:val="00172A27"/>
    <w:rsid w:val="00AE5D54"/>
    <w:rsid w:val="00C92760"/>
    <w:rsid w:val="00F318B6"/>
    <w:rsid w:val="00F33811"/>
    <w:rsid w:val="0532033D"/>
    <w:rsid w:val="05A62867"/>
    <w:rsid w:val="05D17FFC"/>
    <w:rsid w:val="06FE4594"/>
    <w:rsid w:val="0ADB20CB"/>
    <w:rsid w:val="0B0F0E9B"/>
    <w:rsid w:val="0B811CD8"/>
    <w:rsid w:val="0E390D15"/>
    <w:rsid w:val="0E683A57"/>
    <w:rsid w:val="0E7D498A"/>
    <w:rsid w:val="10AA6223"/>
    <w:rsid w:val="115C0464"/>
    <w:rsid w:val="14C4469D"/>
    <w:rsid w:val="15C27BE2"/>
    <w:rsid w:val="16BF69E3"/>
    <w:rsid w:val="18F54E7A"/>
    <w:rsid w:val="1BB67B16"/>
    <w:rsid w:val="1BE61DD8"/>
    <w:rsid w:val="1C245F44"/>
    <w:rsid w:val="1E885F1F"/>
    <w:rsid w:val="1EB8162E"/>
    <w:rsid w:val="1F86703A"/>
    <w:rsid w:val="22B46DAD"/>
    <w:rsid w:val="278F7853"/>
    <w:rsid w:val="27CA4D11"/>
    <w:rsid w:val="294505F5"/>
    <w:rsid w:val="298522FD"/>
    <w:rsid w:val="2C5C7EF0"/>
    <w:rsid w:val="2E43024A"/>
    <w:rsid w:val="2E9379F3"/>
    <w:rsid w:val="2EAA1BC4"/>
    <w:rsid w:val="32861D8C"/>
    <w:rsid w:val="338A2305"/>
    <w:rsid w:val="33AB2524"/>
    <w:rsid w:val="342D0E6D"/>
    <w:rsid w:val="350B02D4"/>
    <w:rsid w:val="363E6936"/>
    <w:rsid w:val="3BA129E3"/>
    <w:rsid w:val="4309027B"/>
    <w:rsid w:val="46352F18"/>
    <w:rsid w:val="47AC6623"/>
    <w:rsid w:val="49780EBA"/>
    <w:rsid w:val="4FAA3699"/>
    <w:rsid w:val="52AF4E97"/>
    <w:rsid w:val="537236AB"/>
    <w:rsid w:val="53D70DC0"/>
    <w:rsid w:val="546171A1"/>
    <w:rsid w:val="55734632"/>
    <w:rsid w:val="56B53C6A"/>
    <w:rsid w:val="570028D7"/>
    <w:rsid w:val="5C11182A"/>
    <w:rsid w:val="5E497FCE"/>
    <w:rsid w:val="5EC4317F"/>
    <w:rsid w:val="60393BEB"/>
    <w:rsid w:val="61934EDD"/>
    <w:rsid w:val="630E22D8"/>
    <w:rsid w:val="633B72C3"/>
    <w:rsid w:val="63FD0EC8"/>
    <w:rsid w:val="63FE4F5A"/>
    <w:rsid w:val="64EC34C1"/>
    <w:rsid w:val="678D7F4C"/>
    <w:rsid w:val="67C156D0"/>
    <w:rsid w:val="6A1E5D59"/>
    <w:rsid w:val="6AB80B6D"/>
    <w:rsid w:val="6ACF0E45"/>
    <w:rsid w:val="6B0C186E"/>
    <w:rsid w:val="6C2524CE"/>
    <w:rsid w:val="72080C51"/>
    <w:rsid w:val="720A1ECE"/>
    <w:rsid w:val="733933AE"/>
    <w:rsid w:val="74054E20"/>
    <w:rsid w:val="7542297A"/>
    <w:rsid w:val="774E652B"/>
    <w:rsid w:val="78A15D80"/>
    <w:rsid w:val="7A6E56C3"/>
    <w:rsid w:val="7C3D235C"/>
    <w:rsid w:val="7DBB77B6"/>
    <w:rsid w:val="7EC5739D"/>
    <w:rsid w:val="7EF3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540" w:lineRule="exact"/>
      <w:jc w:val="center"/>
    </w:pPr>
    <w:rPr>
      <w:rFonts w:eastAsia="华文中宋"/>
      <w:sz w:val="40"/>
    </w:rPr>
  </w:style>
  <w:style w:type="paragraph" w:styleId="3">
    <w:name w:val="Plain Text"/>
    <w:basedOn w:val="1"/>
    <w:next w:val="1"/>
    <w:qFormat/>
    <w:uiPriority w:val="0"/>
    <w:rPr>
      <w:rFonts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paragraph" w:customStyle="1" w:styleId="10">
    <w:name w:val="Default"/>
    <w:basedOn w:val="11"/>
    <w:next w:val="3"/>
    <w:qFormat/>
    <w:uiPriority w:val="0"/>
    <w:pPr>
      <w:autoSpaceDE w:val="0"/>
      <w:autoSpaceDN w:val="0"/>
      <w:adjustRightInd w:val="0"/>
    </w:pPr>
    <w:rPr>
      <w:rFonts w:ascii="宋体" w:cs="宋体"/>
      <w:sz w:val="24"/>
    </w:rPr>
  </w:style>
  <w:style w:type="paragraph" w:customStyle="1" w:styleId="11">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2536</Words>
  <Characters>2705</Characters>
  <Lines>18</Lines>
  <Paragraphs>5</Paragraphs>
  <TotalTime>39</TotalTime>
  <ScaleCrop>false</ScaleCrop>
  <LinksUpToDate>false</LinksUpToDate>
  <CharactersWithSpaces>2733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2025-08-19T06:16:00Z</dcterms:created>
  <dc:creator>薄鸿淼</dc:creator>
  <cp:lastModifiedBy>Administrator</cp:lastModifiedBy>
  <cp:lastPrinted>2025-10-30T02:50:11Z</cp:lastPrinted>
  <dcterms:modified xsi:type="dcterms:W3CDTF">2025-10-30T02:51:48Z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AB3D431F356646BBB4351BEFCE1FFF86_11</vt:lpwstr>
  </property>
  <property fmtid="{D5CDD505-2E9C-101B-9397-08002B2CF9AE}" pid="4" name="KSOTemplateDocerSaveRecord">
    <vt:lpwstr>eyJoZGlkIjoiNjFhNTMyMDQ4YmZlNDI5Y2MzZmQ2NWQyY2EzYjFjYTEiLCJ1c2VySWQiOiI1MzAwMDc2ODMifQ==</vt:lpwstr>
  </property>
</Properties>
</file>