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bmp" ContentType="image/bmp"/>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59473DC">
      <w:pPr>
        <w:jc w:val="center"/>
        <w:rPr>
          <w:rFonts w:hint="eastAsia" w:eastAsia="仿宋_GB2312"/>
          <w:sz w:val="36"/>
          <w:szCs w:val="36"/>
          <w:lang w:eastAsia="zh-CN"/>
        </w:rPr>
      </w:pPr>
      <w:r>
        <w:drawing>
          <wp:inline distT="0" distB="0" distL="114300" distR="114300">
            <wp:extent cx="5492750" cy="7297420"/>
            <wp:effectExtent l="0" t="0" r="12700" b="17780"/>
            <wp:docPr id="3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
                    <pic:cNvPicPr>
                      <a:picLocks noChangeAspect="1"/>
                    </pic:cNvPicPr>
                  </pic:nvPicPr>
                  <pic:blipFill>
                    <a:blip r:embed="rId13"/>
                    <a:stretch>
                      <a:fillRect/>
                    </a:stretch>
                  </pic:blipFill>
                  <pic:spPr>
                    <a:xfrm>
                      <a:off x="0" y="0"/>
                      <a:ext cx="5492750" cy="7297420"/>
                    </a:xfrm>
                    <a:prstGeom prst="rect">
                      <a:avLst/>
                    </a:prstGeom>
                    <a:noFill/>
                    <a:ln>
                      <a:noFill/>
                    </a:ln>
                  </pic:spPr>
                </pic:pic>
              </a:graphicData>
            </a:graphic>
          </wp:inline>
        </w:drawing>
      </w:r>
    </w:p>
    <w:p w14:paraId="55A9C907">
      <w:pPr>
        <w:spacing w:before="0" w:beforeLines="0" w:after="0" w:afterLines="0" w:line="240" w:lineRule="auto"/>
        <w:ind w:left="0" w:leftChars="0" w:right="0" w:rightChars="0" w:firstLine="0" w:firstLineChars="0"/>
        <w:jc w:val="center"/>
        <w:rPr>
          <w:rFonts w:ascii="宋体" w:hAnsi="宋体" w:eastAsia="宋体" w:cs="Times New Roman"/>
          <w:color w:val="auto"/>
          <w:kern w:val="2"/>
          <w:sz w:val="21"/>
          <w:szCs w:val="24"/>
          <w:lang w:val="en-US" w:eastAsia="zh-CN" w:bidi="ar-SA"/>
        </w:rPr>
        <w:sectPr>
          <w:footerReference r:id="rId3"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bookmarkStart w:id="19" w:name="_GoBack"/>
      <w:bookmarkEnd w:id="19"/>
    </w:p>
    <w:sdt>
      <w:sdtPr>
        <w:rPr>
          <w:rFonts w:ascii="宋体" w:hAnsi="宋体" w:eastAsia="宋体" w:cs="Times New Roman"/>
          <w:color w:val="auto"/>
          <w:kern w:val="2"/>
          <w:sz w:val="21"/>
          <w:szCs w:val="24"/>
          <w:lang w:val="en-US" w:eastAsia="zh-CN" w:bidi="ar-SA"/>
        </w:rPr>
        <w:id w:val="147480370"/>
        <w15:color w:val="DBDBDB"/>
        <w:docPartObj>
          <w:docPartGallery w:val="Table of Contents"/>
          <w:docPartUnique/>
        </w:docPartObj>
      </w:sdtPr>
      <w:sdtEndPr>
        <w:rPr>
          <w:rFonts w:hint="default" w:ascii="Times New Roman" w:hAnsi="Times New Roman" w:eastAsia="宋体" w:cs="Times New Roman"/>
          <w:color w:val="auto"/>
          <w:kern w:val="2"/>
          <w:sz w:val="21"/>
          <w:szCs w:val="24"/>
          <w:lang w:val="en-US" w:eastAsia="zh-CN" w:bidi="ar-SA"/>
        </w:rPr>
      </w:sdtEndPr>
      <w:sdtContent>
        <w:p w14:paraId="7B1CF3B7">
          <w:pPr>
            <w:spacing w:before="0" w:beforeLines="0" w:after="0" w:afterLines="0" w:line="240" w:lineRule="auto"/>
            <w:ind w:left="0" w:leftChars="0" w:right="0" w:rightChars="0" w:firstLine="0" w:firstLineChars="0"/>
            <w:jc w:val="center"/>
            <w:rPr>
              <w:b/>
              <w:bCs/>
              <w:color w:val="auto"/>
            </w:rPr>
          </w:pPr>
          <w:r>
            <w:rPr>
              <w:rFonts w:ascii="宋体" w:hAnsi="宋体" w:eastAsia="宋体"/>
              <w:b/>
              <w:bCs/>
              <w:color w:val="auto"/>
              <w:sz w:val="21"/>
            </w:rPr>
            <w:t>目</w:t>
          </w:r>
          <w:r>
            <w:rPr>
              <w:rFonts w:hint="eastAsia" w:ascii="宋体" w:hAnsi="宋体"/>
              <w:b/>
              <w:bCs/>
              <w:color w:val="auto"/>
              <w:sz w:val="21"/>
              <w:lang w:val="en-US" w:eastAsia="zh-CN"/>
            </w:rPr>
            <w:t xml:space="preserve">  </w:t>
          </w:r>
          <w:r>
            <w:rPr>
              <w:rFonts w:ascii="宋体" w:hAnsi="宋体" w:eastAsia="宋体"/>
              <w:b/>
              <w:bCs/>
              <w:color w:val="auto"/>
              <w:sz w:val="21"/>
            </w:rPr>
            <w:t>录</w:t>
          </w:r>
        </w:p>
        <w:p w14:paraId="57F32DA4">
          <w:pPr>
            <w:pStyle w:val="32"/>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color w:val="auto"/>
            </w:rPr>
          </w:pPr>
          <w:r>
            <w:rPr>
              <w:rFonts w:hint="default" w:ascii="Times New Roman" w:hAnsi="Times New Roman" w:eastAsia="宋体" w:cs="Times New Roman"/>
              <w:color w:val="auto"/>
              <w:lang w:val="en-US" w:eastAsia="zh-CN"/>
            </w:rPr>
            <w:fldChar w:fldCharType="begin"/>
          </w:r>
          <w:r>
            <w:rPr>
              <w:rFonts w:hint="default" w:ascii="Times New Roman" w:hAnsi="Times New Roman" w:eastAsia="宋体" w:cs="Times New Roman"/>
              <w:color w:val="auto"/>
              <w:lang w:val="en-US" w:eastAsia="zh-CN"/>
            </w:rPr>
            <w:instrText xml:space="preserve">TOC \o "1-1" \h \u </w:instrText>
          </w:r>
          <w:r>
            <w:rPr>
              <w:rFonts w:hint="default" w:ascii="Times New Roman" w:hAnsi="Times New Roman" w:eastAsia="宋体" w:cs="Times New Roman"/>
              <w:color w:val="auto"/>
              <w:lang w:val="en-US" w:eastAsia="zh-CN"/>
            </w:rPr>
            <w:fldChar w:fldCharType="separate"/>
          </w:r>
          <w:r>
            <w:rPr>
              <w:rFonts w:hint="default" w:ascii="Times New Roman" w:hAnsi="Times New Roman" w:eastAsia="宋体" w:cs="Times New Roman"/>
              <w:color w:val="auto"/>
              <w:lang w:val="en-US" w:eastAsia="zh-CN"/>
            </w:rPr>
            <w:fldChar w:fldCharType="begin"/>
          </w:r>
          <w:r>
            <w:rPr>
              <w:rFonts w:hint="default" w:ascii="Times New Roman" w:hAnsi="Times New Roman" w:eastAsia="宋体" w:cs="Times New Roman"/>
              <w:color w:val="auto"/>
              <w:lang w:val="en-US" w:eastAsia="zh-CN"/>
            </w:rPr>
            <w:instrText xml:space="preserve"> HYPERLINK \l _Toc25983 </w:instrText>
          </w:r>
          <w:r>
            <w:rPr>
              <w:rFonts w:hint="default" w:ascii="Times New Roman" w:hAnsi="Times New Roman" w:eastAsia="宋体" w:cs="Times New Roman"/>
              <w:color w:val="auto"/>
              <w:lang w:val="en-US" w:eastAsia="zh-CN"/>
            </w:rPr>
            <w:fldChar w:fldCharType="separate"/>
          </w:r>
          <w:r>
            <w:rPr>
              <w:rFonts w:ascii="Times New Roman" w:hAnsi="Times New Roman" w:eastAsia="黑体"/>
              <w:snapToGrid w:val="0"/>
              <w:color w:val="auto"/>
              <w:szCs w:val="30"/>
            </w:rPr>
            <w:t>一、建设项目基本情况</w:t>
          </w:r>
          <w:r>
            <w:rPr>
              <w:color w:val="auto"/>
            </w:rPr>
            <w:tab/>
          </w:r>
          <w:r>
            <w:rPr>
              <w:color w:val="auto"/>
            </w:rPr>
            <w:fldChar w:fldCharType="begin"/>
          </w:r>
          <w:r>
            <w:rPr>
              <w:color w:val="auto"/>
            </w:rPr>
            <w:instrText xml:space="preserve"> PAGEREF _Toc25983 \h </w:instrText>
          </w:r>
          <w:r>
            <w:rPr>
              <w:color w:val="auto"/>
            </w:rPr>
            <w:fldChar w:fldCharType="separate"/>
          </w:r>
          <w:r>
            <w:rPr>
              <w:color w:val="auto"/>
            </w:rPr>
            <w:t>1</w:t>
          </w:r>
          <w:r>
            <w:rPr>
              <w:color w:val="auto"/>
            </w:rPr>
            <w:fldChar w:fldCharType="end"/>
          </w:r>
          <w:r>
            <w:rPr>
              <w:rFonts w:hint="default" w:ascii="Times New Roman" w:hAnsi="Times New Roman" w:eastAsia="宋体" w:cs="Times New Roman"/>
              <w:color w:val="auto"/>
              <w:lang w:val="en-US" w:eastAsia="zh-CN"/>
            </w:rPr>
            <w:fldChar w:fldCharType="end"/>
          </w:r>
        </w:p>
        <w:p w14:paraId="2584BCEB">
          <w:pPr>
            <w:pStyle w:val="32"/>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color w:val="auto"/>
            </w:rPr>
          </w:pPr>
          <w:r>
            <w:rPr>
              <w:rFonts w:hint="default" w:ascii="Times New Roman" w:hAnsi="Times New Roman" w:eastAsia="宋体" w:cs="Times New Roman"/>
              <w:color w:val="auto"/>
              <w:lang w:val="en-US" w:eastAsia="zh-CN"/>
            </w:rPr>
            <w:fldChar w:fldCharType="begin"/>
          </w:r>
          <w:r>
            <w:rPr>
              <w:rFonts w:hint="default" w:ascii="Times New Roman" w:hAnsi="Times New Roman" w:eastAsia="宋体" w:cs="Times New Roman"/>
              <w:color w:val="auto"/>
              <w:lang w:val="en-US" w:eastAsia="zh-CN"/>
            </w:rPr>
            <w:instrText xml:space="preserve"> HYPERLINK \l _Toc11592 </w:instrText>
          </w:r>
          <w:r>
            <w:rPr>
              <w:rFonts w:hint="default" w:ascii="Times New Roman" w:hAnsi="Times New Roman" w:eastAsia="宋体" w:cs="Times New Roman"/>
              <w:color w:val="auto"/>
              <w:lang w:val="en-US" w:eastAsia="zh-CN"/>
            </w:rPr>
            <w:fldChar w:fldCharType="separate"/>
          </w:r>
          <w:r>
            <w:rPr>
              <w:rFonts w:ascii="Times New Roman" w:hAnsi="Times New Roman" w:eastAsia="黑体"/>
              <w:snapToGrid w:val="0"/>
              <w:color w:val="auto"/>
              <w:szCs w:val="30"/>
            </w:rPr>
            <w:t>二、建设项目工程分析</w:t>
          </w:r>
          <w:r>
            <w:rPr>
              <w:color w:val="auto"/>
            </w:rPr>
            <w:tab/>
          </w:r>
          <w:r>
            <w:rPr>
              <w:color w:val="auto"/>
            </w:rPr>
            <w:fldChar w:fldCharType="begin"/>
          </w:r>
          <w:r>
            <w:rPr>
              <w:color w:val="auto"/>
            </w:rPr>
            <w:instrText xml:space="preserve"> PAGEREF _Toc11592 \h </w:instrText>
          </w:r>
          <w:r>
            <w:rPr>
              <w:color w:val="auto"/>
            </w:rPr>
            <w:fldChar w:fldCharType="separate"/>
          </w:r>
          <w:r>
            <w:rPr>
              <w:color w:val="auto"/>
            </w:rPr>
            <w:t>10</w:t>
          </w:r>
          <w:r>
            <w:rPr>
              <w:color w:val="auto"/>
            </w:rPr>
            <w:fldChar w:fldCharType="end"/>
          </w:r>
          <w:r>
            <w:rPr>
              <w:rFonts w:hint="default" w:ascii="Times New Roman" w:hAnsi="Times New Roman" w:eastAsia="宋体" w:cs="Times New Roman"/>
              <w:color w:val="auto"/>
              <w:lang w:val="en-US" w:eastAsia="zh-CN"/>
            </w:rPr>
            <w:fldChar w:fldCharType="end"/>
          </w:r>
        </w:p>
        <w:p w14:paraId="1779D185">
          <w:pPr>
            <w:pStyle w:val="32"/>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color w:val="auto"/>
            </w:rPr>
          </w:pPr>
          <w:r>
            <w:rPr>
              <w:rFonts w:hint="default" w:ascii="Times New Roman" w:hAnsi="Times New Roman" w:eastAsia="宋体" w:cs="Times New Roman"/>
              <w:color w:val="auto"/>
              <w:lang w:val="en-US" w:eastAsia="zh-CN"/>
            </w:rPr>
            <w:fldChar w:fldCharType="begin"/>
          </w:r>
          <w:r>
            <w:rPr>
              <w:rFonts w:hint="default" w:ascii="Times New Roman" w:hAnsi="Times New Roman" w:eastAsia="宋体" w:cs="Times New Roman"/>
              <w:color w:val="auto"/>
              <w:lang w:val="en-US" w:eastAsia="zh-CN"/>
            </w:rPr>
            <w:instrText xml:space="preserve"> HYPERLINK \l _Toc24880 </w:instrText>
          </w:r>
          <w:r>
            <w:rPr>
              <w:rFonts w:hint="default" w:ascii="Times New Roman" w:hAnsi="Times New Roman" w:eastAsia="宋体" w:cs="Times New Roman"/>
              <w:color w:val="auto"/>
              <w:lang w:val="en-US" w:eastAsia="zh-CN"/>
            </w:rPr>
            <w:fldChar w:fldCharType="separate"/>
          </w:r>
          <w:r>
            <w:rPr>
              <w:rFonts w:ascii="Times New Roman" w:hAnsi="Times New Roman" w:eastAsia="黑体"/>
              <w:snapToGrid w:val="0"/>
              <w:color w:val="auto"/>
              <w:szCs w:val="30"/>
            </w:rPr>
            <w:t>三、区域环境质量现状、环境保护目标及评价标准</w:t>
          </w:r>
          <w:r>
            <w:rPr>
              <w:color w:val="auto"/>
            </w:rPr>
            <w:tab/>
          </w:r>
          <w:r>
            <w:rPr>
              <w:color w:val="auto"/>
            </w:rPr>
            <w:fldChar w:fldCharType="begin"/>
          </w:r>
          <w:r>
            <w:rPr>
              <w:color w:val="auto"/>
            </w:rPr>
            <w:instrText xml:space="preserve"> PAGEREF _Toc24880 \h </w:instrText>
          </w:r>
          <w:r>
            <w:rPr>
              <w:color w:val="auto"/>
            </w:rPr>
            <w:fldChar w:fldCharType="separate"/>
          </w:r>
          <w:r>
            <w:rPr>
              <w:color w:val="auto"/>
            </w:rPr>
            <w:t>25</w:t>
          </w:r>
          <w:r>
            <w:rPr>
              <w:color w:val="auto"/>
            </w:rPr>
            <w:fldChar w:fldCharType="end"/>
          </w:r>
          <w:r>
            <w:rPr>
              <w:rFonts w:hint="default" w:ascii="Times New Roman" w:hAnsi="Times New Roman" w:eastAsia="宋体" w:cs="Times New Roman"/>
              <w:color w:val="auto"/>
              <w:lang w:val="en-US" w:eastAsia="zh-CN"/>
            </w:rPr>
            <w:fldChar w:fldCharType="end"/>
          </w:r>
        </w:p>
        <w:p w14:paraId="4A735A33">
          <w:pPr>
            <w:pStyle w:val="32"/>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color w:val="auto"/>
            </w:rPr>
          </w:pPr>
          <w:r>
            <w:rPr>
              <w:rFonts w:hint="default" w:ascii="Times New Roman" w:hAnsi="Times New Roman" w:eastAsia="宋体" w:cs="Times New Roman"/>
              <w:color w:val="auto"/>
              <w:lang w:val="en-US" w:eastAsia="zh-CN"/>
            </w:rPr>
            <w:fldChar w:fldCharType="begin"/>
          </w:r>
          <w:r>
            <w:rPr>
              <w:rFonts w:hint="default" w:ascii="Times New Roman" w:hAnsi="Times New Roman" w:eastAsia="宋体" w:cs="Times New Roman"/>
              <w:color w:val="auto"/>
              <w:lang w:val="en-US" w:eastAsia="zh-CN"/>
            </w:rPr>
            <w:instrText xml:space="preserve"> HYPERLINK \l _Toc16543 </w:instrText>
          </w:r>
          <w:r>
            <w:rPr>
              <w:rFonts w:hint="default" w:ascii="Times New Roman" w:hAnsi="Times New Roman" w:eastAsia="宋体" w:cs="Times New Roman"/>
              <w:color w:val="auto"/>
              <w:lang w:val="en-US" w:eastAsia="zh-CN"/>
            </w:rPr>
            <w:fldChar w:fldCharType="separate"/>
          </w:r>
          <w:r>
            <w:rPr>
              <w:rFonts w:ascii="Times New Roman" w:hAnsi="Times New Roman" w:eastAsia="黑体"/>
              <w:snapToGrid w:val="0"/>
              <w:color w:val="auto"/>
              <w:szCs w:val="30"/>
            </w:rPr>
            <w:t>四、主要环境影响和保护措施</w:t>
          </w:r>
          <w:r>
            <w:rPr>
              <w:color w:val="auto"/>
            </w:rPr>
            <w:tab/>
          </w:r>
          <w:r>
            <w:rPr>
              <w:color w:val="auto"/>
            </w:rPr>
            <w:fldChar w:fldCharType="begin"/>
          </w:r>
          <w:r>
            <w:rPr>
              <w:color w:val="auto"/>
            </w:rPr>
            <w:instrText xml:space="preserve"> PAGEREF _Toc16543 \h </w:instrText>
          </w:r>
          <w:r>
            <w:rPr>
              <w:color w:val="auto"/>
            </w:rPr>
            <w:fldChar w:fldCharType="separate"/>
          </w:r>
          <w:r>
            <w:rPr>
              <w:color w:val="auto"/>
            </w:rPr>
            <w:t>30</w:t>
          </w:r>
          <w:r>
            <w:rPr>
              <w:color w:val="auto"/>
            </w:rPr>
            <w:fldChar w:fldCharType="end"/>
          </w:r>
          <w:r>
            <w:rPr>
              <w:rFonts w:hint="default" w:ascii="Times New Roman" w:hAnsi="Times New Roman" w:eastAsia="宋体" w:cs="Times New Roman"/>
              <w:color w:val="auto"/>
              <w:lang w:val="en-US" w:eastAsia="zh-CN"/>
            </w:rPr>
            <w:fldChar w:fldCharType="end"/>
          </w:r>
        </w:p>
        <w:p w14:paraId="5A9E8381">
          <w:pPr>
            <w:pStyle w:val="32"/>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color w:val="auto"/>
            </w:rPr>
          </w:pPr>
          <w:r>
            <w:rPr>
              <w:rFonts w:hint="default" w:ascii="Times New Roman" w:hAnsi="Times New Roman" w:eastAsia="宋体" w:cs="Times New Roman"/>
              <w:color w:val="auto"/>
              <w:lang w:val="en-US" w:eastAsia="zh-CN"/>
            </w:rPr>
            <w:fldChar w:fldCharType="begin"/>
          </w:r>
          <w:r>
            <w:rPr>
              <w:rFonts w:hint="default" w:ascii="Times New Roman" w:hAnsi="Times New Roman" w:eastAsia="宋体" w:cs="Times New Roman"/>
              <w:color w:val="auto"/>
              <w:lang w:val="en-US" w:eastAsia="zh-CN"/>
            </w:rPr>
            <w:instrText xml:space="preserve"> HYPERLINK \l _Toc6666 </w:instrText>
          </w:r>
          <w:r>
            <w:rPr>
              <w:rFonts w:hint="default" w:ascii="Times New Roman" w:hAnsi="Times New Roman" w:eastAsia="宋体" w:cs="Times New Roman"/>
              <w:color w:val="auto"/>
              <w:lang w:val="en-US" w:eastAsia="zh-CN"/>
            </w:rPr>
            <w:fldChar w:fldCharType="separate"/>
          </w:r>
          <w:r>
            <w:rPr>
              <w:rFonts w:ascii="Times New Roman" w:hAnsi="Times New Roman" w:eastAsia="黑体"/>
              <w:snapToGrid w:val="0"/>
              <w:color w:val="auto"/>
              <w:szCs w:val="30"/>
            </w:rPr>
            <w:t>五、环境保护措施监督检查清单</w:t>
          </w:r>
          <w:r>
            <w:rPr>
              <w:color w:val="auto"/>
            </w:rPr>
            <w:tab/>
          </w:r>
          <w:r>
            <w:rPr>
              <w:color w:val="auto"/>
            </w:rPr>
            <w:fldChar w:fldCharType="begin"/>
          </w:r>
          <w:r>
            <w:rPr>
              <w:color w:val="auto"/>
            </w:rPr>
            <w:instrText xml:space="preserve"> PAGEREF _Toc6666 \h </w:instrText>
          </w:r>
          <w:r>
            <w:rPr>
              <w:color w:val="auto"/>
            </w:rPr>
            <w:fldChar w:fldCharType="separate"/>
          </w:r>
          <w:r>
            <w:rPr>
              <w:color w:val="auto"/>
            </w:rPr>
            <w:t>62</w:t>
          </w:r>
          <w:r>
            <w:rPr>
              <w:color w:val="auto"/>
            </w:rPr>
            <w:fldChar w:fldCharType="end"/>
          </w:r>
          <w:r>
            <w:rPr>
              <w:rFonts w:hint="default" w:ascii="Times New Roman" w:hAnsi="Times New Roman" w:eastAsia="宋体" w:cs="Times New Roman"/>
              <w:color w:val="auto"/>
              <w:lang w:val="en-US" w:eastAsia="zh-CN"/>
            </w:rPr>
            <w:fldChar w:fldCharType="end"/>
          </w:r>
        </w:p>
        <w:p w14:paraId="39E9BE61">
          <w:pPr>
            <w:pStyle w:val="32"/>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color w:val="auto"/>
            </w:rPr>
          </w:pPr>
          <w:r>
            <w:rPr>
              <w:rFonts w:hint="default" w:ascii="Times New Roman" w:hAnsi="Times New Roman" w:eastAsia="宋体" w:cs="Times New Roman"/>
              <w:color w:val="auto"/>
              <w:lang w:val="en-US" w:eastAsia="zh-CN"/>
            </w:rPr>
            <w:fldChar w:fldCharType="begin"/>
          </w:r>
          <w:r>
            <w:rPr>
              <w:rFonts w:hint="default" w:ascii="Times New Roman" w:hAnsi="Times New Roman" w:eastAsia="宋体" w:cs="Times New Roman"/>
              <w:color w:val="auto"/>
              <w:lang w:val="en-US" w:eastAsia="zh-CN"/>
            </w:rPr>
            <w:instrText xml:space="preserve"> HYPERLINK \l _Toc11029 </w:instrText>
          </w:r>
          <w:r>
            <w:rPr>
              <w:rFonts w:hint="default" w:ascii="Times New Roman" w:hAnsi="Times New Roman" w:eastAsia="宋体" w:cs="Times New Roman"/>
              <w:color w:val="auto"/>
              <w:lang w:val="en-US" w:eastAsia="zh-CN"/>
            </w:rPr>
            <w:fldChar w:fldCharType="separate"/>
          </w:r>
          <w:r>
            <w:rPr>
              <w:rFonts w:ascii="Times New Roman" w:hAnsi="Times New Roman" w:eastAsia="黑体"/>
              <w:snapToGrid w:val="0"/>
              <w:color w:val="auto"/>
              <w:szCs w:val="30"/>
            </w:rPr>
            <w:t>六、结论</w:t>
          </w:r>
          <w:r>
            <w:rPr>
              <w:color w:val="auto"/>
            </w:rPr>
            <w:tab/>
          </w:r>
          <w:r>
            <w:rPr>
              <w:color w:val="auto"/>
            </w:rPr>
            <w:fldChar w:fldCharType="begin"/>
          </w:r>
          <w:r>
            <w:rPr>
              <w:color w:val="auto"/>
            </w:rPr>
            <w:instrText xml:space="preserve"> PAGEREF _Toc11029 \h </w:instrText>
          </w:r>
          <w:r>
            <w:rPr>
              <w:color w:val="auto"/>
            </w:rPr>
            <w:fldChar w:fldCharType="separate"/>
          </w:r>
          <w:r>
            <w:rPr>
              <w:color w:val="auto"/>
            </w:rPr>
            <w:t>67</w:t>
          </w:r>
          <w:r>
            <w:rPr>
              <w:color w:val="auto"/>
            </w:rPr>
            <w:fldChar w:fldCharType="end"/>
          </w:r>
          <w:r>
            <w:rPr>
              <w:rFonts w:hint="default" w:ascii="Times New Roman" w:hAnsi="Times New Roman" w:eastAsia="宋体" w:cs="Times New Roman"/>
              <w:color w:val="auto"/>
              <w:lang w:val="en-US" w:eastAsia="zh-CN"/>
            </w:rPr>
            <w:fldChar w:fldCharType="end"/>
          </w:r>
        </w:p>
        <w:p w14:paraId="135F7300">
          <w:pPr>
            <w:pStyle w:val="32"/>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color w:val="auto"/>
            </w:rPr>
          </w:pPr>
          <w:r>
            <w:rPr>
              <w:rFonts w:hint="default" w:ascii="Times New Roman" w:hAnsi="Times New Roman" w:eastAsia="宋体" w:cs="Times New Roman"/>
              <w:color w:val="auto"/>
              <w:lang w:val="en-US" w:eastAsia="zh-CN"/>
            </w:rPr>
            <w:fldChar w:fldCharType="begin"/>
          </w:r>
          <w:r>
            <w:rPr>
              <w:rFonts w:hint="default" w:ascii="Times New Roman" w:hAnsi="Times New Roman" w:eastAsia="宋体" w:cs="Times New Roman"/>
              <w:color w:val="auto"/>
              <w:lang w:val="en-US" w:eastAsia="zh-CN"/>
            </w:rPr>
            <w:instrText xml:space="preserve"> HYPERLINK \l _Toc21181 </w:instrText>
          </w:r>
          <w:r>
            <w:rPr>
              <w:rFonts w:hint="default" w:ascii="Times New Roman" w:hAnsi="Times New Roman" w:eastAsia="宋体" w:cs="Times New Roman"/>
              <w:color w:val="auto"/>
              <w:lang w:val="en-US" w:eastAsia="zh-CN"/>
            </w:rPr>
            <w:fldChar w:fldCharType="separate"/>
          </w:r>
          <w:r>
            <w:rPr>
              <w:rFonts w:ascii="Times New Roman" w:hAnsi="Times New Roman" w:eastAsia="方正小标宋_GBK"/>
              <w:snapToGrid w:val="0"/>
              <w:color w:val="auto"/>
              <w:szCs w:val="38"/>
            </w:rPr>
            <w:t>附表</w:t>
          </w:r>
          <w:r>
            <w:rPr>
              <w:color w:val="auto"/>
            </w:rPr>
            <w:tab/>
          </w:r>
          <w:r>
            <w:rPr>
              <w:color w:val="auto"/>
            </w:rPr>
            <w:fldChar w:fldCharType="begin"/>
          </w:r>
          <w:r>
            <w:rPr>
              <w:color w:val="auto"/>
            </w:rPr>
            <w:instrText xml:space="preserve"> PAGEREF _Toc21181 \h </w:instrText>
          </w:r>
          <w:r>
            <w:rPr>
              <w:color w:val="auto"/>
            </w:rPr>
            <w:fldChar w:fldCharType="separate"/>
          </w:r>
          <w:r>
            <w:rPr>
              <w:color w:val="auto"/>
            </w:rPr>
            <w:t>68</w:t>
          </w:r>
          <w:r>
            <w:rPr>
              <w:color w:val="auto"/>
            </w:rPr>
            <w:fldChar w:fldCharType="end"/>
          </w:r>
          <w:r>
            <w:rPr>
              <w:rFonts w:hint="default" w:ascii="Times New Roman" w:hAnsi="Times New Roman" w:eastAsia="宋体" w:cs="Times New Roman"/>
              <w:color w:val="auto"/>
              <w:lang w:val="en-US" w:eastAsia="zh-CN"/>
            </w:rPr>
            <w:fldChar w:fldCharType="end"/>
          </w:r>
        </w:p>
        <w:p w14:paraId="375D8EE6">
          <w:pPr>
            <w:pStyle w:val="32"/>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color w:val="auto"/>
            </w:rPr>
          </w:pPr>
          <w:r>
            <w:rPr>
              <w:rFonts w:hint="default" w:ascii="Times New Roman" w:hAnsi="Times New Roman" w:eastAsia="宋体" w:cs="Times New Roman"/>
              <w:color w:val="auto"/>
              <w:lang w:val="en-US" w:eastAsia="zh-CN"/>
            </w:rPr>
            <w:fldChar w:fldCharType="begin"/>
          </w:r>
          <w:r>
            <w:rPr>
              <w:rFonts w:hint="default" w:ascii="Times New Roman" w:hAnsi="Times New Roman" w:eastAsia="宋体" w:cs="Times New Roman"/>
              <w:color w:val="auto"/>
              <w:lang w:val="en-US" w:eastAsia="zh-CN"/>
            </w:rPr>
            <w:instrText xml:space="preserve"> HYPERLINK \l _Toc29531 </w:instrText>
          </w:r>
          <w:r>
            <w:rPr>
              <w:rFonts w:hint="default" w:ascii="Times New Roman" w:hAnsi="Times New Roman" w:eastAsia="宋体" w:cs="Times New Roman"/>
              <w:color w:val="auto"/>
              <w:lang w:val="en-US" w:eastAsia="zh-CN"/>
            </w:rPr>
            <w:fldChar w:fldCharType="separate"/>
          </w:r>
          <w:r>
            <w:rPr>
              <w:rFonts w:ascii="Times New Roman" w:hAnsi="Times New Roman" w:eastAsia="宋体" w:cs="Times New Roman"/>
              <w:color w:val="auto"/>
              <w:kern w:val="2"/>
              <w:szCs w:val="36"/>
              <w:lang w:val="zh-CN" w:eastAsia="zh-CN" w:bidi="ar-SA"/>
            </w:rPr>
            <w:t>建设项目污染物排放量汇总表</w:t>
          </w:r>
          <w:r>
            <w:rPr>
              <w:color w:val="auto"/>
            </w:rPr>
            <w:tab/>
          </w:r>
          <w:r>
            <w:rPr>
              <w:color w:val="auto"/>
            </w:rPr>
            <w:fldChar w:fldCharType="begin"/>
          </w:r>
          <w:r>
            <w:rPr>
              <w:color w:val="auto"/>
            </w:rPr>
            <w:instrText xml:space="preserve"> PAGEREF _Toc29531 \h </w:instrText>
          </w:r>
          <w:r>
            <w:rPr>
              <w:color w:val="auto"/>
            </w:rPr>
            <w:fldChar w:fldCharType="separate"/>
          </w:r>
          <w:r>
            <w:rPr>
              <w:color w:val="auto"/>
            </w:rPr>
            <w:t>68</w:t>
          </w:r>
          <w:r>
            <w:rPr>
              <w:color w:val="auto"/>
            </w:rPr>
            <w:fldChar w:fldCharType="end"/>
          </w:r>
          <w:r>
            <w:rPr>
              <w:rFonts w:hint="default" w:ascii="Times New Roman" w:hAnsi="Times New Roman" w:eastAsia="宋体" w:cs="Times New Roman"/>
              <w:color w:val="auto"/>
              <w:lang w:val="en-US" w:eastAsia="zh-CN"/>
            </w:rPr>
            <w:fldChar w:fldCharType="end"/>
          </w:r>
        </w:p>
        <w:p w14:paraId="386157A8">
          <w:pPr>
            <w:pStyle w:val="32"/>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color w:val="auto"/>
            </w:rPr>
          </w:pPr>
          <w:r>
            <w:rPr>
              <w:rFonts w:hint="default" w:ascii="Times New Roman" w:hAnsi="Times New Roman" w:eastAsia="宋体" w:cs="Times New Roman"/>
              <w:color w:val="auto"/>
              <w:lang w:val="en-US" w:eastAsia="zh-CN"/>
            </w:rPr>
            <w:fldChar w:fldCharType="begin"/>
          </w:r>
          <w:r>
            <w:rPr>
              <w:rFonts w:hint="default" w:ascii="Times New Roman" w:hAnsi="Times New Roman" w:eastAsia="宋体" w:cs="Times New Roman"/>
              <w:color w:val="auto"/>
              <w:lang w:val="en-US" w:eastAsia="zh-CN"/>
            </w:rPr>
            <w:instrText xml:space="preserve"> HYPERLINK \l _Toc4851 </w:instrText>
          </w:r>
          <w:r>
            <w:rPr>
              <w:rFonts w:hint="default" w:ascii="Times New Roman" w:hAnsi="Times New Roman" w:eastAsia="宋体" w:cs="Times New Roman"/>
              <w:color w:val="auto"/>
              <w:lang w:val="en-US" w:eastAsia="zh-CN"/>
            </w:rPr>
            <w:fldChar w:fldCharType="separate"/>
          </w:r>
          <w:r>
            <w:rPr>
              <w:rFonts w:ascii="Times New Roman" w:hAnsi="Times New Roman" w:eastAsia="黑体"/>
              <w:snapToGrid w:val="0"/>
              <w:color w:val="auto"/>
              <w:szCs w:val="32"/>
            </w:rPr>
            <w:t>附图</w:t>
          </w:r>
          <w:r>
            <w:rPr>
              <w:color w:val="auto"/>
            </w:rPr>
            <w:tab/>
          </w:r>
          <w:r>
            <w:rPr>
              <w:color w:val="auto"/>
            </w:rPr>
            <w:fldChar w:fldCharType="begin"/>
          </w:r>
          <w:r>
            <w:rPr>
              <w:color w:val="auto"/>
            </w:rPr>
            <w:instrText xml:space="preserve"> PAGEREF _Toc4851 \h </w:instrText>
          </w:r>
          <w:r>
            <w:rPr>
              <w:color w:val="auto"/>
            </w:rPr>
            <w:fldChar w:fldCharType="separate"/>
          </w:r>
          <w:r>
            <w:rPr>
              <w:color w:val="auto"/>
            </w:rPr>
            <w:t>12</w:t>
          </w:r>
          <w:r>
            <w:rPr>
              <w:color w:val="auto"/>
            </w:rPr>
            <w:fldChar w:fldCharType="end"/>
          </w:r>
          <w:r>
            <w:rPr>
              <w:rFonts w:hint="default" w:ascii="Times New Roman" w:hAnsi="Times New Roman" w:eastAsia="宋体" w:cs="Times New Roman"/>
              <w:color w:val="auto"/>
              <w:lang w:val="en-US" w:eastAsia="zh-CN"/>
            </w:rPr>
            <w:fldChar w:fldCharType="end"/>
          </w:r>
        </w:p>
        <w:p w14:paraId="332AE45F">
          <w:pPr>
            <w:pStyle w:val="32"/>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color w:val="auto"/>
            </w:rPr>
          </w:pPr>
          <w:r>
            <w:rPr>
              <w:rFonts w:hint="default" w:ascii="Times New Roman" w:hAnsi="Times New Roman" w:eastAsia="宋体" w:cs="Times New Roman"/>
              <w:color w:val="auto"/>
              <w:lang w:val="en-US" w:eastAsia="zh-CN"/>
            </w:rPr>
            <w:fldChar w:fldCharType="begin"/>
          </w:r>
          <w:r>
            <w:rPr>
              <w:rFonts w:hint="default" w:ascii="Times New Roman" w:hAnsi="Times New Roman" w:eastAsia="宋体" w:cs="Times New Roman"/>
              <w:color w:val="auto"/>
              <w:lang w:val="en-US" w:eastAsia="zh-CN"/>
            </w:rPr>
            <w:instrText xml:space="preserve"> HYPERLINK \l _Toc5952 </w:instrText>
          </w:r>
          <w:r>
            <w:rPr>
              <w:rFonts w:hint="default" w:ascii="Times New Roman" w:hAnsi="Times New Roman" w:eastAsia="宋体" w:cs="Times New Roman"/>
              <w:color w:val="auto"/>
              <w:lang w:val="en-US" w:eastAsia="zh-CN"/>
            </w:rPr>
            <w:fldChar w:fldCharType="separate"/>
          </w:r>
          <w:r>
            <w:rPr>
              <w:rFonts w:ascii="Times New Roman" w:hAnsi="Times New Roman" w:eastAsia="黑体"/>
              <w:color w:val="auto"/>
              <w:szCs w:val="32"/>
            </w:rPr>
            <w:t>附件</w:t>
          </w:r>
          <w:r>
            <w:rPr>
              <w:color w:val="auto"/>
            </w:rPr>
            <w:tab/>
          </w:r>
          <w:r>
            <w:rPr>
              <w:color w:val="auto"/>
            </w:rPr>
            <w:fldChar w:fldCharType="begin"/>
          </w:r>
          <w:r>
            <w:rPr>
              <w:color w:val="auto"/>
            </w:rPr>
            <w:instrText xml:space="preserve"> PAGEREF _Toc5952 \h </w:instrText>
          </w:r>
          <w:r>
            <w:rPr>
              <w:color w:val="auto"/>
            </w:rPr>
            <w:fldChar w:fldCharType="separate"/>
          </w:r>
          <w:r>
            <w:rPr>
              <w:color w:val="auto"/>
            </w:rPr>
            <w:t>19</w:t>
          </w:r>
          <w:r>
            <w:rPr>
              <w:color w:val="auto"/>
            </w:rPr>
            <w:fldChar w:fldCharType="end"/>
          </w:r>
          <w:r>
            <w:rPr>
              <w:rFonts w:hint="default" w:ascii="Times New Roman" w:hAnsi="Times New Roman" w:eastAsia="宋体" w:cs="Times New Roman"/>
              <w:color w:val="auto"/>
              <w:lang w:val="en-US" w:eastAsia="zh-CN"/>
            </w:rPr>
            <w:fldChar w:fldCharType="end"/>
          </w:r>
        </w:p>
        <w:p w14:paraId="641AC450">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kern w:val="2"/>
              <w:sz w:val="21"/>
              <w:szCs w:val="24"/>
              <w:lang w:val="en-US" w:eastAsia="zh-CN" w:bidi="ar-SA"/>
            </w:rPr>
            <w:sectPr>
              <w:footerReference r:id="rId4"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r>
            <w:rPr>
              <w:rFonts w:hint="default" w:ascii="Times New Roman" w:hAnsi="Times New Roman" w:eastAsia="宋体" w:cs="Times New Roman"/>
              <w:color w:val="auto"/>
              <w:lang w:val="en-US" w:eastAsia="zh-CN"/>
            </w:rPr>
            <w:fldChar w:fldCharType="end"/>
          </w:r>
        </w:p>
      </w:sdtContent>
    </w:sdt>
    <w:p w14:paraId="19D4E3CD">
      <w:pPr>
        <w:jc w:val="center"/>
        <w:rPr>
          <w:rFonts w:hint="eastAsia" w:cs="Times New Roman"/>
          <w:b/>
          <w:bCs/>
          <w:color w:val="auto"/>
          <w:kern w:val="2"/>
          <w:sz w:val="28"/>
          <w:szCs w:val="28"/>
          <w:lang w:val="en-US" w:eastAsia="zh-CN" w:bidi="ar-SA"/>
        </w:rPr>
      </w:pPr>
      <w:r>
        <w:rPr>
          <w:rFonts w:hint="eastAsia" w:cs="Times New Roman"/>
          <w:b/>
          <w:bCs/>
          <w:color w:val="auto"/>
          <w:kern w:val="2"/>
          <w:sz w:val="28"/>
          <w:szCs w:val="28"/>
          <w:lang w:val="en-US" w:eastAsia="zh-CN" w:bidi="ar-SA"/>
        </w:rPr>
        <w:t>现场照片</w:t>
      </w:r>
    </w:p>
    <w:p w14:paraId="74C9323C">
      <w:pPr>
        <w:jc w:val="center"/>
        <w:rPr>
          <w:rFonts w:hint="eastAsia" w:cs="Times New Roman"/>
          <w:b/>
          <w:bCs/>
          <w:color w:val="auto"/>
          <w:kern w:val="2"/>
          <w:sz w:val="28"/>
          <w:szCs w:val="28"/>
          <w:lang w:val="en-US" w:eastAsia="zh-CN" w:bidi="ar-SA"/>
        </w:rPr>
      </w:pPr>
    </w:p>
    <w:p w14:paraId="6F25CC5F">
      <w:pPr>
        <w:jc w:val="center"/>
        <w:rPr>
          <w:rFonts w:hint="eastAsia" w:cs="Times New Roman"/>
          <w:b/>
          <w:bCs/>
          <w:color w:val="auto"/>
          <w:kern w:val="2"/>
          <w:sz w:val="28"/>
          <w:szCs w:val="28"/>
          <w:lang w:val="en-US" w:eastAsia="zh-CN" w:bidi="ar-SA"/>
        </w:rPr>
      </w:pPr>
    </w:p>
    <w:p w14:paraId="1DB307F1">
      <w:pPr>
        <w:rPr>
          <w:rFonts w:hint="default" w:cs="Times New Roman"/>
          <w:color w:val="auto"/>
          <w:kern w:val="2"/>
          <w:sz w:val="21"/>
          <w:szCs w:val="24"/>
          <w:lang w:val="en-US" w:eastAsia="zh-CN" w:bidi="ar-SA"/>
        </w:rPr>
      </w:pPr>
      <w:r>
        <w:rPr>
          <w:rFonts w:hint="eastAsia" w:cs="Times New Roman"/>
          <w:color w:val="auto"/>
          <w:kern w:val="2"/>
          <w:sz w:val="21"/>
          <w:szCs w:val="24"/>
          <w:lang w:val="en-US" w:eastAsia="zh-CN" w:bidi="ar-SA"/>
        </w:rPr>
        <w:t xml:space="preserve">  </w:t>
      </w:r>
    </w:p>
    <w:p w14:paraId="242F7525">
      <w:pPr>
        <w:rPr>
          <w:rFonts w:hint="default" w:cs="Times New Roman"/>
          <w:color w:val="auto"/>
          <w:kern w:val="2"/>
          <w:sz w:val="21"/>
          <w:szCs w:val="24"/>
          <w:lang w:val="en-US" w:eastAsia="zh-CN" w:bidi="ar-SA"/>
        </w:rPr>
      </w:pPr>
      <w:r>
        <w:rPr>
          <w:rFonts w:hint="default" w:cs="Times New Roman"/>
          <w:color w:val="auto"/>
          <w:kern w:val="2"/>
          <w:sz w:val="21"/>
          <w:szCs w:val="24"/>
          <w:lang w:val="en-US" w:eastAsia="zh-CN" w:bidi="ar-SA"/>
        </w:rPr>
        <w:drawing>
          <wp:inline distT="0" distB="0" distL="114300" distR="114300">
            <wp:extent cx="2690495" cy="2540635"/>
            <wp:effectExtent l="0" t="0" r="14605" b="12065"/>
            <wp:docPr id="34" name="图片 34" descr="微信图片_20250605152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微信图片_20250605152857"/>
                    <pic:cNvPicPr>
                      <a:picLocks noChangeAspect="1"/>
                    </pic:cNvPicPr>
                  </pic:nvPicPr>
                  <pic:blipFill>
                    <a:blip r:embed="rId14"/>
                    <a:stretch>
                      <a:fillRect/>
                    </a:stretch>
                  </pic:blipFill>
                  <pic:spPr>
                    <a:xfrm>
                      <a:off x="0" y="0"/>
                      <a:ext cx="2690495" cy="2540635"/>
                    </a:xfrm>
                    <a:prstGeom prst="rect">
                      <a:avLst/>
                    </a:prstGeom>
                  </pic:spPr>
                </pic:pic>
              </a:graphicData>
            </a:graphic>
          </wp:inline>
        </w:drawing>
      </w:r>
      <w:r>
        <w:rPr>
          <w:rFonts w:hint="eastAsia" w:cs="Times New Roman"/>
          <w:color w:val="auto"/>
          <w:kern w:val="2"/>
          <w:sz w:val="21"/>
          <w:szCs w:val="24"/>
          <w:lang w:val="en-US" w:eastAsia="zh-CN" w:bidi="ar-SA"/>
        </w:rPr>
        <w:t xml:space="preserve"> </w:t>
      </w:r>
      <w:r>
        <w:rPr>
          <w:rFonts w:hint="default" w:cs="Times New Roman"/>
          <w:color w:val="auto"/>
          <w:kern w:val="2"/>
          <w:sz w:val="21"/>
          <w:szCs w:val="24"/>
          <w:lang w:val="en-US" w:eastAsia="zh-CN" w:bidi="ar-SA"/>
        </w:rPr>
        <w:drawing>
          <wp:inline distT="0" distB="0" distL="114300" distR="114300">
            <wp:extent cx="2751455" cy="2546350"/>
            <wp:effectExtent l="0" t="0" r="10795" b="6350"/>
            <wp:docPr id="35" name="图片 35" descr="微信图片_202506051529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微信图片_202506051529005"/>
                    <pic:cNvPicPr>
                      <a:picLocks noChangeAspect="1"/>
                    </pic:cNvPicPr>
                  </pic:nvPicPr>
                  <pic:blipFill>
                    <a:blip r:embed="rId15"/>
                    <a:stretch>
                      <a:fillRect/>
                    </a:stretch>
                  </pic:blipFill>
                  <pic:spPr>
                    <a:xfrm>
                      <a:off x="0" y="0"/>
                      <a:ext cx="2751455" cy="2546350"/>
                    </a:xfrm>
                    <a:prstGeom prst="rect">
                      <a:avLst/>
                    </a:prstGeom>
                  </pic:spPr>
                </pic:pic>
              </a:graphicData>
            </a:graphic>
          </wp:inline>
        </w:drawing>
      </w:r>
    </w:p>
    <w:p w14:paraId="1E139DF4">
      <w:pPr>
        <w:ind w:firstLine="1050" w:firstLineChars="500"/>
        <w:rPr>
          <w:rFonts w:hint="eastAsia" w:cs="Times New Roman"/>
          <w:color w:val="auto"/>
          <w:kern w:val="2"/>
          <w:sz w:val="21"/>
          <w:szCs w:val="24"/>
          <w:lang w:val="en-US" w:eastAsia="zh-CN" w:bidi="ar-SA"/>
        </w:rPr>
      </w:pPr>
      <w:r>
        <w:rPr>
          <w:rFonts w:hint="eastAsia" w:cs="Times New Roman"/>
          <w:color w:val="auto"/>
          <w:kern w:val="2"/>
          <w:sz w:val="21"/>
          <w:szCs w:val="24"/>
          <w:lang w:val="en-US" w:eastAsia="zh-CN" w:bidi="ar-SA"/>
        </w:rPr>
        <w:t>混凝土生产线（已建成）                    沥青混凝土生产线（已建成）</w:t>
      </w:r>
    </w:p>
    <w:p w14:paraId="2913BD27">
      <w:pPr>
        <w:ind w:firstLine="1050" w:firstLineChars="500"/>
        <w:rPr>
          <w:rFonts w:hint="eastAsia" w:cs="Times New Roman"/>
          <w:color w:val="auto"/>
          <w:kern w:val="2"/>
          <w:sz w:val="21"/>
          <w:szCs w:val="24"/>
          <w:lang w:val="en-US" w:eastAsia="zh-CN" w:bidi="ar-SA"/>
        </w:rPr>
      </w:pPr>
    </w:p>
    <w:p w14:paraId="4CA13C97">
      <w:pPr>
        <w:ind w:firstLine="1050" w:firstLineChars="500"/>
        <w:rPr>
          <w:rFonts w:hint="default" w:cs="Times New Roman"/>
          <w:color w:val="auto"/>
          <w:kern w:val="2"/>
          <w:sz w:val="21"/>
          <w:szCs w:val="24"/>
          <w:lang w:val="en-US" w:eastAsia="zh-CN" w:bidi="ar-SA"/>
        </w:rPr>
      </w:pPr>
    </w:p>
    <w:p w14:paraId="5DA656CF">
      <w:pPr>
        <w:rPr>
          <w:rFonts w:hint="default" w:cs="Times New Roman"/>
          <w:color w:val="auto"/>
          <w:kern w:val="2"/>
          <w:sz w:val="21"/>
          <w:szCs w:val="24"/>
          <w:lang w:val="en-US" w:eastAsia="zh-CN" w:bidi="ar-SA"/>
        </w:rPr>
      </w:pPr>
      <w:r>
        <w:rPr>
          <w:rFonts w:hint="default" w:cs="Times New Roman"/>
          <w:color w:val="auto"/>
          <w:kern w:val="2"/>
          <w:sz w:val="21"/>
          <w:szCs w:val="24"/>
          <w:lang w:val="en-US" w:eastAsia="zh-CN" w:bidi="ar-SA"/>
        </w:rPr>
        <w:drawing>
          <wp:inline distT="0" distB="0" distL="114300" distR="114300">
            <wp:extent cx="2726055" cy="2488565"/>
            <wp:effectExtent l="0" t="0" r="17145" b="6985"/>
            <wp:docPr id="36" name="图片 36" descr="微信图片_202506051529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微信图片_202506051529021"/>
                    <pic:cNvPicPr>
                      <a:picLocks noChangeAspect="1"/>
                    </pic:cNvPicPr>
                  </pic:nvPicPr>
                  <pic:blipFill>
                    <a:blip r:embed="rId16"/>
                    <a:stretch>
                      <a:fillRect/>
                    </a:stretch>
                  </pic:blipFill>
                  <pic:spPr>
                    <a:xfrm>
                      <a:off x="0" y="0"/>
                      <a:ext cx="2726055" cy="2488565"/>
                    </a:xfrm>
                    <a:prstGeom prst="rect">
                      <a:avLst/>
                    </a:prstGeom>
                  </pic:spPr>
                </pic:pic>
              </a:graphicData>
            </a:graphic>
          </wp:inline>
        </w:drawing>
      </w:r>
      <w:r>
        <w:rPr>
          <w:rFonts w:hint="eastAsia" w:cs="Times New Roman"/>
          <w:color w:val="auto"/>
          <w:kern w:val="2"/>
          <w:sz w:val="21"/>
          <w:szCs w:val="24"/>
          <w:lang w:val="en-US" w:eastAsia="zh-CN" w:bidi="ar-SA"/>
        </w:rPr>
        <w:t xml:space="preserve"> </w:t>
      </w:r>
      <w:r>
        <w:rPr>
          <w:rFonts w:hint="default" w:cs="Times New Roman"/>
          <w:color w:val="auto"/>
          <w:kern w:val="2"/>
          <w:sz w:val="21"/>
          <w:szCs w:val="24"/>
          <w:lang w:val="en-US" w:eastAsia="zh-CN" w:bidi="ar-SA"/>
        </w:rPr>
        <w:drawing>
          <wp:inline distT="0" distB="0" distL="114300" distR="114300">
            <wp:extent cx="2693035" cy="2482215"/>
            <wp:effectExtent l="0" t="0" r="12065" b="13335"/>
            <wp:docPr id="37" name="图片 37" descr="微信图片_202506051529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微信图片_202506051529014"/>
                    <pic:cNvPicPr>
                      <a:picLocks noChangeAspect="1"/>
                    </pic:cNvPicPr>
                  </pic:nvPicPr>
                  <pic:blipFill>
                    <a:blip r:embed="rId17"/>
                    <a:stretch>
                      <a:fillRect/>
                    </a:stretch>
                  </pic:blipFill>
                  <pic:spPr>
                    <a:xfrm>
                      <a:off x="0" y="0"/>
                      <a:ext cx="2693035" cy="2482215"/>
                    </a:xfrm>
                    <a:prstGeom prst="rect">
                      <a:avLst/>
                    </a:prstGeom>
                  </pic:spPr>
                </pic:pic>
              </a:graphicData>
            </a:graphic>
          </wp:inline>
        </w:drawing>
      </w:r>
    </w:p>
    <w:p w14:paraId="1A097B76">
      <w:pPr>
        <w:rPr>
          <w:rFonts w:hint="default" w:cs="Times New Roman"/>
          <w:color w:val="auto"/>
          <w:kern w:val="2"/>
          <w:sz w:val="21"/>
          <w:szCs w:val="24"/>
          <w:lang w:val="en-US" w:eastAsia="zh-CN" w:bidi="ar-SA"/>
        </w:rPr>
      </w:pPr>
      <w:r>
        <w:rPr>
          <w:rFonts w:hint="eastAsia" w:cs="Times New Roman"/>
          <w:color w:val="auto"/>
          <w:kern w:val="2"/>
          <w:sz w:val="21"/>
          <w:szCs w:val="24"/>
          <w:lang w:val="en-US" w:eastAsia="zh-CN" w:bidi="ar-SA"/>
        </w:rPr>
        <w:t xml:space="preserve">          水稳土生产线（已建成）                     办公区（已建成主体结构）</w:t>
      </w:r>
    </w:p>
    <w:p w14:paraId="752A45F8">
      <w:pPr>
        <w:rPr>
          <w:rFonts w:hint="default" w:cs="Times New Roman"/>
          <w:color w:val="auto"/>
          <w:kern w:val="2"/>
          <w:sz w:val="21"/>
          <w:szCs w:val="24"/>
          <w:lang w:val="en-US" w:eastAsia="zh-CN" w:bidi="ar-SA"/>
        </w:rPr>
      </w:pPr>
    </w:p>
    <w:p w14:paraId="7ADE77A3">
      <w:pPr>
        <w:jc w:val="center"/>
        <w:rPr>
          <w:rFonts w:ascii="Times New Roman" w:hAnsi="Times New Roman" w:eastAsia="黑体"/>
          <w:snapToGrid w:val="0"/>
          <w:color w:val="auto"/>
          <w:sz w:val="30"/>
          <w:szCs w:val="30"/>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bookmarkStart w:id="0" w:name="_Toc25983"/>
    </w:p>
    <w:p w14:paraId="2ACE7047">
      <w:pPr>
        <w:jc w:val="center"/>
        <w:rPr>
          <w:rFonts w:ascii="Times New Roman" w:hAnsi="Times New Roman" w:eastAsia="黑体"/>
          <w:snapToGrid w:val="0"/>
          <w:color w:val="auto"/>
          <w:sz w:val="30"/>
          <w:szCs w:val="30"/>
        </w:rPr>
      </w:pPr>
      <w:r>
        <w:rPr>
          <w:rFonts w:ascii="Times New Roman" w:hAnsi="Times New Roman" w:eastAsia="黑体"/>
          <w:snapToGrid w:val="0"/>
          <w:color w:val="auto"/>
          <w:sz w:val="30"/>
          <w:szCs w:val="30"/>
        </w:rPr>
        <w:t>一、建设项目基本情况</w:t>
      </w:r>
      <w:bookmarkEnd w:id="0"/>
    </w:p>
    <w:tbl>
      <w:tblPr>
        <w:tblStyle w:val="4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928"/>
        <w:gridCol w:w="2515"/>
        <w:gridCol w:w="1883"/>
        <w:gridCol w:w="2544"/>
      </w:tblGrid>
      <w:tr w14:paraId="47AD83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28" w:type="dxa"/>
            <w:tcMar>
              <w:top w:w="16" w:type="dxa"/>
              <w:left w:w="16" w:type="dxa"/>
              <w:right w:w="16" w:type="dxa"/>
            </w:tcMar>
            <w:vAlign w:val="center"/>
          </w:tcPr>
          <w:p w14:paraId="0CE8259C">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建设项目名称</w:t>
            </w:r>
          </w:p>
        </w:tc>
        <w:tc>
          <w:tcPr>
            <w:tcW w:w="6942" w:type="dxa"/>
            <w:gridSpan w:val="3"/>
            <w:vAlign w:val="center"/>
          </w:tcPr>
          <w:p w14:paraId="741ED37B">
            <w:pPr>
              <w:adjustRightInd w:val="0"/>
              <w:snapToGrid w:val="0"/>
              <w:jc w:val="center"/>
              <w:rPr>
                <w:rFonts w:hint="default" w:ascii="Times New Roman" w:hAnsi="Times New Roman" w:eastAsia="宋体" w:cs="Times New Roman"/>
                <w:color w:val="auto"/>
                <w:spacing w:val="-10"/>
                <w:szCs w:val="21"/>
                <w:lang w:eastAsia="zh-CN"/>
              </w:rPr>
            </w:pPr>
            <w:r>
              <w:rPr>
                <w:rFonts w:hint="eastAsia" w:cs="Times New Roman"/>
                <w:color w:val="auto"/>
                <w:szCs w:val="21"/>
                <w:lang w:val="en-US" w:eastAsia="zh-CN"/>
              </w:rPr>
              <w:t>鼎信混凝土搅拌项目</w:t>
            </w:r>
          </w:p>
        </w:tc>
      </w:tr>
      <w:tr w14:paraId="45946A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28" w:type="dxa"/>
            <w:tcMar>
              <w:top w:w="16" w:type="dxa"/>
              <w:left w:w="16" w:type="dxa"/>
              <w:right w:w="16" w:type="dxa"/>
            </w:tcMar>
            <w:vAlign w:val="center"/>
          </w:tcPr>
          <w:p w14:paraId="190F5A16">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项目代码</w:t>
            </w:r>
          </w:p>
        </w:tc>
        <w:tc>
          <w:tcPr>
            <w:tcW w:w="6942" w:type="dxa"/>
            <w:gridSpan w:val="3"/>
            <w:vAlign w:val="center"/>
          </w:tcPr>
          <w:p w14:paraId="10DED43B">
            <w:pPr>
              <w:adjustRightInd w:val="0"/>
              <w:snapToGrid w:val="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w:t>
            </w:r>
          </w:p>
        </w:tc>
      </w:tr>
      <w:tr w14:paraId="4F543D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28" w:type="dxa"/>
            <w:tcMar>
              <w:top w:w="16" w:type="dxa"/>
              <w:left w:w="16" w:type="dxa"/>
              <w:right w:w="16" w:type="dxa"/>
            </w:tcMar>
            <w:vAlign w:val="center"/>
          </w:tcPr>
          <w:p w14:paraId="1F3B30B7">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建设单位联系人</w:t>
            </w:r>
          </w:p>
        </w:tc>
        <w:tc>
          <w:tcPr>
            <w:tcW w:w="2515" w:type="dxa"/>
            <w:vAlign w:val="center"/>
          </w:tcPr>
          <w:p w14:paraId="027506BF">
            <w:pPr>
              <w:adjustRightInd w:val="0"/>
              <w:snapToGrid w:val="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姚进军</w:t>
            </w:r>
          </w:p>
        </w:tc>
        <w:tc>
          <w:tcPr>
            <w:tcW w:w="1883" w:type="dxa"/>
            <w:vAlign w:val="center"/>
          </w:tcPr>
          <w:p w14:paraId="31C21F1E">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联系方式</w:t>
            </w:r>
          </w:p>
        </w:tc>
        <w:tc>
          <w:tcPr>
            <w:tcW w:w="2544" w:type="dxa"/>
            <w:vAlign w:val="center"/>
          </w:tcPr>
          <w:p w14:paraId="04B4D283">
            <w:pPr>
              <w:adjustRightInd w:val="0"/>
              <w:snapToGrid w:val="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13353423777</w:t>
            </w:r>
          </w:p>
        </w:tc>
      </w:tr>
      <w:tr w14:paraId="3A7F50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28" w:type="dxa"/>
            <w:tcMar>
              <w:top w:w="16" w:type="dxa"/>
              <w:left w:w="16" w:type="dxa"/>
              <w:right w:w="16" w:type="dxa"/>
            </w:tcMar>
            <w:vAlign w:val="center"/>
          </w:tcPr>
          <w:p w14:paraId="1F59993C">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建设地点</w:t>
            </w:r>
          </w:p>
        </w:tc>
        <w:tc>
          <w:tcPr>
            <w:tcW w:w="6942" w:type="dxa"/>
            <w:gridSpan w:val="3"/>
            <w:vAlign w:val="center"/>
          </w:tcPr>
          <w:p w14:paraId="174614D5">
            <w:pPr>
              <w:adjustRightInd w:val="0"/>
              <w:snapToGrid w:val="0"/>
              <w:jc w:val="center"/>
              <w:rPr>
                <w:rFonts w:hint="eastAsia" w:ascii="Times New Roman" w:hAnsi="Times New Roman" w:eastAsia="宋体" w:cs="Times New Roman"/>
                <w:color w:val="auto"/>
                <w:szCs w:val="21"/>
                <w:lang w:eastAsia="zh-CN"/>
              </w:rPr>
            </w:pPr>
            <w:r>
              <w:rPr>
                <w:rFonts w:hint="default" w:cs="Times New Roman"/>
                <w:color w:val="auto"/>
                <w:spacing w:val="0"/>
                <w:sz w:val="21"/>
                <w:szCs w:val="21"/>
                <w:lang w:val="en-US" w:eastAsia="zh-CN"/>
              </w:rPr>
              <w:t>山西省</w:t>
            </w:r>
            <w:r>
              <w:rPr>
                <w:rFonts w:hint="eastAsia" w:cs="Times New Roman"/>
                <w:color w:val="auto"/>
                <w:spacing w:val="0"/>
                <w:sz w:val="21"/>
                <w:szCs w:val="21"/>
                <w:lang w:val="en-US" w:eastAsia="zh-CN"/>
              </w:rPr>
              <w:t>大同市天镇县玉泉镇三里屯村北侧0.85km处</w:t>
            </w:r>
          </w:p>
        </w:tc>
      </w:tr>
      <w:tr w14:paraId="2E2A5B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28" w:type="dxa"/>
            <w:tcMar>
              <w:top w:w="16" w:type="dxa"/>
              <w:left w:w="16" w:type="dxa"/>
              <w:right w:w="16" w:type="dxa"/>
            </w:tcMar>
            <w:vAlign w:val="center"/>
          </w:tcPr>
          <w:p w14:paraId="38F4C9E3">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地理坐标</w:t>
            </w:r>
          </w:p>
        </w:tc>
        <w:tc>
          <w:tcPr>
            <w:tcW w:w="6942" w:type="dxa"/>
            <w:gridSpan w:val="3"/>
            <w:vAlign w:val="center"/>
          </w:tcPr>
          <w:p w14:paraId="6236856B">
            <w:pPr>
              <w:jc w:val="center"/>
              <w:rPr>
                <w:rFonts w:hint="default" w:ascii="Times New Roman" w:hAnsi="Times New Roman" w:cs="Times New Roman"/>
                <w:color w:val="auto"/>
                <w:szCs w:val="21"/>
              </w:rPr>
            </w:pPr>
            <w:r>
              <w:rPr>
                <w:rFonts w:hint="default" w:cs="Times New Roman"/>
                <w:color w:val="auto"/>
                <w:spacing w:val="0"/>
                <w:sz w:val="21"/>
                <w:szCs w:val="21"/>
                <w:lang w:val="en-US" w:eastAsia="zh-CN"/>
              </w:rPr>
              <w:t>东经11</w:t>
            </w:r>
            <w:r>
              <w:rPr>
                <w:rFonts w:hint="eastAsia" w:cs="Times New Roman"/>
                <w:color w:val="auto"/>
                <w:spacing w:val="0"/>
                <w:sz w:val="21"/>
                <w:szCs w:val="21"/>
                <w:lang w:val="en-US" w:eastAsia="zh-CN"/>
              </w:rPr>
              <w:t>4</w:t>
            </w:r>
            <w:r>
              <w:rPr>
                <w:rFonts w:hint="default" w:cs="Times New Roman"/>
                <w:color w:val="auto"/>
                <w:spacing w:val="0"/>
                <w:sz w:val="21"/>
                <w:szCs w:val="21"/>
                <w:lang w:val="en-US" w:eastAsia="zh-CN"/>
              </w:rPr>
              <w:t>度</w:t>
            </w:r>
            <w:r>
              <w:rPr>
                <w:rFonts w:hint="eastAsia" w:cs="Times New Roman"/>
                <w:color w:val="auto"/>
                <w:spacing w:val="0"/>
                <w:sz w:val="21"/>
                <w:szCs w:val="21"/>
                <w:lang w:val="en-US" w:eastAsia="zh-CN"/>
              </w:rPr>
              <w:t>6</w:t>
            </w:r>
            <w:r>
              <w:rPr>
                <w:rFonts w:hint="default" w:cs="Times New Roman"/>
                <w:color w:val="auto"/>
                <w:spacing w:val="0"/>
                <w:sz w:val="21"/>
                <w:szCs w:val="21"/>
                <w:lang w:val="en-US" w:eastAsia="zh-CN"/>
              </w:rPr>
              <w:t>分</w:t>
            </w:r>
            <w:r>
              <w:rPr>
                <w:rFonts w:hint="eastAsia" w:cs="Times New Roman"/>
                <w:color w:val="auto"/>
                <w:spacing w:val="0"/>
                <w:sz w:val="21"/>
                <w:szCs w:val="21"/>
                <w:lang w:val="en-US" w:eastAsia="zh-CN"/>
              </w:rPr>
              <w:t>15.880</w:t>
            </w:r>
            <w:r>
              <w:rPr>
                <w:rFonts w:hint="default" w:cs="Times New Roman"/>
                <w:color w:val="auto"/>
                <w:spacing w:val="0"/>
                <w:sz w:val="21"/>
                <w:szCs w:val="21"/>
                <w:lang w:val="en-US" w:eastAsia="zh-CN"/>
              </w:rPr>
              <w:t>秒，北纬</w:t>
            </w:r>
            <w:r>
              <w:rPr>
                <w:rFonts w:hint="eastAsia" w:cs="Times New Roman"/>
                <w:color w:val="auto"/>
                <w:spacing w:val="0"/>
                <w:sz w:val="21"/>
                <w:szCs w:val="21"/>
                <w:lang w:val="en-US" w:eastAsia="zh-CN"/>
              </w:rPr>
              <w:t>40</w:t>
            </w:r>
            <w:r>
              <w:rPr>
                <w:rFonts w:hint="default" w:cs="Times New Roman"/>
                <w:color w:val="auto"/>
                <w:spacing w:val="0"/>
                <w:sz w:val="21"/>
                <w:szCs w:val="21"/>
                <w:lang w:val="en-US" w:eastAsia="zh-CN"/>
              </w:rPr>
              <w:t>度</w:t>
            </w:r>
            <w:r>
              <w:rPr>
                <w:rFonts w:hint="eastAsia" w:cs="Times New Roman"/>
                <w:color w:val="auto"/>
                <w:spacing w:val="0"/>
                <w:sz w:val="21"/>
                <w:szCs w:val="21"/>
                <w:lang w:val="en-US" w:eastAsia="zh-CN"/>
              </w:rPr>
              <w:t>24</w:t>
            </w:r>
            <w:r>
              <w:rPr>
                <w:rFonts w:hint="default" w:cs="Times New Roman"/>
                <w:color w:val="auto"/>
                <w:spacing w:val="0"/>
                <w:sz w:val="21"/>
                <w:szCs w:val="21"/>
                <w:lang w:val="en-US" w:eastAsia="zh-CN"/>
              </w:rPr>
              <w:t>分</w:t>
            </w:r>
            <w:r>
              <w:rPr>
                <w:rFonts w:hint="eastAsia" w:cs="Times New Roman"/>
                <w:color w:val="auto"/>
                <w:spacing w:val="0"/>
                <w:sz w:val="21"/>
                <w:szCs w:val="21"/>
                <w:lang w:val="en-US" w:eastAsia="zh-CN"/>
              </w:rPr>
              <w:t>48.410</w:t>
            </w:r>
            <w:r>
              <w:rPr>
                <w:rFonts w:hint="default" w:cs="Times New Roman"/>
                <w:color w:val="auto"/>
                <w:spacing w:val="0"/>
                <w:sz w:val="21"/>
                <w:szCs w:val="21"/>
                <w:lang w:val="en-US" w:eastAsia="zh-CN"/>
              </w:rPr>
              <w:t>秒</w:t>
            </w:r>
          </w:p>
        </w:tc>
      </w:tr>
      <w:tr w14:paraId="6CB4B9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928" w:type="dxa"/>
            <w:tcMar>
              <w:top w:w="16" w:type="dxa"/>
              <w:left w:w="16" w:type="dxa"/>
              <w:right w:w="16" w:type="dxa"/>
            </w:tcMar>
            <w:vAlign w:val="center"/>
          </w:tcPr>
          <w:p w14:paraId="53A612C8">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国民经济</w:t>
            </w:r>
          </w:p>
          <w:p w14:paraId="3F660A25">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行业类别</w:t>
            </w:r>
          </w:p>
        </w:tc>
        <w:tc>
          <w:tcPr>
            <w:tcW w:w="2515" w:type="dxa"/>
            <w:vAlign w:val="center"/>
          </w:tcPr>
          <w:p w14:paraId="205A5A70">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pacing w:val="-11"/>
                <w:sz w:val="21"/>
                <w:szCs w:val="21"/>
                <w:lang w:val="en-US" w:eastAsia="zh-CN"/>
              </w:rPr>
              <w:t>C30</w:t>
            </w:r>
            <w:r>
              <w:rPr>
                <w:rFonts w:hint="eastAsia" w:cs="Times New Roman"/>
                <w:color w:val="auto"/>
                <w:spacing w:val="-11"/>
                <w:sz w:val="21"/>
                <w:szCs w:val="21"/>
                <w:lang w:val="en-US" w:eastAsia="zh-CN"/>
              </w:rPr>
              <w:t>99其他非金属矿物制品制造；C3039其他建筑材料制造</w:t>
            </w:r>
          </w:p>
        </w:tc>
        <w:tc>
          <w:tcPr>
            <w:tcW w:w="1883" w:type="dxa"/>
            <w:vAlign w:val="center"/>
          </w:tcPr>
          <w:p w14:paraId="4D5533A3">
            <w:pPr>
              <w:adjustRightInd w:val="0"/>
              <w:snapToGrid w:val="0"/>
              <w:jc w:val="center"/>
              <w:rPr>
                <w:rFonts w:hint="default" w:ascii="Times New Roman" w:hAnsi="Times New Roman" w:cs="Times New Roman"/>
                <w:color w:val="auto"/>
                <w:szCs w:val="21"/>
              </w:rPr>
            </w:pPr>
            <w:bookmarkStart w:id="1" w:name="_Hlk49843745"/>
            <w:r>
              <w:rPr>
                <w:rFonts w:hint="default" w:ascii="Times New Roman" w:hAnsi="Times New Roman" w:cs="Times New Roman"/>
                <w:color w:val="auto"/>
                <w:szCs w:val="21"/>
              </w:rPr>
              <w:t>建设项目</w:t>
            </w:r>
          </w:p>
          <w:p w14:paraId="6A0C5F7D">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行业类别</w:t>
            </w:r>
            <w:bookmarkEnd w:id="1"/>
          </w:p>
        </w:tc>
        <w:tc>
          <w:tcPr>
            <w:tcW w:w="2544" w:type="dxa"/>
            <w:vAlign w:val="center"/>
          </w:tcPr>
          <w:p w14:paraId="370B6E2B">
            <w:pPr>
              <w:adjustRightInd w:val="0"/>
              <w:snapToGrid w:val="0"/>
              <w:jc w:val="center"/>
              <w:rPr>
                <w:rFonts w:hint="default" w:ascii="Times New Roman" w:hAnsi="Times New Roman" w:eastAsia="宋体" w:cs="Times New Roman"/>
                <w:color w:val="auto"/>
                <w:spacing w:val="-5"/>
                <w:szCs w:val="21"/>
                <w:lang w:val="en-US" w:eastAsia="zh-CN"/>
              </w:rPr>
            </w:pPr>
            <w:r>
              <w:rPr>
                <w:rFonts w:hint="default" w:ascii="Times New Roman" w:hAnsi="Times New Roman" w:cs="Times New Roman"/>
                <w:color w:val="auto"/>
                <w:spacing w:val="-5"/>
                <w:szCs w:val="21"/>
                <w:lang w:val="en-US" w:eastAsia="zh-CN"/>
              </w:rPr>
              <w:t>二十七、非金属矿物制品业</w:t>
            </w:r>
            <w:r>
              <w:rPr>
                <w:rFonts w:hint="eastAsia" w:cs="Times New Roman"/>
                <w:color w:val="auto"/>
                <w:spacing w:val="-5"/>
                <w:szCs w:val="21"/>
                <w:lang w:val="en-US" w:eastAsia="zh-CN"/>
              </w:rPr>
              <w:t>—60.石墨及其他非金属矿物制品制造309—其他</w:t>
            </w:r>
          </w:p>
        </w:tc>
      </w:tr>
      <w:tr w14:paraId="6C525F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928" w:type="dxa"/>
            <w:tcMar>
              <w:top w:w="16" w:type="dxa"/>
              <w:left w:w="16" w:type="dxa"/>
              <w:right w:w="16" w:type="dxa"/>
            </w:tcMar>
            <w:vAlign w:val="center"/>
          </w:tcPr>
          <w:p w14:paraId="18E9005F">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建设性质</w:t>
            </w:r>
          </w:p>
        </w:tc>
        <w:tc>
          <w:tcPr>
            <w:tcW w:w="2515" w:type="dxa"/>
            <w:vAlign w:val="center"/>
          </w:tcPr>
          <w:p w14:paraId="34865EB2">
            <w:pPr>
              <w:jc w:val="left"/>
              <w:rPr>
                <w:rFonts w:hint="default" w:ascii="Times New Roman" w:hAnsi="Times New Roman" w:cs="Times New Roman"/>
                <w:color w:val="auto"/>
                <w:szCs w:val="21"/>
              </w:rPr>
            </w:pPr>
            <w:r>
              <w:rPr>
                <w:rFonts w:hint="default" w:ascii="Times New Roman" w:hAnsi="Times New Roman" w:cs="Times New Roman"/>
                <w:color w:val="auto"/>
                <w:szCs w:val="21"/>
              </w:rPr>
              <w:t>√新建（迁建）</w:t>
            </w:r>
          </w:p>
          <w:p w14:paraId="10671A2D">
            <w:pPr>
              <w:jc w:val="left"/>
              <w:rPr>
                <w:rFonts w:hint="default" w:ascii="Times New Roman" w:hAnsi="Times New Roman" w:cs="Times New Roman"/>
                <w:color w:val="auto"/>
                <w:szCs w:val="21"/>
              </w:rPr>
            </w:pPr>
            <w:r>
              <w:rPr>
                <w:rFonts w:hint="default" w:ascii="Times New Roman" w:hAnsi="Times New Roman" w:cs="Times New Roman"/>
                <w:color w:val="auto"/>
                <w:szCs w:val="21"/>
              </w:rPr>
              <w:t>□改建</w:t>
            </w:r>
          </w:p>
          <w:p w14:paraId="5E54A071">
            <w:pPr>
              <w:jc w:val="left"/>
              <w:rPr>
                <w:rFonts w:hint="default" w:ascii="Times New Roman" w:hAnsi="Times New Roman" w:cs="Times New Roman"/>
                <w:color w:val="auto"/>
                <w:szCs w:val="21"/>
              </w:rPr>
            </w:pPr>
            <w:r>
              <w:rPr>
                <w:rFonts w:hint="default" w:ascii="Times New Roman" w:hAnsi="Times New Roman" w:cs="Times New Roman"/>
                <w:color w:val="auto"/>
                <w:szCs w:val="21"/>
              </w:rPr>
              <w:t>□扩建</w:t>
            </w:r>
          </w:p>
          <w:p w14:paraId="51411F89">
            <w:pPr>
              <w:jc w:val="left"/>
              <w:rPr>
                <w:rFonts w:hint="default" w:ascii="Times New Roman" w:hAnsi="Times New Roman" w:cs="Times New Roman"/>
                <w:color w:val="auto"/>
                <w:szCs w:val="21"/>
              </w:rPr>
            </w:pPr>
            <w:r>
              <w:rPr>
                <w:rFonts w:hint="default" w:ascii="Times New Roman" w:hAnsi="Times New Roman" w:cs="Times New Roman"/>
                <w:color w:val="auto"/>
                <w:szCs w:val="21"/>
              </w:rPr>
              <w:t>□技术改造</w:t>
            </w:r>
          </w:p>
        </w:tc>
        <w:tc>
          <w:tcPr>
            <w:tcW w:w="1883" w:type="dxa"/>
            <w:vAlign w:val="center"/>
          </w:tcPr>
          <w:p w14:paraId="060B73F6">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建设项目</w:t>
            </w:r>
          </w:p>
          <w:p w14:paraId="305CD9DA">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申报情形</w:t>
            </w:r>
          </w:p>
        </w:tc>
        <w:tc>
          <w:tcPr>
            <w:tcW w:w="2544" w:type="dxa"/>
            <w:vAlign w:val="center"/>
          </w:tcPr>
          <w:p w14:paraId="15EA6E6E">
            <w:pPr>
              <w:jc w:val="left"/>
              <w:rPr>
                <w:rFonts w:hint="default" w:ascii="Times New Roman" w:hAnsi="Times New Roman" w:cs="Times New Roman"/>
                <w:color w:val="auto"/>
                <w:szCs w:val="21"/>
              </w:rPr>
            </w:pPr>
            <w:r>
              <w:rPr>
                <w:rFonts w:hint="default" w:ascii="Times New Roman" w:hAnsi="Times New Roman" w:cs="Times New Roman"/>
                <w:color w:val="auto"/>
                <w:szCs w:val="21"/>
              </w:rPr>
              <w:t>√首次申报项目</w:t>
            </w:r>
          </w:p>
          <w:p w14:paraId="40A05705">
            <w:pPr>
              <w:jc w:val="left"/>
              <w:rPr>
                <w:rFonts w:hint="default" w:ascii="Times New Roman" w:hAnsi="Times New Roman" w:cs="Times New Roman"/>
                <w:color w:val="auto"/>
                <w:szCs w:val="21"/>
              </w:rPr>
            </w:pPr>
            <w:r>
              <w:rPr>
                <w:rFonts w:hint="default" w:ascii="Times New Roman" w:hAnsi="Times New Roman" w:cs="Times New Roman"/>
                <w:color w:val="auto"/>
                <w:szCs w:val="21"/>
              </w:rPr>
              <w:t>□不予批准后再次申报项目</w:t>
            </w:r>
          </w:p>
          <w:p w14:paraId="2502086D">
            <w:pPr>
              <w:jc w:val="left"/>
              <w:rPr>
                <w:rFonts w:hint="default" w:ascii="Times New Roman" w:hAnsi="Times New Roman" w:cs="Times New Roman"/>
                <w:color w:val="auto"/>
                <w:szCs w:val="21"/>
              </w:rPr>
            </w:pPr>
            <w:r>
              <w:rPr>
                <w:rFonts w:hint="default" w:ascii="Times New Roman" w:hAnsi="Times New Roman" w:cs="Times New Roman"/>
                <w:color w:val="auto"/>
                <w:szCs w:val="21"/>
              </w:rPr>
              <w:t xml:space="preserve">□超五年重新审核项目 </w:t>
            </w:r>
          </w:p>
          <w:p w14:paraId="6CE17473">
            <w:pPr>
              <w:jc w:val="left"/>
              <w:rPr>
                <w:rFonts w:hint="default" w:ascii="Times New Roman" w:hAnsi="Times New Roman" w:cs="Times New Roman"/>
                <w:color w:val="auto"/>
                <w:szCs w:val="21"/>
              </w:rPr>
            </w:pPr>
            <w:r>
              <w:rPr>
                <w:rFonts w:hint="default" w:ascii="Times New Roman" w:hAnsi="Times New Roman" w:cs="Times New Roman"/>
                <w:color w:val="auto"/>
                <w:szCs w:val="21"/>
              </w:rPr>
              <w:t>□重大变动重新报批项目</w:t>
            </w:r>
          </w:p>
        </w:tc>
      </w:tr>
      <w:tr w14:paraId="3FF634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928" w:type="dxa"/>
            <w:tcMar>
              <w:top w:w="16" w:type="dxa"/>
              <w:left w:w="16" w:type="dxa"/>
              <w:right w:w="16" w:type="dxa"/>
            </w:tcMar>
            <w:vAlign w:val="center"/>
          </w:tcPr>
          <w:p w14:paraId="14E05D9F">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项目审批（核准/</w:t>
            </w:r>
          </w:p>
          <w:p w14:paraId="2D21779C">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备案）部门（选填）</w:t>
            </w:r>
          </w:p>
        </w:tc>
        <w:tc>
          <w:tcPr>
            <w:tcW w:w="2515" w:type="dxa"/>
            <w:vAlign w:val="center"/>
          </w:tcPr>
          <w:p w14:paraId="0B098F85">
            <w:pPr>
              <w:adjustRightInd w:val="0"/>
              <w:snapToGrid w:val="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w:t>
            </w:r>
          </w:p>
        </w:tc>
        <w:tc>
          <w:tcPr>
            <w:tcW w:w="1883" w:type="dxa"/>
            <w:vAlign w:val="center"/>
          </w:tcPr>
          <w:p w14:paraId="3F307DEB">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项目审批（核准/</w:t>
            </w:r>
          </w:p>
          <w:p w14:paraId="587AC768">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备案）文号（选填）</w:t>
            </w:r>
          </w:p>
        </w:tc>
        <w:tc>
          <w:tcPr>
            <w:tcW w:w="2544" w:type="dxa"/>
            <w:vAlign w:val="center"/>
          </w:tcPr>
          <w:p w14:paraId="5F6E6B29">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r>
      <w:tr w14:paraId="53F9F4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28" w:type="dxa"/>
            <w:tcMar>
              <w:top w:w="16" w:type="dxa"/>
              <w:left w:w="16" w:type="dxa"/>
              <w:right w:w="16" w:type="dxa"/>
            </w:tcMar>
            <w:vAlign w:val="center"/>
          </w:tcPr>
          <w:p w14:paraId="3F3C559F">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总投资（万元）</w:t>
            </w:r>
          </w:p>
        </w:tc>
        <w:tc>
          <w:tcPr>
            <w:tcW w:w="2515" w:type="dxa"/>
            <w:vAlign w:val="center"/>
          </w:tcPr>
          <w:p w14:paraId="784940F1">
            <w:pPr>
              <w:adjustRightInd w:val="0"/>
              <w:snapToGrid w:val="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2500</w:t>
            </w:r>
          </w:p>
        </w:tc>
        <w:tc>
          <w:tcPr>
            <w:tcW w:w="1883" w:type="dxa"/>
            <w:tcMar>
              <w:top w:w="16" w:type="dxa"/>
              <w:left w:w="16" w:type="dxa"/>
              <w:right w:w="16" w:type="dxa"/>
            </w:tcMar>
            <w:vAlign w:val="center"/>
          </w:tcPr>
          <w:p w14:paraId="117DDBB1">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环保投资（万元）</w:t>
            </w:r>
          </w:p>
        </w:tc>
        <w:tc>
          <w:tcPr>
            <w:tcW w:w="2544" w:type="dxa"/>
            <w:vAlign w:val="center"/>
          </w:tcPr>
          <w:p w14:paraId="37F62076">
            <w:pPr>
              <w:adjustRightInd w:val="0"/>
              <w:snapToGrid w:val="0"/>
              <w:jc w:val="center"/>
              <w:rPr>
                <w:rFonts w:hint="default" w:ascii="Times New Roman" w:hAnsi="Times New Roman" w:cs="Times New Roman"/>
                <w:color w:val="auto"/>
                <w:szCs w:val="21"/>
                <w:lang w:val="en-US"/>
              </w:rPr>
            </w:pPr>
            <w:r>
              <w:rPr>
                <w:rFonts w:hint="eastAsia" w:cs="Times New Roman"/>
                <w:color w:val="auto"/>
                <w:spacing w:val="-5"/>
                <w:szCs w:val="21"/>
                <w:lang w:val="en-US" w:eastAsia="zh-CN"/>
              </w:rPr>
              <w:t>120</w:t>
            </w:r>
          </w:p>
        </w:tc>
      </w:tr>
      <w:tr w14:paraId="60D695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28" w:type="dxa"/>
            <w:tcMar>
              <w:top w:w="16" w:type="dxa"/>
              <w:left w:w="16" w:type="dxa"/>
              <w:right w:w="16" w:type="dxa"/>
            </w:tcMar>
            <w:vAlign w:val="center"/>
          </w:tcPr>
          <w:p w14:paraId="74CD3361">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环保投资占比（%）</w:t>
            </w:r>
          </w:p>
        </w:tc>
        <w:tc>
          <w:tcPr>
            <w:tcW w:w="2515" w:type="dxa"/>
            <w:vAlign w:val="center"/>
          </w:tcPr>
          <w:p w14:paraId="7D320975">
            <w:pPr>
              <w:adjustRightInd w:val="0"/>
              <w:snapToGrid w:val="0"/>
              <w:jc w:val="center"/>
              <w:rPr>
                <w:rFonts w:hint="default" w:ascii="Times New Roman" w:hAnsi="Times New Roman" w:eastAsia="宋体" w:cs="Times New Roman"/>
                <w:color w:val="auto"/>
                <w:szCs w:val="21"/>
                <w:lang w:val="en-US" w:eastAsia="zh-CN"/>
              </w:rPr>
            </w:pPr>
            <w:r>
              <w:rPr>
                <w:rFonts w:hint="eastAsia" w:cs="Times New Roman"/>
                <w:color w:val="auto"/>
                <w:spacing w:val="-5"/>
                <w:szCs w:val="21"/>
                <w:lang w:val="en-US" w:eastAsia="zh-CN"/>
              </w:rPr>
              <w:t>4.8</w:t>
            </w:r>
          </w:p>
        </w:tc>
        <w:tc>
          <w:tcPr>
            <w:tcW w:w="1883" w:type="dxa"/>
            <w:tcMar>
              <w:top w:w="16" w:type="dxa"/>
              <w:left w:w="16" w:type="dxa"/>
              <w:right w:w="16" w:type="dxa"/>
            </w:tcMar>
            <w:vAlign w:val="center"/>
          </w:tcPr>
          <w:p w14:paraId="1AFD05F8">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施工工期</w:t>
            </w:r>
          </w:p>
        </w:tc>
        <w:tc>
          <w:tcPr>
            <w:tcW w:w="2544" w:type="dxa"/>
            <w:vAlign w:val="center"/>
          </w:tcPr>
          <w:p w14:paraId="70C56C9F">
            <w:pPr>
              <w:adjustRightInd w:val="0"/>
              <w:snapToGrid w:val="0"/>
              <w:jc w:val="center"/>
              <w:rPr>
                <w:rFonts w:hint="default" w:ascii="Times New Roman" w:hAnsi="Times New Roman" w:cs="Times New Roman"/>
                <w:color w:val="auto"/>
                <w:szCs w:val="21"/>
              </w:rPr>
            </w:pPr>
            <w:r>
              <w:rPr>
                <w:rFonts w:hint="eastAsia" w:cs="Times New Roman"/>
                <w:color w:val="auto"/>
                <w:szCs w:val="21"/>
                <w:lang w:val="en-US" w:eastAsia="zh-CN"/>
              </w:rPr>
              <w:t>6</w:t>
            </w:r>
            <w:r>
              <w:rPr>
                <w:rFonts w:hint="default" w:ascii="Times New Roman" w:hAnsi="Times New Roman" w:cs="Times New Roman"/>
                <w:color w:val="auto"/>
                <w:szCs w:val="21"/>
              </w:rPr>
              <w:t>个月</w:t>
            </w:r>
          </w:p>
        </w:tc>
      </w:tr>
      <w:tr w14:paraId="3E4720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28" w:type="dxa"/>
            <w:tcMar>
              <w:top w:w="16" w:type="dxa"/>
              <w:left w:w="16" w:type="dxa"/>
              <w:right w:w="16" w:type="dxa"/>
            </w:tcMar>
            <w:vAlign w:val="center"/>
          </w:tcPr>
          <w:p w14:paraId="0315D268">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是否开工建设</w:t>
            </w:r>
          </w:p>
        </w:tc>
        <w:tc>
          <w:tcPr>
            <w:tcW w:w="2515" w:type="dxa"/>
            <w:vAlign w:val="center"/>
          </w:tcPr>
          <w:p w14:paraId="7D645723">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sym w:font="Wingdings 2" w:char="00A3"/>
            </w:r>
            <w:r>
              <w:rPr>
                <w:rFonts w:hint="default" w:ascii="Times New Roman" w:hAnsi="Times New Roman" w:cs="Times New Roman"/>
                <w:color w:val="auto"/>
                <w:szCs w:val="21"/>
              </w:rPr>
              <w:t>否</w:t>
            </w:r>
          </w:p>
          <w:p w14:paraId="2D03670E">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sym w:font="Wingdings 2" w:char="0052"/>
            </w:r>
            <w:r>
              <w:rPr>
                <w:rFonts w:hint="default" w:ascii="Times New Roman" w:hAnsi="Times New Roman" w:cs="Times New Roman"/>
                <w:color w:val="auto"/>
                <w:szCs w:val="21"/>
              </w:rPr>
              <w:t>是：</w:t>
            </w:r>
            <w:r>
              <w:rPr>
                <w:rFonts w:hint="default" w:ascii="Times New Roman" w:hAnsi="Times New Roman" w:cs="Times New Roman"/>
                <w:color w:val="auto"/>
                <w:szCs w:val="21"/>
                <w:u w:val="single"/>
              </w:rPr>
              <w:t xml:space="preserve"> </w:t>
            </w:r>
            <w:r>
              <w:rPr>
                <w:rFonts w:hint="eastAsia" w:hAnsi="宋体" w:cs="宋体"/>
                <w:color w:val="auto"/>
                <w:szCs w:val="21"/>
                <w:u w:val="single"/>
                <w:lang w:eastAsia="zh-CN"/>
              </w:rPr>
              <w:t>建设单位混凝土搅拌项目擅自开工建设，</w:t>
            </w:r>
            <w:r>
              <w:rPr>
                <w:rFonts w:hint="eastAsia" w:hAnsi="宋体" w:cs="宋体"/>
                <w:color w:val="auto"/>
                <w:szCs w:val="21"/>
                <w:u w:val="single"/>
              </w:rPr>
              <w:t>属于</w:t>
            </w:r>
            <w:r>
              <w:rPr>
                <w:rFonts w:hint="eastAsia" w:cs="宋体"/>
                <w:color w:val="auto"/>
                <w:szCs w:val="21"/>
                <w:u w:val="single"/>
              </w:rPr>
              <w:t>“</w:t>
            </w:r>
            <w:r>
              <w:rPr>
                <w:rFonts w:hint="eastAsia" w:hAnsi="宋体" w:cs="宋体"/>
                <w:color w:val="auto"/>
                <w:szCs w:val="21"/>
                <w:u w:val="single"/>
              </w:rPr>
              <w:t>未批先建</w:t>
            </w:r>
            <w:r>
              <w:rPr>
                <w:rFonts w:hint="eastAsia" w:cs="宋体"/>
                <w:color w:val="auto"/>
                <w:szCs w:val="21"/>
                <w:u w:val="single"/>
              </w:rPr>
              <w:t>”</w:t>
            </w:r>
            <w:r>
              <w:rPr>
                <w:rFonts w:hint="eastAsia" w:hAnsi="宋体" w:cs="宋体"/>
                <w:color w:val="auto"/>
                <w:szCs w:val="21"/>
                <w:u w:val="single"/>
              </w:rPr>
              <w:t>违法建设项目。对此，大同市生态环境局于</w:t>
            </w:r>
            <w:r>
              <w:rPr>
                <w:rFonts w:hint="eastAsia" w:cs="宋体"/>
                <w:color w:val="auto"/>
                <w:szCs w:val="21"/>
                <w:u w:val="single"/>
              </w:rPr>
              <w:t>202</w:t>
            </w:r>
            <w:r>
              <w:rPr>
                <w:rFonts w:hint="eastAsia" w:cs="宋体"/>
                <w:color w:val="auto"/>
                <w:szCs w:val="21"/>
                <w:u w:val="single"/>
                <w:lang w:val="en-US" w:eastAsia="zh-CN"/>
              </w:rPr>
              <w:t>5</w:t>
            </w:r>
            <w:r>
              <w:rPr>
                <w:rFonts w:hint="eastAsia" w:hAnsi="宋体" w:cs="宋体"/>
                <w:color w:val="auto"/>
                <w:szCs w:val="21"/>
                <w:u w:val="single"/>
              </w:rPr>
              <w:t>年</w:t>
            </w:r>
            <w:r>
              <w:rPr>
                <w:rFonts w:hint="eastAsia" w:cs="宋体"/>
                <w:color w:val="auto"/>
                <w:szCs w:val="21"/>
                <w:u w:val="single"/>
                <w:lang w:val="en-US" w:eastAsia="zh-CN"/>
              </w:rPr>
              <w:t>5</w:t>
            </w:r>
            <w:r>
              <w:rPr>
                <w:rFonts w:hint="eastAsia" w:hAnsi="宋体" w:cs="宋体"/>
                <w:color w:val="auto"/>
                <w:szCs w:val="21"/>
                <w:u w:val="single"/>
              </w:rPr>
              <w:t>月</w:t>
            </w:r>
            <w:r>
              <w:rPr>
                <w:rFonts w:hint="eastAsia" w:cs="宋体"/>
                <w:color w:val="auto"/>
                <w:szCs w:val="21"/>
                <w:u w:val="single"/>
                <w:lang w:val="en-US" w:eastAsia="zh-CN"/>
              </w:rPr>
              <w:t>27</w:t>
            </w:r>
            <w:r>
              <w:rPr>
                <w:rFonts w:hint="eastAsia" w:hAnsi="宋体" w:cs="宋体"/>
                <w:color w:val="auto"/>
                <w:szCs w:val="21"/>
                <w:u w:val="single"/>
              </w:rPr>
              <w:t>日对建设单位出具了行政处罚决定书，罚款</w:t>
            </w:r>
            <w:r>
              <w:rPr>
                <w:rFonts w:hint="eastAsia" w:hAnsi="宋体" w:cs="宋体"/>
                <w:color w:val="auto"/>
                <w:szCs w:val="21"/>
                <w:u w:val="single"/>
                <w:lang w:eastAsia="zh-CN"/>
              </w:rPr>
              <w:t>贰万叁仟</w:t>
            </w:r>
            <w:r>
              <w:rPr>
                <w:rFonts w:hint="eastAsia" w:hAnsi="宋体" w:cs="宋体"/>
                <w:color w:val="auto"/>
                <w:szCs w:val="21"/>
                <w:u w:val="single"/>
              </w:rPr>
              <w:t>元，建设单位已于</w:t>
            </w:r>
            <w:r>
              <w:rPr>
                <w:rFonts w:hint="eastAsia" w:cs="宋体"/>
                <w:color w:val="auto"/>
                <w:szCs w:val="21"/>
                <w:u w:val="single"/>
              </w:rPr>
              <w:t>202</w:t>
            </w:r>
            <w:r>
              <w:rPr>
                <w:rFonts w:hint="eastAsia" w:cs="宋体"/>
                <w:color w:val="auto"/>
                <w:szCs w:val="21"/>
                <w:u w:val="single"/>
                <w:lang w:val="en-US" w:eastAsia="zh-CN"/>
              </w:rPr>
              <w:t>5</w:t>
            </w:r>
            <w:r>
              <w:rPr>
                <w:rFonts w:hint="eastAsia" w:hAnsi="宋体" w:cs="宋体"/>
                <w:color w:val="auto"/>
                <w:szCs w:val="21"/>
                <w:u w:val="single"/>
              </w:rPr>
              <w:t>年</w:t>
            </w:r>
            <w:r>
              <w:rPr>
                <w:rFonts w:hint="eastAsia" w:cs="宋体"/>
                <w:color w:val="auto"/>
                <w:szCs w:val="21"/>
                <w:u w:val="single"/>
                <w:lang w:val="en-US" w:eastAsia="zh-CN"/>
              </w:rPr>
              <w:t>5</w:t>
            </w:r>
            <w:r>
              <w:rPr>
                <w:rFonts w:hint="eastAsia" w:hAnsi="宋体" w:cs="宋体"/>
                <w:color w:val="auto"/>
                <w:szCs w:val="21"/>
                <w:u w:val="single"/>
              </w:rPr>
              <w:t>月</w:t>
            </w:r>
            <w:r>
              <w:rPr>
                <w:rFonts w:hint="eastAsia" w:cs="宋体"/>
                <w:color w:val="auto"/>
                <w:szCs w:val="21"/>
                <w:u w:val="single"/>
                <w:lang w:val="en-US" w:eastAsia="zh-CN"/>
              </w:rPr>
              <w:t>29</w:t>
            </w:r>
            <w:r>
              <w:rPr>
                <w:rFonts w:hint="eastAsia" w:hAnsi="宋体" w:cs="宋体"/>
                <w:color w:val="auto"/>
                <w:szCs w:val="21"/>
                <w:u w:val="single"/>
              </w:rPr>
              <w:t>日缴纳了罚款。</w:t>
            </w:r>
            <w:r>
              <w:rPr>
                <w:rFonts w:hint="default" w:ascii="Times New Roman" w:hAnsi="Times New Roman" w:cs="Times New Roman"/>
                <w:color w:val="auto"/>
                <w:szCs w:val="21"/>
                <w:u w:val="single"/>
              </w:rPr>
              <w:t xml:space="preserve">            </w:t>
            </w:r>
          </w:p>
        </w:tc>
        <w:tc>
          <w:tcPr>
            <w:tcW w:w="1883" w:type="dxa"/>
            <w:tcMar>
              <w:top w:w="16" w:type="dxa"/>
              <w:left w:w="16" w:type="dxa"/>
              <w:right w:w="16" w:type="dxa"/>
            </w:tcMar>
            <w:vAlign w:val="center"/>
          </w:tcPr>
          <w:p w14:paraId="0EEE0D82">
            <w:pPr>
              <w:adjustRightInd w:val="0"/>
              <w:snapToGrid w:val="0"/>
              <w:jc w:val="center"/>
              <w:rPr>
                <w:rFonts w:hint="default" w:ascii="Times New Roman" w:hAnsi="Times New Roman" w:cs="Times New Roman"/>
                <w:color w:val="auto"/>
                <w:spacing w:val="-6"/>
                <w:szCs w:val="21"/>
              </w:rPr>
            </w:pPr>
            <w:r>
              <w:rPr>
                <w:rFonts w:hint="default" w:ascii="Times New Roman" w:hAnsi="Times New Roman" w:cs="Times New Roman"/>
                <w:color w:val="auto"/>
                <w:spacing w:val="-6"/>
                <w:szCs w:val="21"/>
              </w:rPr>
              <w:t>用地（用海）</w:t>
            </w:r>
          </w:p>
          <w:p w14:paraId="6874DB69">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pacing w:val="-6"/>
                <w:szCs w:val="21"/>
              </w:rPr>
              <w:t>面积（m</w:t>
            </w:r>
            <w:r>
              <w:rPr>
                <w:rFonts w:hint="default" w:ascii="Times New Roman" w:hAnsi="Times New Roman" w:cs="Times New Roman"/>
                <w:color w:val="auto"/>
                <w:spacing w:val="-6"/>
                <w:szCs w:val="21"/>
                <w:vertAlign w:val="superscript"/>
              </w:rPr>
              <w:t>2</w:t>
            </w:r>
            <w:r>
              <w:rPr>
                <w:rFonts w:hint="default" w:ascii="Times New Roman" w:hAnsi="Times New Roman" w:cs="Times New Roman"/>
                <w:color w:val="auto"/>
                <w:spacing w:val="-6"/>
                <w:szCs w:val="21"/>
              </w:rPr>
              <w:t>）</w:t>
            </w:r>
          </w:p>
        </w:tc>
        <w:tc>
          <w:tcPr>
            <w:tcW w:w="2544" w:type="dxa"/>
            <w:vAlign w:val="center"/>
          </w:tcPr>
          <w:p w14:paraId="00333E2A">
            <w:pPr>
              <w:adjustRightInd w:val="0"/>
              <w:snapToGrid w:val="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6933.37</w:t>
            </w:r>
          </w:p>
        </w:tc>
      </w:tr>
      <w:tr w14:paraId="504AD6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928" w:type="dxa"/>
            <w:vAlign w:val="center"/>
          </w:tcPr>
          <w:p w14:paraId="290F7C13">
            <w:pPr>
              <w:autoSpaceDE w:val="0"/>
              <w:autoSpaceDN w:val="0"/>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专项评价设置情况</w:t>
            </w:r>
          </w:p>
        </w:tc>
        <w:tc>
          <w:tcPr>
            <w:tcW w:w="6942" w:type="dxa"/>
            <w:gridSpan w:val="3"/>
            <w:vAlign w:val="center"/>
          </w:tcPr>
          <w:p w14:paraId="4F8F3919">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kern w:val="0"/>
                <w:szCs w:val="21"/>
                <w:lang w:val="en-US" w:eastAsia="zh-CN"/>
              </w:rPr>
            </w:pPr>
            <w:r>
              <w:rPr>
                <w:rFonts w:hint="eastAsia" w:hAnsi="宋体" w:cs="宋体"/>
                <w:kern w:val="0"/>
                <w:szCs w:val="21"/>
                <w:lang w:val="en-US" w:eastAsia="zh-CN"/>
              </w:rPr>
              <w:t>根据《建设项目环境影响报告表编制技术指南（污染影响类）》表1专项评价设置原则表“排放废气含有毒有害污染物、二噁英、苯并[a]芘、氰化物、氯气且厂界外500米范围内有环境空气保护目标的建设项目”需设置大气专项评价</w:t>
            </w:r>
            <w:r>
              <w:rPr>
                <w:rFonts w:hint="eastAsia" w:hAnsi="宋体" w:cs="宋体"/>
                <w:kern w:val="0"/>
                <w:szCs w:val="21"/>
                <w:lang w:eastAsia="zh-CN"/>
              </w:rPr>
              <w:t>。本项目排放的大气污染物中包含</w:t>
            </w:r>
            <w:r>
              <w:rPr>
                <w:rFonts w:hint="eastAsia" w:hAnsi="宋体" w:cs="宋体"/>
                <w:kern w:val="0"/>
                <w:szCs w:val="21"/>
                <w:lang w:val="en-US" w:eastAsia="zh-CN"/>
              </w:rPr>
              <w:t>苯并[a]芘，且距离项目区北侧350m处有村庄环境空气保护目标，因此设置大气专项评价。</w:t>
            </w:r>
          </w:p>
        </w:tc>
      </w:tr>
      <w:tr w14:paraId="059B58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928" w:type="dxa"/>
            <w:vAlign w:val="center"/>
          </w:tcPr>
          <w:p w14:paraId="5F591B78">
            <w:pPr>
              <w:autoSpaceDE w:val="0"/>
              <w:autoSpaceDN w:val="0"/>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szCs w:val="21"/>
              </w:rPr>
              <w:t>规划情况</w:t>
            </w:r>
          </w:p>
        </w:tc>
        <w:tc>
          <w:tcPr>
            <w:tcW w:w="6942" w:type="dxa"/>
            <w:gridSpan w:val="3"/>
            <w:vAlign w:val="center"/>
          </w:tcPr>
          <w:p w14:paraId="0B734B68">
            <w:pPr>
              <w:autoSpaceDE w:val="0"/>
              <w:autoSpaceDN w:val="0"/>
              <w:adjustRightInd w:val="0"/>
              <w:snapToGrid w:val="0"/>
              <w:jc w:val="center"/>
              <w:rPr>
                <w:rFonts w:hint="default" w:ascii="Times New Roman" w:hAnsi="Times New Roman" w:eastAsia="宋体" w:cs="Times New Roman"/>
                <w:color w:val="auto"/>
                <w:kern w:val="0"/>
                <w:szCs w:val="21"/>
                <w:lang w:val="en-US" w:eastAsia="zh-CN"/>
              </w:rPr>
            </w:pPr>
            <w:r>
              <w:rPr>
                <w:rFonts w:hint="default" w:ascii="Times New Roman" w:hAnsi="Times New Roman" w:eastAsia="宋体" w:cs="Times New Roman"/>
                <w:color w:val="auto"/>
                <w:kern w:val="0"/>
                <w:szCs w:val="21"/>
                <w:lang w:val="en-US" w:eastAsia="zh-CN"/>
              </w:rPr>
              <w:t>无。</w:t>
            </w:r>
          </w:p>
        </w:tc>
      </w:tr>
      <w:tr w14:paraId="059428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928" w:type="dxa"/>
            <w:vAlign w:val="center"/>
          </w:tcPr>
          <w:p w14:paraId="0D825D98">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规划环境影响</w:t>
            </w:r>
          </w:p>
          <w:p w14:paraId="3B3C448B">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szCs w:val="21"/>
              </w:rPr>
              <w:t>评价情况</w:t>
            </w:r>
          </w:p>
        </w:tc>
        <w:tc>
          <w:tcPr>
            <w:tcW w:w="6942" w:type="dxa"/>
            <w:gridSpan w:val="3"/>
            <w:vAlign w:val="center"/>
          </w:tcPr>
          <w:p w14:paraId="4B35150C">
            <w:pPr>
              <w:autoSpaceDE w:val="0"/>
              <w:autoSpaceDN w:val="0"/>
              <w:adjustRightInd w:val="0"/>
              <w:snapToGrid w:val="0"/>
              <w:jc w:val="center"/>
              <w:rPr>
                <w:rFonts w:hint="default" w:ascii="Times New Roman" w:hAnsi="Times New Roman" w:eastAsia="宋体" w:cs="Times New Roman"/>
                <w:color w:val="auto"/>
                <w:kern w:val="0"/>
                <w:szCs w:val="21"/>
                <w:lang w:val="en-US" w:eastAsia="zh-CN"/>
              </w:rPr>
            </w:pPr>
            <w:r>
              <w:rPr>
                <w:rFonts w:hint="default" w:ascii="Times New Roman" w:hAnsi="Times New Roman" w:eastAsia="宋体" w:cs="Times New Roman"/>
                <w:color w:val="auto"/>
                <w:kern w:val="0"/>
                <w:szCs w:val="21"/>
                <w:lang w:val="en-US" w:eastAsia="zh-CN"/>
              </w:rPr>
              <w:t>无。</w:t>
            </w:r>
          </w:p>
        </w:tc>
      </w:tr>
      <w:tr w14:paraId="44DEA1A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928" w:type="dxa"/>
            <w:vAlign w:val="center"/>
          </w:tcPr>
          <w:p w14:paraId="23B3106B">
            <w:pPr>
              <w:autoSpaceDE w:val="0"/>
              <w:autoSpaceDN w:val="0"/>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规划及规划环境影响评价符合性分析</w:t>
            </w:r>
          </w:p>
        </w:tc>
        <w:tc>
          <w:tcPr>
            <w:tcW w:w="6942" w:type="dxa"/>
            <w:gridSpan w:val="3"/>
            <w:vAlign w:val="center"/>
          </w:tcPr>
          <w:p w14:paraId="261E1C3D">
            <w:pPr>
              <w:autoSpaceDE w:val="0"/>
              <w:autoSpaceDN w:val="0"/>
              <w:adjustRightInd w:val="0"/>
              <w:snapToGrid w:val="0"/>
              <w:jc w:val="center"/>
              <w:rPr>
                <w:rFonts w:hint="default" w:ascii="Times New Roman" w:hAnsi="Times New Roman" w:eastAsia="宋体" w:cs="Times New Roman"/>
                <w:color w:val="auto"/>
                <w:kern w:val="0"/>
                <w:szCs w:val="21"/>
                <w:lang w:val="en-US" w:eastAsia="zh-CN"/>
              </w:rPr>
            </w:pPr>
            <w:r>
              <w:rPr>
                <w:rFonts w:hint="default" w:ascii="Times New Roman" w:hAnsi="Times New Roman" w:eastAsia="宋体" w:cs="Times New Roman"/>
                <w:color w:val="auto"/>
                <w:kern w:val="0"/>
                <w:szCs w:val="21"/>
                <w:lang w:val="en-US" w:eastAsia="zh-CN"/>
              </w:rPr>
              <w:t>无。</w:t>
            </w:r>
          </w:p>
        </w:tc>
      </w:tr>
      <w:tr w14:paraId="5CF505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928" w:type="dxa"/>
            <w:vAlign w:val="center"/>
          </w:tcPr>
          <w:p w14:paraId="33047CB4">
            <w:pPr>
              <w:autoSpaceDE w:val="0"/>
              <w:autoSpaceDN w:val="0"/>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其他符合性</w:t>
            </w:r>
          </w:p>
          <w:p w14:paraId="138D3C3B">
            <w:pPr>
              <w:autoSpaceDE w:val="0"/>
              <w:autoSpaceDN w:val="0"/>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分析</w:t>
            </w:r>
          </w:p>
        </w:tc>
        <w:tc>
          <w:tcPr>
            <w:tcW w:w="6942" w:type="dxa"/>
            <w:gridSpan w:val="3"/>
            <w:vAlign w:val="center"/>
          </w:tcPr>
          <w:p w14:paraId="2FDB9D4F">
            <w:pPr>
              <w:pStyle w:val="77"/>
              <w:snapToGrid/>
              <w:ind w:firstLine="422"/>
              <w:rPr>
                <w:rFonts w:hint="default" w:ascii="Times New Roman" w:hAnsi="Times New Roman" w:cs="Times New Roman"/>
                <w:bCs/>
                <w:color w:val="auto"/>
                <w:szCs w:val="21"/>
              </w:rPr>
            </w:pPr>
            <w:r>
              <w:rPr>
                <w:rFonts w:hint="default" w:ascii="Times New Roman" w:hAnsi="Times New Roman" w:cs="Times New Roman"/>
                <w:bCs/>
                <w:color w:val="auto"/>
                <w:szCs w:val="21"/>
              </w:rPr>
              <w:t>1、项目“三线一单”符合性分析</w:t>
            </w:r>
          </w:p>
          <w:p w14:paraId="560088D0">
            <w:pPr>
              <w:spacing w:line="360" w:lineRule="auto"/>
              <w:ind w:firstLine="420" w:firstLineChars="200"/>
              <w:rPr>
                <w:rFonts w:hint="default" w:ascii="Times New Roman" w:hAnsi="Times New Roman" w:cs="Times New Roman"/>
                <w:color w:val="auto"/>
                <w:szCs w:val="21"/>
              </w:rPr>
            </w:pPr>
            <w:r>
              <w:rPr>
                <w:rFonts w:hint="default" w:ascii="Times New Roman" w:hAnsi="Times New Roman" w:cs="Times New Roman"/>
                <w:color w:val="auto"/>
                <w:szCs w:val="21"/>
              </w:rPr>
              <w:t>（1）与生态保护红线的符合性分析</w:t>
            </w:r>
          </w:p>
          <w:p w14:paraId="0EAEC4DB">
            <w:pPr>
              <w:spacing w:line="360" w:lineRule="auto"/>
              <w:ind w:firstLine="420" w:firstLineChars="200"/>
              <w:rPr>
                <w:rFonts w:hint="default" w:ascii="Times New Roman" w:hAnsi="Times New Roman" w:cs="Times New Roman"/>
                <w:color w:val="auto"/>
                <w:szCs w:val="21"/>
              </w:rPr>
            </w:pPr>
            <w:r>
              <w:rPr>
                <w:rFonts w:hint="default" w:ascii="Times New Roman" w:hAnsi="Times New Roman" w:cs="Times New Roman"/>
                <w:color w:val="auto"/>
                <w:szCs w:val="21"/>
              </w:rPr>
              <w:t>本项</w:t>
            </w:r>
            <w:r>
              <w:rPr>
                <w:rFonts w:hint="eastAsia" w:cs="Times New Roman"/>
                <w:color w:val="auto"/>
                <w:szCs w:val="21"/>
                <w:lang w:val="en-US" w:eastAsia="zh-CN"/>
              </w:rPr>
              <w:t>目</w:t>
            </w:r>
            <w:r>
              <w:rPr>
                <w:rFonts w:hint="default" w:ascii="Times New Roman" w:hAnsi="Times New Roman" w:cs="Times New Roman"/>
                <w:color w:val="auto"/>
                <w:szCs w:val="21"/>
              </w:rPr>
              <w:t>位于</w:t>
            </w:r>
            <w:r>
              <w:rPr>
                <w:rFonts w:hint="eastAsia" w:cs="Times New Roman"/>
                <w:color w:val="auto"/>
                <w:szCs w:val="21"/>
                <w:lang w:eastAsia="zh-CN"/>
              </w:rPr>
              <w:t>大同市天镇县玉泉镇三里屯村北侧0.85km处</w:t>
            </w:r>
            <w:r>
              <w:rPr>
                <w:rFonts w:hint="default" w:ascii="Times New Roman" w:hAnsi="Times New Roman" w:cs="Times New Roman"/>
                <w:color w:val="auto"/>
                <w:szCs w:val="21"/>
              </w:rPr>
              <w:t>。根据《</w:t>
            </w:r>
            <w:r>
              <w:rPr>
                <w:rFonts w:hint="eastAsia" w:cs="Times New Roman"/>
                <w:color w:val="auto"/>
                <w:szCs w:val="21"/>
                <w:lang w:val="en-US" w:eastAsia="zh-CN"/>
              </w:rPr>
              <w:t>天镇县</w:t>
            </w:r>
            <w:r>
              <w:rPr>
                <w:rFonts w:hint="default" w:ascii="Times New Roman" w:hAnsi="Times New Roman" w:cs="Times New Roman"/>
                <w:color w:val="auto"/>
                <w:szCs w:val="21"/>
              </w:rPr>
              <w:t>国土空间总体规划2021-2035年》（公示稿）（附图3）</w:t>
            </w:r>
            <w:r>
              <w:rPr>
                <w:rFonts w:hint="eastAsia" w:cs="Times New Roman"/>
                <w:color w:val="auto"/>
                <w:szCs w:val="21"/>
                <w:lang w:val="en-US" w:eastAsia="zh-CN"/>
              </w:rPr>
              <w:t>可知</w:t>
            </w:r>
            <w:r>
              <w:rPr>
                <w:rFonts w:hint="default" w:ascii="Times New Roman" w:hAnsi="Times New Roman" w:cs="Times New Roman"/>
                <w:color w:val="auto"/>
                <w:szCs w:val="21"/>
              </w:rPr>
              <w:t>，本项目占地</w:t>
            </w:r>
            <w:r>
              <w:rPr>
                <w:rFonts w:hint="eastAsia" w:cs="Times New Roman"/>
                <w:color w:val="auto"/>
                <w:szCs w:val="21"/>
                <w:lang w:val="en-US" w:eastAsia="zh-CN"/>
              </w:rPr>
              <w:t>不在永久基本农田、生态保护红线范围内，属于城镇开发边界等范围内；根据企业提供的天镇县自然资源局出具的情况说明可知，本项目</w:t>
            </w:r>
            <w:r>
              <w:rPr>
                <w:rFonts w:hint="default" w:ascii="Times New Roman" w:hAnsi="Times New Roman" w:cs="Times New Roman"/>
                <w:color w:val="auto"/>
                <w:szCs w:val="21"/>
                <w:lang w:val="en-US" w:eastAsia="zh-CN"/>
              </w:rPr>
              <w:t>占地性质属于</w:t>
            </w:r>
            <w:r>
              <w:rPr>
                <w:rFonts w:hint="eastAsia" w:cs="Times New Roman"/>
                <w:color w:val="auto"/>
                <w:szCs w:val="21"/>
                <w:lang w:val="en-US" w:eastAsia="zh-CN"/>
              </w:rPr>
              <w:t>建设用地（见附件）</w:t>
            </w:r>
            <w:r>
              <w:rPr>
                <w:rFonts w:hint="default" w:ascii="Times New Roman" w:hAnsi="Times New Roman" w:cs="Times New Roman"/>
                <w:color w:val="auto"/>
                <w:szCs w:val="21"/>
              </w:rPr>
              <w:t>。</w:t>
            </w:r>
          </w:p>
          <w:p w14:paraId="2FE01D27">
            <w:pPr>
              <w:pStyle w:val="136"/>
              <w:spacing w:line="240" w:lineRule="exact"/>
              <w:ind w:firstLine="0" w:firstLineChars="0"/>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表1-</w:t>
            </w:r>
            <w:r>
              <w:rPr>
                <w:rFonts w:hint="eastAsia" w:cs="Times New Roman"/>
                <w:b/>
                <w:bCs/>
                <w:color w:val="auto"/>
                <w:sz w:val="18"/>
                <w:szCs w:val="18"/>
                <w:lang w:val="en-US" w:eastAsia="zh-CN"/>
              </w:rPr>
              <w:t>1</w:t>
            </w:r>
            <w:r>
              <w:rPr>
                <w:rFonts w:hint="default" w:ascii="Times New Roman" w:hAnsi="Times New Roman" w:cs="Times New Roman"/>
                <w:b/>
                <w:bCs/>
                <w:color w:val="auto"/>
                <w:sz w:val="18"/>
                <w:szCs w:val="18"/>
              </w:rPr>
              <w:t xml:space="preserve">    与大同市关于划分生态环境管控单元符合性分析一览表</w:t>
            </w:r>
          </w:p>
          <w:tbl>
            <w:tblPr>
              <w:tblStyle w:val="47"/>
              <w:tblW w:w="0" w:type="auto"/>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3067"/>
              <w:gridCol w:w="2436"/>
              <w:gridCol w:w="1193"/>
            </w:tblGrid>
            <w:tr w14:paraId="4094157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45" w:hRule="atLeast"/>
              </w:trPr>
              <w:tc>
                <w:tcPr>
                  <w:tcW w:w="3193" w:type="dxa"/>
                  <w:tcBorders>
                    <w:bottom w:val="single" w:color="auto" w:sz="4" w:space="0"/>
                  </w:tcBorders>
                  <w:vAlign w:val="center"/>
                </w:tcPr>
                <w:p w14:paraId="303C7E36">
                  <w:pPr>
                    <w:widowControl/>
                    <w:spacing w:line="240" w:lineRule="exact"/>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文件内容</w:t>
                  </w:r>
                </w:p>
              </w:tc>
              <w:tc>
                <w:tcPr>
                  <w:tcW w:w="2533" w:type="dxa"/>
                  <w:vMerge w:val="restart"/>
                  <w:vAlign w:val="center"/>
                </w:tcPr>
                <w:p w14:paraId="7FDCF6DB">
                  <w:pPr>
                    <w:widowControl/>
                    <w:spacing w:line="240" w:lineRule="exact"/>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本项目</w:t>
                  </w:r>
                </w:p>
              </w:tc>
              <w:tc>
                <w:tcPr>
                  <w:tcW w:w="1239" w:type="dxa"/>
                  <w:vMerge w:val="restart"/>
                  <w:vAlign w:val="center"/>
                </w:tcPr>
                <w:p w14:paraId="2C295205">
                  <w:pPr>
                    <w:widowControl/>
                    <w:spacing w:line="240" w:lineRule="exact"/>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符合性</w:t>
                  </w:r>
                </w:p>
              </w:tc>
            </w:tr>
            <w:tr w14:paraId="6EDAEE9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80" w:hRule="atLeast"/>
              </w:trPr>
              <w:tc>
                <w:tcPr>
                  <w:tcW w:w="3193" w:type="dxa"/>
                  <w:tcBorders>
                    <w:top w:val="single" w:color="auto" w:sz="4" w:space="0"/>
                  </w:tcBorders>
                  <w:vAlign w:val="center"/>
                </w:tcPr>
                <w:p w14:paraId="719AF02C">
                  <w:pPr>
                    <w:widowControl/>
                    <w:spacing w:line="240" w:lineRule="exact"/>
                    <w:jc w:val="center"/>
                    <w:rPr>
                      <w:rFonts w:hint="default" w:ascii="Times New Roman" w:hAnsi="Times New Roman" w:cs="Times New Roman"/>
                      <w:b/>
                      <w:color w:val="auto"/>
                      <w:kern w:val="0"/>
                      <w:sz w:val="18"/>
                      <w:szCs w:val="18"/>
                    </w:rPr>
                  </w:pPr>
                  <w:r>
                    <w:rPr>
                      <w:rFonts w:hint="default" w:ascii="Times New Roman" w:hAnsi="Times New Roman" w:cs="Times New Roman"/>
                      <w:b/>
                      <w:color w:val="auto"/>
                      <w:sz w:val="18"/>
                      <w:szCs w:val="18"/>
                    </w:rPr>
                    <w:t>同政发[2021]23号</w:t>
                  </w:r>
                </w:p>
              </w:tc>
              <w:tc>
                <w:tcPr>
                  <w:tcW w:w="2533" w:type="dxa"/>
                  <w:vMerge w:val="continue"/>
                  <w:vAlign w:val="center"/>
                </w:tcPr>
                <w:p w14:paraId="069889D0">
                  <w:pPr>
                    <w:widowControl/>
                    <w:spacing w:line="240" w:lineRule="exact"/>
                    <w:jc w:val="center"/>
                    <w:rPr>
                      <w:rFonts w:hint="default" w:ascii="Times New Roman" w:hAnsi="Times New Roman" w:cs="Times New Roman"/>
                      <w:color w:val="auto"/>
                      <w:kern w:val="0"/>
                      <w:sz w:val="18"/>
                      <w:szCs w:val="18"/>
                    </w:rPr>
                  </w:pPr>
                </w:p>
              </w:tc>
              <w:tc>
                <w:tcPr>
                  <w:tcW w:w="1239" w:type="dxa"/>
                  <w:vMerge w:val="continue"/>
                  <w:vAlign w:val="center"/>
                </w:tcPr>
                <w:p w14:paraId="60B0F3D8">
                  <w:pPr>
                    <w:widowControl/>
                    <w:spacing w:line="240" w:lineRule="exact"/>
                    <w:jc w:val="center"/>
                    <w:rPr>
                      <w:rFonts w:hint="default" w:ascii="Times New Roman" w:hAnsi="Times New Roman" w:cs="Times New Roman"/>
                      <w:color w:val="auto"/>
                      <w:kern w:val="0"/>
                      <w:sz w:val="18"/>
                      <w:szCs w:val="18"/>
                    </w:rPr>
                  </w:pPr>
                </w:p>
              </w:tc>
            </w:tr>
            <w:tr w14:paraId="045A3D9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595" w:hRule="atLeast"/>
              </w:trPr>
              <w:tc>
                <w:tcPr>
                  <w:tcW w:w="3193" w:type="dxa"/>
                  <w:vAlign w:val="center"/>
                </w:tcPr>
                <w:p w14:paraId="37BB52B6">
                  <w:pPr>
                    <w:widowControl/>
                    <w:spacing w:line="240" w:lineRule="exact"/>
                    <w:jc w:val="left"/>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生态环境管控单位分为优先保护单位、重点管控单元、一般管控单元三类，实施分类管控。</w:t>
                  </w:r>
                </w:p>
                <w:p w14:paraId="6D323016">
                  <w:pPr>
                    <w:widowControl/>
                    <w:spacing w:line="240" w:lineRule="exact"/>
                    <w:jc w:val="left"/>
                    <w:rPr>
                      <w:rFonts w:hint="default" w:ascii="Times New Roman" w:hAnsi="Times New Roman" w:cs="Times New Roman"/>
                      <w:color w:val="auto"/>
                      <w:kern w:val="0"/>
                      <w:sz w:val="18"/>
                      <w:szCs w:val="18"/>
                    </w:rPr>
                  </w:pPr>
                  <w:r>
                    <w:rPr>
                      <w:rFonts w:hint="eastAsia" w:cs="Times New Roman"/>
                      <w:color w:val="auto"/>
                      <w:kern w:val="0"/>
                      <w:sz w:val="18"/>
                      <w:szCs w:val="18"/>
                      <w:lang w:val="en-US" w:eastAsia="zh-CN"/>
                    </w:rPr>
                    <w:t>一般</w:t>
                  </w:r>
                  <w:r>
                    <w:rPr>
                      <w:rFonts w:hint="default" w:ascii="Times New Roman" w:hAnsi="Times New Roman" w:cs="Times New Roman"/>
                      <w:color w:val="auto"/>
                      <w:kern w:val="0"/>
                      <w:sz w:val="18"/>
                      <w:szCs w:val="18"/>
                    </w:rPr>
                    <w:t>管控单元：</w:t>
                  </w:r>
                  <w:r>
                    <w:rPr>
                      <w:rFonts w:hint="eastAsia" w:cs="Times New Roman"/>
                      <w:color w:val="auto"/>
                      <w:kern w:val="0"/>
                      <w:sz w:val="18"/>
                      <w:szCs w:val="18"/>
                      <w:lang w:val="en-US" w:eastAsia="zh-CN"/>
                    </w:rPr>
                    <w:t>主要落实生态环境保护基本要求，执行国家、省及我市相关产业准入、总量控制、排放标准等管理规定，推动区域生态环境质量持续改善</w:t>
                  </w:r>
                  <w:r>
                    <w:rPr>
                      <w:rFonts w:hint="default" w:ascii="Times New Roman" w:hAnsi="Times New Roman" w:cs="Times New Roman"/>
                      <w:color w:val="auto"/>
                      <w:kern w:val="0"/>
                      <w:sz w:val="18"/>
                      <w:szCs w:val="18"/>
                    </w:rPr>
                    <w:t>。</w:t>
                  </w:r>
                </w:p>
              </w:tc>
              <w:tc>
                <w:tcPr>
                  <w:tcW w:w="2533" w:type="dxa"/>
                  <w:vAlign w:val="center"/>
                </w:tcPr>
                <w:p w14:paraId="109CA336">
                  <w:pPr>
                    <w:adjustRightInd w:val="0"/>
                    <w:snapToGrid w:val="0"/>
                    <w:jc w:val="both"/>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根据文件中生态环境管控体系的划定，本项目位于</w:t>
                  </w:r>
                  <w:r>
                    <w:rPr>
                      <w:rFonts w:hint="eastAsia" w:cs="Times New Roman"/>
                      <w:b w:val="0"/>
                      <w:bCs w:val="0"/>
                      <w:color w:val="auto"/>
                      <w:kern w:val="2"/>
                      <w:sz w:val="18"/>
                      <w:szCs w:val="18"/>
                      <w:vertAlign w:val="baseline"/>
                      <w:lang w:val="en-US" w:eastAsia="zh-CN" w:bidi="ar-SA"/>
                    </w:rPr>
                    <w:t>大同市天镇县玉泉镇三里屯村北侧0.85km处</w:t>
                  </w:r>
                  <w:r>
                    <w:rPr>
                      <w:rFonts w:hint="default" w:ascii="Times New Roman" w:hAnsi="Times New Roman" w:cs="Times New Roman"/>
                      <w:color w:val="auto"/>
                      <w:kern w:val="0"/>
                      <w:sz w:val="18"/>
                      <w:szCs w:val="18"/>
                    </w:rPr>
                    <w:t>，占地属于</w:t>
                  </w:r>
                  <w:r>
                    <w:rPr>
                      <w:rFonts w:hint="eastAsia" w:cs="Times New Roman"/>
                      <w:color w:val="auto"/>
                      <w:kern w:val="0"/>
                      <w:sz w:val="18"/>
                      <w:szCs w:val="18"/>
                      <w:lang w:val="en-US" w:eastAsia="zh-CN"/>
                    </w:rPr>
                    <w:t>重</w:t>
                  </w:r>
                  <w:r>
                    <w:rPr>
                      <w:rFonts w:hint="default" w:ascii="Times New Roman" w:hAnsi="Times New Roman" w:cs="Times New Roman"/>
                      <w:color w:val="auto"/>
                      <w:kern w:val="0"/>
                      <w:sz w:val="18"/>
                      <w:szCs w:val="18"/>
                    </w:rPr>
                    <w:t>管控单元。本项目与大同市划定的生态环境分区管控单元位置关系见附图4。</w:t>
                  </w:r>
                  <w:r>
                    <w:rPr>
                      <w:rFonts w:hint="default" w:ascii="Times New Roman" w:hAnsi="Times New Roman" w:cs="Times New Roman"/>
                      <w:color w:val="auto"/>
                      <w:sz w:val="18"/>
                      <w:szCs w:val="18"/>
                    </w:rPr>
                    <w:t>本项目不属于依法禁止或限制的建设活动，不属于“两高”项目；本项目生产过程中使用电，同时项目采取相应的环保措施，保证废水、废气、噪声</w:t>
                  </w:r>
                  <w:r>
                    <w:rPr>
                      <w:rFonts w:hint="default" w:ascii="Times New Roman" w:hAnsi="Times New Roman" w:cs="Times New Roman"/>
                      <w:color w:val="auto"/>
                      <w:sz w:val="18"/>
                      <w:szCs w:val="18"/>
                      <w:lang w:val="en-US" w:eastAsia="zh-CN"/>
                    </w:rPr>
                    <w:t>等达标排放，</w:t>
                  </w:r>
                  <w:r>
                    <w:rPr>
                      <w:rFonts w:hint="default" w:ascii="Times New Roman" w:hAnsi="Times New Roman" w:cs="Times New Roman"/>
                      <w:color w:val="auto"/>
                      <w:sz w:val="18"/>
                      <w:szCs w:val="18"/>
                    </w:rPr>
                    <w:t>固体废物合理处置，</w:t>
                  </w:r>
                  <w:r>
                    <w:rPr>
                      <w:rFonts w:hint="default" w:ascii="Times New Roman" w:hAnsi="Times New Roman" w:cs="Times New Roman"/>
                      <w:color w:val="auto"/>
                      <w:sz w:val="18"/>
                      <w:szCs w:val="18"/>
                      <w:lang w:val="en-US" w:eastAsia="zh-CN"/>
                    </w:rPr>
                    <w:t>危险废物合理贮存，委托处置，运营期</w:t>
                  </w:r>
                  <w:r>
                    <w:rPr>
                      <w:rFonts w:hint="default" w:ascii="Times New Roman" w:hAnsi="Times New Roman" w:cs="Times New Roman"/>
                      <w:color w:val="auto"/>
                      <w:sz w:val="18"/>
                      <w:szCs w:val="18"/>
                    </w:rPr>
                    <w:t>不会对环境造成</w:t>
                  </w:r>
                  <w:r>
                    <w:rPr>
                      <w:rFonts w:hint="default" w:ascii="Times New Roman" w:hAnsi="Times New Roman" w:cs="Times New Roman"/>
                      <w:color w:val="auto"/>
                      <w:sz w:val="18"/>
                      <w:szCs w:val="18"/>
                      <w:lang w:val="en-US" w:eastAsia="zh-CN"/>
                    </w:rPr>
                    <w:t>明显</w:t>
                  </w:r>
                  <w:r>
                    <w:rPr>
                      <w:rFonts w:hint="default" w:ascii="Times New Roman" w:hAnsi="Times New Roman" w:cs="Times New Roman"/>
                      <w:color w:val="auto"/>
                      <w:sz w:val="18"/>
                      <w:szCs w:val="18"/>
                    </w:rPr>
                    <w:t>影响。</w:t>
                  </w:r>
                </w:p>
              </w:tc>
              <w:tc>
                <w:tcPr>
                  <w:tcW w:w="1239" w:type="dxa"/>
                  <w:vAlign w:val="center"/>
                </w:tcPr>
                <w:p w14:paraId="5B4EF3CD">
                  <w:pPr>
                    <w:widowControl/>
                    <w:spacing w:line="240" w:lineRule="exact"/>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符合生态环境划定</w:t>
                  </w:r>
                  <w:r>
                    <w:rPr>
                      <w:rFonts w:hint="eastAsia" w:cs="Times New Roman"/>
                      <w:color w:val="auto"/>
                      <w:kern w:val="0"/>
                      <w:sz w:val="18"/>
                      <w:szCs w:val="18"/>
                      <w:lang w:val="en-US" w:eastAsia="zh-CN"/>
                    </w:rPr>
                    <w:t>一般</w:t>
                  </w:r>
                  <w:r>
                    <w:rPr>
                      <w:rFonts w:hint="default" w:ascii="Times New Roman" w:hAnsi="Times New Roman" w:cs="Times New Roman"/>
                      <w:color w:val="auto"/>
                      <w:kern w:val="0"/>
                      <w:sz w:val="18"/>
                      <w:szCs w:val="18"/>
                    </w:rPr>
                    <w:t>管控要求</w:t>
                  </w:r>
                </w:p>
              </w:tc>
            </w:tr>
          </w:tbl>
          <w:p w14:paraId="70D544AE">
            <w:pPr>
              <w:spacing w:line="360" w:lineRule="auto"/>
              <w:ind w:firstLine="420" w:firstLineChars="200"/>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本项目占地属于大同市生态环境管控单元中的</w:t>
            </w:r>
            <w:r>
              <w:rPr>
                <w:rFonts w:hint="eastAsia" w:cs="Times New Roman"/>
                <w:color w:val="auto"/>
                <w:szCs w:val="21"/>
                <w:lang w:val="en-US" w:eastAsia="zh-CN"/>
              </w:rPr>
              <w:t>一般</w:t>
            </w:r>
            <w:r>
              <w:rPr>
                <w:rFonts w:hint="default" w:ascii="Times New Roman" w:hAnsi="Times New Roman" w:cs="Times New Roman"/>
                <w:color w:val="auto"/>
                <w:szCs w:val="21"/>
                <w:lang w:val="en-US" w:eastAsia="zh-CN"/>
              </w:rPr>
              <w:t>管控单元，项目的建设符合</w:t>
            </w:r>
            <w:r>
              <w:rPr>
                <w:rFonts w:hint="eastAsia" w:cs="Times New Roman"/>
                <w:color w:val="auto"/>
                <w:szCs w:val="21"/>
                <w:lang w:val="en-US" w:eastAsia="zh-CN"/>
              </w:rPr>
              <w:t>一般</w:t>
            </w:r>
            <w:r>
              <w:rPr>
                <w:rFonts w:hint="default" w:ascii="Times New Roman" w:hAnsi="Times New Roman" w:cs="Times New Roman"/>
                <w:color w:val="auto"/>
                <w:szCs w:val="21"/>
                <w:lang w:val="en-US" w:eastAsia="zh-CN"/>
              </w:rPr>
              <w:t>管控要求。</w:t>
            </w:r>
            <w:r>
              <w:rPr>
                <w:rFonts w:hint="default" w:ascii="Times New Roman" w:hAnsi="Times New Roman" w:cs="Times New Roman"/>
                <w:color w:val="auto"/>
                <w:szCs w:val="21"/>
              </w:rPr>
              <w:t>本项目选址不违背生态保护红线保护要求。</w:t>
            </w:r>
          </w:p>
          <w:p w14:paraId="1C4E7C4A">
            <w:pPr>
              <w:spacing w:line="360" w:lineRule="auto"/>
              <w:ind w:firstLine="420" w:firstLineChars="200"/>
              <w:rPr>
                <w:rFonts w:hint="default" w:ascii="Times New Roman" w:hAnsi="Times New Roman" w:cs="Times New Roman"/>
                <w:color w:val="auto"/>
                <w:szCs w:val="21"/>
              </w:rPr>
            </w:pPr>
            <w:r>
              <w:rPr>
                <w:rFonts w:hint="default" w:ascii="Times New Roman" w:hAnsi="Times New Roman" w:cs="Times New Roman"/>
                <w:color w:val="auto"/>
                <w:szCs w:val="21"/>
              </w:rPr>
              <w:t>（2）与环境质量底线的符合性分析</w:t>
            </w:r>
          </w:p>
          <w:p w14:paraId="73C5D45F">
            <w:pPr>
              <w:spacing w:line="360" w:lineRule="auto"/>
              <w:ind w:firstLine="420" w:firstLineChars="200"/>
              <w:rPr>
                <w:rFonts w:hint="default" w:ascii="Times New Roman" w:hAnsi="Times New Roman" w:cs="Times New Roman"/>
                <w:color w:val="auto"/>
                <w:szCs w:val="21"/>
              </w:rPr>
            </w:pPr>
            <w:r>
              <w:rPr>
                <w:rFonts w:hint="default" w:ascii="Times New Roman" w:hAnsi="Times New Roman" w:cs="Times New Roman"/>
                <w:color w:val="auto"/>
                <w:szCs w:val="21"/>
              </w:rPr>
              <w:t>①根据大同市202</w:t>
            </w:r>
            <w:r>
              <w:rPr>
                <w:rFonts w:hint="eastAsia" w:cs="Times New Roman"/>
                <w:color w:val="auto"/>
                <w:szCs w:val="21"/>
                <w:lang w:val="en-US" w:eastAsia="zh-CN"/>
              </w:rPr>
              <w:t>4</w:t>
            </w:r>
            <w:r>
              <w:rPr>
                <w:rFonts w:hint="default" w:ascii="Times New Roman" w:hAnsi="Times New Roman" w:cs="Times New Roman"/>
                <w:color w:val="auto"/>
                <w:szCs w:val="21"/>
              </w:rPr>
              <w:t>年公布的环境空气质量状况中的数据显示，区域环境空气质量中污染物</w:t>
            </w:r>
            <w:r>
              <w:rPr>
                <w:rFonts w:hint="default" w:ascii="Times New Roman" w:hAnsi="Times New Roman" w:cs="Times New Roman"/>
                <w:color w:val="auto"/>
                <w:szCs w:val="21"/>
                <w:lang w:val="zh-CN"/>
              </w:rPr>
              <w:t>均未超标，</w:t>
            </w:r>
            <w:r>
              <w:rPr>
                <w:rFonts w:hint="default" w:ascii="Times New Roman" w:hAnsi="Times New Roman" w:cs="Times New Roman"/>
                <w:color w:val="auto"/>
                <w:szCs w:val="21"/>
              </w:rPr>
              <w:t>区域属达标区。</w:t>
            </w:r>
          </w:p>
          <w:p w14:paraId="39CACEDA">
            <w:pPr>
              <w:spacing w:line="360" w:lineRule="auto"/>
              <w:ind w:firstLine="420" w:firstLineChars="200"/>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根据现状环境空气质量监测数据显示，项目特征污染物TSP、苯并[a]芘均未超标。</w:t>
            </w:r>
          </w:p>
          <w:p w14:paraId="26190E4A">
            <w:pPr>
              <w:spacing w:line="360" w:lineRule="auto"/>
              <w:ind w:firstLine="420" w:firstLineChars="200"/>
              <w:rPr>
                <w:rFonts w:hint="default" w:ascii="Times New Roman" w:hAnsi="Times New Roman" w:cs="Times New Roman"/>
                <w:color w:val="auto"/>
                <w:szCs w:val="21"/>
              </w:rPr>
            </w:pPr>
            <w:r>
              <w:rPr>
                <w:rFonts w:hint="default" w:ascii="Times New Roman" w:hAnsi="Times New Roman" w:cs="Times New Roman"/>
                <w:color w:val="auto"/>
                <w:szCs w:val="21"/>
              </w:rPr>
              <w:t>②本项目运营期</w:t>
            </w:r>
            <w:r>
              <w:rPr>
                <w:rFonts w:hint="eastAsia" w:cs="Times New Roman"/>
                <w:color w:val="auto"/>
                <w:szCs w:val="21"/>
                <w:highlight w:val="none"/>
                <w:lang w:val="en-US" w:eastAsia="zh-CN"/>
              </w:rPr>
              <w:t>生产</w:t>
            </w:r>
            <w:r>
              <w:rPr>
                <w:rFonts w:hint="default" w:ascii="Times New Roman" w:hAnsi="Times New Roman" w:cs="Times New Roman"/>
                <w:color w:val="auto"/>
                <w:szCs w:val="21"/>
                <w:highlight w:val="none"/>
                <w:lang w:val="en-US" w:eastAsia="zh-CN"/>
              </w:rPr>
              <w:t>废水</w:t>
            </w:r>
            <w:r>
              <w:rPr>
                <w:rFonts w:hint="eastAsia" w:cs="Times New Roman"/>
                <w:color w:val="auto"/>
                <w:szCs w:val="21"/>
                <w:highlight w:val="none"/>
                <w:lang w:val="en-US" w:eastAsia="zh-CN"/>
              </w:rPr>
              <w:t>经沉淀后回用于混凝土生产线系统，不外排；少量生活污水</w:t>
            </w:r>
            <w:r>
              <w:rPr>
                <w:rFonts w:hint="default" w:ascii="Times New Roman" w:hAnsi="Times New Roman" w:cs="Times New Roman"/>
                <w:color w:val="auto"/>
                <w:szCs w:val="21"/>
                <w:highlight w:val="none"/>
                <w:lang w:val="en-US" w:eastAsia="zh-CN"/>
              </w:rPr>
              <w:t>经化粪池沉淀后</w:t>
            </w:r>
            <w:r>
              <w:rPr>
                <w:rFonts w:hint="eastAsia" w:cs="Times New Roman"/>
                <w:color w:val="auto"/>
                <w:szCs w:val="21"/>
                <w:highlight w:val="none"/>
                <w:lang w:val="en-US" w:eastAsia="zh-CN"/>
              </w:rPr>
              <w:t>，定期清掏由附近村民拉走施肥</w:t>
            </w:r>
            <w:r>
              <w:rPr>
                <w:rFonts w:hint="default" w:ascii="Times New Roman" w:hAnsi="Times New Roman" w:cs="Times New Roman"/>
                <w:color w:val="auto"/>
                <w:szCs w:val="21"/>
                <w:highlight w:val="none"/>
                <w:lang w:val="en-US" w:eastAsia="zh-CN"/>
              </w:rPr>
              <w:t>，运营期无废水直接外排</w:t>
            </w:r>
            <w:r>
              <w:rPr>
                <w:rFonts w:hint="default" w:ascii="Times New Roman" w:hAnsi="Times New Roman" w:cs="Times New Roman"/>
                <w:color w:val="auto"/>
                <w:szCs w:val="21"/>
                <w:lang w:val="en-US" w:eastAsia="zh-CN"/>
              </w:rPr>
              <w:t>，</w:t>
            </w:r>
            <w:r>
              <w:rPr>
                <w:rFonts w:hint="default" w:ascii="Times New Roman" w:hAnsi="Times New Roman" w:cs="Times New Roman"/>
                <w:color w:val="auto"/>
                <w:szCs w:val="21"/>
              </w:rPr>
              <w:t>对地表水环境影响</w:t>
            </w:r>
            <w:r>
              <w:rPr>
                <w:rFonts w:hint="default" w:ascii="Times New Roman" w:hAnsi="Times New Roman" w:cs="Times New Roman"/>
                <w:color w:val="auto"/>
                <w:szCs w:val="21"/>
                <w:lang w:val="en-US" w:eastAsia="zh-CN"/>
              </w:rPr>
              <w:t>较小</w:t>
            </w:r>
            <w:r>
              <w:rPr>
                <w:rFonts w:hint="default" w:ascii="Times New Roman" w:hAnsi="Times New Roman" w:cs="Times New Roman"/>
                <w:color w:val="auto"/>
                <w:szCs w:val="21"/>
              </w:rPr>
              <w:t>。</w:t>
            </w:r>
          </w:p>
          <w:p w14:paraId="629AB15F">
            <w:pPr>
              <w:spacing w:line="360" w:lineRule="auto"/>
              <w:ind w:firstLine="420" w:firstLineChars="200"/>
              <w:rPr>
                <w:rFonts w:hint="default" w:ascii="Times New Roman" w:hAnsi="Times New Roman" w:cs="Times New Roman"/>
                <w:color w:val="auto"/>
                <w:szCs w:val="21"/>
              </w:rPr>
            </w:pPr>
            <w:r>
              <w:rPr>
                <w:rFonts w:hint="default" w:ascii="Times New Roman" w:hAnsi="Times New Roman" w:cs="Times New Roman"/>
                <w:color w:val="auto"/>
                <w:szCs w:val="21"/>
              </w:rPr>
              <w:t>③本项目运营期各设备均</w:t>
            </w:r>
            <w:r>
              <w:rPr>
                <w:rFonts w:hint="eastAsia" w:cs="Times New Roman"/>
                <w:color w:val="auto"/>
                <w:szCs w:val="21"/>
                <w:lang w:val="en-US" w:eastAsia="zh-CN"/>
              </w:rPr>
              <w:t>采取基础减振等措施</w:t>
            </w:r>
            <w:r>
              <w:rPr>
                <w:rFonts w:hint="default" w:ascii="Times New Roman" w:hAnsi="Times New Roman" w:cs="Times New Roman"/>
                <w:color w:val="auto"/>
                <w:szCs w:val="21"/>
              </w:rPr>
              <w:t>，经</w:t>
            </w:r>
            <w:r>
              <w:rPr>
                <w:rFonts w:hint="eastAsia" w:cs="Times New Roman"/>
                <w:color w:val="auto"/>
                <w:szCs w:val="21"/>
                <w:lang w:val="en-US" w:eastAsia="zh-CN"/>
              </w:rPr>
              <w:t>构筑物</w:t>
            </w:r>
            <w:r>
              <w:rPr>
                <w:rFonts w:hint="default" w:ascii="Times New Roman" w:hAnsi="Times New Roman" w:cs="Times New Roman"/>
                <w:color w:val="auto"/>
                <w:szCs w:val="21"/>
              </w:rPr>
              <w:t>及厂区绿化衰减后，运营期声环境影响较小，对周围声环境影响不大。</w:t>
            </w:r>
          </w:p>
          <w:p w14:paraId="22397FB0">
            <w:pPr>
              <w:spacing w:line="360" w:lineRule="auto"/>
              <w:ind w:firstLine="420" w:firstLineChars="200"/>
              <w:rPr>
                <w:rFonts w:hint="default" w:ascii="Times New Roman" w:hAnsi="Times New Roman" w:cs="Times New Roman"/>
                <w:color w:val="auto"/>
                <w:szCs w:val="21"/>
              </w:rPr>
            </w:pPr>
            <w:r>
              <w:rPr>
                <w:rFonts w:hint="default" w:ascii="Times New Roman" w:hAnsi="Times New Roman" w:cs="Times New Roman"/>
                <w:color w:val="auto"/>
                <w:szCs w:val="21"/>
              </w:rPr>
              <w:t>根据工程分析可知，本项目不使用煤炭、重油等高能耗高污染类能源。项目营运期采取环评提出的措施后，废气可达标排放；项目营运期</w:t>
            </w:r>
            <w:r>
              <w:rPr>
                <w:rFonts w:hint="default" w:ascii="Times New Roman" w:hAnsi="Times New Roman" w:cs="Times New Roman"/>
                <w:color w:val="auto"/>
                <w:szCs w:val="21"/>
                <w:highlight w:val="none"/>
                <w:lang w:val="en-US" w:eastAsia="zh-CN"/>
              </w:rPr>
              <w:t>少量废水经</w:t>
            </w:r>
            <w:r>
              <w:rPr>
                <w:rFonts w:hint="eastAsia" w:cs="Times New Roman"/>
                <w:color w:val="auto"/>
                <w:szCs w:val="21"/>
                <w:highlight w:val="none"/>
                <w:lang w:val="en-US" w:eastAsia="zh-CN"/>
              </w:rPr>
              <w:t>沉淀后回用</w:t>
            </w:r>
            <w:r>
              <w:rPr>
                <w:rFonts w:hint="default" w:ascii="Times New Roman" w:hAnsi="Times New Roman" w:cs="Times New Roman"/>
                <w:color w:val="auto"/>
                <w:szCs w:val="21"/>
                <w:highlight w:val="none"/>
                <w:lang w:val="en-US" w:eastAsia="zh-CN"/>
              </w:rPr>
              <w:t>，运营期无废水直接外排</w:t>
            </w:r>
            <w:r>
              <w:rPr>
                <w:rFonts w:hint="default" w:ascii="Times New Roman" w:hAnsi="Times New Roman" w:cs="Times New Roman"/>
                <w:color w:val="auto"/>
                <w:szCs w:val="21"/>
                <w:lang w:val="en-US" w:eastAsia="zh-CN"/>
              </w:rPr>
              <w:t>，</w:t>
            </w:r>
            <w:r>
              <w:rPr>
                <w:rFonts w:hint="default" w:ascii="Times New Roman" w:hAnsi="Times New Roman" w:cs="Times New Roman"/>
                <w:color w:val="auto"/>
                <w:szCs w:val="21"/>
              </w:rPr>
              <w:t>对地表水环境影响</w:t>
            </w:r>
            <w:r>
              <w:rPr>
                <w:rFonts w:hint="default" w:ascii="Times New Roman" w:hAnsi="Times New Roman" w:cs="Times New Roman"/>
                <w:color w:val="auto"/>
                <w:szCs w:val="21"/>
                <w:lang w:val="en-US" w:eastAsia="zh-CN"/>
              </w:rPr>
              <w:t>较小</w:t>
            </w:r>
            <w:r>
              <w:rPr>
                <w:rFonts w:hint="default" w:ascii="Times New Roman" w:hAnsi="Times New Roman" w:cs="Times New Roman"/>
                <w:color w:val="auto"/>
                <w:szCs w:val="21"/>
              </w:rPr>
              <w:t>；项目营运期采取隔声、减振、加强绿化等措施，厂界噪声可达标排放；固体废物</w:t>
            </w:r>
            <w:r>
              <w:rPr>
                <w:rFonts w:hint="eastAsia" w:cs="Times New Roman"/>
                <w:color w:val="auto"/>
                <w:szCs w:val="21"/>
                <w:lang w:val="en-US" w:eastAsia="zh-CN"/>
              </w:rPr>
              <w:t>返回生产系统综合利用</w:t>
            </w:r>
            <w:r>
              <w:rPr>
                <w:rFonts w:hint="default" w:ascii="Times New Roman" w:hAnsi="Times New Roman" w:cs="Times New Roman"/>
                <w:color w:val="auto"/>
                <w:szCs w:val="21"/>
                <w:lang w:val="en-US" w:eastAsia="zh-CN"/>
              </w:rPr>
              <w:t>，危险废物妥善贮存并定期委托有资质单位清运处置</w:t>
            </w:r>
            <w:r>
              <w:rPr>
                <w:rFonts w:hint="default" w:ascii="Times New Roman" w:hAnsi="Times New Roman" w:cs="Times New Roman"/>
                <w:color w:val="auto"/>
                <w:szCs w:val="21"/>
              </w:rPr>
              <w:t>，均</w:t>
            </w:r>
            <w:r>
              <w:rPr>
                <w:rFonts w:hint="default" w:ascii="Times New Roman" w:hAnsi="Times New Roman" w:cs="Times New Roman"/>
                <w:color w:val="auto"/>
                <w:szCs w:val="21"/>
                <w:lang w:val="en-US" w:eastAsia="zh-CN"/>
              </w:rPr>
              <w:t>得到</w:t>
            </w:r>
            <w:r>
              <w:rPr>
                <w:rFonts w:hint="default" w:ascii="Times New Roman" w:hAnsi="Times New Roman" w:cs="Times New Roman"/>
                <w:color w:val="auto"/>
                <w:szCs w:val="21"/>
              </w:rPr>
              <w:t>合理处置。不违背环境质量底线要求。</w:t>
            </w:r>
          </w:p>
          <w:p w14:paraId="3037C85E">
            <w:pPr>
              <w:spacing w:line="360" w:lineRule="auto"/>
              <w:ind w:firstLine="420" w:firstLineChars="200"/>
              <w:rPr>
                <w:rFonts w:hint="default" w:ascii="Times New Roman" w:hAnsi="Times New Roman" w:cs="Times New Roman"/>
                <w:color w:val="auto"/>
                <w:szCs w:val="21"/>
              </w:rPr>
            </w:pPr>
            <w:r>
              <w:rPr>
                <w:rFonts w:hint="default" w:ascii="Times New Roman" w:hAnsi="Times New Roman" w:cs="Times New Roman"/>
                <w:color w:val="auto"/>
                <w:szCs w:val="21"/>
              </w:rPr>
              <w:t>（3）与资源利用上线的符合性分析</w:t>
            </w:r>
          </w:p>
          <w:p w14:paraId="6410B756">
            <w:pPr>
              <w:spacing w:line="360" w:lineRule="auto"/>
              <w:ind w:firstLine="420" w:firstLineChars="200"/>
              <w:rPr>
                <w:rFonts w:hint="default" w:ascii="Times New Roman" w:hAnsi="Times New Roman" w:cs="Times New Roman"/>
                <w:color w:val="auto"/>
                <w:szCs w:val="21"/>
              </w:rPr>
            </w:pPr>
            <w:r>
              <w:rPr>
                <w:rFonts w:hint="default" w:ascii="Times New Roman" w:hAnsi="Times New Roman" w:cs="Times New Roman"/>
                <w:color w:val="auto"/>
                <w:szCs w:val="21"/>
              </w:rPr>
              <w:t>根据</w:t>
            </w:r>
            <w:r>
              <w:rPr>
                <w:rFonts w:hint="eastAsia" w:cs="Times New Roman"/>
                <w:color w:val="auto"/>
                <w:szCs w:val="21"/>
                <w:lang w:val="en-US" w:eastAsia="zh-CN"/>
              </w:rPr>
              <w:t>天镇县</w:t>
            </w:r>
            <w:r>
              <w:rPr>
                <w:rFonts w:hint="default" w:ascii="Times New Roman" w:hAnsi="Times New Roman" w:cs="Times New Roman"/>
                <w:color w:val="auto"/>
                <w:szCs w:val="21"/>
                <w:lang w:val="en-US" w:eastAsia="zh-CN"/>
              </w:rPr>
              <w:t>国土空间规划</w:t>
            </w:r>
            <w:r>
              <w:rPr>
                <w:rFonts w:hint="eastAsia" w:cs="Times New Roman"/>
                <w:color w:val="auto"/>
                <w:szCs w:val="21"/>
                <w:lang w:val="en-US" w:eastAsia="zh-CN"/>
              </w:rPr>
              <w:t>、天镇县自然资源局出具的情况说明</w:t>
            </w:r>
            <w:r>
              <w:rPr>
                <w:rFonts w:hint="default" w:ascii="Times New Roman" w:hAnsi="Times New Roman" w:cs="Times New Roman"/>
                <w:color w:val="auto"/>
                <w:szCs w:val="21"/>
                <w:lang w:val="en-US" w:eastAsia="zh-CN"/>
              </w:rPr>
              <w:t>等内容可知，</w:t>
            </w:r>
            <w:r>
              <w:rPr>
                <w:rFonts w:hint="default" w:ascii="Times New Roman" w:hAnsi="Times New Roman" w:cs="Times New Roman"/>
                <w:color w:val="auto"/>
                <w:szCs w:val="21"/>
              </w:rPr>
              <w:t>本项目占地性质为</w:t>
            </w:r>
            <w:r>
              <w:rPr>
                <w:rFonts w:hint="eastAsia" w:cs="Times New Roman"/>
                <w:color w:val="auto"/>
                <w:szCs w:val="21"/>
                <w:lang w:val="en-US" w:eastAsia="zh-CN"/>
              </w:rPr>
              <w:t>建设用地</w:t>
            </w:r>
            <w:r>
              <w:rPr>
                <w:rFonts w:hint="default" w:ascii="Times New Roman" w:hAnsi="Times New Roman" w:cs="Times New Roman"/>
                <w:color w:val="auto"/>
                <w:szCs w:val="21"/>
              </w:rPr>
              <w:t>。不涉及耕地、林地等，不新增占地及其他临时占地；项目生产过程使用少量水资源。经工程分析可知，项目采用</w:t>
            </w:r>
            <w:r>
              <w:rPr>
                <w:rFonts w:hint="eastAsia" w:cs="Times New Roman"/>
                <w:color w:val="auto"/>
                <w:szCs w:val="21"/>
                <w:lang w:val="en-US" w:eastAsia="zh-CN"/>
              </w:rPr>
              <w:t>较为</w:t>
            </w:r>
            <w:r>
              <w:rPr>
                <w:rFonts w:hint="default" w:ascii="Times New Roman" w:hAnsi="Times New Roman" w:cs="Times New Roman"/>
                <w:color w:val="auto"/>
                <w:szCs w:val="21"/>
              </w:rPr>
              <w:t>先进</w:t>
            </w:r>
            <w:r>
              <w:rPr>
                <w:rFonts w:hint="eastAsia" w:cs="Times New Roman"/>
                <w:color w:val="auto"/>
                <w:szCs w:val="21"/>
                <w:lang w:val="en-US" w:eastAsia="zh-CN"/>
              </w:rPr>
              <w:t>的</w:t>
            </w:r>
            <w:r>
              <w:rPr>
                <w:rFonts w:hint="default" w:ascii="Times New Roman" w:hAnsi="Times New Roman" w:cs="Times New Roman"/>
                <w:color w:val="auto"/>
                <w:szCs w:val="21"/>
              </w:rPr>
              <w:t>设备及工艺，不违背资源利用上线要求。</w:t>
            </w:r>
          </w:p>
          <w:p w14:paraId="0BAD1E5F">
            <w:pPr>
              <w:spacing w:line="360" w:lineRule="auto"/>
              <w:ind w:firstLine="420" w:firstLineChars="200"/>
              <w:rPr>
                <w:rFonts w:hint="default" w:ascii="Times New Roman" w:hAnsi="Times New Roman" w:cs="Times New Roman"/>
                <w:color w:val="auto"/>
                <w:szCs w:val="21"/>
              </w:rPr>
            </w:pPr>
            <w:r>
              <w:rPr>
                <w:rFonts w:hint="default" w:ascii="Times New Roman" w:hAnsi="Times New Roman" w:cs="Times New Roman"/>
                <w:color w:val="auto"/>
                <w:szCs w:val="21"/>
              </w:rPr>
              <w:t>（4）与环境准入负面清单的符合性分析</w:t>
            </w:r>
          </w:p>
          <w:p w14:paraId="4A3FF1D8">
            <w:pPr>
              <w:spacing w:line="360" w:lineRule="auto"/>
              <w:ind w:firstLine="420" w:firstLineChars="20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rPr>
              <w:t>据调查，</w:t>
            </w:r>
            <w:r>
              <w:rPr>
                <w:rFonts w:hint="eastAsia" w:cs="Times New Roman"/>
                <w:color w:val="auto"/>
                <w:szCs w:val="21"/>
                <w:lang w:val="en-US" w:eastAsia="zh-CN"/>
              </w:rPr>
              <w:t>项目占地区域未制订环境准入负面清单内容</w:t>
            </w:r>
            <w:r>
              <w:rPr>
                <w:rFonts w:hint="default" w:ascii="Times New Roman" w:hAnsi="Times New Roman" w:cs="Times New Roman"/>
                <w:color w:val="auto"/>
                <w:szCs w:val="21"/>
                <w:lang w:val="en-US" w:eastAsia="zh-CN"/>
              </w:rPr>
              <w:t>。</w:t>
            </w:r>
          </w:p>
          <w:p w14:paraId="352D1817">
            <w:pPr>
              <w:spacing w:line="360" w:lineRule="auto"/>
              <w:ind w:firstLine="420" w:firstLineChars="200"/>
              <w:rPr>
                <w:rFonts w:hint="default" w:ascii="Times New Roman" w:hAnsi="Times New Roman" w:cs="Times New Roman"/>
                <w:bCs/>
                <w:color w:val="auto"/>
                <w:szCs w:val="21"/>
              </w:rPr>
            </w:pPr>
            <w:r>
              <w:rPr>
                <w:rFonts w:hint="default" w:ascii="Times New Roman" w:hAnsi="Times New Roman" w:cs="Times New Roman"/>
                <w:bCs/>
                <w:color w:val="auto"/>
                <w:szCs w:val="21"/>
              </w:rPr>
              <w:t>另外，本项目建设单位承诺积极配合当地环境管理以及相关部门的各项管理与监督。</w:t>
            </w:r>
          </w:p>
          <w:p w14:paraId="20A9B9FA">
            <w:pPr>
              <w:spacing w:line="360" w:lineRule="auto"/>
              <w:ind w:firstLine="420" w:firstLineChars="200"/>
              <w:rPr>
                <w:rFonts w:hint="eastAsia" w:cs="Times New Roman"/>
                <w:bCs/>
                <w:color w:val="auto"/>
                <w:szCs w:val="21"/>
                <w:lang w:val="en-US" w:eastAsia="zh-CN"/>
              </w:rPr>
            </w:pPr>
            <w:r>
              <w:rPr>
                <w:rFonts w:hint="eastAsia" w:cs="Times New Roman"/>
                <w:bCs/>
                <w:color w:val="auto"/>
                <w:szCs w:val="21"/>
                <w:lang w:val="en-US" w:eastAsia="zh-CN"/>
              </w:rPr>
              <w:t>根据《大同市人民政府关于印发“三线一单”生态环境分区管控实施方案的通知》（同政发[2021]23号），项目与文件中生态环境分区管控总体准入清单内容符合性分析如下表所示。</w:t>
            </w:r>
          </w:p>
          <w:p w14:paraId="5E6D7C36">
            <w:pPr>
              <w:pStyle w:val="136"/>
              <w:spacing w:line="240" w:lineRule="exact"/>
              <w:ind w:firstLine="0" w:firstLineChars="0"/>
              <w:jc w:val="center"/>
              <w:rPr>
                <w:b/>
                <w:bCs/>
                <w:sz w:val="18"/>
                <w:szCs w:val="18"/>
              </w:rPr>
            </w:pPr>
            <w:r>
              <w:rPr>
                <w:b/>
                <w:bCs/>
                <w:sz w:val="18"/>
                <w:szCs w:val="18"/>
              </w:rPr>
              <w:t>表1-</w:t>
            </w:r>
            <w:r>
              <w:rPr>
                <w:rFonts w:hint="eastAsia"/>
                <w:b/>
                <w:bCs/>
                <w:sz w:val="18"/>
                <w:szCs w:val="18"/>
              </w:rPr>
              <w:t>2</w:t>
            </w:r>
            <w:r>
              <w:rPr>
                <w:b/>
                <w:bCs/>
                <w:sz w:val="18"/>
                <w:szCs w:val="18"/>
              </w:rPr>
              <w:t xml:space="preserve">  </w:t>
            </w:r>
            <w:r>
              <w:rPr>
                <w:rFonts w:hint="eastAsia"/>
                <w:b/>
                <w:bCs/>
                <w:sz w:val="18"/>
                <w:szCs w:val="18"/>
                <w:lang w:val="en-US" w:eastAsia="zh-CN"/>
              </w:rPr>
              <w:t>本项目</w:t>
            </w:r>
            <w:r>
              <w:rPr>
                <w:b/>
                <w:bCs/>
                <w:sz w:val="18"/>
                <w:szCs w:val="18"/>
              </w:rPr>
              <w:t>与大同市人民政府关于实施“三线一单”生态环境分区管控总体准入清单符合性分析表</w:t>
            </w:r>
          </w:p>
          <w:tbl>
            <w:tblPr>
              <w:tblStyle w:val="47"/>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18"/>
              <w:gridCol w:w="837"/>
              <w:gridCol w:w="3287"/>
              <w:gridCol w:w="1854"/>
            </w:tblGrid>
            <w:tr w14:paraId="11411C5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36" w:type="pct"/>
                  <w:vAlign w:val="center"/>
                </w:tcPr>
                <w:p w14:paraId="3A003449">
                  <w:pPr>
                    <w:autoSpaceDE w:val="0"/>
                    <w:autoSpaceDN w:val="0"/>
                    <w:adjustRightInd w:val="0"/>
                    <w:snapToGrid w:val="0"/>
                    <w:jc w:val="center"/>
                    <w:rPr>
                      <w:kern w:val="0"/>
                      <w:sz w:val="18"/>
                      <w:szCs w:val="18"/>
                    </w:rPr>
                  </w:pPr>
                  <w:r>
                    <w:rPr>
                      <w:kern w:val="0"/>
                      <w:sz w:val="18"/>
                      <w:szCs w:val="18"/>
                    </w:rPr>
                    <w:t>属性/区域</w:t>
                  </w:r>
                </w:p>
              </w:tc>
              <w:tc>
                <w:tcPr>
                  <w:tcW w:w="625" w:type="pct"/>
                  <w:vAlign w:val="center"/>
                </w:tcPr>
                <w:p w14:paraId="7D1FAAD3">
                  <w:pPr>
                    <w:autoSpaceDE w:val="0"/>
                    <w:autoSpaceDN w:val="0"/>
                    <w:adjustRightInd w:val="0"/>
                    <w:snapToGrid w:val="0"/>
                    <w:jc w:val="center"/>
                    <w:rPr>
                      <w:kern w:val="0"/>
                      <w:sz w:val="18"/>
                      <w:szCs w:val="18"/>
                    </w:rPr>
                  </w:pPr>
                  <w:r>
                    <w:rPr>
                      <w:kern w:val="0"/>
                      <w:sz w:val="18"/>
                      <w:szCs w:val="18"/>
                    </w:rPr>
                    <w:t>管控维度</w:t>
                  </w:r>
                </w:p>
              </w:tc>
              <w:tc>
                <w:tcPr>
                  <w:tcW w:w="2454" w:type="pct"/>
                  <w:vAlign w:val="center"/>
                </w:tcPr>
                <w:p w14:paraId="682B4C39">
                  <w:pPr>
                    <w:autoSpaceDE w:val="0"/>
                    <w:autoSpaceDN w:val="0"/>
                    <w:adjustRightInd w:val="0"/>
                    <w:snapToGrid w:val="0"/>
                    <w:jc w:val="center"/>
                    <w:rPr>
                      <w:kern w:val="0"/>
                      <w:sz w:val="18"/>
                      <w:szCs w:val="18"/>
                    </w:rPr>
                  </w:pPr>
                  <w:r>
                    <w:rPr>
                      <w:kern w:val="0"/>
                      <w:sz w:val="18"/>
                      <w:szCs w:val="18"/>
                    </w:rPr>
                    <w:t>管控要求</w:t>
                  </w:r>
                </w:p>
              </w:tc>
              <w:tc>
                <w:tcPr>
                  <w:tcW w:w="1384" w:type="pct"/>
                  <w:vAlign w:val="center"/>
                </w:tcPr>
                <w:p w14:paraId="4D884694">
                  <w:pPr>
                    <w:autoSpaceDE w:val="0"/>
                    <w:autoSpaceDN w:val="0"/>
                    <w:adjustRightInd w:val="0"/>
                    <w:snapToGrid w:val="0"/>
                    <w:jc w:val="center"/>
                    <w:rPr>
                      <w:kern w:val="0"/>
                      <w:sz w:val="18"/>
                      <w:szCs w:val="18"/>
                    </w:rPr>
                  </w:pPr>
                  <w:r>
                    <w:rPr>
                      <w:kern w:val="0"/>
                      <w:sz w:val="18"/>
                      <w:szCs w:val="18"/>
                    </w:rPr>
                    <w:t>本项目情况</w:t>
                  </w:r>
                </w:p>
              </w:tc>
            </w:tr>
            <w:tr w14:paraId="6CA8C57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36" w:type="pct"/>
                  <w:vMerge w:val="restart"/>
                  <w:vAlign w:val="center"/>
                </w:tcPr>
                <w:p w14:paraId="55949C58">
                  <w:pPr>
                    <w:autoSpaceDE w:val="0"/>
                    <w:autoSpaceDN w:val="0"/>
                    <w:adjustRightInd w:val="0"/>
                    <w:snapToGrid w:val="0"/>
                    <w:jc w:val="center"/>
                    <w:rPr>
                      <w:sz w:val="18"/>
                      <w:szCs w:val="18"/>
                    </w:rPr>
                  </w:pPr>
                  <w:r>
                    <w:rPr>
                      <w:sz w:val="18"/>
                      <w:szCs w:val="18"/>
                    </w:rPr>
                    <w:t>通用</w:t>
                  </w:r>
                </w:p>
              </w:tc>
              <w:tc>
                <w:tcPr>
                  <w:tcW w:w="625" w:type="pct"/>
                  <w:vMerge w:val="restart"/>
                  <w:vAlign w:val="center"/>
                </w:tcPr>
                <w:p w14:paraId="5DAFAE57">
                  <w:pPr>
                    <w:autoSpaceDE w:val="0"/>
                    <w:autoSpaceDN w:val="0"/>
                    <w:adjustRightInd w:val="0"/>
                    <w:snapToGrid w:val="0"/>
                    <w:jc w:val="center"/>
                    <w:rPr>
                      <w:kern w:val="0"/>
                      <w:sz w:val="18"/>
                      <w:szCs w:val="18"/>
                    </w:rPr>
                  </w:pPr>
                  <w:r>
                    <w:rPr>
                      <w:sz w:val="18"/>
                      <w:szCs w:val="18"/>
                    </w:rPr>
                    <w:t>空间布局约束</w:t>
                  </w:r>
                </w:p>
              </w:tc>
              <w:tc>
                <w:tcPr>
                  <w:tcW w:w="2454" w:type="pct"/>
                  <w:vAlign w:val="center"/>
                </w:tcPr>
                <w:p w14:paraId="40D68F79">
                  <w:pPr>
                    <w:autoSpaceDE w:val="0"/>
                    <w:autoSpaceDN w:val="0"/>
                    <w:adjustRightInd w:val="0"/>
                    <w:snapToGrid w:val="0"/>
                    <w:rPr>
                      <w:sz w:val="18"/>
                      <w:szCs w:val="18"/>
                    </w:rPr>
                  </w:pPr>
                  <w:r>
                    <w:rPr>
                      <w:sz w:val="18"/>
                      <w:szCs w:val="18"/>
                    </w:rPr>
                    <w:t>1.新建、改建、扩建“两高”项目须符合生态环境保护法律法规和相关法定规划，满足重点污染物排放总量控制、碳排放达峰目标、相关规划环评和相应行业建设项目环境准入条件、环评文件审批原则要求。</w:t>
                  </w:r>
                </w:p>
                <w:p w14:paraId="1E08A509">
                  <w:pPr>
                    <w:autoSpaceDE w:val="0"/>
                    <w:autoSpaceDN w:val="0"/>
                    <w:adjustRightInd w:val="0"/>
                    <w:snapToGrid w:val="0"/>
                    <w:rPr>
                      <w:kern w:val="0"/>
                      <w:sz w:val="18"/>
                      <w:szCs w:val="18"/>
                    </w:rPr>
                  </w:pPr>
                  <w:r>
                    <w:rPr>
                      <w:sz w:val="18"/>
                      <w:szCs w:val="18"/>
                    </w:rPr>
                    <w:t>法规前提下，除国家重大战略项目外，仅允许对生态功能不造成破坏的有限人为活动。</w:t>
                  </w:r>
                </w:p>
              </w:tc>
              <w:tc>
                <w:tcPr>
                  <w:tcW w:w="1384" w:type="pct"/>
                  <w:vAlign w:val="center"/>
                </w:tcPr>
                <w:p w14:paraId="2457B6AA">
                  <w:pPr>
                    <w:autoSpaceDE w:val="0"/>
                    <w:autoSpaceDN w:val="0"/>
                    <w:adjustRightInd w:val="0"/>
                    <w:snapToGrid w:val="0"/>
                    <w:jc w:val="center"/>
                    <w:rPr>
                      <w:kern w:val="0"/>
                      <w:sz w:val="18"/>
                      <w:szCs w:val="18"/>
                    </w:rPr>
                  </w:pPr>
                  <w:r>
                    <w:rPr>
                      <w:kern w:val="0"/>
                      <w:sz w:val="18"/>
                      <w:szCs w:val="18"/>
                    </w:rPr>
                    <w:t>本项目不属于“两高”项目</w:t>
                  </w:r>
                </w:p>
              </w:tc>
            </w:tr>
            <w:tr w14:paraId="77A376B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36" w:type="pct"/>
                  <w:vMerge w:val="continue"/>
                  <w:vAlign w:val="center"/>
                </w:tcPr>
                <w:p w14:paraId="3DDBE8E7">
                  <w:pPr>
                    <w:autoSpaceDE w:val="0"/>
                    <w:autoSpaceDN w:val="0"/>
                    <w:adjustRightInd w:val="0"/>
                    <w:snapToGrid w:val="0"/>
                    <w:jc w:val="center"/>
                    <w:rPr>
                      <w:sz w:val="18"/>
                      <w:szCs w:val="18"/>
                    </w:rPr>
                  </w:pPr>
                </w:p>
              </w:tc>
              <w:tc>
                <w:tcPr>
                  <w:tcW w:w="625" w:type="pct"/>
                  <w:vMerge w:val="continue"/>
                  <w:vAlign w:val="center"/>
                </w:tcPr>
                <w:p w14:paraId="23E25B7D">
                  <w:pPr>
                    <w:autoSpaceDE w:val="0"/>
                    <w:autoSpaceDN w:val="0"/>
                    <w:adjustRightInd w:val="0"/>
                    <w:snapToGrid w:val="0"/>
                    <w:jc w:val="center"/>
                    <w:rPr>
                      <w:sz w:val="18"/>
                      <w:szCs w:val="18"/>
                    </w:rPr>
                  </w:pPr>
                </w:p>
              </w:tc>
              <w:tc>
                <w:tcPr>
                  <w:tcW w:w="2454" w:type="pct"/>
                  <w:vAlign w:val="center"/>
                </w:tcPr>
                <w:p w14:paraId="6BA8FF5D">
                  <w:pPr>
                    <w:autoSpaceDE w:val="0"/>
                    <w:autoSpaceDN w:val="0"/>
                    <w:adjustRightInd w:val="0"/>
                    <w:snapToGrid w:val="0"/>
                    <w:rPr>
                      <w:kern w:val="0"/>
                      <w:sz w:val="18"/>
                      <w:szCs w:val="18"/>
                    </w:rPr>
                  </w:pPr>
                  <w:r>
                    <w:rPr>
                      <w:kern w:val="0"/>
                      <w:sz w:val="18"/>
                      <w:szCs w:val="18"/>
                    </w:rPr>
                    <w:t>2.</w:t>
                  </w:r>
                  <w:r>
                    <w:rPr>
                      <w:sz w:val="18"/>
                      <w:szCs w:val="18"/>
                    </w:rPr>
                    <w:t>严格控制高碳、高耗能、高排放项目建设，市城市规划区、县城规划区不再布局包括产能置换项目在内的任何钢铁（不含短流程炼钢）、铸造（不含高端铸件）、水泥、有色项目，区域内现有产能只减不增。</w:t>
                  </w:r>
                </w:p>
              </w:tc>
              <w:tc>
                <w:tcPr>
                  <w:tcW w:w="1384" w:type="pct"/>
                  <w:vAlign w:val="center"/>
                </w:tcPr>
                <w:p w14:paraId="0C2390E8">
                  <w:pPr>
                    <w:autoSpaceDE w:val="0"/>
                    <w:autoSpaceDN w:val="0"/>
                    <w:adjustRightInd w:val="0"/>
                    <w:snapToGrid w:val="0"/>
                    <w:jc w:val="center"/>
                    <w:rPr>
                      <w:rFonts w:hint="default" w:eastAsia="宋体"/>
                      <w:kern w:val="0"/>
                      <w:sz w:val="18"/>
                      <w:szCs w:val="18"/>
                      <w:lang w:val="en-US" w:eastAsia="zh-CN"/>
                    </w:rPr>
                  </w:pPr>
                  <w:r>
                    <w:rPr>
                      <w:kern w:val="0"/>
                      <w:sz w:val="18"/>
                      <w:szCs w:val="18"/>
                    </w:rPr>
                    <w:t>本项目不属于钢铁、铸造、水泥、有色项目</w:t>
                  </w:r>
                  <w:r>
                    <w:rPr>
                      <w:rFonts w:hint="eastAsia"/>
                      <w:kern w:val="0"/>
                      <w:sz w:val="18"/>
                      <w:szCs w:val="18"/>
                      <w:lang w:eastAsia="zh-CN"/>
                    </w:rPr>
                    <w:t>，</w:t>
                  </w:r>
                  <w:r>
                    <w:rPr>
                      <w:rFonts w:hint="eastAsia"/>
                      <w:kern w:val="0"/>
                      <w:sz w:val="18"/>
                      <w:szCs w:val="18"/>
                      <w:lang w:val="en-US" w:eastAsia="zh-CN"/>
                    </w:rPr>
                    <w:t>占地不属于城市规划区范围内</w:t>
                  </w:r>
                </w:p>
              </w:tc>
            </w:tr>
            <w:tr w14:paraId="0E96C16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36" w:type="pct"/>
                  <w:vMerge w:val="continue"/>
                  <w:vAlign w:val="center"/>
                </w:tcPr>
                <w:p w14:paraId="39D399D5">
                  <w:pPr>
                    <w:autoSpaceDE w:val="0"/>
                    <w:autoSpaceDN w:val="0"/>
                    <w:adjustRightInd w:val="0"/>
                    <w:snapToGrid w:val="0"/>
                    <w:jc w:val="center"/>
                    <w:rPr>
                      <w:sz w:val="18"/>
                      <w:szCs w:val="18"/>
                    </w:rPr>
                  </w:pPr>
                </w:p>
              </w:tc>
              <w:tc>
                <w:tcPr>
                  <w:tcW w:w="625" w:type="pct"/>
                  <w:vMerge w:val="continue"/>
                  <w:vAlign w:val="center"/>
                </w:tcPr>
                <w:p w14:paraId="460D3F3D">
                  <w:pPr>
                    <w:autoSpaceDE w:val="0"/>
                    <w:autoSpaceDN w:val="0"/>
                    <w:adjustRightInd w:val="0"/>
                    <w:snapToGrid w:val="0"/>
                    <w:jc w:val="center"/>
                    <w:rPr>
                      <w:sz w:val="18"/>
                      <w:szCs w:val="18"/>
                    </w:rPr>
                  </w:pPr>
                </w:p>
              </w:tc>
              <w:tc>
                <w:tcPr>
                  <w:tcW w:w="2454" w:type="pct"/>
                  <w:vAlign w:val="center"/>
                </w:tcPr>
                <w:p w14:paraId="16186D20">
                  <w:pPr>
                    <w:autoSpaceDE w:val="0"/>
                    <w:autoSpaceDN w:val="0"/>
                    <w:adjustRightInd w:val="0"/>
                    <w:snapToGrid w:val="0"/>
                    <w:rPr>
                      <w:kern w:val="0"/>
                      <w:sz w:val="18"/>
                      <w:szCs w:val="18"/>
                    </w:rPr>
                  </w:pPr>
                  <w:r>
                    <w:rPr>
                      <w:sz w:val="18"/>
                      <w:szCs w:val="18"/>
                    </w:rPr>
                    <w:t>3.推进城市建成区及周边重污染企业搬迁退出，加快清理不符合城市功能定位的污染企业。</w:t>
                  </w:r>
                </w:p>
              </w:tc>
              <w:tc>
                <w:tcPr>
                  <w:tcW w:w="1384" w:type="pct"/>
                  <w:vAlign w:val="center"/>
                </w:tcPr>
                <w:p w14:paraId="7E68529A">
                  <w:pPr>
                    <w:autoSpaceDE w:val="0"/>
                    <w:autoSpaceDN w:val="0"/>
                    <w:adjustRightInd w:val="0"/>
                    <w:snapToGrid w:val="0"/>
                    <w:jc w:val="center"/>
                    <w:rPr>
                      <w:rFonts w:hint="default" w:eastAsia="宋体"/>
                      <w:kern w:val="0"/>
                      <w:sz w:val="18"/>
                      <w:szCs w:val="18"/>
                      <w:lang w:val="en-US" w:eastAsia="zh-CN"/>
                    </w:rPr>
                  </w:pPr>
                  <w:r>
                    <w:rPr>
                      <w:kern w:val="0"/>
                      <w:sz w:val="18"/>
                      <w:szCs w:val="18"/>
                    </w:rPr>
                    <w:t>本项目选址不在城市建成区</w:t>
                  </w:r>
                  <w:r>
                    <w:rPr>
                      <w:rFonts w:hint="eastAsia"/>
                      <w:kern w:val="0"/>
                      <w:sz w:val="18"/>
                      <w:szCs w:val="18"/>
                      <w:lang w:val="en-US" w:eastAsia="zh-CN"/>
                    </w:rPr>
                    <w:t>范围内</w:t>
                  </w:r>
                </w:p>
              </w:tc>
            </w:tr>
            <w:tr w14:paraId="33F768D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36" w:type="pct"/>
                  <w:vMerge w:val="continue"/>
                  <w:vAlign w:val="center"/>
                </w:tcPr>
                <w:p w14:paraId="1160F8BA">
                  <w:pPr>
                    <w:autoSpaceDE w:val="0"/>
                    <w:autoSpaceDN w:val="0"/>
                    <w:adjustRightInd w:val="0"/>
                    <w:snapToGrid w:val="0"/>
                    <w:jc w:val="center"/>
                    <w:rPr>
                      <w:sz w:val="18"/>
                      <w:szCs w:val="18"/>
                    </w:rPr>
                  </w:pPr>
                </w:p>
              </w:tc>
              <w:tc>
                <w:tcPr>
                  <w:tcW w:w="625" w:type="pct"/>
                  <w:vMerge w:val="continue"/>
                  <w:vAlign w:val="center"/>
                </w:tcPr>
                <w:p w14:paraId="7A72BF66">
                  <w:pPr>
                    <w:autoSpaceDE w:val="0"/>
                    <w:autoSpaceDN w:val="0"/>
                    <w:adjustRightInd w:val="0"/>
                    <w:snapToGrid w:val="0"/>
                    <w:jc w:val="center"/>
                    <w:rPr>
                      <w:sz w:val="18"/>
                      <w:szCs w:val="18"/>
                    </w:rPr>
                  </w:pPr>
                </w:p>
              </w:tc>
              <w:tc>
                <w:tcPr>
                  <w:tcW w:w="2454" w:type="pct"/>
                  <w:vAlign w:val="center"/>
                </w:tcPr>
                <w:p w14:paraId="579D7707">
                  <w:pPr>
                    <w:autoSpaceDE w:val="0"/>
                    <w:autoSpaceDN w:val="0"/>
                    <w:adjustRightInd w:val="0"/>
                    <w:snapToGrid w:val="0"/>
                    <w:rPr>
                      <w:kern w:val="0"/>
                      <w:sz w:val="18"/>
                      <w:szCs w:val="18"/>
                    </w:rPr>
                  </w:pPr>
                  <w:r>
                    <w:rPr>
                      <w:sz w:val="18"/>
                      <w:szCs w:val="18"/>
                    </w:rPr>
                    <w:t>4.生态保护红线范围内原则上按照禁止开发区进行管理，严格禁止开发性、生产性建设活动，在符合现行法律</w:t>
                  </w:r>
                  <w:r>
                    <w:rPr>
                      <w:rFonts w:hint="eastAsia"/>
                      <w:sz w:val="18"/>
                      <w:szCs w:val="18"/>
                    </w:rPr>
                    <w:t>。</w:t>
                  </w:r>
                </w:p>
              </w:tc>
              <w:tc>
                <w:tcPr>
                  <w:tcW w:w="1384" w:type="pct"/>
                  <w:vAlign w:val="center"/>
                </w:tcPr>
                <w:p w14:paraId="48678F1D">
                  <w:pPr>
                    <w:autoSpaceDE w:val="0"/>
                    <w:autoSpaceDN w:val="0"/>
                    <w:adjustRightInd w:val="0"/>
                    <w:snapToGrid w:val="0"/>
                    <w:jc w:val="center"/>
                    <w:rPr>
                      <w:kern w:val="0"/>
                      <w:sz w:val="18"/>
                      <w:szCs w:val="18"/>
                    </w:rPr>
                  </w:pPr>
                  <w:r>
                    <w:rPr>
                      <w:kern w:val="0"/>
                      <w:sz w:val="18"/>
                      <w:szCs w:val="18"/>
                    </w:rPr>
                    <w:t>本项目</w:t>
                  </w:r>
                  <w:r>
                    <w:rPr>
                      <w:rFonts w:hint="eastAsia"/>
                      <w:kern w:val="0"/>
                      <w:sz w:val="18"/>
                      <w:szCs w:val="18"/>
                      <w:lang w:val="en-US" w:eastAsia="zh-CN"/>
                    </w:rPr>
                    <w:t>占地性质为工业用地，属于所在区域一般</w:t>
                  </w:r>
                  <w:r>
                    <w:rPr>
                      <w:kern w:val="0"/>
                      <w:sz w:val="18"/>
                      <w:szCs w:val="18"/>
                    </w:rPr>
                    <w:t>管控单元，</w:t>
                  </w:r>
                  <w:r>
                    <w:rPr>
                      <w:rFonts w:hint="eastAsia"/>
                      <w:kern w:val="0"/>
                      <w:sz w:val="18"/>
                      <w:szCs w:val="18"/>
                    </w:rPr>
                    <w:t>厂址</w:t>
                  </w:r>
                  <w:r>
                    <w:rPr>
                      <w:kern w:val="0"/>
                      <w:sz w:val="18"/>
                      <w:szCs w:val="18"/>
                    </w:rPr>
                    <w:t>不在生态保护红线范围内</w:t>
                  </w:r>
                </w:p>
              </w:tc>
            </w:tr>
            <w:tr w14:paraId="0718943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36" w:type="pct"/>
                  <w:vMerge w:val="continue"/>
                  <w:vAlign w:val="center"/>
                </w:tcPr>
                <w:p w14:paraId="0352F4CD">
                  <w:pPr>
                    <w:autoSpaceDE w:val="0"/>
                    <w:autoSpaceDN w:val="0"/>
                    <w:adjustRightInd w:val="0"/>
                    <w:snapToGrid w:val="0"/>
                    <w:jc w:val="center"/>
                    <w:rPr>
                      <w:sz w:val="18"/>
                      <w:szCs w:val="18"/>
                    </w:rPr>
                  </w:pPr>
                </w:p>
              </w:tc>
              <w:tc>
                <w:tcPr>
                  <w:tcW w:w="625" w:type="pct"/>
                  <w:vMerge w:val="continue"/>
                  <w:vAlign w:val="center"/>
                </w:tcPr>
                <w:p w14:paraId="7AB50AFA">
                  <w:pPr>
                    <w:autoSpaceDE w:val="0"/>
                    <w:autoSpaceDN w:val="0"/>
                    <w:adjustRightInd w:val="0"/>
                    <w:snapToGrid w:val="0"/>
                    <w:jc w:val="center"/>
                    <w:rPr>
                      <w:sz w:val="18"/>
                      <w:szCs w:val="18"/>
                    </w:rPr>
                  </w:pPr>
                </w:p>
              </w:tc>
              <w:tc>
                <w:tcPr>
                  <w:tcW w:w="2454" w:type="pct"/>
                  <w:vAlign w:val="center"/>
                </w:tcPr>
                <w:p w14:paraId="7E01B519">
                  <w:pPr>
                    <w:autoSpaceDE w:val="0"/>
                    <w:autoSpaceDN w:val="0"/>
                    <w:adjustRightInd w:val="0"/>
                    <w:snapToGrid w:val="0"/>
                    <w:rPr>
                      <w:kern w:val="0"/>
                      <w:sz w:val="18"/>
                      <w:szCs w:val="18"/>
                    </w:rPr>
                  </w:pPr>
                  <w:r>
                    <w:rPr>
                      <w:sz w:val="18"/>
                      <w:szCs w:val="18"/>
                    </w:rPr>
                    <w:t>5.坚持以水定城、以水定地、以水定人、以水定产，严格限制煤炭开采和加工、化工、纺织、造纸等高耗水和低效用水产业发展。持续推进城市产业布局优化和升级替代，加快推进工业企业“退城入园”。</w:t>
                  </w:r>
                </w:p>
              </w:tc>
              <w:tc>
                <w:tcPr>
                  <w:tcW w:w="1384" w:type="pct"/>
                  <w:vAlign w:val="center"/>
                </w:tcPr>
                <w:p w14:paraId="4A8E4D96">
                  <w:pPr>
                    <w:autoSpaceDE w:val="0"/>
                    <w:autoSpaceDN w:val="0"/>
                    <w:adjustRightInd w:val="0"/>
                    <w:snapToGrid w:val="0"/>
                    <w:jc w:val="center"/>
                    <w:rPr>
                      <w:kern w:val="0"/>
                      <w:sz w:val="18"/>
                      <w:szCs w:val="18"/>
                    </w:rPr>
                  </w:pPr>
                  <w:r>
                    <w:rPr>
                      <w:kern w:val="0"/>
                      <w:sz w:val="18"/>
                      <w:szCs w:val="18"/>
                    </w:rPr>
                    <w:t>本项目生产工艺</w:t>
                  </w:r>
                  <w:r>
                    <w:rPr>
                      <w:rFonts w:hint="eastAsia"/>
                      <w:kern w:val="0"/>
                      <w:sz w:val="18"/>
                      <w:szCs w:val="18"/>
                      <w:lang w:val="en-US" w:eastAsia="zh-CN"/>
                    </w:rPr>
                    <w:t>用水量较小</w:t>
                  </w:r>
                  <w:r>
                    <w:rPr>
                      <w:kern w:val="0"/>
                      <w:sz w:val="18"/>
                      <w:szCs w:val="18"/>
                    </w:rPr>
                    <w:t>，不会对区域水资源造成影响</w:t>
                  </w:r>
                </w:p>
              </w:tc>
            </w:tr>
            <w:tr w14:paraId="79627F9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36" w:type="pct"/>
                  <w:vMerge w:val="continue"/>
                  <w:vAlign w:val="center"/>
                </w:tcPr>
                <w:p w14:paraId="6043DCF2">
                  <w:pPr>
                    <w:autoSpaceDE w:val="0"/>
                    <w:autoSpaceDN w:val="0"/>
                    <w:adjustRightInd w:val="0"/>
                    <w:snapToGrid w:val="0"/>
                    <w:jc w:val="center"/>
                    <w:rPr>
                      <w:sz w:val="18"/>
                      <w:szCs w:val="18"/>
                    </w:rPr>
                  </w:pPr>
                </w:p>
              </w:tc>
              <w:tc>
                <w:tcPr>
                  <w:tcW w:w="625" w:type="pct"/>
                  <w:vMerge w:val="continue"/>
                  <w:vAlign w:val="center"/>
                </w:tcPr>
                <w:p w14:paraId="79E7A37A">
                  <w:pPr>
                    <w:autoSpaceDE w:val="0"/>
                    <w:autoSpaceDN w:val="0"/>
                    <w:adjustRightInd w:val="0"/>
                    <w:snapToGrid w:val="0"/>
                    <w:jc w:val="center"/>
                    <w:rPr>
                      <w:sz w:val="18"/>
                      <w:szCs w:val="18"/>
                    </w:rPr>
                  </w:pPr>
                </w:p>
              </w:tc>
              <w:tc>
                <w:tcPr>
                  <w:tcW w:w="2454" w:type="pct"/>
                  <w:vAlign w:val="center"/>
                </w:tcPr>
                <w:p w14:paraId="5BB02422">
                  <w:pPr>
                    <w:autoSpaceDE w:val="0"/>
                    <w:autoSpaceDN w:val="0"/>
                    <w:adjustRightInd w:val="0"/>
                    <w:snapToGrid w:val="0"/>
                    <w:rPr>
                      <w:kern w:val="0"/>
                      <w:sz w:val="18"/>
                      <w:szCs w:val="18"/>
                    </w:rPr>
                  </w:pPr>
                  <w:r>
                    <w:rPr>
                      <w:sz w:val="18"/>
                      <w:szCs w:val="18"/>
                    </w:rPr>
                    <w:t>6.认真落实畜禽养殖禁养区有关规定，禁养区内严禁审批畜禽养殖建设项目，依法关闭或搬迁禁养区内畜禽养殖场。</w:t>
                  </w:r>
                </w:p>
              </w:tc>
              <w:tc>
                <w:tcPr>
                  <w:tcW w:w="1384" w:type="pct"/>
                  <w:vAlign w:val="center"/>
                </w:tcPr>
                <w:p w14:paraId="4F3DD9FF">
                  <w:pPr>
                    <w:autoSpaceDE w:val="0"/>
                    <w:autoSpaceDN w:val="0"/>
                    <w:adjustRightInd w:val="0"/>
                    <w:snapToGrid w:val="0"/>
                    <w:jc w:val="center"/>
                    <w:rPr>
                      <w:rFonts w:hint="default" w:eastAsia="宋体"/>
                      <w:kern w:val="0"/>
                      <w:sz w:val="18"/>
                      <w:szCs w:val="18"/>
                      <w:lang w:val="en-US" w:eastAsia="zh-CN"/>
                    </w:rPr>
                  </w:pPr>
                  <w:r>
                    <w:rPr>
                      <w:kern w:val="0"/>
                      <w:sz w:val="18"/>
                      <w:szCs w:val="18"/>
                    </w:rPr>
                    <w:t>本项目</w:t>
                  </w:r>
                  <w:r>
                    <w:rPr>
                      <w:rFonts w:hint="eastAsia"/>
                      <w:kern w:val="0"/>
                      <w:sz w:val="18"/>
                      <w:szCs w:val="18"/>
                      <w:lang w:val="en-US" w:eastAsia="zh-CN"/>
                    </w:rPr>
                    <w:t>不属于畜禽养殖业</w:t>
                  </w:r>
                </w:p>
              </w:tc>
            </w:tr>
            <w:tr w14:paraId="3514DAA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01" w:hRule="atLeast"/>
              </w:trPr>
              <w:tc>
                <w:tcPr>
                  <w:tcW w:w="536" w:type="pct"/>
                  <w:vMerge w:val="restart"/>
                  <w:vAlign w:val="center"/>
                </w:tcPr>
                <w:p w14:paraId="3722ED25">
                  <w:pPr>
                    <w:autoSpaceDE w:val="0"/>
                    <w:autoSpaceDN w:val="0"/>
                    <w:adjustRightInd w:val="0"/>
                    <w:snapToGrid w:val="0"/>
                    <w:jc w:val="center"/>
                    <w:rPr>
                      <w:sz w:val="18"/>
                      <w:szCs w:val="18"/>
                    </w:rPr>
                  </w:pPr>
                  <w:r>
                    <w:rPr>
                      <w:sz w:val="18"/>
                      <w:szCs w:val="18"/>
                    </w:rPr>
                    <w:t>通用</w:t>
                  </w:r>
                </w:p>
              </w:tc>
              <w:tc>
                <w:tcPr>
                  <w:tcW w:w="625" w:type="pct"/>
                  <w:vMerge w:val="restart"/>
                  <w:vAlign w:val="center"/>
                </w:tcPr>
                <w:p w14:paraId="09BA96F8">
                  <w:pPr>
                    <w:autoSpaceDE w:val="0"/>
                    <w:autoSpaceDN w:val="0"/>
                    <w:adjustRightInd w:val="0"/>
                    <w:snapToGrid w:val="0"/>
                    <w:jc w:val="center"/>
                    <w:rPr>
                      <w:sz w:val="18"/>
                      <w:szCs w:val="18"/>
                    </w:rPr>
                  </w:pPr>
                  <w:r>
                    <w:rPr>
                      <w:sz w:val="18"/>
                      <w:szCs w:val="18"/>
                    </w:rPr>
                    <w:t>污染物排放管控</w:t>
                  </w:r>
                </w:p>
              </w:tc>
              <w:tc>
                <w:tcPr>
                  <w:tcW w:w="2454" w:type="pct"/>
                  <w:vAlign w:val="center"/>
                </w:tcPr>
                <w:p w14:paraId="60F40C65">
                  <w:pPr>
                    <w:autoSpaceDE w:val="0"/>
                    <w:autoSpaceDN w:val="0"/>
                    <w:adjustRightInd w:val="0"/>
                    <w:snapToGrid w:val="0"/>
                    <w:rPr>
                      <w:kern w:val="0"/>
                      <w:sz w:val="18"/>
                      <w:szCs w:val="18"/>
                    </w:rPr>
                  </w:pPr>
                  <w:r>
                    <w:rPr>
                      <w:sz w:val="18"/>
                      <w:szCs w:val="18"/>
                    </w:rPr>
                    <w:t>1.污染物排放总量严格落实“十四五”相关目标指标。</w:t>
                  </w:r>
                </w:p>
              </w:tc>
              <w:tc>
                <w:tcPr>
                  <w:tcW w:w="1384" w:type="pct"/>
                  <w:vAlign w:val="center"/>
                </w:tcPr>
                <w:p w14:paraId="0698F00D">
                  <w:pPr>
                    <w:autoSpaceDE w:val="0"/>
                    <w:autoSpaceDN w:val="0"/>
                    <w:adjustRightInd w:val="0"/>
                    <w:snapToGrid w:val="0"/>
                    <w:jc w:val="center"/>
                    <w:rPr>
                      <w:kern w:val="0"/>
                      <w:sz w:val="18"/>
                      <w:szCs w:val="18"/>
                    </w:rPr>
                  </w:pPr>
                  <w:r>
                    <w:rPr>
                      <w:kern w:val="0"/>
                      <w:sz w:val="18"/>
                      <w:szCs w:val="18"/>
                    </w:rPr>
                    <w:t>根据</w:t>
                  </w:r>
                  <w:r>
                    <w:rPr>
                      <w:rFonts w:hint="eastAsia"/>
                      <w:kern w:val="0"/>
                      <w:sz w:val="18"/>
                      <w:szCs w:val="18"/>
                    </w:rPr>
                    <w:t>《建设项目主要污染物排放总量指标核定暂行办法》（晋环规[2023]1号）</w:t>
                  </w:r>
                  <w:r>
                    <w:rPr>
                      <w:kern w:val="0"/>
                      <w:sz w:val="18"/>
                      <w:szCs w:val="18"/>
                    </w:rPr>
                    <w:t>中规定，</w:t>
                  </w:r>
                  <w:r>
                    <w:rPr>
                      <w:rFonts w:hint="eastAsia"/>
                      <w:kern w:val="0"/>
                      <w:sz w:val="18"/>
                      <w:szCs w:val="18"/>
                    </w:rPr>
                    <w:t>结合</w:t>
                  </w:r>
                  <w:r>
                    <w:rPr>
                      <w:kern w:val="0"/>
                      <w:sz w:val="18"/>
                      <w:szCs w:val="18"/>
                    </w:rPr>
                    <w:t>环评分析计算可知</w:t>
                  </w:r>
                  <w:r>
                    <w:rPr>
                      <w:rFonts w:hint="eastAsia"/>
                      <w:kern w:val="0"/>
                      <w:sz w:val="18"/>
                      <w:szCs w:val="18"/>
                    </w:rPr>
                    <w:t>，</w:t>
                  </w:r>
                  <w:r>
                    <w:rPr>
                      <w:kern w:val="0"/>
                      <w:sz w:val="18"/>
                      <w:szCs w:val="18"/>
                    </w:rPr>
                    <w:t>本项目运营期主要大气污染物排放量未超过</w:t>
                  </w:r>
                  <w:r>
                    <w:rPr>
                      <w:rFonts w:hint="eastAsia"/>
                      <w:kern w:val="0"/>
                      <w:sz w:val="18"/>
                      <w:szCs w:val="18"/>
                    </w:rPr>
                    <w:t>3t/a，污染物总量可直接由当地环保管理部门予以核定</w:t>
                  </w:r>
                </w:p>
              </w:tc>
            </w:tr>
            <w:tr w14:paraId="36FC4A2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36" w:type="pct"/>
                  <w:vMerge w:val="continue"/>
                  <w:vAlign w:val="center"/>
                </w:tcPr>
                <w:p w14:paraId="57619B4E">
                  <w:pPr>
                    <w:autoSpaceDE w:val="0"/>
                    <w:autoSpaceDN w:val="0"/>
                    <w:adjustRightInd w:val="0"/>
                    <w:snapToGrid w:val="0"/>
                    <w:jc w:val="center"/>
                    <w:rPr>
                      <w:sz w:val="18"/>
                      <w:szCs w:val="18"/>
                    </w:rPr>
                  </w:pPr>
                </w:p>
              </w:tc>
              <w:tc>
                <w:tcPr>
                  <w:tcW w:w="625" w:type="pct"/>
                  <w:vMerge w:val="continue"/>
                  <w:vAlign w:val="center"/>
                </w:tcPr>
                <w:p w14:paraId="6F7F7235">
                  <w:pPr>
                    <w:autoSpaceDE w:val="0"/>
                    <w:autoSpaceDN w:val="0"/>
                    <w:adjustRightInd w:val="0"/>
                    <w:snapToGrid w:val="0"/>
                    <w:jc w:val="center"/>
                    <w:rPr>
                      <w:sz w:val="18"/>
                      <w:szCs w:val="18"/>
                    </w:rPr>
                  </w:pPr>
                </w:p>
              </w:tc>
              <w:tc>
                <w:tcPr>
                  <w:tcW w:w="2454" w:type="pct"/>
                  <w:vAlign w:val="center"/>
                </w:tcPr>
                <w:p w14:paraId="5D36B734">
                  <w:pPr>
                    <w:autoSpaceDE w:val="0"/>
                    <w:autoSpaceDN w:val="0"/>
                    <w:adjustRightInd w:val="0"/>
                    <w:snapToGrid w:val="0"/>
                    <w:rPr>
                      <w:kern w:val="0"/>
                      <w:sz w:val="18"/>
                      <w:szCs w:val="18"/>
                    </w:rPr>
                  </w:pPr>
                  <w:r>
                    <w:rPr>
                      <w:sz w:val="18"/>
                      <w:szCs w:val="18"/>
                    </w:rPr>
                    <w:t>2.钢铁企业稳定达到超低排放水平，各生产环节满足《关于推进实施钢铁行业超低排放的意见》（环大气〔2019〕35 号）相关要求。</w:t>
                  </w:r>
                </w:p>
              </w:tc>
              <w:tc>
                <w:tcPr>
                  <w:tcW w:w="1384" w:type="pct"/>
                  <w:vAlign w:val="center"/>
                </w:tcPr>
                <w:p w14:paraId="37FF1B09">
                  <w:pPr>
                    <w:autoSpaceDE w:val="0"/>
                    <w:autoSpaceDN w:val="0"/>
                    <w:adjustRightInd w:val="0"/>
                    <w:snapToGrid w:val="0"/>
                    <w:jc w:val="center"/>
                    <w:rPr>
                      <w:kern w:val="0"/>
                      <w:sz w:val="18"/>
                      <w:szCs w:val="18"/>
                    </w:rPr>
                  </w:pPr>
                  <w:r>
                    <w:rPr>
                      <w:kern w:val="0"/>
                      <w:sz w:val="18"/>
                      <w:szCs w:val="18"/>
                    </w:rPr>
                    <w:t>本项目不属于</w:t>
                  </w:r>
                </w:p>
                <w:p w14:paraId="6D6C5373">
                  <w:pPr>
                    <w:autoSpaceDE w:val="0"/>
                    <w:autoSpaceDN w:val="0"/>
                    <w:adjustRightInd w:val="0"/>
                    <w:snapToGrid w:val="0"/>
                    <w:jc w:val="center"/>
                    <w:rPr>
                      <w:kern w:val="0"/>
                      <w:sz w:val="18"/>
                      <w:szCs w:val="18"/>
                    </w:rPr>
                  </w:pPr>
                  <w:r>
                    <w:rPr>
                      <w:kern w:val="0"/>
                      <w:sz w:val="18"/>
                      <w:szCs w:val="18"/>
                    </w:rPr>
                    <w:t>钢铁企业</w:t>
                  </w:r>
                </w:p>
              </w:tc>
            </w:tr>
            <w:tr w14:paraId="194192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36" w:type="pct"/>
                  <w:vMerge w:val="continue"/>
                  <w:vAlign w:val="center"/>
                </w:tcPr>
                <w:p w14:paraId="594755E4">
                  <w:pPr>
                    <w:autoSpaceDE w:val="0"/>
                    <w:autoSpaceDN w:val="0"/>
                    <w:adjustRightInd w:val="0"/>
                    <w:snapToGrid w:val="0"/>
                    <w:jc w:val="center"/>
                    <w:rPr>
                      <w:sz w:val="18"/>
                      <w:szCs w:val="18"/>
                    </w:rPr>
                  </w:pPr>
                </w:p>
              </w:tc>
              <w:tc>
                <w:tcPr>
                  <w:tcW w:w="625" w:type="pct"/>
                  <w:vMerge w:val="continue"/>
                  <w:vAlign w:val="center"/>
                </w:tcPr>
                <w:p w14:paraId="700B88DB">
                  <w:pPr>
                    <w:autoSpaceDE w:val="0"/>
                    <w:autoSpaceDN w:val="0"/>
                    <w:adjustRightInd w:val="0"/>
                    <w:snapToGrid w:val="0"/>
                    <w:jc w:val="center"/>
                    <w:rPr>
                      <w:sz w:val="18"/>
                      <w:szCs w:val="18"/>
                    </w:rPr>
                  </w:pPr>
                </w:p>
              </w:tc>
              <w:tc>
                <w:tcPr>
                  <w:tcW w:w="2454" w:type="pct"/>
                  <w:vAlign w:val="center"/>
                </w:tcPr>
                <w:p w14:paraId="1F16A77F">
                  <w:pPr>
                    <w:autoSpaceDE w:val="0"/>
                    <w:autoSpaceDN w:val="0"/>
                    <w:adjustRightInd w:val="0"/>
                    <w:snapToGrid w:val="0"/>
                    <w:rPr>
                      <w:kern w:val="0"/>
                      <w:sz w:val="18"/>
                      <w:szCs w:val="18"/>
                    </w:rPr>
                  </w:pPr>
                  <w:r>
                    <w:rPr>
                      <w:sz w:val="18"/>
                      <w:szCs w:val="18"/>
                    </w:rPr>
                    <w:t>3.水泥企业稳定达到超低排放水平，各生产环节满足《山西省水泥行业超低排放改造实施方案》（晋环发〔2021〕16 号）相关要求。</w:t>
                  </w:r>
                </w:p>
              </w:tc>
              <w:tc>
                <w:tcPr>
                  <w:tcW w:w="1384" w:type="pct"/>
                  <w:vAlign w:val="center"/>
                </w:tcPr>
                <w:p w14:paraId="32635D90">
                  <w:pPr>
                    <w:autoSpaceDE w:val="0"/>
                    <w:autoSpaceDN w:val="0"/>
                    <w:adjustRightInd w:val="0"/>
                    <w:snapToGrid w:val="0"/>
                    <w:jc w:val="center"/>
                    <w:rPr>
                      <w:kern w:val="0"/>
                      <w:sz w:val="18"/>
                      <w:szCs w:val="18"/>
                    </w:rPr>
                  </w:pPr>
                  <w:r>
                    <w:rPr>
                      <w:kern w:val="0"/>
                      <w:sz w:val="18"/>
                      <w:szCs w:val="18"/>
                    </w:rPr>
                    <w:t>本项目不属于</w:t>
                  </w:r>
                </w:p>
                <w:p w14:paraId="11135CC1">
                  <w:pPr>
                    <w:autoSpaceDE w:val="0"/>
                    <w:autoSpaceDN w:val="0"/>
                    <w:adjustRightInd w:val="0"/>
                    <w:snapToGrid w:val="0"/>
                    <w:jc w:val="center"/>
                    <w:rPr>
                      <w:kern w:val="0"/>
                      <w:sz w:val="18"/>
                      <w:szCs w:val="18"/>
                    </w:rPr>
                  </w:pPr>
                  <w:r>
                    <w:rPr>
                      <w:kern w:val="0"/>
                      <w:sz w:val="18"/>
                      <w:szCs w:val="18"/>
                    </w:rPr>
                    <w:t>水泥行业</w:t>
                  </w:r>
                </w:p>
              </w:tc>
            </w:tr>
            <w:tr w14:paraId="69580F9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36" w:type="pct"/>
                  <w:vMerge w:val="continue"/>
                  <w:vAlign w:val="center"/>
                </w:tcPr>
                <w:p w14:paraId="76092D80">
                  <w:pPr>
                    <w:autoSpaceDE w:val="0"/>
                    <w:autoSpaceDN w:val="0"/>
                    <w:adjustRightInd w:val="0"/>
                    <w:snapToGrid w:val="0"/>
                    <w:jc w:val="center"/>
                    <w:rPr>
                      <w:sz w:val="18"/>
                      <w:szCs w:val="18"/>
                    </w:rPr>
                  </w:pPr>
                </w:p>
              </w:tc>
              <w:tc>
                <w:tcPr>
                  <w:tcW w:w="625" w:type="pct"/>
                  <w:vMerge w:val="continue"/>
                  <w:vAlign w:val="center"/>
                </w:tcPr>
                <w:p w14:paraId="5BE899AC">
                  <w:pPr>
                    <w:autoSpaceDE w:val="0"/>
                    <w:autoSpaceDN w:val="0"/>
                    <w:adjustRightInd w:val="0"/>
                    <w:snapToGrid w:val="0"/>
                    <w:jc w:val="center"/>
                    <w:rPr>
                      <w:sz w:val="18"/>
                      <w:szCs w:val="18"/>
                    </w:rPr>
                  </w:pPr>
                </w:p>
              </w:tc>
              <w:tc>
                <w:tcPr>
                  <w:tcW w:w="2454" w:type="pct"/>
                  <w:vAlign w:val="center"/>
                </w:tcPr>
                <w:p w14:paraId="417E233E">
                  <w:pPr>
                    <w:autoSpaceDE w:val="0"/>
                    <w:autoSpaceDN w:val="0"/>
                    <w:adjustRightInd w:val="0"/>
                    <w:snapToGrid w:val="0"/>
                    <w:rPr>
                      <w:kern w:val="0"/>
                      <w:sz w:val="18"/>
                      <w:szCs w:val="18"/>
                    </w:rPr>
                  </w:pPr>
                  <w:r>
                    <w:rPr>
                      <w:sz w:val="18"/>
                      <w:szCs w:val="18"/>
                    </w:rPr>
                    <w:t>4.能源、冶金、建材、化工、工业涂装、包装印刷等重点行业逐步实施强制性清洁生产审核。</w:t>
                  </w:r>
                </w:p>
              </w:tc>
              <w:tc>
                <w:tcPr>
                  <w:tcW w:w="1384" w:type="pct"/>
                  <w:vAlign w:val="center"/>
                </w:tcPr>
                <w:p w14:paraId="4FDA789F">
                  <w:pPr>
                    <w:autoSpaceDE w:val="0"/>
                    <w:autoSpaceDN w:val="0"/>
                    <w:adjustRightInd w:val="0"/>
                    <w:snapToGrid w:val="0"/>
                    <w:jc w:val="center"/>
                    <w:rPr>
                      <w:kern w:val="0"/>
                      <w:sz w:val="18"/>
                      <w:szCs w:val="18"/>
                    </w:rPr>
                  </w:pPr>
                  <w:r>
                    <w:rPr>
                      <w:kern w:val="0"/>
                      <w:sz w:val="18"/>
                      <w:szCs w:val="18"/>
                    </w:rPr>
                    <w:t>项目</w:t>
                  </w:r>
                  <w:r>
                    <w:rPr>
                      <w:rFonts w:hint="eastAsia"/>
                      <w:kern w:val="0"/>
                      <w:sz w:val="18"/>
                      <w:szCs w:val="18"/>
                      <w:lang w:val="en-US" w:eastAsia="zh-CN"/>
                    </w:rPr>
                    <w:t>严</w:t>
                  </w:r>
                  <w:r>
                    <w:rPr>
                      <w:kern w:val="0"/>
                      <w:sz w:val="18"/>
                      <w:szCs w:val="18"/>
                    </w:rPr>
                    <w:t>格落实环保措施，采用先进设备和工艺，以满足清洁生产需求</w:t>
                  </w:r>
                </w:p>
              </w:tc>
            </w:tr>
            <w:tr w14:paraId="6CD1645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36" w:type="pct"/>
                  <w:vMerge w:val="continue"/>
                  <w:vAlign w:val="center"/>
                </w:tcPr>
                <w:p w14:paraId="2D5190B4">
                  <w:pPr>
                    <w:autoSpaceDE w:val="0"/>
                    <w:autoSpaceDN w:val="0"/>
                    <w:adjustRightInd w:val="0"/>
                    <w:snapToGrid w:val="0"/>
                    <w:jc w:val="center"/>
                    <w:rPr>
                      <w:sz w:val="18"/>
                      <w:szCs w:val="18"/>
                    </w:rPr>
                  </w:pPr>
                </w:p>
              </w:tc>
              <w:tc>
                <w:tcPr>
                  <w:tcW w:w="625" w:type="pct"/>
                  <w:vMerge w:val="continue"/>
                  <w:vAlign w:val="center"/>
                </w:tcPr>
                <w:p w14:paraId="3AC32F5D">
                  <w:pPr>
                    <w:autoSpaceDE w:val="0"/>
                    <w:autoSpaceDN w:val="0"/>
                    <w:adjustRightInd w:val="0"/>
                    <w:snapToGrid w:val="0"/>
                    <w:jc w:val="center"/>
                    <w:rPr>
                      <w:sz w:val="18"/>
                      <w:szCs w:val="18"/>
                    </w:rPr>
                  </w:pPr>
                </w:p>
              </w:tc>
              <w:tc>
                <w:tcPr>
                  <w:tcW w:w="2454" w:type="pct"/>
                  <w:vAlign w:val="center"/>
                </w:tcPr>
                <w:p w14:paraId="2DB3D18D">
                  <w:pPr>
                    <w:autoSpaceDE w:val="0"/>
                    <w:autoSpaceDN w:val="0"/>
                    <w:adjustRightInd w:val="0"/>
                    <w:snapToGrid w:val="0"/>
                    <w:rPr>
                      <w:kern w:val="0"/>
                      <w:sz w:val="18"/>
                      <w:szCs w:val="18"/>
                    </w:rPr>
                  </w:pPr>
                  <w:r>
                    <w:rPr>
                      <w:sz w:val="18"/>
                      <w:szCs w:val="18"/>
                    </w:rPr>
                    <w:t>5</w:t>
                  </w:r>
                  <w:r>
                    <w:rPr>
                      <w:rFonts w:hint="eastAsia"/>
                      <w:sz w:val="18"/>
                      <w:szCs w:val="18"/>
                    </w:rPr>
                    <w:t>.</w:t>
                  </w:r>
                  <w:r>
                    <w:rPr>
                      <w:sz w:val="18"/>
                      <w:szCs w:val="18"/>
                    </w:rPr>
                    <w:t>新、改、扩建涉及大宗物料年货运量150万吨以上的大型工矿企业运输的建设项目，原则上全部修建铁路专用线，大宗货物清洁运输比例达到省级要求。</w:t>
                  </w:r>
                </w:p>
              </w:tc>
              <w:tc>
                <w:tcPr>
                  <w:tcW w:w="1384" w:type="pct"/>
                  <w:vAlign w:val="center"/>
                </w:tcPr>
                <w:p w14:paraId="66F3B9E8">
                  <w:pPr>
                    <w:autoSpaceDE w:val="0"/>
                    <w:autoSpaceDN w:val="0"/>
                    <w:adjustRightInd w:val="0"/>
                    <w:snapToGrid w:val="0"/>
                    <w:jc w:val="center"/>
                    <w:rPr>
                      <w:kern w:val="0"/>
                      <w:sz w:val="18"/>
                      <w:szCs w:val="18"/>
                    </w:rPr>
                  </w:pPr>
                  <w:r>
                    <w:rPr>
                      <w:kern w:val="0"/>
                      <w:sz w:val="18"/>
                      <w:szCs w:val="18"/>
                    </w:rPr>
                    <w:t>本项目不属于大宗物料及大型工矿企业运输业</w:t>
                  </w:r>
                </w:p>
              </w:tc>
            </w:tr>
            <w:tr w14:paraId="18EFC4B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36" w:type="pct"/>
                  <w:vMerge w:val="continue"/>
                  <w:vAlign w:val="center"/>
                </w:tcPr>
                <w:p w14:paraId="310A1342">
                  <w:pPr>
                    <w:autoSpaceDE w:val="0"/>
                    <w:autoSpaceDN w:val="0"/>
                    <w:adjustRightInd w:val="0"/>
                    <w:snapToGrid w:val="0"/>
                    <w:jc w:val="center"/>
                    <w:rPr>
                      <w:sz w:val="18"/>
                      <w:szCs w:val="18"/>
                    </w:rPr>
                  </w:pPr>
                </w:p>
              </w:tc>
              <w:tc>
                <w:tcPr>
                  <w:tcW w:w="625" w:type="pct"/>
                  <w:vMerge w:val="continue"/>
                  <w:vAlign w:val="center"/>
                </w:tcPr>
                <w:p w14:paraId="57353285">
                  <w:pPr>
                    <w:autoSpaceDE w:val="0"/>
                    <w:autoSpaceDN w:val="0"/>
                    <w:adjustRightInd w:val="0"/>
                    <w:snapToGrid w:val="0"/>
                    <w:jc w:val="center"/>
                    <w:rPr>
                      <w:sz w:val="18"/>
                      <w:szCs w:val="18"/>
                    </w:rPr>
                  </w:pPr>
                </w:p>
              </w:tc>
              <w:tc>
                <w:tcPr>
                  <w:tcW w:w="2454" w:type="pct"/>
                  <w:vAlign w:val="center"/>
                </w:tcPr>
                <w:p w14:paraId="6ED9EE8D">
                  <w:pPr>
                    <w:autoSpaceDE w:val="0"/>
                    <w:autoSpaceDN w:val="0"/>
                    <w:adjustRightInd w:val="0"/>
                    <w:snapToGrid w:val="0"/>
                    <w:rPr>
                      <w:kern w:val="0"/>
                      <w:sz w:val="18"/>
                      <w:szCs w:val="18"/>
                    </w:rPr>
                  </w:pPr>
                  <w:r>
                    <w:rPr>
                      <w:sz w:val="18"/>
                      <w:szCs w:val="18"/>
                    </w:rPr>
                    <w:t>6.禁燃区内禁止新建、扩建燃用高污染燃料的项目和设施，已建成的应逐步或依法限期改用天然气、电或者其他清洁能源。</w:t>
                  </w:r>
                </w:p>
              </w:tc>
              <w:tc>
                <w:tcPr>
                  <w:tcW w:w="1384" w:type="pct"/>
                  <w:vAlign w:val="center"/>
                </w:tcPr>
                <w:p w14:paraId="5A4A049E">
                  <w:pPr>
                    <w:autoSpaceDE w:val="0"/>
                    <w:autoSpaceDN w:val="0"/>
                    <w:adjustRightInd w:val="0"/>
                    <w:snapToGrid w:val="0"/>
                    <w:jc w:val="center"/>
                    <w:rPr>
                      <w:rFonts w:hint="default" w:eastAsia="宋体"/>
                      <w:kern w:val="0"/>
                      <w:sz w:val="18"/>
                      <w:szCs w:val="18"/>
                      <w:lang w:val="en-US" w:eastAsia="zh-CN"/>
                    </w:rPr>
                  </w:pPr>
                  <w:r>
                    <w:rPr>
                      <w:rFonts w:hint="eastAsia"/>
                      <w:kern w:val="0"/>
                      <w:sz w:val="18"/>
                      <w:szCs w:val="18"/>
                      <w:lang w:val="en-US" w:eastAsia="zh-CN"/>
                    </w:rPr>
                    <w:t>本项目厂址不属于云冈区划定的禁燃区范围内，</w:t>
                  </w:r>
                  <w:r>
                    <w:rPr>
                      <w:rFonts w:hint="eastAsia"/>
                      <w:kern w:val="0"/>
                      <w:sz w:val="18"/>
                      <w:szCs w:val="18"/>
                    </w:rPr>
                    <w:t>运营期</w:t>
                  </w:r>
                  <w:r>
                    <w:rPr>
                      <w:kern w:val="0"/>
                      <w:sz w:val="18"/>
                      <w:szCs w:val="18"/>
                    </w:rPr>
                    <w:t>不涉及高污染燃料的使用</w:t>
                  </w:r>
                  <w:r>
                    <w:rPr>
                      <w:rFonts w:hint="eastAsia"/>
                      <w:kern w:val="0"/>
                      <w:sz w:val="18"/>
                      <w:szCs w:val="18"/>
                      <w:lang w:eastAsia="zh-CN"/>
                    </w:rPr>
                    <w:t>，</w:t>
                  </w:r>
                  <w:r>
                    <w:rPr>
                      <w:rFonts w:hint="eastAsia"/>
                      <w:kern w:val="0"/>
                      <w:sz w:val="18"/>
                      <w:szCs w:val="18"/>
                      <w:lang w:val="en-US" w:eastAsia="zh-CN"/>
                    </w:rPr>
                    <w:t>沥青加热导热油炉以及骨料烘干燃烧器采用轻质柴油燃料</w:t>
                  </w:r>
                </w:p>
              </w:tc>
            </w:tr>
            <w:tr w14:paraId="703377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36" w:type="pct"/>
                  <w:vMerge w:val="continue"/>
                  <w:vAlign w:val="center"/>
                </w:tcPr>
                <w:p w14:paraId="295B7014">
                  <w:pPr>
                    <w:autoSpaceDE w:val="0"/>
                    <w:autoSpaceDN w:val="0"/>
                    <w:adjustRightInd w:val="0"/>
                    <w:snapToGrid w:val="0"/>
                    <w:jc w:val="center"/>
                    <w:rPr>
                      <w:sz w:val="18"/>
                      <w:szCs w:val="18"/>
                    </w:rPr>
                  </w:pPr>
                </w:p>
              </w:tc>
              <w:tc>
                <w:tcPr>
                  <w:tcW w:w="625" w:type="pct"/>
                  <w:vMerge w:val="continue"/>
                  <w:vAlign w:val="center"/>
                </w:tcPr>
                <w:p w14:paraId="08691729">
                  <w:pPr>
                    <w:autoSpaceDE w:val="0"/>
                    <w:autoSpaceDN w:val="0"/>
                    <w:adjustRightInd w:val="0"/>
                    <w:snapToGrid w:val="0"/>
                    <w:jc w:val="center"/>
                    <w:rPr>
                      <w:sz w:val="18"/>
                      <w:szCs w:val="18"/>
                    </w:rPr>
                  </w:pPr>
                </w:p>
              </w:tc>
              <w:tc>
                <w:tcPr>
                  <w:tcW w:w="2454" w:type="pct"/>
                  <w:vAlign w:val="center"/>
                </w:tcPr>
                <w:p w14:paraId="0E83BDCC">
                  <w:pPr>
                    <w:autoSpaceDE w:val="0"/>
                    <w:autoSpaceDN w:val="0"/>
                    <w:adjustRightInd w:val="0"/>
                    <w:snapToGrid w:val="0"/>
                    <w:rPr>
                      <w:kern w:val="0"/>
                      <w:sz w:val="18"/>
                      <w:szCs w:val="18"/>
                    </w:rPr>
                  </w:pPr>
                  <w:r>
                    <w:rPr>
                      <w:sz w:val="18"/>
                      <w:szCs w:val="18"/>
                    </w:rPr>
                    <w:t>7.市域范围内基本淘汰每小时35蒸吨以下燃煤锅炉，燃气锅炉完成低氮改造。</w:t>
                  </w:r>
                </w:p>
              </w:tc>
              <w:tc>
                <w:tcPr>
                  <w:tcW w:w="1384" w:type="pct"/>
                  <w:vAlign w:val="center"/>
                </w:tcPr>
                <w:p w14:paraId="40D4E8E7">
                  <w:pPr>
                    <w:autoSpaceDE w:val="0"/>
                    <w:autoSpaceDN w:val="0"/>
                    <w:adjustRightInd w:val="0"/>
                    <w:snapToGrid w:val="0"/>
                    <w:jc w:val="center"/>
                    <w:rPr>
                      <w:kern w:val="0"/>
                      <w:sz w:val="18"/>
                      <w:szCs w:val="18"/>
                    </w:rPr>
                  </w:pPr>
                  <w:r>
                    <w:rPr>
                      <w:kern w:val="0"/>
                      <w:sz w:val="18"/>
                      <w:szCs w:val="18"/>
                    </w:rPr>
                    <w:t>本项目</w:t>
                  </w:r>
                  <w:r>
                    <w:rPr>
                      <w:rFonts w:hint="eastAsia"/>
                      <w:kern w:val="0"/>
                      <w:sz w:val="18"/>
                      <w:szCs w:val="18"/>
                      <w:lang w:val="en-US" w:eastAsia="zh-CN"/>
                    </w:rPr>
                    <w:t>不涉及燃煤锅炉设施</w:t>
                  </w:r>
                  <w:r>
                    <w:rPr>
                      <w:kern w:val="0"/>
                      <w:sz w:val="18"/>
                      <w:szCs w:val="18"/>
                    </w:rPr>
                    <w:t xml:space="preserve"> </w:t>
                  </w:r>
                </w:p>
              </w:tc>
            </w:tr>
            <w:tr w14:paraId="20BDC04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36" w:type="pct"/>
                  <w:vMerge w:val="continue"/>
                  <w:vAlign w:val="center"/>
                </w:tcPr>
                <w:p w14:paraId="7C0ECD1F">
                  <w:pPr>
                    <w:autoSpaceDE w:val="0"/>
                    <w:autoSpaceDN w:val="0"/>
                    <w:adjustRightInd w:val="0"/>
                    <w:snapToGrid w:val="0"/>
                    <w:jc w:val="center"/>
                    <w:rPr>
                      <w:sz w:val="18"/>
                      <w:szCs w:val="18"/>
                    </w:rPr>
                  </w:pPr>
                </w:p>
              </w:tc>
              <w:tc>
                <w:tcPr>
                  <w:tcW w:w="625" w:type="pct"/>
                  <w:vMerge w:val="continue"/>
                  <w:vAlign w:val="center"/>
                </w:tcPr>
                <w:p w14:paraId="58678F25">
                  <w:pPr>
                    <w:autoSpaceDE w:val="0"/>
                    <w:autoSpaceDN w:val="0"/>
                    <w:adjustRightInd w:val="0"/>
                    <w:snapToGrid w:val="0"/>
                    <w:jc w:val="center"/>
                    <w:rPr>
                      <w:sz w:val="18"/>
                      <w:szCs w:val="18"/>
                    </w:rPr>
                  </w:pPr>
                </w:p>
              </w:tc>
              <w:tc>
                <w:tcPr>
                  <w:tcW w:w="2454" w:type="pct"/>
                  <w:vAlign w:val="center"/>
                </w:tcPr>
                <w:p w14:paraId="711DAD7E">
                  <w:pPr>
                    <w:autoSpaceDE w:val="0"/>
                    <w:autoSpaceDN w:val="0"/>
                    <w:adjustRightInd w:val="0"/>
                    <w:snapToGrid w:val="0"/>
                    <w:rPr>
                      <w:sz w:val="18"/>
                      <w:szCs w:val="18"/>
                    </w:rPr>
                  </w:pPr>
                  <w:r>
                    <w:rPr>
                      <w:sz w:val="18"/>
                      <w:szCs w:val="18"/>
                    </w:rPr>
                    <w:t>8.按照《大同市关于划定禁止使用高排放非道路移动机械区域的通告》有关要求，禁用区内禁止使用高排放道路移动机械。</w:t>
                  </w:r>
                </w:p>
              </w:tc>
              <w:tc>
                <w:tcPr>
                  <w:tcW w:w="1384" w:type="pct"/>
                  <w:vAlign w:val="center"/>
                </w:tcPr>
                <w:p w14:paraId="762FEE54">
                  <w:pPr>
                    <w:autoSpaceDE w:val="0"/>
                    <w:autoSpaceDN w:val="0"/>
                    <w:adjustRightInd w:val="0"/>
                    <w:snapToGrid w:val="0"/>
                    <w:jc w:val="center"/>
                    <w:rPr>
                      <w:kern w:val="0"/>
                      <w:sz w:val="18"/>
                      <w:szCs w:val="18"/>
                    </w:rPr>
                  </w:pPr>
                  <w:r>
                    <w:rPr>
                      <w:kern w:val="0"/>
                      <w:sz w:val="18"/>
                      <w:szCs w:val="18"/>
                    </w:rPr>
                    <w:t>本项目不使用</w:t>
                  </w:r>
                  <w:r>
                    <w:rPr>
                      <w:sz w:val="18"/>
                      <w:szCs w:val="18"/>
                    </w:rPr>
                    <w:t>高排放道路移动机械</w:t>
                  </w:r>
                </w:p>
              </w:tc>
            </w:tr>
            <w:tr w14:paraId="4D51869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36" w:type="pct"/>
                  <w:vMerge w:val="continue"/>
                  <w:vAlign w:val="center"/>
                </w:tcPr>
                <w:p w14:paraId="5A2ABBED">
                  <w:pPr>
                    <w:autoSpaceDE w:val="0"/>
                    <w:autoSpaceDN w:val="0"/>
                    <w:adjustRightInd w:val="0"/>
                    <w:snapToGrid w:val="0"/>
                    <w:jc w:val="center"/>
                    <w:rPr>
                      <w:sz w:val="18"/>
                      <w:szCs w:val="18"/>
                    </w:rPr>
                  </w:pPr>
                </w:p>
              </w:tc>
              <w:tc>
                <w:tcPr>
                  <w:tcW w:w="625" w:type="pct"/>
                  <w:vMerge w:val="continue"/>
                  <w:vAlign w:val="center"/>
                </w:tcPr>
                <w:p w14:paraId="186B10FC">
                  <w:pPr>
                    <w:autoSpaceDE w:val="0"/>
                    <w:autoSpaceDN w:val="0"/>
                    <w:adjustRightInd w:val="0"/>
                    <w:snapToGrid w:val="0"/>
                    <w:jc w:val="center"/>
                    <w:rPr>
                      <w:sz w:val="18"/>
                      <w:szCs w:val="18"/>
                    </w:rPr>
                  </w:pPr>
                </w:p>
              </w:tc>
              <w:tc>
                <w:tcPr>
                  <w:tcW w:w="2454" w:type="pct"/>
                  <w:vAlign w:val="center"/>
                </w:tcPr>
                <w:p w14:paraId="451ED8D3">
                  <w:pPr>
                    <w:autoSpaceDE w:val="0"/>
                    <w:autoSpaceDN w:val="0"/>
                    <w:adjustRightInd w:val="0"/>
                    <w:snapToGrid w:val="0"/>
                    <w:rPr>
                      <w:sz w:val="18"/>
                      <w:szCs w:val="18"/>
                    </w:rPr>
                  </w:pPr>
                  <w:r>
                    <w:rPr>
                      <w:sz w:val="18"/>
                      <w:szCs w:val="18"/>
                    </w:rPr>
                    <w:t>9．严格落实污染物排放总量控制制度，把主要污染物排放总量指标作为建设项目环境影响评价审批的前置条件。</w:t>
                  </w:r>
                </w:p>
                <w:p w14:paraId="0ECA5E23">
                  <w:pPr>
                    <w:autoSpaceDE w:val="0"/>
                    <w:autoSpaceDN w:val="0"/>
                    <w:adjustRightInd w:val="0"/>
                    <w:snapToGrid w:val="0"/>
                    <w:rPr>
                      <w:sz w:val="18"/>
                      <w:szCs w:val="18"/>
                    </w:rPr>
                  </w:pPr>
                  <w:r>
                    <w:rPr>
                      <w:sz w:val="18"/>
                      <w:szCs w:val="18"/>
                    </w:rPr>
                    <w:t>排放主要污染物的建设项目，在环境影响评价文件（以下简称环评文件）审批前，须取得主要污染物排放总量指标</w:t>
                  </w:r>
                </w:p>
              </w:tc>
              <w:tc>
                <w:tcPr>
                  <w:tcW w:w="1384" w:type="pct"/>
                  <w:vMerge w:val="restart"/>
                  <w:vAlign w:val="center"/>
                </w:tcPr>
                <w:p w14:paraId="2D091A5C">
                  <w:pPr>
                    <w:autoSpaceDE w:val="0"/>
                    <w:autoSpaceDN w:val="0"/>
                    <w:adjustRightInd w:val="0"/>
                    <w:snapToGrid w:val="0"/>
                    <w:jc w:val="center"/>
                    <w:rPr>
                      <w:kern w:val="0"/>
                      <w:sz w:val="18"/>
                      <w:szCs w:val="18"/>
                    </w:rPr>
                  </w:pPr>
                  <w:r>
                    <w:rPr>
                      <w:rFonts w:hint="eastAsia"/>
                      <w:kern w:val="0"/>
                      <w:sz w:val="18"/>
                      <w:szCs w:val="18"/>
                    </w:rPr>
                    <w:t>本项目</w:t>
                  </w:r>
                  <w:r>
                    <w:rPr>
                      <w:kern w:val="0"/>
                      <w:sz w:val="18"/>
                      <w:szCs w:val="18"/>
                    </w:rPr>
                    <w:t>所在区域属达标区</w:t>
                  </w:r>
                  <w:r>
                    <w:rPr>
                      <w:rFonts w:hint="eastAsia"/>
                      <w:kern w:val="0"/>
                      <w:sz w:val="18"/>
                      <w:szCs w:val="18"/>
                    </w:rPr>
                    <w:t>，</w:t>
                  </w:r>
                  <w:r>
                    <w:rPr>
                      <w:kern w:val="0"/>
                      <w:sz w:val="18"/>
                      <w:szCs w:val="18"/>
                    </w:rPr>
                    <w:t>根据</w:t>
                  </w:r>
                  <w:r>
                    <w:rPr>
                      <w:rFonts w:hint="eastAsia"/>
                      <w:kern w:val="0"/>
                      <w:sz w:val="18"/>
                      <w:szCs w:val="18"/>
                    </w:rPr>
                    <w:t>《建设项目主要污染物排放总量指标核定暂行办法》（晋环规[2023]1号）</w:t>
                  </w:r>
                  <w:r>
                    <w:rPr>
                      <w:kern w:val="0"/>
                      <w:sz w:val="18"/>
                      <w:szCs w:val="18"/>
                    </w:rPr>
                    <w:t>中规定，</w:t>
                  </w:r>
                  <w:r>
                    <w:rPr>
                      <w:rFonts w:hint="eastAsia"/>
                      <w:kern w:val="0"/>
                      <w:sz w:val="18"/>
                      <w:szCs w:val="18"/>
                    </w:rPr>
                    <w:t>结合</w:t>
                  </w:r>
                  <w:r>
                    <w:rPr>
                      <w:kern w:val="0"/>
                      <w:sz w:val="18"/>
                      <w:szCs w:val="18"/>
                    </w:rPr>
                    <w:t>环评分析计算可知</w:t>
                  </w:r>
                  <w:r>
                    <w:rPr>
                      <w:rFonts w:hint="eastAsia"/>
                      <w:kern w:val="0"/>
                      <w:sz w:val="18"/>
                      <w:szCs w:val="18"/>
                    </w:rPr>
                    <w:t>，</w:t>
                  </w:r>
                  <w:r>
                    <w:rPr>
                      <w:kern w:val="0"/>
                      <w:sz w:val="18"/>
                      <w:szCs w:val="18"/>
                    </w:rPr>
                    <w:t>本项目运营期主要大气污染物排放量未超过</w:t>
                  </w:r>
                  <w:r>
                    <w:rPr>
                      <w:rFonts w:hint="eastAsia"/>
                      <w:kern w:val="0"/>
                      <w:sz w:val="18"/>
                      <w:szCs w:val="18"/>
                    </w:rPr>
                    <w:t>3t/a，污染物总量可直接由当地环保管理部门予以核定</w:t>
                  </w:r>
                </w:p>
              </w:tc>
            </w:tr>
            <w:tr w14:paraId="486FD1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36" w:type="pct"/>
                  <w:vMerge w:val="continue"/>
                  <w:vAlign w:val="center"/>
                </w:tcPr>
                <w:p w14:paraId="53815D76">
                  <w:pPr>
                    <w:autoSpaceDE w:val="0"/>
                    <w:autoSpaceDN w:val="0"/>
                    <w:adjustRightInd w:val="0"/>
                    <w:snapToGrid w:val="0"/>
                    <w:jc w:val="center"/>
                    <w:rPr>
                      <w:sz w:val="18"/>
                      <w:szCs w:val="18"/>
                    </w:rPr>
                  </w:pPr>
                </w:p>
              </w:tc>
              <w:tc>
                <w:tcPr>
                  <w:tcW w:w="625" w:type="pct"/>
                  <w:vMerge w:val="continue"/>
                  <w:vAlign w:val="center"/>
                </w:tcPr>
                <w:p w14:paraId="1F7184BB">
                  <w:pPr>
                    <w:autoSpaceDE w:val="0"/>
                    <w:autoSpaceDN w:val="0"/>
                    <w:adjustRightInd w:val="0"/>
                    <w:snapToGrid w:val="0"/>
                    <w:jc w:val="center"/>
                    <w:rPr>
                      <w:sz w:val="18"/>
                      <w:szCs w:val="18"/>
                    </w:rPr>
                  </w:pPr>
                </w:p>
              </w:tc>
              <w:tc>
                <w:tcPr>
                  <w:tcW w:w="2454" w:type="pct"/>
                  <w:vAlign w:val="center"/>
                </w:tcPr>
                <w:p w14:paraId="6E834B4A">
                  <w:pPr>
                    <w:autoSpaceDE w:val="0"/>
                    <w:autoSpaceDN w:val="0"/>
                    <w:adjustRightInd w:val="0"/>
                    <w:snapToGrid w:val="0"/>
                    <w:rPr>
                      <w:sz w:val="18"/>
                      <w:szCs w:val="18"/>
                    </w:rPr>
                  </w:pPr>
                  <w:r>
                    <w:rPr>
                      <w:sz w:val="18"/>
                      <w:szCs w:val="18"/>
                    </w:rPr>
                    <w:t>10</w:t>
                  </w:r>
                  <w:r>
                    <w:rPr>
                      <w:rFonts w:hint="eastAsia"/>
                      <w:sz w:val="18"/>
                      <w:szCs w:val="18"/>
                    </w:rPr>
                    <w:t>.</w:t>
                  </w:r>
                  <w:r>
                    <w:rPr>
                      <w:sz w:val="18"/>
                      <w:szCs w:val="18"/>
                    </w:rPr>
                    <w:t>用于建设项目的“可替代总量指标”不得低于建设项目所需替代的主要污染物排放总量指标。上一年度环境空气质量年平均浓度不达标的县（区）、水环境质量未达到要求的县（区），相关污染物应按照建设项目所需替代的主要污染物排放总量指标的 2 倍进行削减替代（燃煤发电机组大气污染物排放浓度基本达到燃气轮机组排放限值的除外）；细颗粒物（PM</w:t>
                  </w:r>
                  <w:r>
                    <w:rPr>
                      <w:sz w:val="18"/>
                      <w:szCs w:val="18"/>
                      <w:vertAlign w:val="subscript"/>
                    </w:rPr>
                    <w:t>2.5</w:t>
                  </w:r>
                  <w:r>
                    <w:rPr>
                      <w:sz w:val="18"/>
                      <w:szCs w:val="18"/>
                    </w:rPr>
                    <w:t>）年平均浓度不达标的县（区），二氧化硫、氮氧化物、烟粉尘、挥发性有机物四项污染物均需进行2倍削减替代（燃煤发电机组大气污染物排放浓度基本达到燃气轮机组排放限值的除外）。</w:t>
                  </w:r>
                </w:p>
              </w:tc>
              <w:tc>
                <w:tcPr>
                  <w:tcW w:w="1384" w:type="pct"/>
                  <w:vMerge w:val="continue"/>
                  <w:vAlign w:val="center"/>
                </w:tcPr>
                <w:p w14:paraId="59C7051C">
                  <w:pPr>
                    <w:autoSpaceDE w:val="0"/>
                    <w:autoSpaceDN w:val="0"/>
                    <w:adjustRightInd w:val="0"/>
                    <w:snapToGrid w:val="0"/>
                    <w:jc w:val="center"/>
                    <w:rPr>
                      <w:kern w:val="0"/>
                      <w:sz w:val="18"/>
                      <w:szCs w:val="18"/>
                    </w:rPr>
                  </w:pPr>
                </w:p>
              </w:tc>
            </w:tr>
            <w:tr w14:paraId="7CEE49B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36" w:type="pct"/>
                  <w:vMerge w:val="continue"/>
                  <w:vAlign w:val="center"/>
                </w:tcPr>
                <w:p w14:paraId="5F295E8A">
                  <w:pPr>
                    <w:autoSpaceDE w:val="0"/>
                    <w:autoSpaceDN w:val="0"/>
                    <w:adjustRightInd w:val="0"/>
                    <w:snapToGrid w:val="0"/>
                    <w:jc w:val="center"/>
                    <w:rPr>
                      <w:sz w:val="18"/>
                      <w:szCs w:val="18"/>
                    </w:rPr>
                  </w:pPr>
                </w:p>
              </w:tc>
              <w:tc>
                <w:tcPr>
                  <w:tcW w:w="625" w:type="pct"/>
                  <w:vMerge w:val="continue"/>
                  <w:vAlign w:val="center"/>
                </w:tcPr>
                <w:p w14:paraId="1E544D50">
                  <w:pPr>
                    <w:autoSpaceDE w:val="0"/>
                    <w:autoSpaceDN w:val="0"/>
                    <w:adjustRightInd w:val="0"/>
                    <w:snapToGrid w:val="0"/>
                    <w:jc w:val="center"/>
                    <w:rPr>
                      <w:sz w:val="18"/>
                      <w:szCs w:val="18"/>
                    </w:rPr>
                  </w:pPr>
                </w:p>
              </w:tc>
              <w:tc>
                <w:tcPr>
                  <w:tcW w:w="2454" w:type="pct"/>
                  <w:vAlign w:val="center"/>
                </w:tcPr>
                <w:p w14:paraId="4AE89B71">
                  <w:pPr>
                    <w:autoSpaceDE w:val="0"/>
                    <w:autoSpaceDN w:val="0"/>
                    <w:adjustRightInd w:val="0"/>
                    <w:snapToGrid w:val="0"/>
                    <w:rPr>
                      <w:sz w:val="18"/>
                      <w:szCs w:val="18"/>
                    </w:rPr>
                  </w:pPr>
                  <w:r>
                    <w:rPr>
                      <w:sz w:val="18"/>
                      <w:szCs w:val="18"/>
                    </w:rPr>
                    <w:t>11.城镇生活污水处理厂外排废水全面执行山西省《污水综合排放标准》（DB14/1928-2019）。</w:t>
                  </w:r>
                </w:p>
              </w:tc>
              <w:tc>
                <w:tcPr>
                  <w:tcW w:w="1384" w:type="pct"/>
                  <w:vMerge w:val="restart"/>
                  <w:vAlign w:val="center"/>
                </w:tcPr>
                <w:p w14:paraId="2CA46C75">
                  <w:pPr>
                    <w:autoSpaceDE w:val="0"/>
                    <w:autoSpaceDN w:val="0"/>
                    <w:adjustRightInd w:val="0"/>
                    <w:snapToGrid w:val="0"/>
                    <w:jc w:val="center"/>
                    <w:rPr>
                      <w:rFonts w:hint="default" w:eastAsia="宋体"/>
                      <w:kern w:val="0"/>
                      <w:sz w:val="18"/>
                      <w:szCs w:val="18"/>
                      <w:lang w:val="en-US" w:eastAsia="zh-CN"/>
                    </w:rPr>
                  </w:pPr>
                  <w:r>
                    <w:rPr>
                      <w:color w:val="auto"/>
                      <w:kern w:val="0"/>
                      <w:sz w:val="18"/>
                      <w:szCs w:val="18"/>
                    </w:rPr>
                    <w:t>本项目</w:t>
                  </w:r>
                  <w:r>
                    <w:rPr>
                      <w:rFonts w:hint="eastAsia"/>
                      <w:color w:val="auto"/>
                      <w:kern w:val="0"/>
                      <w:sz w:val="18"/>
                      <w:szCs w:val="18"/>
                      <w:lang w:val="en-US" w:eastAsia="zh-CN"/>
                    </w:rPr>
                    <w:t>生产废水经沉淀池沉淀后回用于水稳土生产线</w:t>
                  </w:r>
                  <w:r>
                    <w:rPr>
                      <w:rFonts w:hint="eastAsia"/>
                      <w:color w:val="auto"/>
                      <w:kern w:val="0"/>
                      <w:sz w:val="18"/>
                      <w:szCs w:val="18"/>
                    </w:rPr>
                    <w:t>；洗车废水循环使用</w:t>
                  </w:r>
                  <w:r>
                    <w:rPr>
                      <w:rFonts w:hint="eastAsia"/>
                      <w:color w:val="auto"/>
                      <w:kern w:val="0"/>
                      <w:sz w:val="18"/>
                      <w:szCs w:val="18"/>
                      <w:lang w:eastAsia="zh-CN"/>
                    </w:rPr>
                    <w:t>；</w:t>
                  </w:r>
                  <w:r>
                    <w:rPr>
                      <w:color w:val="auto"/>
                      <w:kern w:val="0"/>
                      <w:sz w:val="18"/>
                      <w:szCs w:val="18"/>
                    </w:rPr>
                    <w:t>生活污水</w:t>
                  </w:r>
                  <w:r>
                    <w:rPr>
                      <w:rFonts w:hint="eastAsia"/>
                      <w:color w:val="auto"/>
                      <w:kern w:val="0"/>
                      <w:sz w:val="18"/>
                      <w:szCs w:val="18"/>
                      <w:lang w:val="en-US" w:eastAsia="zh-CN"/>
                    </w:rPr>
                    <w:t>经化粪池沉淀后，定期清掏由附近村民拉走施肥；初期雨水经沉淀后回用；运营期无废水直接外排</w:t>
                  </w:r>
                </w:p>
              </w:tc>
            </w:tr>
            <w:tr w14:paraId="32A76F0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36" w:type="pct"/>
                  <w:vMerge w:val="continue"/>
                  <w:vAlign w:val="center"/>
                </w:tcPr>
                <w:p w14:paraId="0095E581">
                  <w:pPr>
                    <w:autoSpaceDE w:val="0"/>
                    <w:autoSpaceDN w:val="0"/>
                    <w:adjustRightInd w:val="0"/>
                    <w:snapToGrid w:val="0"/>
                    <w:jc w:val="center"/>
                    <w:rPr>
                      <w:sz w:val="18"/>
                      <w:szCs w:val="18"/>
                    </w:rPr>
                  </w:pPr>
                </w:p>
              </w:tc>
              <w:tc>
                <w:tcPr>
                  <w:tcW w:w="625" w:type="pct"/>
                  <w:vMerge w:val="continue"/>
                  <w:vAlign w:val="center"/>
                </w:tcPr>
                <w:p w14:paraId="7CF821E4">
                  <w:pPr>
                    <w:autoSpaceDE w:val="0"/>
                    <w:autoSpaceDN w:val="0"/>
                    <w:adjustRightInd w:val="0"/>
                    <w:snapToGrid w:val="0"/>
                    <w:jc w:val="center"/>
                    <w:rPr>
                      <w:sz w:val="18"/>
                      <w:szCs w:val="18"/>
                    </w:rPr>
                  </w:pPr>
                </w:p>
              </w:tc>
              <w:tc>
                <w:tcPr>
                  <w:tcW w:w="2454" w:type="pct"/>
                  <w:vAlign w:val="center"/>
                </w:tcPr>
                <w:p w14:paraId="3D97EA14">
                  <w:pPr>
                    <w:autoSpaceDE w:val="0"/>
                    <w:autoSpaceDN w:val="0"/>
                    <w:adjustRightInd w:val="0"/>
                    <w:snapToGrid w:val="0"/>
                    <w:rPr>
                      <w:sz w:val="18"/>
                      <w:szCs w:val="18"/>
                    </w:rPr>
                  </w:pPr>
                  <w:r>
                    <w:rPr>
                      <w:sz w:val="18"/>
                      <w:szCs w:val="18"/>
                    </w:rPr>
                    <w:t>12.工业废水外排主要三项污染物化学需氧量、氨氮、总磷须达到《地表水环境质量标准》（GB3838-2002）Ⅴ类标准要求，其余执行《城镇污水处理厂污染物排放标准》（GB18918-2002）一级A排放标准。</w:t>
                  </w:r>
                </w:p>
              </w:tc>
              <w:tc>
                <w:tcPr>
                  <w:tcW w:w="1384" w:type="pct"/>
                  <w:vMerge w:val="continue"/>
                  <w:vAlign w:val="center"/>
                </w:tcPr>
                <w:p w14:paraId="4145A170">
                  <w:pPr>
                    <w:autoSpaceDE w:val="0"/>
                    <w:autoSpaceDN w:val="0"/>
                    <w:adjustRightInd w:val="0"/>
                    <w:snapToGrid w:val="0"/>
                    <w:jc w:val="center"/>
                    <w:rPr>
                      <w:rFonts w:hint="default" w:eastAsia="宋体"/>
                      <w:kern w:val="0"/>
                      <w:sz w:val="18"/>
                      <w:szCs w:val="18"/>
                      <w:lang w:val="en-US" w:eastAsia="zh-CN"/>
                    </w:rPr>
                  </w:pPr>
                </w:p>
              </w:tc>
            </w:tr>
            <w:tr w14:paraId="7E6EAE2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36" w:type="pct"/>
                  <w:vMerge w:val="continue"/>
                  <w:vAlign w:val="center"/>
                </w:tcPr>
                <w:p w14:paraId="4850F3BC">
                  <w:pPr>
                    <w:autoSpaceDE w:val="0"/>
                    <w:autoSpaceDN w:val="0"/>
                    <w:adjustRightInd w:val="0"/>
                    <w:snapToGrid w:val="0"/>
                    <w:jc w:val="center"/>
                    <w:rPr>
                      <w:sz w:val="18"/>
                      <w:szCs w:val="18"/>
                    </w:rPr>
                  </w:pPr>
                </w:p>
              </w:tc>
              <w:tc>
                <w:tcPr>
                  <w:tcW w:w="625" w:type="pct"/>
                  <w:vMerge w:val="continue"/>
                  <w:vAlign w:val="center"/>
                </w:tcPr>
                <w:p w14:paraId="731112DF">
                  <w:pPr>
                    <w:autoSpaceDE w:val="0"/>
                    <w:autoSpaceDN w:val="0"/>
                    <w:adjustRightInd w:val="0"/>
                    <w:snapToGrid w:val="0"/>
                    <w:jc w:val="center"/>
                    <w:rPr>
                      <w:sz w:val="18"/>
                      <w:szCs w:val="18"/>
                    </w:rPr>
                  </w:pPr>
                </w:p>
              </w:tc>
              <w:tc>
                <w:tcPr>
                  <w:tcW w:w="2454" w:type="pct"/>
                  <w:vAlign w:val="center"/>
                </w:tcPr>
                <w:p w14:paraId="0818878D">
                  <w:pPr>
                    <w:autoSpaceDE w:val="0"/>
                    <w:autoSpaceDN w:val="0"/>
                    <w:adjustRightInd w:val="0"/>
                    <w:snapToGrid w:val="0"/>
                    <w:rPr>
                      <w:sz w:val="18"/>
                      <w:szCs w:val="18"/>
                    </w:rPr>
                  </w:pPr>
                  <w:r>
                    <w:rPr>
                      <w:sz w:val="18"/>
                      <w:szCs w:val="18"/>
                    </w:rPr>
                    <w:t>13.省级及以上工业集聚区应科学合理制定污水处理规划与工艺，按规定建设污水集中处理设施，外排口加装自动监控设施。</w:t>
                  </w:r>
                </w:p>
              </w:tc>
              <w:tc>
                <w:tcPr>
                  <w:tcW w:w="1384" w:type="pct"/>
                  <w:vAlign w:val="center"/>
                </w:tcPr>
                <w:p w14:paraId="06D7886C">
                  <w:pPr>
                    <w:autoSpaceDE w:val="0"/>
                    <w:autoSpaceDN w:val="0"/>
                    <w:adjustRightInd w:val="0"/>
                    <w:snapToGrid w:val="0"/>
                    <w:jc w:val="center"/>
                    <w:rPr>
                      <w:kern w:val="0"/>
                      <w:sz w:val="18"/>
                      <w:szCs w:val="18"/>
                    </w:rPr>
                  </w:pPr>
                  <w:r>
                    <w:rPr>
                      <w:kern w:val="0"/>
                      <w:sz w:val="18"/>
                      <w:szCs w:val="18"/>
                    </w:rPr>
                    <w:t>/</w:t>
                  </w:r>
                </w:p>
              </w:tc>
            </w:tr>
            <w:tr w14:paraId="53166A0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36" w:type="pct"/>
                  <w:vMerge w:val="continue"/>
                  <w:vAlign w:val="center"/>
                </w:tcPr>
                <w:p w14:paraId="70D12549">
                  <w:pPr>
                    <w:autoSpaceDE w:val="0"/>
                    <w:autoSpaceDN w:val="0"/>
                    <w:adjustRightInd w:val="0"/>
                    <w:snapToGrid w:val="0"/>
                    <w:jc w:val="center"/>
                    <w:rPr>
                      <w:sz w:val="18"/>
                      <w:szCs w:val="18"/>
                    </w:rPr>
                  </w:pPr>
                </w:p>
              </w:tc>
              <w:tc>
                <w:tcPr>
                  <w:tcW w:w="625" w:type="pct"/>
                  <w:vMerge w:val="continue"/>
                  <w:vAlign w:val="center"/>
                </w:tcPr>
                <w:p w14:paraId="5E741CAC">
                  <w:pPr>
                    <w:autoSpaceDE w:val="0"/>
                    <w:autoSpaceDN w:val="0"/>
                    <w:adjustRightInd w:val="0"/>
                    <w:snapToGrid w:val="0"/>
                    <w:jc w:val="center"/>
                    <w:rPr>
                      <w:sz w:val="18"/>
                      <w:szCs w:val="18"/>
                    </w:rPr>
                  </w:pPr>
                </w:p>
              </w:tc>
              <w:tc>
                <w:tcPr>
                  <w:tcW w:w="2454" w:type="pct"/>
                  <w:vAlign w:val="center"/>
                </w:tcPr>
                <w:p w14:paraId="6E8E1F43">
                  <w:pPr>
                    <w:autoSpaceDE w:val="0"/>
                    <w:autoSpaceDN w:val="0"/>
                    <w:adjustRightInd w:val="0"/>
                    <w:snapToGrid w:val="0"/>
                    <w:rPr>
                      <w:sz w:val="18"/>
                      <w:szCs w:val="18"/>
                    </w:rPr>
                  </w:pPr>
                  <w:r>
                    <w:rPr>
                      <w:sz w:val="18"/>
                      <w:szCs w:val="18"/>
                    </w:rPr>
                    <w:t>14.煤矿矿井水原则上废水全部循环利用，确需排放的煤矿矿井水需达到《地表水环境质量》Ⅲ类水质要求。</w:t>
                  </w:r>
                </w:p>
              </w:tc>
              <w:tc>
                <w:tcPr>
                  <w:tcW w:w="1384" w:type="pct"/>
                  <w:vAlign w:val="center"/>
                </w:tcPr>
                <w:p w14:paraId="559EF84F">
                  <w:pPr>
                    <w:autoSpaceDE w:val="0"/>
                    <w:autoSpaceDN w:val="0"/>
                    <w:adjustRightInd w:val="0"/>
                    <w:snapToGrid w:val="0"/>
                    <w:jc w:val="center"/>
                    <w:rPr>
                      <w:kern w:val="0"/>
                      <w:sz w:val="18"/>
                      <w:szCs w:val="18"/>
                    </w:rPr>
                  </w:pPr>
                  <w:r>
                    <w:rPr>
                      <w:kern w:val="0"/>
                      <w:sz w:val="18"/>
                      <w:szCs w:val="18"/>
                    </w:rPr>
                    <w:t>/</w:t>
                  </w:r>
                </w:p>
              </w:tc>
            </w:tr>
            <w:tr w14:paraId="4496864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36" w:type="pct"/>
                  <w:vAlign w:val="center"/>
                </w:tcPr>
                <w:p w14:paraId="5F194BB9">
                  <w:pPr>
                    <w:autoSpaceDE w:val="0"/>
                    <w:autoSpaceDN w:val="0"/>
                    <w:adjustRightInd w:val="0"/>
                    <w:snapToGrid w:val="0"/>
                    <w:jc w:val="center"/>
                    <w:rPr>
                      <w:sz w:val="18"/>
                      <w:szCs w:val="18"/>
                    </w:rPr>
                  </w:pPr>
                  <w:r>
                    <w:rPr>
                      <w:sz w:val="18"/>
                      <w:szCs w:val="18"/>
                    </w:rPr>
                    <w:t>通用</w:t>
                  </w:r>
                </w:p>
              </w:tc>
              <w:tc>
                <w:tcPr>
                  <w:tcW w:w="625" w:type="pct"/>
                  <w:vAlign w:val="center"/>
                </w:tcPr>
                <w:p w14:paraId="76BAA75B">
                  <w:pPr>
                    <w:autoSpaceDE w:val="0"/>
                    <w:autoSpaceDN w:val="0"/>
                    <w:adjustRightInd w:val="0"/>
                    <w:snapToGrid w:val="0"/>
                    <w:jc w:val="center"/>
                    <w:rPr>
                      <w:sz w:val="18"/>
                      <w:szCs w:val="18"/>
                    </w:rPr>
                  </w:pPr>
                  <w:r>
                    <w:rPr>
                      <w:sz w:val="18"/>
                      <w:szCs w:val="18"/>
                    </w:rPr>
                    <w:t>环境风险防控</w:t>
                  </w:r>
                </w:p>
              </w:tc>
              <w:tc>
                <w:tcPr>
                  <w:tcW w:w="2454" w:type="pct"/>
                  <w:vAlign w:val="center"/>
                </w:tcPr>
                <w:p w14:paraId="044D2D0D">
                  <w:pPr>
                    <w:autoSpaceDE w:val="0"/>
                    <w:autoSpaceDN w:val="0"/>
                    <w:adjustRightInd w:val="0"/>
                    <w:snapToGrid w:val="0"/>
                    <w:rPr>
                      <w:sz w:val="18"/>
                      <w:szCs w:val="18"/>
                    </w:rPr>
                  </w:pPr>
                  <w:r>
                    <w:rPr>
                      <w:sz w:val="18"/>
                      <w:szCs w:val="18"/>
                    </w:rPr>
                    <w:t>1．强化重污染天气、饮用水水源地、有毒有害气体等重点领域风险预警，健全环境风险应急预案和应急响应措施，提高突发环境污染事件应急处置能力。</w:t>
                  </w:r>
                </w:p>
                <w:p w14:paraId="1B123027">
                  <w:pPr>
                    <w:autoSpaceDE w:val="0"/>
                    <w:autoSpaceDN w:val="0"/>
                    <w:adjustRightInd w:val="0"/>
                    <w:snapToGrid w:val="0"/>
                    <w:rPr>
                      <w:sz w:val="18"/>
                      <w:szCs w:val="18"/>
                    </w:rPr>
                  </w:pPr>
                  <w:r>
                    <w:rPr>
                      <w:sz w:val="18"/>
                      <w:szCs w:val="18"/>
                    </w:rPr>
                    <w:t>2.科学布局危险废物处置设施和场所，危险废物暂存库按《危险废物贮存污染控制标准》（GB18597-2001 及其2013 年修改单）的相关要求建设，填埋场要严格执行《危险废物填埋污染控制标准》（GB18598-2019）的相关要求。</w:t>
                  </w:r>
                </w:p>
                <w:p w14:paraId="19A3B7B8">
                  <w:pPr>
                    <w:autoSpaceDE w:val="0"/>
                    <w:autoSpaceDN w:val="0"/>
                    <w:adjustRightInd w:val="0"/>
                    <w:snapToGrid w:val="0"/>
                    <w:rPr>
                      <w:sz w:val="18"/>
                      <w:szCs w:val="18"/>
                    </w:rPr>
                  </w:pPr>
                  <w:r>
                    <w:rPr>
                      <w:sz w:val="18"/>
                      <w:szCs w:val="18"/>
                    </w:rPr>
                    <w:t>3.针对焦化、化工、农药、有色冶炼、造纸、电镀等水环境风险较大行业，全面开展摸底排查，建立水环境风险管控清单，定期评估沿河（湖、库）工业企业、工业集聚区环境风险，落实防控措施。</w:t>
                  </w:r>
                </w:p>
                <w:p w14:paraId="55046041">
                  <w:pPr>
                    <w:autoSpaceDE w:val="0"/>
                    <w:autoSpaceDN w:val="0"/>
                    <w:adjustRightInd w:val="0"/>
                    <w:snapToGrid w:val="0"/>
                    <w:rPr>
                      <w:sz w:val="18"/>
                      <w:szCs w:val="18"/>
                    </w:rPr>
                  </w:pPr>
                  <w:r>
                    <w:rPr>
                      <w:sz w:val="18"/>
                      <w:szCs w:val="18"/>
                    </w:rPr>
                    <w:t>4.严格落实“三线一单”生态环境分区管控要求。桑干河干流及主要支流浑河、口泉河、七里河、御河、十里河、坊城河等沿岸范围内的重要湖（库）和饮用水水源地保护区，禁止新建焦化、化工、农药、有色冶炼、造纸、生物制药、电镀等高风险项目和危险化学品仓储设施。</w:t>
                  </w:r>
                </w:p>
              </w:tc>
              <w:tc>
                <w:tcPr>
                  <w:tcW w:w="1384" w:type="pct"/>
                  <w:vAlign w:val="center"/>
                </w:tcPr>
                <w:p w14:paraId="580768CC">
                  <w:pPr>
                    <w:autoSpaceDE w:val="0"/>
                    <w:autoSpaceDN w:val="0"/>
                    <w:adjustRightInd w:val="0"/>
                    <w:snapToGrid w:val="0"/>
                    <w:jc w:val="center"/>
                    <w:rPr>
                      <w:kern w:val="0"/>
                      <w:sz w:val="18"/>
                      <w:szCs w:val="18"/>
                    </w:rPr>
                  </w:pPr>
                  <w:r>
                    <w:rPr>
                      <w:kern w:val="0"/>
                      <w:sz w:val="18"/>
                      <w:szCs w:val="18"/>
                    </w:rPr>
                    <w:t>本项目建成运营后将建立健全</w:t>
                  </w:r>
                  <w:r>
                    <w:rPr>
                      <w:sz w:val="18"/>
                      <w:szCs w:val="18"/>
                    </w:rPr>
                    <w:t>突发环境事件应对工作机制，提高预防、预警、应对能力</w:t>
                  </w:r>
                </w:p>
              </w:tc>
            </w:tr>
            <w:tr w14:paraId="284A69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71" w:hRule="atLeast"/>
              </w:trPr>
              <w:tc>
                <w:tcPr>
                  <w:tcW w:w="536" w:type="pct"/>
                  <w:vMerge w:val="restart"/>
                  <w:vAlign w:val="center"/>
                </w:tcPr>
                <w:p w14:paraId="1F32F9C2">
                  <w:pPr>
                    <w:autoSpaceDE w:val="0"/>
                    <w:autoSpaceDN w:val="0"/>
                    <w:adjustRightInd w:val="0"/>
                    <w:snapToGrid w:val="0"/>
                    <w:jc w:val="center"/>
                    <w:rPr>
                      <w:sz w:val="18"/>
                      <w:szCs w:val="18"/>
                    </w:rPr>
                  </w:pPr>
                  <w:r>
                    <w:rPr>
                      <w:sz w:val="18"/>
                      <w:szCs w:val="18"/>
                    </w:rPr>
                    <w:t>通用</w:t>
                  </w:r>
                </w:p>
              </w:tc>
              <w:tc>
                <w:tcPr>
                  <w:tcW w:w="625" w:type="pct"/>
                  <w:vMerge w:val="restart"/>
                  <w:vAlign w:val="center"/>
                </w:tcPr>
                <w:p w14:paraId="3F513B31">
                  <w:pPr>
                    <w:autoSpaceDE w:val="0"/>
                    <w:autoSpaceDN w:val="0"/>
                    <w:adjustRightInd w:val="0"/>
                    <w:snapToGrid w:val="0"/>
                    <w:jc w:val="center"/>
                    <w:rPr>
                      <w:kern w:val="0"/>
                      <w:sz w:val="18"/>
                      <w:szCs w:val="18"/>
                    </w:rPr>
                  </w:pPr>
                  <w:r>
                    <w:rPr>
                      <w:sz w:val="18"/>
                      <w:szCs w:val="18"/>
                    </w:rPr>
                    <w:t>资源利用效率</w:t>
                  </w:r>
                </w:p>
              </w:tc>
              <w:tc>
                <w:tcPr>
                  <w:tcW w:w="2454" w:type="pct"/>
                  <w:vAlign w:val="center"/>
                </w:tcPr>
                <w:p w14:paraId="07EF027C">
                  <w:pPr>
                    <w:autoSpaceDE w:val="0"/>
                    <w:autoSpaceDN w:val="0"/>
                    <w:adjustRightInd w:val="0"/>
                    <w:snapToGrid w:val="0"/>
                    <w:rPr>
                      <w:sz w:val="18"/>
                      <w:szCs w:val="18"/>
                    </w:rPr>
                  </w:pPr>
                  <w:r>
                    <w:rPr>
                      <w:sz w:val="18"/>
                      <w:szCs w:val="18"/>
                    </w:rPr>
                    <w:t>1.水资源利用上线严格落实“十四五”相关目标指标。</w:t>
                  </w:r>
                </w:p>
                <w:p w14:paraId="402A54D4">
                  <w:pPr>
                    <w:autoSpaceDE w:val="0"/>
                    <w:autoSpaceDN w:val="0"/>
                    <w:adjustRightInd w:val="0"/>
                    <w:snapToGrid w:val="0"/>
                    <w:rPr>
                      <w:sz w:val="18"/>
                      <w:szCs w:val="18"/>
                    </w:rPr>
                  </w:pPr>
                  <w:r>
                    <w:rPr>
                      <w:sz w:val="18"/>
                      <w:szCs w:val="18"/>
                    </w:rPr>
                    <w:t>2.加快推进城头会泉域和水神堂泉域重点保护区的保护和生态修复。</w:t>
                  </w:r>
                </w:p>
                <w:p w14:paraId="2CE4ABC8">
                  <w:pPr>
                    <w:autoSpaceDE w:val="0"/>
                    <w:autoSpaceDN w:val="0"/>
                    <w:adjustRightInd w:val="0"/>
                    <w:snapToGrid w:val="0"/>
                    <w:rPr>
                      <w:sz w:val="18"/>
                      <w:szCs w:val="18"/>
                    </w:rPr>
                  </w:pPr>
                  <w:r>
                    <w:rPr>
                      <w:sz w:val="18"/>
                      <w:szCs w:val="18"/>
                    </w:rPr>
                    <w:t>3.加强水资源开发利用红线管理，严格取用水总量汲取水许可管理，到2030年大同市用水总量控制在7.4亿立方米以内，万元工业增加值用水量控制在40立方米以下。</w:t>
                  </w:r>
                </w:p>
                <w:p w14:paraId="3D181CE6">
                  <w:pPr>
                    <w:autoSpaceDE w:val="0"/>
                    <w:autoSpaceDN w:val="0"/>
                    <w:adjustRightInd w:val="0"/>
                    <w:snapToGrid w:val="0"/>
                    <w:rPr>
                      <w:sz w:val="18"/>
                      <w:szCs w:val="18"/>
                    </w:rPr>
                  </w:pPr>
                  <w:r>
                    <w:rPr>
                      <w:sz w:val="18"/>
                      <w:szCs w:val="18"/>
                    </w:rPr>
                    <w:t>4.大力推进工业节水，推动高耗水行业节水增效，积极推行水循环梯级利用，农田灌溉水有效利用系数提高到 0.6 以上。</w:t>
                  </w:r>
                </w:p>
                <w:p w14:paraId="27761E6D">
                  <w:pPr>
                    <w:autoSpaceDE w:val="0"/>
                    <w:autoSpaceDN w:val="0"/>
                    <w:adjustRightInd w:val="0"/>
                    <w:snapToGrid w:val="0"/>
                    <w:rPr>
                      <w:kern w:val="0"/>
                      <w:sz w:val="18"/>
                      <w:szCs w:val="18"/>
                    </w:rPr>
                  </w:pPr>
                  <w:r>
                    <w:rPr>
                      <w:sz w:val="18"/>
                      <w:szCs w:val="18"/>
                    </w:rPr>
                    <w:t>5.严格规范地下水取水许可审批管理，实行取水许可区域限批制度和取水许可验收制度。对地下水取水总量已达到或超过控制指标的地区，暂停建设项目新增取水用地下水；对取水地下水总量接近控制指标的地区，限制审批新增取用地下水。</w:t>
                  </w:r>
                </w:p>
              </w:tc>
              <w:tc>
                <w:tcPr>
                  <w:tcW w:w="1384" w:type="pct"/>
                  <w:vAlign w:val="center"/>
                </w:tcPr>
                <w:p w14:paraId="5D847100">
                  <w:pPr>
                    <w:autoSpaceDE w:val="0"/>
                    <w:autoSpaceDN w:val="0"/>
                    <w:adjustRightInd w:val="0"/>
                    <w:snapToGrid w:val="0"/>
                    <w:jc w:val="center"/>
                    <w:rPr>
                      <w:rFonts w:hint="default" w:eastAsia="宋体"/>
                      <w:color w:val="auto"/>
                      <w:kern w:val="0"/>
                      <w:sz w:val="18"/>
                      <w:szCs w:val="18"/>
                      <w:lang w:val="en-US" w:eastAsia="zh-CN"/>
                    </w:rPr>
                  </w:pPr>
                  <w:r>
                    <w:rPr>
                      <w:color w:val="auto"/>
                      <w:kern w:val="0"/>
                      <w:sz w:val="18"/>
                      <w:szCs w:val="18"/>
                    </w:rPr>
                    <w:t>本项目</w:t>
                  </w:r>
                  <w:r>
                    <w:rPr>
                      <w:rFonts w:hint="eastAsia"/>
                      <w:color w:val="auto"/>
                      <w:kern w:val="0"/>
                      <w:sz w:val="18"/>
                      <w:szCs w:val="18"/>
                      <w:lang w:val="en-US" w:eastAsia="zh-CN"/>
                    </w:rPr>
                    <w:t>运营期</w:t>
                  </w:r>
                  <w:r>
                    <w:rPr>
                      <w:color w:val="auto"/>
                      <w:kern w:val="0"/>
                      <w:sz w:val="18"/>
                      <w:szCs w:val="18"/>
                    </w:rPr>
                    <w:t>用水</w:t>
                  </w:r>
                  <w:r>
                    <w:rPr>
                      <w:rFonts w:hint="eastAsia"/>
                      <w:color w:val="auto"/>
                      <w:kern w:val="0"/>
                      <w:sz w:val="18"/>
                      <w:szCs w:val="18"/>
                      <w:lang w:val="en-US" w:eastAsia="zh-CN"/>
                    </w:rPr>
                    <w:t>环节以及用水量较小</w:t>
                  </w:r>
                  <w:r>
                    <w:rPr>
                      <w:color w:val="auto"/>
                      <w:kern w:val="0"/>
                      <w:sz w:val="18"/>
                      <w:szCs w:val="18"/>
                    </w:rPr>
                    <w:t>，</w:t>
                  </w:r>
                  <w:r>
                    <w:rPr>
                      <w:rFonts w:hint="eastAsia"/>
                      <w:color w:val="auto"/>
                      <w:kern w:val="0"/>
                      <w:sz w:val="18"/>
                      <w:szCs w:val="18"/>
                      <w:lang w:val="en-US" w:eastAsia="zh-CN"/>
                    </w:rPr>
                    <w:t>水源来自自来水供水管道</w:t>
                  </w:r>
                </w:p>
              </w:tc>
            </w:tr>
            <w:tr w14:paraId="248C3DA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978" w:hRule="atLeast"/>
              </w:trPr>
              <w:tc>
                <w:tcPr>
                  <w:tcW w:w="536" w:type="pct"/>
                  <w:vMerge w:val="continue"/>
                  <w:vAlign w:val="center"/>
                </w:tcPr>
                <w:p w14:paraId="276C8D1A">
                  <w:pPr>
                    <w:autoSpaceDE w:val="0"/>
                    <w:autoSpaceDN w:val="0"/>
                    <w:adjustRightInd w:val="0"/>
                    <w:snapToGrid w:val="0"/>
                    <w:jc w:val="center"/>
                    <w:rPr>
                      <w:kern w:val="0"/>
                      <w:sz w:val="18"/>
                      <w:szCs w:val="18"/>
                    </w:rPr>
                  </w:pPr>
                </w:p>
              </w:tc>
              <w:tc>
                <w:tcPr>
                  <w:tcW w:w="625" w:type="pct"/>
                  <w:vMerge w:val="continue"/>
                  <w:vAlign w:val="center"/>
                </w:tcPr>
                <w:p w14:paraId="00EC701C">
                  <w:pPr>
                    <w:autoSpaceDE w:val="0"/>
                    <w:autoSpaceDN w:val="0"/>
                    <w:adjustRightInd w:val="0"/>
                    <w:snapToGrid w:val="0"/>
                    <w:jc w:val="center"/>
                    <w:rPr>
                      <w:kern w:val="0"/>
                      <w:sz w:val="18"/>
                      <w:szCs w:val="18"/>
                    </w:rPr>
                  </w:pPr>
                </w:p>
              </w:tc>
              <w:tc>
                <w:tcPr>
                  <w:tcW w:w="2454" w:type="pct"/>
                  <w:vAlign w:val="center"/>
                </w:tcPr>
                <w:p w14:paraId="7F3E6938">
                  <w:pPr>
                    <w:autoSpaceDE w:val="0"/>
                    <w:autoSpaceDN w:val="0"/>
                    <w:adjustRightInd w:val="0"/>
                    <w:snapToGrid w:val="0"/>
                    <w:rPr>
                      <w:sz w:val="18"/>
                      <w:szCs w:val="18"/>
                    </w:rPr>
                  </w:pPr>
                  <w:r>
                    <w:rPr>
                      <w:sz w:val="18"/>
                      <w:szCs w:val="18"/>
                    </w:rPr>
                    <w:t>1.能源利用上线严格落实碳达峰、碳中和相关要求以及“十四五”相关目标指标。</w:t>
                  </w:r>
                </w:p>
                <w:p w14:paraId="151B014C">
                  <w:pPr>
                    <w:autoSpaceDE w:val="0"/>
                    <w:autoSpaceDN w:val="0"/>
                    <w:adjustRightInd w:val="0"/>
                    <w:snapToGrid w:val="0"/>
                    <w:rPr>
                      <w:sz w:val="18"/>
                      <w:szCs w:val="18"/>
                    </w:rPr>
                  </w:pPr>
                  <w:r>
                    <w:rPr>
                      <w:sz w:val="18"/>
                      <w:szCs w:val="18"/>
                    </w:rPr>
                    <w:t>2.加强清洁低碳能源体系建设，大力发展非化石能源，严格落实煤炭消费等量减量替代措施。</w:t>
                  </w:r>
                </w:p>
                <w:p w14:paraId="50E8517A">
                  <w:pPr>
                    <w:autoSpaceDE w:val="0"/>
                    <w:autoSpaceDN w:val="0"/>
                    <w:adjustRightInd w:val="0"/>
                    <w:snapToGrid w:val="0"/>
                    <w:rPr>
                      <w:kern w:val="0"/>
                      <w:sz w:val="18"/>
                      <w:szCs w:val="18"/>
                    </w:rPr>
                  </w:pPr>
                  <w:r>
                    <w:rPr>
                      <w:sz w:val="18"/>
                      <w:szCs w:val="18"/>
                    </w:rPr>
                    <w:t>3.新建、改建、扩建项目“两高”项目须达到强制性能耗限额标准；现有企业和其他项目通过实施清洁生产改造，2030 年能耗水平显著下降。</w:t>
                  </w:r>
                </w:p>
              </w:tc>
              <w:tc>
                <w:tcPr>
                  <w:tcW w:w="1384" w:type="pct"/>
                  <w:vAlign w:val="center"/>
                </w:tcPr>
                <w:p w14:paraId="013B2755">
                  <w:pPr>
                    <w:autoSpaceDE w:val="0"/>
                    <w:autoSpaceDN w:val="0"/>
                    <w:adjustRightInd w:val="0"/>
                    <w:snapToGrid w:val="0"/>
                    <w:jc w:val="center"/>
                    <w:rPr>
                      <w:color w:val="auto"/>
                      <w:kern w:val="0"/>
                      <w:sz w:val="18"/>
                      <w:szCs w:val="18"/>
                    </w:rPr>
                  </w:pPr>
                  <w:r>
                    <w:rPr>
                      <w:color w:val="auto"/>
                      <w:kern w:val="0"/>
                      <w:sz w:val="18"/>
                      <w:szCs w:val="18"/>
                    </w:rPr>
                    <w:t>本项目不属于“两高”项目</w:t>
                  </w:r>
                </w:p>
              </w:tc>
            </w:tr>
            <w:tr w14:paraId="32624FD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85" w:hRule="atLeast"/>
              </w:trPr>
              <w:tc>
                <w:tcPr>
                  <w:tcW w:w="536" w:type="pct"/>
                  <w:vMerge w:val="continue"/>
                  <w:vAlign w:val="center"/>
                </w:tcPr>
                <w:p w14:paraId="4F6343AE">
                  <w:pPr>
                    <w:autoSpaceDE w:val="0"/>
                    <w:autoSpaceDN w:val="0"/>
                    <w:adjustRightInd w:val="0"/>
                    <w:snapToGrid w:val="0"/>
                    <w:jc w:val="center"/>
                    <w:rPr>
                      <w:kern w:val="0"/>
                      <w:sz w:val="18"/>
                      <w:szCs w:val="18"/>
                    </w:rPr>
                  </w:pPr>
                </w:p>
              </w:tc>
              <w:tc>
                <w:tcPr>
                  <w:tcW w:w="625" w:type="pct"/>
                  <w:vMerge w:val="continue"/>
                  <w:vAlign w:val="center"/>
                </w:tcPr>
                <w:p w14:paraId="61E383B8">
                  <w:pPr>
                    <w:autoSpaceDE w:val="0"/>
                    <w:autoSpaceDN w:val="0"/>
                    <w:adjustRightInd w:val="0"/>
                    <w:snapToGrid w:val="0"/>
                    <w:jc w:val="center"/>
                    <w:rPr>
                      <w:kern w:val="0"/>
                      <w:sz w:val="18"/>
                      <w:szCs w:val="18"/>
                    </w:rPr>
                  </w:pPr>
                </w:p>
              </w:tc>
              <w:tc>
                <w:tcPr>
                  <w:tcW w:w="2454" w:type="pct"/>
                  <w:vAlign w:val="center"/>
                </w:tcPr>
                <w:p w14:paraId="0DFBB89D">
                  <w:pPr>
                    <w:autoSpaceDE w:val="0"/>
                    <w:autoSpaceDN w:val="0"/>
                    <w:adjustRightInd w:val="0"/>
                    <w:snapToGrid w:val="0"/>
                    <w:rPr>
                      <w:sz w:val="18"/>
                      <w:szCs w:val="18"/>
                    </w:rPr>
                  </w:pPr>
                  <w:r>
                    <w:rPr>
                      <w:sz w:val="18"/>
                      <w:szCs w:val="18"/>
                    </w:rPr>
                    <w:t>1.土地资源利用上线严格落实“十四五”相关目标指标。</w:t>
                  </w:r>
                </w:p>
                <w:p w14:paraId="69E4EDCD">
                  <w:pPr>
                    <w:autoSpaceDE w:val="0"/>
                    <w:autoSpaceDN w:val="0"/>
                    <w:adjustRightInd w:val="0"/>
                    <w:snapToGrid w:val="0"/>
                    <w:rPr>
                      <w:kern w:val="0"/>
                      <w:sz w:val="18"/>
                      <w:szCs w:val="18"/>
                    </w:rPr>
                  </w:pPr>
                  <w:r>
                    <w:rPr>
                      <w:sz w:val="18"/>
                      <w:szCs w:val="18"/>
                    </w:rPr>
                    <w:t>2.严格控制非农建设占用耕地工业项目，商业旅游、农村宅基地等建设项目在选址时应尽量利用未利用地及闲置土地，尽量不占或少占耕地。确需占用耕地的，必须符合土地利用总体规划和城市总体规划，做到“占一补一”“占优补优”，并依法办理农用地转用审批手续。</w:t>
                  </w:r>
                </w:p>
              </w:tc>
              <w:tc>
                <w:tcPr>
                  <w:tcW w:w="1384" w:type="pct"/>
                  <w:vAlign w:val="center"/>
                </w:tcPr>
                <w:p w14:paraId="5AE0204E">
                  <w:pPr>
                    <w:autoSpaceDE w:val="0"/>
                    <w:autoSpaceDN w:val="0"/>
                    <w:adjustRightInd w:val="0"/>
                    <w:snapToGrid w:val="0"/>
                    <w:jc w:val="center"/>
                    <w:rPr>
                      <w:color w:val="auto"/>
                      <w:kern w:val="0"/>
                      <w:sz w:val="18"/>
                      <w:szCs w:val="18"/>
                    </w:rPr>
                  </w:pPr>
                  <w:r>
                    <w:rPr>
                      <w:color w:val="auto"/>
                      <w:kern w:val="0"/>
                      <w:sz w:val="18"/>
                      <w:szCs w:val="18"/>
                    </w:rPr>
                    <w:t>项目占地</w:t>
                  </w:r>
                  <w:r>
                    <w:rPr>
                      <w:rFonts w:hint="eastAsia"/>
                      <w:color w:val="auto"/>
                      <w:kern w:val="0"/>
                      <w:sz w:val="18"/>
                      <w:szCs w:val="18"/>
                    </w:rPr>
                    <w:t>性质</w:t>
                  </w:r>
                  <w:r>
                    <w:rPr>
                      <w:color w:val="auto"/>
                      <w:kern w:val="0"/>
                      <w:sz w:val="18"/>
                      <w:szCs w:val="18"/>
                    </w:rPr>
                    <w:t>为</w:t>
                  </w:r>
                  <w:r>
                    <w:rPr>
                      <w:rFonts w:hint="eastAsia"/>
                      <w:color w:val="auto"/>
                      <w:kern w:val="0"/>
                      <w:sz w:val="18"/>
                      <w:szCs w:val="18"/>
                      <w:lang w:eastAsia="zh-CN"/>
                    </w:rPr>
                    <w:t>建设</w:t>
                  </w:r>
                  <w:r>
                    <w:rPr>
                      <w:rFonts w:hint="eastAsia"/>
                      <w:color w:val="auto"/>
                      <w:kern w:val="0"/>
                      <w:sz w:val="18"/>
                      <w:szCs w:val="18"/>
                      <w:lang w:val="en-US" w:eastAsia="zh-CN"/>
                    </w:rPr>
                    <w:t>用地</w:t>
                  </w:r>
                  <w:r>
                    <w:rPr>
                      <w:rFonts w:hint="eastAsia"/>
                      <w:color w:val="auto"/>
                      <w:kern w:val="0"/>
                      <w:sz w:val="18"/>
                      <w:szCs w:val="18"/>
                    </w:rPr>
                    <w:t>，</w:t>
                  </w:r>
                  <w:r>
                    <w:rPr>
                      <w:color w:val="auto"/>
                      <w:kern w:val="0"/>
                      <w:sz w:val="18"/>
                      <w:szCs w:val="18"/>
                    </w:rPr>
                    <w:t>施工及运营期均在本厂区占地范围内进行</w:t>
                  </w:r>
                </w:p>
              </w:tc>
            </w:tr>
          </w:tbl>
          <w:p w14:paraId="17DC024B">
            <w:pPr>
              <w:autoSpaceDE w:val="0"/>
              <w:autoSpaceDN w:val="0"/>
              <w:adjustRightInd w:val="0"/>
              <w:snapToGrid w:val="0"/>
              <w:spacing w:line="360" w:lineRule="auto"/>
              <w:ind w:firstLine="420" w:firstLineChars="200"/>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根据上表可知，本项目的的建设符合“</w:t>
            </w:r>
            <w:r>
              <w:rPr>
                <w:rFonts w:hint="eastAsia" w:cs="Times New Roman"/>
                <w:bCs/>
                <w:color w:val="auto"/>
                <w:szCs w:val="21"/>
                <w:lang w:val="en-US" w:eastAsia="zh-CN"/>
              </w:rPr>
              <w:t>同政发[2021]23号</w:t>
            </w:r>
            <w:r>
              <w:rPr>
                <w:rFonts w:hint="eastAsia" w:cs="Times New Roman"/>
                <w:color w:val="auto"/>
                <w:szCs w:val="21"/>
                <w:lang w:val="en-US" w:eastAsia="zh-CN"/>
              </w:rPr>
              <w:t>”</w:t>
            </w:r>
            <w:r>
              <w:rPr>
                <w:rFonts w:hint="eastAsia" w:cs="Times New Roman"/>
                <w:bCs/>
                <w:color w:val="auto"/>
                <w:szCs w:val="21"/>
                <w:lang w:val="en-US" w:eastAsia="zh-CN"/>
              </w:rPr>
              <w:t>中生态环境分区管控总体准入清单内容要求。</w:t>
            </w:r>
          </w:p>
          <w:p w14:paraId="0E2DBF5A">
            <w:pPr>
              <w:autoSpaceDE w:val="0"/>
              <w:autoSpaceDN w:val="0"/>
              <w:adjustRightInd w:val="0"/>
              <w:snapToGrid w:val="0"/>
              <w:spacing w:line="360" w:lineRule="auto"/>
              <w:ind w:firstLine="420" w:firstLineChars="200"/>
              <w:rPr>
                <w:rFonts w:hint="default" w:ascii="Times New Roman" w:hAnsi="Times New Roman" w:cs="Times New Roman"/>
                <w:color w:val="auto"/>
                <w:szCs w:val="21"/>
              </w:rPr>
            </w:pPr>
            <w:r>
              <w:rPr>
                <w:rFonts w:hint="default" w:ascii="Times New Roman" w:hAnsi="Times New Roman" w:cs="Times New Roman"/>
                <w:color w:val="auto"/>
                <w:szCs w:val="21"/>
              </w:rPr>
              <w:t>综上所述，本项目的建设符合“三线一单”的管控要求。</w:t>
            </w:r>
          </w:p>
          <w:p w14:paraId="43122AEB">
            <w:pPr>
              <w:pStyle w:val="77"/>
              <w:snapToGrid/>
              <w:ind w:firstLine="422"/>
              <w:rPr>
                <w:rFonts w:hint="default" w:ascii="Times New Roman" w:hAnsi="Times New Roman" w:cs="Times New Roman"/>
                <w:bCs/>
                <w:color w:val="auto"/>
                <w:szCs w:val="21"/>
              </w:rPr>
            </w:pPr>
            <w:r>
              <w:rPr>
                <w:rFonts w:hint="default" w:ascii="Times New Roman" w:hAnsi="Times New Roman" w:cs="Times New Roman"/>
                <w:bCs/>
                <w:color w:val="auto"/>
                <w:szCs w:val="21"/>
              </w:rPr>
              <w:t>2、产业政策符合性分析</w:t>
            </w:r>
          </w:p>
          <w:p w14:paraId="39330785">
            <w:pPr>
              <w:pStyle w:val="77"/>
              <w:snapToGrid/>
              <w:ind w:firstLine="411" w:firstLineChars="196"/>
              <w:rPr>
                <w:rFonts w:hint="default" w:ascii="Times New Roman" w:hAnsi="Times New Roman" w:cs="Times New Roman"/>
                <w:b w:val="0"/>
                <w:bCs/>
                <w:color w:val="auto"/>
                <w:szCs w:val="21"/>
                <w:lang w:val="en-US" w:eastAsia="zh-CN"/>
              </w:rPr>
            </w:pPr>
            <w:r>
              <w:rPr>
                <w:rFonts w:hint="default" w:ascii="Times New Roman" w:hAnsi="Times New Roman" w:cs="Times New Roman"/>
                <w:b w:val="0"/>
                <w:bCs/>
                <w:color w:val="auto"/>
                <w:szCs w:val="21"/>
                <w:lang w:val="en-US" w:eastAsia="zh-CN"/>
              </w:rPr>
              <w:t>本工程为新建工程。根据《产业结构调整指导目录（2024年本）》，本项目</w:t>
            </w:r>
            <w:r>
              <w:rPr>
                <w:rFonts w:hint="eastAsia" w:ascii="Times New Roman" w:hAnsi="Times New Roman" w:cs="Times New Roman"/>
                <w:b w:val="0"/>
                <w:bCs/>
                <w:color w:val="auto"/>
                <w:szCs w:val="21"/>
                <w:lang w:val="en-US" w:eastAsia="zh-CN"/>
              </w:rPr>
              <w:t>设备设施、生产工艺、产品等均不</w:t>
            </w:r>
            <w:r>
              <w:rPr>
                <w:rFonts w:hint="default" w:ascii="Times New Roman" w:hAnsi="Times New Roman" w:cs="Times New Roman"/>
                <w:b w:val="0"/>
                <w:bCs/>
                <w:color w:val="auto"/>
                <w:szCs w:val="21"/>
                <w:lang w:val="en-US" w:eastAsia="zh-CN"/>
              </w:rPr>
              <w:t>属于鼓励类</w:t>
            </w:r>
            <w:r>
              <w:rPr>
                <w:rFonts w:hint="eastAsia" w:ascii="Times New Roman" w:hAnsi="Times New Roman" w:cs="Times New Roman"/>
                <w:b w:val="0"/>
                <w:bCs/>
                <w:color w:val="auto"/>
                <w:szCs w:val="21"/>
                <w:lang w:val="en-US" w:eastAsia="zh-CN"/>
              </w:rPr>
              <w:t>、限制类、淘汰类</w:t>
            </w:r>
            <w:r>
              <w:rPr>
                <w:rFonts w:hint="default" w:ascii="Times New Roman" w:hAnsi="Times New Roman" w:cs="Times New Roman"/>
                <w:b w:val="0"/>
                <w:bCs/>
                <w:color w:val="auto"/>
                <w:szCs w:val="21"/>
                <w:lang w:val="en-US" w:eastAsia="zh-CN"/>
              </w:rPr>
              <w:t>。</w:t>
            </w:r>
          </w:p>
          <w:p w14:paraId="58BD45AE">
            <w:pPr>
              <w:pStyle w:val="77"/>
              <w:snapToGrid/>
              <w:ind w:firstLine="411" w:firstLineChars="196"/>
              <w:rPr>
                <w:rFonts w:hint="default" w:ascii="Times New Roman" w:hAnsi="Times New Roman" w:cs="Times New Roman"/>
                <w:b w:val="0"/>
                <w:bCs/>
                <w:color w:val="auto"/>
                <w:szCs w:val="21"/>
                <w:lang w:val="en-US" w:eastAsia="zh-CN"/>
              </w:rPr>
            </w:pPr>
            <w:r>
              <w:rPr>
                <w:rFonts w:hint="default" w:ascii="Times New Roman" w:hAnsi="Times New Roman" w:cs="Times New Roman"/>
                <w:b w:val="0"/>
                <w:bCs/>
                <w:color w:val="auto"/>
                <w:szCs w:val="21"/>
                <w:lang w:val="en-US" w:eastAsia="zh-CN"/>
              </w:rPr>
              <w:t>由此可知，本项目的建设不违背国家和地方产业政策。</w:t>
            </w:r>
          </w:p>
          <w:p w14:paraId="3B5C102C">
            <w:pPr>
              <w:pStyle w:val="77"/>
              <w:snapToGrid/>
              <w:ind w:firstLine="413" w:firstLineChars="196"/>
              <w:rPr>
                <w:rFonts w:hint="default" w:ascii="Times New Roman" w:hAnsi="Times New Roman" w:cs="Times New Roman"/>
                <w:b/>
                <w:bCs w:val="0"/>
                <w:color w:val="auto"/>
                <w:szCs w:val="21"/>
                <w:lang w:val="en-US" w:eastAsia="zh-CN"/>
              </w:rPr>
            </w:pPr>
            <w:r>
              <w:rPr>
                <w:rFonts w:hint="default" w:ascii="Times New Roman" w:hAnsi="Times New Roman" w:cs="Times New Roman"/>
                <w:b/>
                <w:bCs w:val="0"/>
                <w:color w:val="auto"/>
                <w:szCs w:val="21"/>
                <w:lang w:val="en-US" w:eastAsia="zh-CN"/>
              </w:rPr>
              <w:t>3、其他产业政策符合性分析</w:t>
            </w:r>
          </w:p>
          <w:p w14:paraId="54B52C36">
            <w:pPr>
              <w:pStyle w:val="77"/>
              <w:snapToGrid/>
              <w:ind w:firstLine="411" w:firstLineChars="196"/>
              <w:rPr>
                <w:rFonts w:hint="default" w:ascii="Times New Roman" w:hAnsi="Times New Roman" w:cs="Times New Roman"/>
                <w:b w:val="0"/>
                <w:color w:val="auto"/>
                <w:kern w:val="0"/>
                <w:szCs w:val="21"/>
                <w:lang w:val="en-US" w:eastAsia="zh-CN"/>
              </w:rPr>
            </w:pPr>
            <w:r>
              <w:rPr>
                <w:rFonts w:hint="eastAsia" w:ascii="Times New Roman" w:hAnsi="Times New Roman" w:cs="Times New Roman"/>
                <w:b w:val="0"/>
                <w:bCs/>
                <w:color w:val="auto"/>
                <w:szCs w:val="21"/>
                <w:lang w:val="en-US" w:eastAsia="zh-CN"/>
              </w:rPr>
              <w:t>3.1本项目沥青混凝土生产线中设置的骨料干燥筒，配套燃烧器燃用轻质柴油燃料，干燥系统属于工业炉窑。</w:t>
            </w:r>
            <w:r>
              <w:rPr>
                <w:rFonts w:hint="default" w:ascii="Times New Roman" w:hAnsi="Times New Roman" w:cs="Times New Roman"/>
                <w:b w:val="0"/>
                <w:bCs/>
                <w:color w:val="auto"/>
                <w:szCs w:val="21"/>
                <w:lang w:val="en-US" w:eastAsia="zh-CN"/>
              </w:rPr>
              <w:t>为贯彻落实《工业炉窑大气污染物综合治理方案》（环大气[2019]56号）。山西省发布了《山西省工业炉窑大气污染综合治理方案》（晋环大气[2019]164号）</w:t>
            </w:r>
            <w:r>
              <w:rPr>
                <w:rFonts w:hint="default" w:ascii="Times New Roman" w:hAnsi="Times New Roman" w:cs="Times New Roman"/>
                <w:b w:val="0"/>
                <w:color w:val="auto"/>
                <w:kern w:val="0"/>
                <w:szCs w:val="21"/>
                <w:lang w:eastAsia="zh-CN"/>
              </w:rPr>
              <w:t>，</w:t>
            </w:r>
            <w:r>
              <w:rPr>
                <w:rFonts w:hint="default" w:ascii="Times New Roman" w:hAnsi="Times New Roman" w:cs="Times New Roman"/>
                <w:b w:val="0"/>
                <w:color w:val="auto"/>
                <w:kern w:val="0"/>
                <w:szCs w:val="21"/>
                <w:lang w:val="en-US" w:eastAsia="zh-CN"/>
              </w:rPr>
              <w:t>本项目与方案符合性分析内容如下表所示。</w:t>
            </w:r>
          </w:p>
          <w:p w14:paraId="53BC3BBA">
            <w:pPr>
              <w:pStyle w:val="136"/>
              <w:spacing w:line="240" w:lineRule="exact"/>
              <w:ind w:firstLine="0" w:firstLineChars="0"/>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表1-</w:t>
            </w:r>
            <w:r>
              <w:rPr>
                <w:rFonts w:hint="eastAsia" w:cs="Times New Roman"/>
                <w:b/>
                <w:bCs/>
                <w:color w:val="auto"/>
                <w:sz w:val="18"/>
                <w:szCs w:val="18"/>
                <w:lang w:val="en-US" w:eastAsia="zh-CN"/>
              </w:rPr>
              <w:t>3</w:t>
            </w:r>
            <w:r>
              <w:rPr>
                <w:rFonts w:hint="default" w:ascii="Times New Roman" w:hAnsi="Times New Roman" w:cs="Times New Roman"/>
                <w:b/>
                <w:bCs/>
                <w:color w:val="auto"/>
                <w:sz w:val="18"/>
                <w:szCs w:val="18"/>
              </w:rPr>
              <w:t xml:space="preserve">  与</w:t>
            </w:r>
            <w:r>
              <w:rPr>
                <w:rFonts w:hint="default" w:ascii="Times New Roman" w:hAnsi="Times New Roman" w:cs="Times New Roman"/>
                <w:b/>
                <w:bCs/>
                <w:color w:val="auto"/>
                <w:sz w:val="18"/>
                <w:szCs w:val="18"/>
                <w:lang w:val="en-US" w:eastAsia="zh-CN"/>
              </w:rPr>
              <w:t>《山西省工业炉窑大气污染综合治理方案》</w:t>
            </w:r>
            <w:r>
              <w:rPr>
                <w:rFonts w:hint="default" w:ascii="Times New Roman" w:hAnsi="Times New Roman" w:cs="Times New Roman"/>
                <w:b/>
                <w:bCs/>
                <w:color w:val="auto"/>
                <w:sz w:val="18"/>
                <w:szCs w:val="18"/>
              </w:rPr>
              <w:t>符合性分析表</w:t>
            </w:r>
          </w:p>
          <w:tbl>
            <w:tblPr>
              <w:tblStyle w:val="47"/>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3982"/>
              <w:gridCol w:w="2318"/>
              <w:gridCol w:w="396"/>
            </w:tblGrid>
            <w:tr w14:paraId="447CBD5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138" w:type="dxa"/>
                  <w:vAlign w:val="center"/>
                </w:tcPr>
                <w:p w14:paraId="5C3716B4">
                  <w:pPr>
                    <w:autoSpaceDE w:val="0"/>
                    <w:autoSpaceDN w:val="0"/>
                    <w:adjustRightInd w:val="0"/>
                    <w:snapToGrid w:val="0"/>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重点治理任务</w:t>
                  </w:r>
                </w:p>
              </w:tc>
              <w:tc>
                <w:tcPr>
                  <w:tcW w:w="2376" w:type="dxa"/>
                  <w:vAlign w:val="center"/>
                </w:tcPr>
                <w:p w14:paraId="071E7E27">
                  <w:pPr>
                    <w:autoSpaceDE w:val="0"/>
                    <w:autoSpaceDN w:val="0"/>
                    <w:adjustRightInd w:val="0"/>
                    <w:snapToGrid w:val="0"/>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本项目情况</w:t>
                  </w:r>
                </w:p>
              </w:tc>
              <w:tc>
                <w:tcPr>
                  <w:tcW w:w="0" w:type="auto"/>
                  <w:vAlign w:val="center"/>
                </w:tcPr>
                <w:p w14:paraId="5A68C55A">
                  <w:pPr>
                    <w:autoSpaceDE w:val="0"/>
                    <w:autoSpaceDN w:val="0"/>
                    <w:adjustRightInd w:val="0"/>
                    <w:snapToGrid w:val="0"/>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符合性分析</w:t>
                  </w:r>
                </w:p>
              </w:tc>
            </w:tr>
            <w:tr w14:paraId="5A8F16A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138" w:type="dxa"/>
                  <w:vAlign w:val="center"/>
                </w:tcPr>
                <w:p w14:paraId="74B75F93">
                  <w:pPr>
                    <w:keepNext w:val="0"/>
                    <w:keepLines w:val="0"/>
                    <w:pageBreakBefore w:val="0"/>
                    <w:widowControl w:val="0"/>
                    <w:kinsoku/>
                    <w:wordWrap/>
                    <w:overflowPunct/>
                    <w:topLinePunct w:val="0"/>
                    <w:autoSpaceDE w:val="0"/>
                    <w:autoSpaceDN w:val="0"/>
                    <w:bidi w:val="0"/>
                    <w:adjustRightInd w:val="0"/>
                    <w:snapToGrid w:val="0"/>
                    <w:ind w:firstLine="360" w:firstLineChars="200"/>
                    <w:jc w:val="left"/>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严格建设项目环境准入。新建涉工业炉窑的建设项目，原则上要入园区，并符合园区规划环境影响评价要求，配套建设高效环保治理措施。落实国家和我省相关产业政策及产能置换办法。重点区域严格控制涉工业炉窑建设项目，严禁新增钢铁、焦化、铸造、水泥、平板玻璃等产能。全省禁止新建燃料类煤气发生炉（园区现有企业统一建设的清洁煤制气中心除外）。</w:t>
                  </w:r>
                </w:p>
              </w:tc>
              <w:tc>
                <w:tcPr>
                  <w:tcW w:w="2376" w:type="dxa"/>
                  <w:vAlign w:val="center"/>
                </w:tcPr>
                <w:p w14:paraId="41B84FAF">
                  <w:pPr>
                    <w:keepNext w:val="0"/>
                    <w:keepLines w:val="0"/>
                    <w:pageBreakBefore w:val="0"/>
                    <w:widowControl w:val="0"/>
                    <w:kinsoku/>
                    <w:wordWrap/>
                    <w:overflowPunct/>
                    <w:topLinePunct w:val="0"/>
                    <w:autoSpaceDE w:val="0"/>
                    <w:autoSpaceDN w:val="0"/>
                    <w:bidi w:val="0"/>
                    <w:adjustRightInd w:val="0"/>
                    <w:snapToGrid w:val="0"/>
                    <w:ind w:firstLine="360" w:firstLineChars="200"/>
                    <w:jc w:val="left"/>
                    <w:textAlignment w:val="auto"/>
                    <w:rPr>
                      <w:rFonts w:hint="default" w:ascii="Times New Roman" w:hAnsi="Times New Roman"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本项目运营期设置有</w:t>
                  </w:r>
                  <w:r>
                    <w:rPr>
                      <w:rFonts w:hint="eastAsia" w:cs="Times New Roman"/>
                      <w:color w:val="auto"/>
                      <w:kern w:val="0"/>
                      <w:sz w:val="18"/>
                      <w:szCs w:val="18"/>
                      <w:lang w:val="en-US" w:eastAsia="zh-CN"/>
                    </w:rPr>
                    <w:t>骨料干燥筒，配套燃烧器燃用轻质柴油</w:t>
                  </w:r>
                  <w:r>
                    <w:rPr>
                      <w:rFonts w:hint="default" w:ascii="Times New Roman" w:hAnsi="Times New Roman" w:cs="Times New Roman"/>
                      <w:color w:val="auto"/>
                      <w:kern w:val="0"/>
                      <w:sz w:val="18"/>
                      <w:szCs w:val="18"/>
                      <w:lang w:val="en-US" w:eastAsia="zh-CN"/>
                    </w:rPr>
                    <w:t>，</w:t>
                  </w:r>
                  <w:r>
                    <w:rPr>
                      <w:rFonts w:hint="eastAsia" w:cs="Times New Roman"/>
                      <w:color w:val="auto"/>
                      <w:kern w:val="0"/>
                      <w:sz w:val="18"/>
                      <w:szCs w:val="18"/>
                      <w:lang w:val="en-US" w:eastAsia="zh-CN"/>
                    </w:rPr>
                    <w:t>不使用煤气发生炉</w:t>
                  </w:r>
                  <w:r>
                    <w:rPr>
                      <w:rFonts w:hint="default" w:ascii="Times New Roman" w:hAnsi="Times New Roman" w:cs="Times New Roman"/>
                      <w:color w:val="auto"/>
                      <w:kern w:val="0"/>
                      <w:sz w:val="18"/>
                      <w:szCs w:val="18"/>
                      <w:lang w:val="en-US" w:eastAsia="zh-CN"/>
                    </w:rPr>
                    <w:t>。不属于《方案》中的重点区域以及钢铁、焦化、铸造、水泥、平板玻璃行业。</w:t>
                  </w:r>
                </w:p>
                <w:p w14:paraId="17C03BEF">
                  <w:pPr>
                    <w:keepNext w:val="0"/>
                    <w:keepLines w:val="0"/>
                    <w:pageBreakBefore w:val="0"/>
                    <w:widowControl w:val="0"/>
                    <w:kinsoku/>
                    <w:wordWrap/>
                    <w:overflowPunct/>
                    <w:topLinePunct w:val="0"/>
                    <w:autoSpaceDE w:val="0"/>
                    <w:autoSpaceDN w:val="0"/>
                    <w:bidi w:val="0"/>
                    <w:adjustRightInd w:val="0"/>
                    <w:snapToGrid w:val="0"/>
                    <w:ind w:firstLine="360" w:firstLineChars="200"/>
                    <w:jc w:val="left"/>
                    <w:textAlignment w:val="auto"/>
                    <w:rPr>
                      <w:rFonts w:hint="default" w:ascii="Times New Roman" w:hAnsi="Times New Roman" w:cs="Times New Roman"/>
                      <w:color w:val="auto"/>
                      <w:kern w:val="0"/>
                      <w:sz w:val="18"/>
                      <w:szCs w:val="18"/>
                      <w:lang w:val="en-US" w:eastAsia="zh-CN"/>
                    </w:rPr>
                  </w:pPr>
                  <w:r>
                    <w:rPr>
                      <w:rFonts w:hint="eastAsia" w:cs="Times New Roman"/>
                      <w:color w:val="auto"/>
                      <w:kern w:val="0"/>
                      <w:sz w:val="18"/>
                      <w:szCs w:val="18"/>
                      <w:lang w:val="en-US" w:eastAsia="zh-CN"/>
                    </w:rPr>
                    <w:t>本项目属于“未批先建”类项目，目前已建成混凝土生产线，项目占地不属于工业园区范围内</w:t>
                  </w:r>
                  <w:r>
                    <w:rPr>
                      <w:rFonts w:hint="default" w:ascii="Times New Roman" w:hAnsi="Times New Roman" w:cs="Times New Roman"/>
                      <w:color w:val="auto"/>
                      <w:kern w:val="0"/>
                      <w:sz w:val="18"/>
                      <w:szCs w:val="18"/>
                      <w:lang w:val="en-US" w:eastAsia="zh-CN"/>
                    </w:rPr>
                    <w:t>。</w:t>
                  </w:r>
                  <w:r>
                    <w:rPr>
                      <w:rFonts w:hint="eastAsia" w:cs="Times New Roman"/>
                      <w:color w:val="auto"/>
                      <w:kern w:val="0"/>
                      <w:sz w:val="18"/>
                      <w:szCs w:val="18"/>
                      <w:lang w:val="en-US" w:eastAsia="zh-CN"/>
                    </w:rPr>
                    <w:t>本项目主要服务范围为玉泉镇及周边10km范围内的施工现场，考虑原材料以及成品运输距离以及保障工程施工进度等因素，未入驻附近工业园区。</w:t>
                  </w:r>
                </w:p>
              </w:tc>
              <w:tc>
                <w:tcPr>
                  <w:tcW w:w="0" w:type="auto"/>
                  <w:vAlign w:val="center"/>
                </w:tcPr>
                <w:p w14:paraId="7B0F1C48">
                  <w:pPr>
                    <w:autoSpaceDE w:val="0"/>
                    <w:autoSpaceDN w:val="0"/>
                    <w:adjustRightInd w:val="0"/>
                    <w:snapToGrid w:val="0"/>
                    <w:jc w:val="center"/>
                    <w:rPr>
                      <w:rFonts w:hint="default" w:ascii="Times New Roman" w:hAnsi="Times New Roman" w:eastAsia="宋体" w:cs="Times New Roman"/>
                      <w:color w:val="auto"/>
                      <w:kern w:val="0"/>
                      <w:sz w:val="18"/>
                      <w:szCs w:val="18"/>
                      <w:lang w:val="en-US" w:eastAsia="zh-CN"/>
                    </w:rPr>
                  </w:pPr>
                  <w:r>
                    <w:rPr>
                      <w:rFonts w:hint="eastAsia" w:cs="Times New Roman"/>
                      <w:color w:val="auto"/>
                      <w:kern w:val="0"/>
                      <w:sz w:val="18"/>
                      <w:szCs w:val="18"/>
                      <w:lang w:val="en-US" w:eastAsia="zh-CN"/>
                    </w:rPr>
                    <w:t>不违背</w:t>
                  </w:r>
                </w:p>
              </w:tc>
            </w:tr>
            <w:tr w14:paraId="231F36C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138" w:type="dxa"/>
                  <w:vAlign w:val="center"/>
                </w:tcPr>
                <w:p w14:paraId="69584449">
                  <w:pPr>
                    <w:keepNext w:val="0"/>
                    <w:keepLines w:val="0"/>
                    <w:pageBreakBefore w:val="0"/>
                    <w:widowControl w:val="0"/>
                    <w:kinsoku/>
                    <w:wordWrap/>
                    <w:overflowPunct/>
                    <w:topLinePunct w:val="0"/>
                    <w:autoSpaceDE w:val="0"/>
                    <w:autoSpaceDN w:val="0"/>
                    <w:bidi w:val="0"/>
                    <w:adjustRightInd w:val="0"/>
                    <w:snapToGrid w:val="0"/>
                    <w:ind w:firstLine="360" w:firstLineChars="200"/>
                    <w:jc w:val="left"/>
                    <w:textAlignment w:val="auto"/>
                    <w:rPr>
                      <w:rFonts w:hint="default" w:ascii="Times New Roman" w:hAnsi="Times New Roman"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加大过剩产能和不达标工业炉窑淘汰力度。全面清理《产业结构调整指导目录》淘汰类工业炉窑，加快推进限制类工业炉窑升级改造。落实《山西省焦化行业压减过剩产能打好污染防治攻坚战行动方案》，加快炭化室高度4.3米及以下且运行寿面超过10年的焦炉淘汰步伐。对热效率地下、敞开未封闭，装备简易落后、自动化程度低、无组织排放突出，以及无治理设施或治理设施工艺落后等严重污染环境的工业炉窑，依法责令停业关闭。</w:t>
                  </w:r>
                </w:p>
              </w:tc>
              <w:tc>
                <w:tcPr>
                  <w:tcW w:w="2376" w:type="dxa"/>
                  <w:vAlign w:val="center"/>
                </w:tcPr>
                <w:p w14:paraId="5B2A843C">
                  <w:pPr>
                    <w:keepNext w:val="0"/>
                    <w:keepLines w:val="0"/>
                    <w:pageBreakBefore w:val="0"/>
                    <w:widowControl w:val="0"/>
                    <w:kinsoku/>
                    <w:wordWrap/>
                    <w:overflowPunct/>
                    <w:topLinePunct w:val="0"/>
                    <w:autoSpaceDE w:val="0"/>
                    <w:autoSpaceDN w:val="0"/>
                    <w:bidi w:val="0"/>
                    <w:adjustRightInd w:val="0"/>
                    <w:snapToGrid w:val="0"/>
                    <w:ind w:firstLine="360" w:firstLineChars="200"/>
                    <w:jc w:val="left"/>
                    <w:textAlignment w:val="auto"/>
                    <w:rPr>
                      <w:rFonts w:hint="default" w:ascii="Times New Roman" w:hAnsi="Times New Roman"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本项目设置</w:t>
                  </w:r>
                  <w:r>
                    <w:rPr>
                      <w:rFonts w:hint="eastAsia" w:cs="Times New Roman"/>
                      <w:color w:val="auto"/>
                      <w:kern w:val="0"/>
                      <w:sz w:val="18"/>
                      <w:szCs w:val="18"/>
                      <w:lang w:val="en-US" w:eastAsia="zh-CN"/>
                    </w:rPr>
                    <w:t>的干燥筒系统不属于</w:t>
                  </w:r>
                  <w:r>
                    <w:rPr>
                      <w:rFonts w:hint="default" w:ascii="Times New Roman" w:hAnsi="Times New Roman" w:cs="Times New Roman"/>
                      <w:color w:val="auto"/>
                      <w:kern w:val="0"/>
                      <w:sz w:val="18"/>
                      <w:szCs w:val="18"/>
                      <w:lang w:val="en-US" w:eastAsia="zh-CN"/>
                    </w:rPr>
                    <w:t>《产业结构调整指导目录》</w:t>
                  </w:r>
                  <w:r>
                    <w:rPr>
                      <w:rFonts w:hint="eastAsia" w:cs="Times New Roman"/>
                      <w:color w:val="auto"/>
                      <w:kern w:val="0"/>
                      <w:sz w:val="18"/>
                      <w:szCs w:val="18"/>
                      <w:lang w:val="en-US" w:eastAsia="zh-CN"/>
                    </w:rPr>
                    <w:t>（2024年）限制类、淘汰类</w:t>
                  </w:r>
                  <w:r>
                    <w:rPr>
                      <w:rFonts w:hint="default" w:ascii="Times New Roman" w:hAnsi="Times New Roman" w:cs="Times New Roman"/>
                      <w:color w:val="auto"/>
                      <w:kern w:val="0"/>
                      <w:sz w:val="18"/>
                      <w:szCs w:val="18"/>
                      <w:lang w:val="en-US" w:eastAsia="zh-CN"/>
                    </w:rPr>
                    <w:t>。</w:t>
                  </w:r>
                  <w:r>
                    <w:rPr>
                      <w:rFonts w:hint="eastAsia" w:cs="Times New Roman"/>
                      <w:color w:val="auto"/>
                      <w:kern w:val="0"/>
                      <w:sz w:val="18"/>
                      <w:szCs w:val="18"/>
                      <w:lang w:val="en-US" w:eastAsia="zh-CN"/>
                    </w:rPr>
                    <w:t>设备为全封闭设施，自动化运行，燃烧器燃料为轻质柴油，配套废气处理设施为布袋除尘器，经处理后的烟气可达标排放。</w:t>
                  </w:r>
                </w:p>
              </w:tc>
              <w:tc>
                <w:tcPr>
                  <w:tcW w:w="0" w:type="auto"/>
                  <w:vAlign w:val="center"/>
                </w:tcPr>
                <w:p w14:paraId="564C8392">
                  <w:pPr>
                    <w:autoSpaceDE w:val="0"/>
                    <w:autoSpaceDN w:val="0"/>
                    <w:adjustRightInd w:val="0"/>
                    <w:snapToGrid w:val="0"/>
                    <w:jc w:val="center"/>
                    <w:rPr>
                      <w:rFonts w:hint="default" w:ascii="Times New Roman" w:hAnsi="Times New Roman"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符合</w:t>
                  </w:r>
                </w:p>
              </w:tc>
            </w:tr>
            <w:tr w14:paraId="2EB132A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138" w:type="dxa"/>
                  <w:vAlign w:val="center"/>
                </w:tcPr>
                <w:p w14:paraId="6E76B167">
                  <w:pPr>
                    <w:keepNext w:val="0"/>
                    <w:keepLines w:val="0"/>
                    <w:pageBreakBefore w:val="0"/>
                    <w:widowControl w:val="0"/>
                    <w:kinsoku/>
                    <w:wordWrap/>
                    <w:overflowPunct/>
                    <w:topLinePunct w:val="0"/>
                    <w:autoSpaceDE w:val="0"/>
                    <w:autoSpaceDN w:val="0"/>
                    <w:bidi w:val="0"/>
                    <w:adjustRightInd w:val="0"/>
                    <w:snapToGrid w:val="0"/>
                    <w:ind w:firstLine="360" w:firstLineChars="200"/>
                    <w:jc w:val="left"/>
                    <w:textAlignment w:val="auto"/>
                    <w:rPr>
                      <w:rFonts w:hint="default" w:ascii="Times New Roman" w:hAnsi="Times New Roman" w:cs="Times New Roman"/>
                      <w:color w:val="auto"/>
                      <w:kern w:val="0"/>
                      <w:sz w:val="18"/>
                      <w:szCs w:val="18"/>
                      <w:lang w:val="en-US" w:eastAsia="zh-CN"/>
                    </w:rPr>
                  </w:pPr>
                  <w:r>
                    <w:rPr>
                      <w:rFonts w:hint="default" w:ascii="Times New Roman" w:hAnsi="Times New Roman" w:cs="Times New Roman"/>
                      <w:color w:val="auto"/>
                      <w:sz w:val="18"/>
                      <w:szCs w:val="18"/>
                    </w:rPr>
                    <w:t>推进工业炉窑全面达标排放。加大工业炉窑治理力度，配套建设高效脱硫脱硝除尘设施。已有行业排放标准的工业炉窑，严格执行行业排放标准特别排放限制及相关规定。暂未制定行业排放标准的工业炉窑，按照颗粒物、二氧化硫、氮氧化物排放限值分别不高于30、200、300毫克/立方米考核评价，其中，日用玻璃、玻璃棉氮氧化物排放限值不高于400毫克/立方米。各地有更严格管控要求的从严执行。</w:t>
                  </w:r>
                </w:p>
              </w:tc>
              <w:tc>
                <w:tcPr>
                  <w:tcW w:w="2376" w:type="dxa"/>
                  <w:vAlign w:val="center"/>
                </w:tcPr>
                <w:p w14:paraId="3A5A354B">
                  <w:pPr>
                    <w:keepNext w:val="0"/>
                    <w:keepLines w:val="0"/>
                    <w:pageBreakBefore w:val="0"/>
                    <w:widowControl w:val="0"/>
                    <w:kinsoku/>
                    <w:wordWrap/>
                    <w:overflowPunct/>
                    <w:topLinePunct w:val="0"/>
                    <w:autoSpaceDE w:val="0"/>
                    <w:autoSpaceDN w:val="0"/>
                    <w:bidi w:val="0"/>
                    <w:adjustRightInd w:val="0"/>
                    <w:snapToGrid w:val="0"/>
                    <w:ind w:firstLine="360" w:firstLineChars="200"/>
                    <w:jc w:val="left"/>
                    <w:textAlignment w:val="auto"/>
                    <w:rPr>
                      <w:rFonts w:hint="default" w:ascii="Times New Roman" w:hAnsi="Times New Roman"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本项目</w:t>
                  </w:r>
                  <w:r>
                    <w:rPr>
                      <w:rFonts w:hint="eastAsia" w:cs="Times New Roman"/>
                      <w:color w:val="auto"/>
                      <w:kern w:val="0"/>
                      <w:sz w:val="18"/>
                      <w:szCs w:val="18"/>
                      <w:lang w:val="en-US" w:eastAsia="zh-CN"/>
                    </w:rPr>
                    <w:t>骨料干燥筒系统废气经旋风除尘器+布袋除尘器处理后，排放的烟气污染物中</w:t>
                  </w:r>
                  <w:r>
                    <w:rPr>
                      <w:rFonts w:hint="default" w:ascii="Times New Roman" w:hAnsi="Times New Roman" w:cs="Times New Roman"/>
                      <w:color w:val="auto"/>
                      <w:sz w:val="18"/>
                      <w:szCs w:val="18"/>
                    </w:rPr>
                    <w:t>颗粒物、二氧化硫、氮氧化物排放限值分别</w:t>
                  </w:r>
                  <w:r>
                    <w:rPr>
                      <w:rFonts w:hint="eastAsia" w:cs="Times New Roman"/>
                      <w:color w:val="auto"/>
                      <w:sz w:val="18"/>
                      <w:szCs w:val="18"/>
                      <w:lang w:val="en-US" w:eastAsia="zh-CN"/>
                    </w:rPr>
                    <w:t>低</w:t>
                  </w:r>
                  <w:r>
                    <w:rPr>
                      <w:rFonts w:hint="default" w:ascii="Times New Roman" w:hAnsi="Times New Roman" w:cs="Times New Roman"/>
                      <w:color w:val="auto"/>
                      <w:sz w:val="18"/>
                      <w:szCs w:val="18"/>
                    </w:rPr>
                    <w:t>于30、200、300</w:t>
                  </w:r>
                  <w:r>
                    <w:rPr>
                      <w:rFonts w:hint="eastAsia" w:cs="Times New Roman"/>
                      <w:color w:val="auto"/>
                      <w:sz w:val="18"/>
                      <w:szCs w:val="18"/>
                      <w:lang w:val="en-US" w:eastAsia="zh-CN"/>
                    </w:rPr>
                    <w:t>mg</w:t>
                  </w:r>
                  <w:r>
                    <w:rPr>
                      <w:rFonts w:hint="default" w:ascii="Times New Roman" w:hAnsi="Times New Roman" w:cs="Times New Roman"/>
                      <w:color w:val="auto"/>
                      <w:sz w:val="18"/>
                      <w:szCs w:val="18"/>
                    </w:rPr>
                    <w:t>/</w:t>
                  </w:r>
                  <w:r>
                    <w:rPr>
                      <w:rFonts w:hint="eastAsia" w:cs="Times New Roman"/>
                      <w:color w:val="auto"/>
                      <w:sz w:val="18"/>
                      <w:szCs w:val="18"/>
                      <w:lang w:val="en-US" w:eastAsia="zh-CN"/>
                    </w:rPr>
                    <w:t>m</w:t>
                  </w:r>
                  <w:r>
                    <w:rPr>
                      <w:rFonts w:hint="eastAsia" w:cs="Times New Roman"/>
                      <w:color w:val="auto"/>
                      <w:sz w:val="18"/>
                      <w:szCs w:val="18"/>
                      <w:vertAlign w:val="superscript"/>
                      <w:lang w:val="en-US" w:eastAsia="zh-CN"/>
                    </w:rPr>
                    <w:t>3</w:t>
                  </w:r>
                  <w:r>
                    <w:rPr>
                      <w:rFonts w:hint="eastAsia" w:cs="Times New Roman"/>
                      <w:color w:val="auto"/>
                      <w:sz w:val="18"/>
                      <w:szCs w:val="18"/>
                      <w:vertAlign w:val="baseline"/>
                      <w:lang w:val="en-US" w:eastAsia="zh-CN"/>
                    </w:rPr>
                    <w:t>，可实现达标排放。</w:t>
                  </w:r>
                </w:p>
              </w:tc>
              <w:tc>
                <w:tcPr>
                  <w:tcW w:w="0" w:type="auto"/>
                  <w:vAlign w:val="center"/>
                </w:tcPr>
                <w:p w14:paraId="11356EF6">
                  <w:pPr>
                    <w:autoSpaceDE w:val="0"/>
                    <w:autoSpaceDN w:val="0"/>
                    <w:adjustRightInd w:val="0"/>
                    <w:snapToGrid w:val="0"/>
                    <w:jc w:val="center"/>
                    <w:rPr>
                      <w:rFonts w:hint="default" w:ascii="Times New Roman" w:hAnsi="Times New Roman"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符合</w:t>
                  </w:r>
                </w:p>
              </w:tc>
            </w:tr>
            <w:tr w14:paraId="3CCE3A1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138" w:type="dxa"/>
                  <w:vAlign w:val="center"/>
                </w:tcPr>
                <w:p w14:paraId="220DD41B">
                  <w:pPr>
                    <w:keepNext w:val="0"/>
                    <w:keepLines w:val="0"/>
                    <w:pageBreakBefore w:val="0"/>
                    <w:widowControl w:val="0"/>
                    <w:kinsoku/>
                    <w:wordWrap/>
                    <w:overflowPunct/>
                    <w:topLinePunct w:val="0"/>
                    <w:bidi w:val="0"/>
                    <w:ind w:firstLine="360" w:firstLineChars="200"/>
                    <w:jc w:val="left"/>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sz w:val="18"/>
                      <w:szCs w:val="18"/>
                    </w:rPr>
                    <w:t>全面加强颗粒物无组织排放管理。在保障生产安全的前提下，工业炉窑生产工艺过程及相关物料储存、输送等无组织排放环节采取密闭、封闭等有效措施，有效提高废气收集率，产尘点及车间不得有可见烟粉尘外逸。生产工艺产尘点（装置）应采取密闭、封闭或设置集气罩等措施。煤粉、粉煤灰、石灰、除尘灰、脱硫灰等粉状物料应密闭或封闭储存，采用密闭皮带、封闭通廊、管状带式输送机或密闭车厢、真空管车、气力输送等方式输送。粒状、块状物料应采用入棚入仓或建设防风抑尘网等方式进行储存，粒状物料采用密闭、封闭等方式输送。物料输送过程中产尘点应采取有效抑尘措施</w:t>
                  </w:r>
                  <w:r>
                    <w:rPr>
                      <w:rFonts w:hint="default" w:ascii="Times New Roman" w:hAnsi="Times New Roman" w:cs="Times New Roman"/>
                      <w:color w:val="auto"/>
                      <w:sz w:val="18"/>
                      <w:szCs w:val="18"/>
                      <w:lang w:eastAsia="zh-CN"/>
                    </w:rPr>
                    <w:t>。</w:t>
                  </w:r>
                </w:p>
              </w:tc>
              <w:tc>
                <w:tcPr>
                  <w:tcW w:w="2376" w:type="dxa"/>
                  <w:vAlign w:val="center"/>
                </w:tcPr>
                <w:p w14:paraId="7679B4BD">
                  <w:pPr>
                    <w:keepNext w:val="0"/>
                    <w:keepLines w:val="0"/>
                    <w:pageBreakBefore w:val="0"/>
                    <w:widowControl w:val="0"/>
                    <w:kinsoku/>
                    <w:wordWrap/>
                    <w:overflowPunct/>
                    <w:topLinePunct w:val="0"/>
                    <w:bidi w:val="0"/>
                    <w:ind w:firstLine="360" w:firstLineChars="200"/>
                    <w:jc w:val="left"/>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sz w:val="18"/>
                      <w:szCs w:val="18"/>
                    </w:rPr>
                    <w:t>本项目加强无组织排放管理，原料采用全密闭</w:t>
                  </w:r>
                  <w:r>
                    <w:rPr>
                      <w:rFonts w:hint="eastAsia" w:cs="Times New Roman"/>
                      <w:color w:val="auto"/>
                      <w:sz w:val="18"/>
                      <w:szCs w:val="18"/>
                      <w:lang w:val="en-US" w:eastAsia="zh-CN"/>
                    </w:rPr>
                    <w:t>储料库</w:t>
                  </w:r>
                  <w:r>
                    <w:rPr>
                      <w:rFonts w:hint="default" w:ascii="Times New Roman" w:hAnsi="Times New Roman" w:cs="Times New Roman"/>
                      <w:color w:val="auto"/>
                      <w:sz w:val="18"/>
                      <w:szCs w:val="18"/>
                    </w:rPr>
                    <w:t>储存，物料输送转载采用封闭式皮带、</w:t>
                  </w:r>
                  <w:r>
                    <w:rPr>
                      <w:rFonts w:hint="default" w:ascii="Times New Roman" w:hAnsi="Times New Roman" w:cs="Times New Roman"/>
                      <w:color w:val="auto"/>
                      <w:sz w:val="18"/>
                      <w:szCs w:val="18"/>
                      <w:lang w:val="en-US" w:eastAsia="zh-CN"/>
                    </w:rPr>
                    <w:t>封闭上料设施</w:t>
                  </w:r>
                  <w:r>
                    <w:rPr>
                      <w:rFonts w:hint="default" w:ascii="Times New Roman" w:hAnsi="Times New Roman" w:cs="Times New Roman"/>
                      <w:color w:val="auto"/>
                      <w:sz w:val="18"/>
                      <w:szCs w:val="18"/>
                    </w:rPr>
                    <w:t>等，各主要产尘点均布置了废气收集及除尘装置，以减少粉尘无组织排放</w:t>
                  </w:r>
                  <w:r>
                    <w:rPr>
                      <w:rFonts w:hint="default" w:ascii="Times New Roman" w:hAnsi="Times New Roman" w:cs="Times New Roman"/>
                      <w:color w:val="auto"/>
                      <w:sz w:val="18"/>
                      <w:szCs w:val="18"/>
                      <w:lang w:eastAsia="zh-CN"/>
                    </w:rPr>
                    <w:t>。</w:t>
                  </w:r>
                </w:p>
              </w:tc>
              <w:tc>
                <w:tcPr>
                  <w:tcW w:w="0" w:type="auto"/>
                  <w:vAlign w:val="center"/>
                </w:tcPr>
                <w:p w14:paraId="171D91CD">
                  <w:pPr>
                    <w:autoSpaceDE w:val="0"/>
                    <w:autoSpaceDN w:val="0"/>
                    <w:adjustRightInd w:val="0"/>
                    <w:snapToGrid w:val="0"/>
                    <w:jc w:val="center"/>
                    <w:rPr>
                      <w:rFonts w:hint="default" w:ascii="Times New Roman" w:hAnsi="Times New Roman" w:cs="Times New Roman"/>
                      <w:color w:val="auto"/>
                      <w:kern w:val="0"/>
                      <w:sz w:val="18"/>
                      <w:szCs w:val="18"/>
                      <w:lang w:val="en-US" w:eastAsia="zh-CN"/>
                    </w:rPr>
                  </w:pPr>
                </w:p>
              </w:tc>
            </w:tr>
            <w:tr w14:paraId="19B05D8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138" w:type="dxa"/>
                  <w:vAlign w:val="center"/>
                </w:tcPr>
                <w:p w14:paraId="13757FBF">
                  <w:pPr>
                    <w:keepNext w:val="0"/>
                    <w:keepLines w:val="0"/>
                    <w:pageBreakBefore w:val="0"/>
                    <w:widowControl w:val="0"/>
                    <w:kinsoku/>
                    <w:wordWrap/>
                    <w:overflowPunct/>
                    <w:topLinePunct w:val="0"/>
                    <w:autoSpaceDE w:val="0"/>
                    <w:autoSpaceDN w:val="0"/>
                    <w:bidi w:val="0"/>
                    <w:adjustRightInd w:val="0"/>
                    <w:snapToGrid w:val="0"/>
                    <w:ind w:firstLine="360" w:firstLineChars="200"/>
                    <w:jc w:val="left"/>
                    <w:textAlignment w:val="auto"/>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sz w:val="18"/>
                      <w:szCs w:val="18"/>
                    </w:rPr>
                    <w:t>各市要加大涉工业炉窑类工业园区和产业集群的综合整治力度，结合“三线一单”（生态保护红线、环境质量底线、资源利用上线和生态环境准入清单）、规划环评等要求，进一步梳理确定园区和产业发展定位、规模及结构等。制定综合整治方案，对标先进企业，从生产工艺、产能规模、燃料类型、污染治理等方面提出明确要求，提升产业发展质量和环保治理水平。按照统一标准、统一时间表的要求，同步推进区域环境综合整治和企业升级改造，加强工业园区能源替代利用与资源共享，积极推广集中供气供热或建设清洁低碳能源中心等，替代工业炉窑燃料用煤；充分利用园区内工厂余热、焦炉煤气等清洁低碳能源，加强分质与梯级利用，提高能源利用效率，促进形成清洁低碳高效产业链</w:t>
                  </w:r>
                  <w:r>
                    <w:rPr>
                      <w:rFonts w:hint="default" w:ascii="Times New Roman" w:hAnsi="Times New Roman" w:cs="Times New Roman"/>
                      <w:color w:val="auto"/>
                      <w:sz w:val="18"/>
                      <w:szCs w:val="18"/>
                      <w:lang w:eastAsia="zh-CN"/>
                    </w:rPr>
                    <w:t>。</w:t>
                  </w:r>
                </w:p>
              </w:tc>
              <w:tc>
                <w:tcPr>
                  <w:tcW w:w="2376" w:type="dxa"/>
                  <w:vAlign w:val="center"/>
                </w:tcPr>
                <w:p w14:paraId="442A2712">
                  <w:pPr>
                    <w:keepNext w:val="0"/>
                    <w:keepLines w:val="0"/>
                    <w:pageBreakBefore w:val="0"/>
                    <w:widowControl w:val="0"/>
                    <w:kinsoku/>
                    <w:wordWrap/>
                    <w:overflowPunct/>
                    <w:topLinePunct w:val="0"/>
                    <w:autoSpaceDE w:val="0"/>
                    <w:autoSpaceDN w:val="0"/>
                    <w:bidi w:val="0"/>
                    <w:adjustRightInd w:val="0"/>
                    <w:snapToGrid w:val="0"/>
                    <w:ind w:firstLine="360" w:firstLineChars="200"/>
                    <w:jc w:val="left"/>
                    <w:textAlignment w:val="auto"/>
                    <w:rPr>
                      <w:rFonts w:hint="default" w:ascii="Times New Roman" w:hAnsi="Times New Roman"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本项目运营期不使用煤炭、重油等燃料，主要</w:t>
                  </w:r>
                  <w:r>
                    <w:rPr>
                      <w:rFonts w:hint="eastAsia" w:cs="Times New Roman"/>
                      <w:color w:val="auto"/>
                      <w:kern w:val="0"/>
                      <w:sz w:val="18"/>
                      <w:szCs w:val="18"/>
                      <w:lang w:val="en-US" w:eastAsia="zh-CN"/>
                    </w:rPr>
                    <w:t>燃料</w:t>
                  </w:r>
                  <w:r>
                    <w:rPr>
                      <w:rFonts w:hint="default" w:ascii="Times New Roman" w:hAnsi="Times New Roman" w:cs="Times New Roman"/>
                      <w:color w:val="auto"/>
                      <w:kern w:val="0"/>
                      <w:sz w:val="18"/>
                      <w:szCs w:val="18"/>
                      <w:lang w:val="en-US" w:eastAsia="zh-CN"/>
                    </w:rPr>
                    <w:t>为</w:t>
                  </w:r>
                  <w:r>
                    <w:rPr>
                      <w:rFonts w:hint="eastAsia" w:cs="Times New Roman"/>
                      <w:color w:val="auto"/>
                      <w:kern w:val="0"/>
                      <w:sz w:val="18"/>
                      <w:szCs w:val="18"/>
                      <w:lang w:val="en-US" w:eastAsia="zh-CN"/>
                    </w:rPr>
                    <w:t>轻质柴油</w:t>
                  </w:r>
                  <w:r>
                    <w:rPr>
                      <w:rFonts w:hint="default" w:ascii="Times New Roman" w:hAnsi="Times New Roman" w:cs="Times New Roman"/>
                      <w:color w:val="auto"/>
                      <w:kern w:val="0"/>
                      <w:sz w:val="18"/>
                      <w:szCs w:val="18"/>
                      <w:lang w:val="en-US" w:eastAsia="zh-CN"/>
                    </w:rPr>
                    <w:t>。</w:t>
                  </w:r>
                </w:p>
              </w:tc>
              <w:tc>
                <w:tcPr>
                  <w:tcW w:w="0" w:type="auto"/>
                  <w:vAlign w:val="center"/>
                </w:tcPr>
                <w:p w14:paraId="48485F07">
                  <w:pPr>
                    <w:autoSpaceDE w:val="0"/>
                    <w:autoSpaceDN w:val="0"/>
                    <w:adjustRightInd w:val="0"/>
                    <w:snapToGrid w:val="0"/>
                    <w:jc w:val="center"/>
                    <w:rPr>
                      <w:rFonts w:hint="default" w:ascii="Times New Roman" w:hAnsi="Times New Roman"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符合</w:t>
                  </w:r>
                </w:p>
              </w:tc>
            </w:tr>
          </w:tbl>
          <w:p w14:paraId="2A513E04">
            <w:pPr>
              <w:pStyle w:val="77"/>
              <w:snapToGrid/>
              <w:ind w:firstLine="420"/>
              <w:rPr>
                <w:rFonts w:hint="default" w:ascii="Times New Roman" w:hAnsi="Times New Roman" w:cs="Times New Roman"/>
                <w:b w:val="0"/>
                <w:color w:val="auto"/>
                <w:kern w:val="0"/>
                <w:szCs w:val="21"/>
                <w:lang w:val="en-US" w:eastAsia="zh-CN"/>
              </w:rPr>
            </w:pPr>
            <w:r>
              <w:rPr>
                <w:rFonts w:hint="default" w:ascii="Times New Roman" w:hAnsi="Times New Roman" w:cs="Times New Roman"/>
                <w:b w:val="0"/>
                <w:color w:val="auto"/>
                <w:kern w:val="0"/>
                <w:szCs w:val="21"/>
                <w:lang w:val="en-US" w:eastAsia="zh-CN"/>
              </w:rPr>
              <w:t>由上表可知，本项目的建设符合《山西省工业炉窑大气污染综合治理方案》（晋环大气[2019]164号）要求。</w:t>
            </w:r>
          </w:p>
          <w:p w14:paraId="6688F55F">
            <w:pPr>
              <w:pStyle w:val="77"/>
              <w:snapToGrid/>
              <w:ind w:firstLine="420"/>
              <w:rPr>
                <w:rFonts w:hint="default" w:ascii="Times New Roman" w:hAnsi="Times New Roman" w:cs="Times New Roman"/>
                <w:b w:val="0"/>
                <w:color w:val="auto"/>
                <w:kern w:val="0"/>
                <w:szCs w:val="21"/>
                <w:lang w:val="en-US" w:eastAsia="zh-CN"/>
              </w:rPr>
            </w:pPr>
            <w:r>
              <w:rPr>
                <w:rFonts w:hint="eastAsia" w:ascii="Times New Roman" w:hAnsi="Times New Roman" w:cs="Times New Roman"/>
                <w:b w:val="0"/>
                <w:color w:val="auto"/>
                <w:kern w:val="0"/>
                <w:szCs w:val="21"/>
                <w:lang w:val="en-US" w:eastAsia="zh-CN"/>
              </w:rPr>
              <w:t>3.2本项目导热油炉和骨料干燥系统燃用轻质柴油，燃料在储存以及大小呼吸过程会产生一定的有机废气；沥青在预处理以及沥青混凝土搅拌过程中会产生一定的废气，废气中包含一定的有机废气。</w:t>
            </w:r>
          </w:p>
          <w:p w14:paraId="2A7FF655">
            <w:pPr>
              <w:jc w:val="center"/>
              <w:rPr>
                <w:b/>
                <w:color w:val="auto"/>
                <w:sz w:val="18"/>
                <w:szCs w:val="18"/>
              </w:rPr>
            </w:pPr>
            <w:r>
              <w:rPr>
                <w:b/>
                <w:color w:val="auto"/>
                <w:sz w:val="18"/>
                <w:szCs w:val="18"/>
              </w:rPr>
              <w:t>表</w:t>
            </w:r>
            <w:r>
              <w:rPr>
                <w:rFonts w:hint="eastAsia"/>
                <w:b/>
                <w:color w:val="auto"/>
                <w:sz w:val="18"/>
                <w:szCs w:val="18"/>
              </w:rPr>
              <w:t>1</w:t>
            </w:r>
            <w:r>
              <w:rPr>
                <w:rFonts w:hint="eastAsia"/>
                <w:b/>
                <w:color w:val="auto"/>
                <w:sz w:val="18"/>
                <w:szCs w:val="18"/>
                <w:lang w:val="en-US" w:eastAsia="zh-CN"/>
              </w:rPr>
              <w:t>-4</w:t>
            </w:r>
            <w:r>
              <w:rPr>
                <w:rFonts w:hint="eastAsia"/>
                <w:b/>
                <w:color w:val="auto"/>
                <w:sz w:val="18"/>
                <w:szCs w:val="18"/>
              </w:rPr>
              <w:t xml:space="preserve">   </w:t>
            </w:r>
            <w:r>
              <w:rPr>
                <w:rFonts w:hint="eastAsia"/>
                <w:b/>
                <w:color w:val="auto"/>
                <w:sz w:val="18"/>
                <w:szCs w:val="18"/>
                <w:lang w:val="en-US" w:eastAsia="zh-CN"/>
              </w:rPr>
              <w:t>本项目</w:t>
            </w:r>
            <w:r>
              <w:rPr>
                <w:b/>
                <w:color w:val="auto"/>
                <w:sz w:val="18"/>
                <w:szCs w:val="18"/>
              </w:rPr>
              <w:t>与</w:t>
            </w:r>
            <w:r>
              <w:rPr>
                <w:rFonts w:hint="eastAsia"/>
                <w:b/>
                <w:color w:val="auto"/>
                <w:sz w:val="18"/>
                <w:szCs w:val="18"/>
              </w:rPr>
              <w:t>《挥发性有机物无组织排放控制标准》符合性</w:t>
            </w:r>
            <w:r>
              <w:rPr>
                <w:b/>
                <w:color w:val="auto"/>
                <w:sz w:val="18"/>
                <w:szCs w:val="18"/>
              </w:rPr>
              <w:t>分析</w:t>
            </w:r>
          </w:p>
          <w:tbl>
            <w:tblPr>
              <w:tblStyle w:val="47"/>
              <w:tblW w:w="4999"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00"/>
              <w:gridCol w:w="4174"/>
              <w:gridCol w:w="1725"/>
              <w:gridCol w:w="396"/>
            </w:tblGrid>
            <w:tr w14:paraId="643849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99" w:type="pct"/>
                  <w:vAlign w:val="center"/>
                </w:tcPr>
                <w:p w14:paraId="19D793EA">
                  <w:pPr>
                    <w:tabs>
                      <w:tab w:val="left" w:pos="1155"/>
                    </w:tabs>
                    <w:spacing w:line="240" w:lineRule="auto"/>
                    <w:ind w:firstLine="0" w:firstLineChars="0"/>
                    <w:rPr>
                      <w:sz w:val="18"/>
                      <w:szCs w:val="18"/>
                    </w:rPr>
                  </w:pPr>
                  <w:r>
                    <w:rPr>
                      <w:sz w:val="18"/>
                      <w:szCs w:val="18"/>
                    </w:rPr>
                    <w:t>序号</w:t>
                  </w:r>
                </w:p>
              </w:tc>
              <w:tc>
                <w:tcPr>
                  <w:tcW w:w="3116" w:type="pct"/>
                  <w:vAlign w:val="center"/>
                </w:tcPr>
                <w:p w14:paraId="49C98B4C">
                  <w:pPr>
                    <w:tabs>
                      <w:tab w:val="left" w:pos="1155"/>
                    </w:tabs>
                    <w:spacing w:line="240" w:lineRule="auto"/>
                    <w:ind w:firstLine="0" w:firstLineChars="0"/>
                    <w:jc w:val="center"/>
                    <w:rPr>
                      <w:sz w:val="18"/>
                      <w:szCs w:val="18"/>
                    </w:rPr>
                  </w:pPr>
                  <w:r>
                    <w:rPr>
                      <w:sz w:val="18"/>
                      <w:szCs w:val="18"/>
                    </w:rPr>
                    <w:t>方案</w:t>
                  </w:r>
                  <w:r>
                    <w:rPr>
                      <w:rFonts w:hint="eastAsia"/>
                      <w:sz w:val="18"/>
                      <w:szCs w:val="18"/>
                    </w:rPr>
                    <w:t>内容</w:t>
                  </w:r>
                </w:p>
              </w:tc>
              <w:tc>
                <w:tcPr>
                  <w:tcW w:w="1288" w:type="pct"/>
                  <w:vAlign w:val="center"/>
                </w:tcPr>
                <w:p w14:paraId="0C819E13">
                  <w:pPr>
                    <w:tabs>
                      <w:tab w:val="left" w:pos="1155"/>
                    </w:tabs>
                    <w:spacing w:line="240" w:lineRule="auto"/>
                    <w:ind w:firstLine="0" w:firstLineChars="0"/>
                    <w:jc w:val="center"/>
                    <w:rPr>
                      <w:sz w:val="18"/>
                      <w:szCs w:val="18"/>
                    </w:rPr>
                  </w:pPr>
                  <w:r>
                    <w:rPr>
                      <w:sz w:val="18"/>
                      <w:szCs w:val="18"/>
                    </w:rPr>
                    <w:t>本项目指标</w:t>
                  </w:r>
                </w:p>
              </w:tc>
              <w:tc>
                <w:tcPr>
                  <w:tcW w:w="295" w:type="pct"/>
                  <w:vAlign w:val="center"/>
                </w:tcPr>
                <w:p w14:paraId="752D1989">
                  <w:pPr>
                    <w:tabs>
                      <w:tab w:val="left" w:pos="1155"/>
                    </w:tabs>
                    <w:spacing w:line="240" w:lineRule="auto"/>
                    <w:ind w:firstLine="0" w:firstLineChars="0"/>
                    <w:jc w:val="center"/>
                    <w:rPr>
                      <w:sz w:val="18"/>
                      <w:szCs w:val="18"/>
                    </w:rPr>
                  </w:pPr>
                  <w:r>
                    <w:rPr>
                      <w:sz w:val="18"/>
                      <w:szCs w:val="18"/>
                    </w:rPr>
                    <w:t>符合性</w:t>
                  </w:r>
                </w:p>
              </w:tc>
            </w:tr>
            <w:tr w14:paraId="4B1109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54" w:hRule="atLeast"/>
              </w:trPr>
              <w:tc>
                <w:tcPr>
                  <w:tcW w:w="299" w:type="pct"/>
                  <w:vAlign w:val="center"/>
                </w:tcPr>
                <w:p w14:paraId="433CB3DF">
                  <w:pPr>
                    <w:tabs>
                      <w:tab w:val="left" w:pos="1155"/>
                    </w:tabs>
                    <w:spacing w:line="240" w:lineRule="auto"/>
                    <w:ind w:firstLine="0" w:firstLineChars="0"/>
                    <w:rPr>
                      <w:sz w:val="18"/>
                      <w:szCs w:val="18"/>
                    </w:rPr>
                  </w:pPr>
                  <w:r>
                    <w:rPr>
                      <w:sz w:val="18"/>
                      <w:szCs w:val="18"/>
                    </w:rPr>
                    <w:t>1</w:t>
                  </w:r>
                </w:p>
              </w:tc>
              <w:tc>
                <w:tcPr>
                  <w:tcW w:w="3116" w:type="pct"/>
                  <w:vAlign w:val="center"/>
                </w:tcPr>
                <w:p w14:paraId="3B0C1116">
                  <w:pPr>
                    <w:tabs>
                      <w:tab w:val="left" w:pos="1155"/>
                    </w:tabs>
                    <w:spacing w:line="240" w:lineRule="auto"/>
                    <w:ind w:firstLine="0" w:firstLineChars="0"/>
                    <w:jc w:val="left"/>
                    <w:rPr>
                      <w:sz w:val="18"/>
                      <w:szCs w:val="18"/>
                    </w:rPr>
                  </w:pPr>
                  <w:r>
                    <w:rPr>
                      <w:rFonts w:hint="eastAsia"/>
                      <w:sz w:val="18"/>
                      <w:szCs w:val="18"/>
                    </w:rPr>
                    <w:t>VOCs物料储存无组织排放控制要求：</w:t>
                  </w:r>
                </w:p>
                <w:p w14:paraId="5D7AF292">
                  <w:pPr>
                    <w:tabs>
                      <w:tab w:val="left" w:pos="1155"/>
                    </w:tabs>
                    <w:spacing w:line="240" w:lineRule="auto"/>
                    <w:ind w:firstLine="0" w:firstLineChars="0"/>
                    <w:jc w:val="left"/>
                    <w:rPr>
                      <w:sz w:val="18"/>
                      <w:szCs w:val="18"/>
                    </w:rPr>
                  </w:pPr>
                  <w:r>
                    <w:rPr>
                      <w:rFonts w:hint="eastAsia"/>
                      <w:sz w:val="18"/>
                      <w:szCs w:val="18"/>
                    </w:rPr>
                    <w:t>（1）VOCs物料应储存于密闭的容器、包装袋、储罐、储库、料仓中；</w:t>
                  </w:r>
                </w:p>
                <w:p w14:paraId="7B630402">
                  <w:pPr>
                    <w:tabs>
                      <w:tab w:val="left" w:pos="1155"/>
                    </w:tabs>
                    <w:spacing w:line="240" w:lineRule="auto"/>
                    <w:ind w:firstLine="0" w:firstLineChars="0"/>
                    <w:jc w:val="left"/>
                    <w:rPr>
                      <w:sz w:val="18"/>
                      <w:szCs w:val="18"/>
                    </w:rPr>
                  </w:pPr>
                  <w:r>
                    <w:rPr>
                      <w:rFonts w:hint="eastAsia"/>
                      <w:sz w:val="18"/>
                      <w:szCs w:val="18"/>
                    </w:rPr>
                    <w:t>（2）盛装VOCs物料的容器或者包装袋应存放于室内，或存放于设置有雨棚、遮阳和防渗设施的专用场地。盛装VOCs物料的容器或者包装袋在非取用状态时应加盖、封口，保持密闭；</w:t>
                  </w:r>
                </w:p>
                <w:p w14:paraId="0419286C">
                  <w:pPr>
                    <w:tabs>
                      <w:tab w:val="left" w:pos="1155"/>
                    </w:tabs>
                    <w:spacing w:line="240" w:lineRule="auto"/>
                    <w:ind w:firstLine="0" w:firstLineChars="0"/>
                    <w:jc w:val="left"/>
                    <w:rPr>
                      <w:sz w:val="18"/>
                      <w:szCs w:val="18"/>
                    </w:rPr>
                  </w:pPr>
                  <w:r>
                    <w:rPr>
                      <w:rFonts w:hint="eastAsia"/>
                      <w:sz w:val="18"/>
                      <w:szCs w:val="18"/>
                    </w:rPr>
                    <w:t>（3）VOCs物料储库、料仓应满足3.6对密闭空间的要求（利用完整的围护结构将污染物质、作业场所等与周围空间阻隔形成的封闭区域或封闭式建筑物，该封闭区域或封闭式建筑物除人员、车辆、设备、物料进出时，以及依法设立的排气筒、通风口外，门窗及其他开口（孔）部位应随时保持关闭状态）</w:t>
                  </w:r>
                </w:p>
              </w:tc>
              <w:tc>
                <w:tcPr>
                  <w:tcW w:w="1288" w:type="pct"/>
                  <w:vAlign w:val="center"/>
                </w:tcPr>
                <w:p w14:paraId="42DD902C">
                  <w:pPr>
                    <w:tabs>
                      <w:tab w:val="left" w:pos="1155"/>
                    </w:tabs>
                    <w:spacing w:line="240" w:lineRule="auto"/>
                    <w:ind w:firstLine="0" w:firstLineChars="0"/>
                    <w:jc w:val="left"/>
                    <w:rPr>
                      <w:rFonts w:hint="eastAsia" w:eastAsia="宋体"/>
                      <w:sz w:val="18"/>
                      <w:szCs w:val="18"/>
                      <w:lang w:eastAsia="zh-CN"/>
                    </w:rPr>
                  </w:pPr>
                  <w:r>
                    <w:rPr>
                      <w:rFonts w:hint="eastAsia"/>
                      <w:sz w:val="18"/>
                      <w:szCs w:val="18"/>
                    </w:rPr>
                    <w:t>项目VOCs物料主要包括</w:t>
                  </w:r>
                  <w:r>
                    <w:rPr>
                      <w:rFonts w:hint="eastAsia"/>
                      <w:sz w:val="18"/>
                      <w:szCs w:val="18"/>
                      <w:lang w:val="en-US" w:eastAsia="zh-CN"/>
                    </w:rPr>
                    <w:t>轻质柴油</w:t>
                  </w:r>
                  <w:r>
                    <w:rPr>
                      <w:rFonts w:hint="eastAsia"/>
                      <w:sz w:val="18"/>
                      <w:szCs w:val="18"/>
                    </w:rPr>
                    <w:t>；</w:t>
                  </w:r>
                  <w:r>
                    <w:rPr>
                      <w:rFonts w:hint="eastAsia"/>
                      <w:sz w:val="18"/>
                      <w:szCs w:val="18"/>
                      <w:lang w:val="en-US" w:eastAsia="zh-CN"/>
                    </w:rPr>
                    <w:t>本项目采用1座30t地上卧式储罐储存燃料，并置于开阔场地中，常规状态下封闭排气口</w:t>
                  </w:r>
                  <w:r>
                    <w:rPr>
                      <w:rFonts w:hint="eastAsia"/>
                      <w:sz w:val="18"/>
                      <w:szCs w:val="18"/>
                      <w:lang w:eastAsia="zh-CN"/>
                    </w:rPr>
                    <w:t>。</w:t>
                  </w:r>
                </w:p>
              </w:tc>
              <w:tc>
                <w:tcPr>
                  <w:tcW w:w="295" w:type="pct"/>
                  <w:vAlign w:val="center"/>
                </w:tcPr>
                <w:p w14:paraId="62B58D3D">
                  <w:pPr>
                    <w:tabs>
                      <w:tab w:val="left" w:pos="1155"/>
                    </w:tabs>
                    <w:spacing w:line="240" w:lineRule="auto"/>
                    <w:ind w:firstLine="0" w:firstLineChars="0"/>
                    <w:rPr>
                      <w:sz w:val="18"/>
                      <w:szCs w:val="18"/>
                    </w:rPr>
                  </w:pPr>
                  <w:r>
                    <w:rPr>
                      <w:sz w:val="18"/>
                      <w:szCs w:val="18"/>
                    </w:rPr>
                    <w:t>符合</w:t>
                  </w:r>
                </w:p>
              </w:tc>
            </w:tr>
            <w:tr w14:paraId="5F26B7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37" w:hRule="atLeast"/>
              </w:trPr>
              <w:tc>
                <w:tcPr>
                  <w:tcW w:w="299" w:type="pct"/>
                  <w:vAlign w:val="center"/>
                </w:tcPr>
                <w:p w14:paraId="7F5C2793">
                  <w:pPr>
                    <w:tabs>
                      <w:tab w:val="left" w:pos="1155"/>
                    </w:tabs>
                    <w:spacing w:line="240" w:lineRule="auto"/>
                    <w:ind w:firstLine="0" w:firstLineChars="0"/>
                    <w:rPr>
                      <w:sz w:val="18"/>
                      <w:szCs w:val="18"/>
                    </w:rPr>
                  </w:pPr>
                  <w:r>
                    <w:rPr>
                      <w:sz w:val="18"/>
                      <w:szCs w:val="18"/>
                    </w:rPr>
                    <w:t>2</w:t>
                  </w:r>
                </w:p>
              </w:tc>
              <w:tc>
                <w:tcPr>
                  <w:tcW w:w="3116" w:type="pct"/>
                  <w:vAlign w:val="center"/>
                </w:tcPr>
                <w:p w14:paraId="20E8504F">
                  <w:pPr>
                    <w:tabs>
                      <w:tab w:val="left" w:pos="1155"/>
                    </w:tabs>
                    <w:spacing w:line="240" w:lineRule="auto"/>
                    <w:ind w:firstLine="0" w:firstLineChars="0"/>
                    <w:jc w:val="left"/>
                    <w:rPr>
                      <w:sz w:val="18"/>
                      <w:szCs w:val="18"/>
                    </w:rPr>
                  </w:pPr>
                  <w:r>
                    <w:rPr>
                      <w:rFonts w:hint="eastAsia"/>
                      <w:sz w:val="18"/>
                      <w:szCs w:val="18"/>
                    </w:rPr>
                    <w:t>VOCs物料转移和输送无组织排放控制要求：</w:t>
                  </w:r>
                </w:p>
                <w:p w14:paraId="783FECA5">
                  <w:pPr>
                    <w:tabs>
                      <w:tab w:val="left" w:pos="1155"/>
                    </w:tabs>
                    <w:spacing w:line="240" w:lineRule="auto"/>
                    <w:ind w:firstLine="0" w:firstLineChars="0"/>
                    <w:jc w:val="left"/>
                    <w:rPr>
                      <w:sz w:val="18"/>
                      <w:szCs w:val="18"/>
                    </w:rPr>
                  </w:pPr>
                  <w:r>
                    <w:rPr>
                      <w:rFonts w:hint="eastAsia"/>
                      <w:sz w:val="18"/>
                      <w:szCs w:val="18"/>
                    </w:rPr>
                    <w:t>（1）液态VOCs物料应采取密闭管道输送。采取非管道输送方式转移液态VOCs物料时，应采取密闭容器、罐车；（2）粉状、粒状VOCs物料应采取气力输送设备、管状带式输送机、螺旋输送机等密闭输送方式，或者采取密闭的包装袋、容器或罐车进行物料转移</w:t>
                  </w:r>
                </w:p>
              </w:tc>
              <w:tc>
                <w:tcPr>
                  <w:tcW w:w="1288" w:type="pct"/>
                  <w:vAlign w:val="center"/>
                </w:tcPr>
                <w:p w14:paraId="2510D344">
                  <w:pPr>
                    <w:tabs>
                      <w:tab w:val="left" w:pos="1155"/>
                    </w:tabs>
                    <w:spacing w:line="240" w:lineRule="auto"/>
                    <w:ind w:firstLine="0" w:firstLineChars="0"/>
                    <w:jc w:val="left"/>
                    <w:rPr>
                      <w:rFonts w:hint="eastAsia" w:eastAsia="宋体"/>
                      <w:sz w:val="18"/>
                      <w:szCs w:val="18"/>
                      <w:lang w:eastAsia="zh-CN"/>
                    </w:rPr>
                  </w:pPr>
                  <w:r>
                    <w:rPr>
                      <w:rFonts w:hint="eastAsia"/>
                      <w:sz w:val="18"/>
                      <w:szCs w:val="18"/>
                    </w:rPr>
                    <w:t>项目</w:t>
                  </w:r>
                  <w:r>
                    <w:rPr>
                      <w:rFonts w:hint="eastAsia"/>
                      <w:sz w:val="18"/>
                      <w:szCs w:val="18"/>
                      <w:lang w:val="en-US" w:eastAsia="zh-CN"/>
                    </w:rPr>
                    <w:t>使用的轻质柴油均采用供货厂家专用油罐车运输并卸油</w:t>
                  </w:r>
                  <w:r>
                    <w:rPr>
                      <w:rFonts w:hint="eastAsia"/>
                      <w:sz w:val="18"/>
                      <w:szCs w:val="18"/>
                      <w:lang w:eastAsia="zh-CN"/>
                    </w:rPr>
                    <w:t>。</w:t>
                  </w:r>
                </w:p>
              </w:tc>
              <w:tc>
                <w:tcPr>
                  <w:tcW w:w="295" w:type="pct"/>
                  <w:vAlign w:val="center"/>
                </w:tcPr>
                <w:p w14:paraId="7F77152B">
                  <w:pPr>
                    <w:tabs>
                      <w:tab w:val="left" w:pos="1155"/>
                    </w:tabs>
                    <w:spacing w:line="240" w:lineRule="auto"/>
                    <w:ind w:firstLine="0" w:firstLineChars="0"/>
                    <w:rPr>
                      <w:sz w:val="18"/>
                      <w:szCs w:val="18"/>
                    </w:rPr>
                  </w:pPr>
                  <w:r>
                    <w:rPr>
                      <w:sz w:val="18"/>
                      <w:szCs w:val="18"/>
                    </w:rPr>
                    <w:t>符合</w:t>
                  </w:r>
                </w:p>
              </w:tc>
            </w:tr>
            <w:tr w14:paraId="7E2735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839" w:hRule="atLeast"/>
              </w:trPr>
              <w:tc>
                <w:tcPr>
                  <w:tcW w:w="299" w:type="pct"/>
                  <w:vAlign w:val="center"/>
                </w:tcPr>
                <w:p w14:paraId="0C9DE18D">
                  <w:pPr>
                    <w:tabs>
                      <w:tab w:val="left" w:pos="1155"/>
                    </w:tabs>
                    <w:spacing w:line="240" w:lineRule="auto"/>
                    <w:ind w:firstLine="0" w:firstLineChars="0"/>
                    <w:rPr>
                      <w:sz w:val="18"/>
                      <w:szCs w:val="18"/>
                    </w:rPr>
                  </w:pPr>
                  <w:r>
                    <w:rPr>
                      <w:rFonts w:hint="eastAsia"/>
                      <w:sz w:val="18"/>
                      <w:szCs w:val="18"/>
                    </w:rPr>
                    <w:t>3</w:t>
                  </w:r>
                </w:p>
              </w:tc>
              <w:tc>
                <w:tcPr>
                  <w:tcW w:w="3116" w:type="pct"/>
                  <w:vAlign w:val="center"/>
                </w:tcPr>
                <w:p w14:paraId="40C2D57C">
                  <w:pPr>
                    <w:tabs>
                      <w:tab w:val="left" w:pos="1155"/>
                    </w:tabs>
                    <w:spacing w:line="240" w:lineRule="auto"/>
                    <w:ind w:firstLine="0" w:firstLineChars="0"/>
                    <w:jc w:val="left"/>
                    <w:rPr>
                      <w:sz w:val="18"/>
                      <w:szCs w:val="18"/>
                    </w:rPr>
                  </w:pPr>
                  <w:r>
                    <w:rPr>
                      <w:rFonts w:hint="eastAsia"/>
                      <w:sz w:val="18"/>
                      <w:szCs w:val="18"/>
                    </w:rPr>
                    <w:t>工艺过程VOCs无组织排放控制要求：</w:t>
                  </w:r>
                </w:p>
                <w:p w14:paraId="5DEA03C4">
                  <w:pPr>
                    <w:tabs>
                      <w:tab w:val="left" w:pos="1155"/>
                    </w:tabs>
                    <w:spacing w:line="240" w:lineRule="auto"/>
                    <w:ind w:firstLine="0" w:firstLineChars="0"/>
                    <w:jc w:val="left"/>
                    <w:rPr>
                      <w:sz w:val="18"/>
                      <w:szCs w:val="18"/>
                    </w:rPr>
                  </w:pPr>
                  <w:r>
                    <w:rPr>
                      <w:rFonts w:hint="eastAsia"/>
                      <w:sz w:val="18"/>
                      <w:szCs w:val="18"/>
                    </w:rPr>
                    <w:t>（1）VOCs质量比大于或等于10%的含VOCs产品，其使用过程中应采取密闭设备或密闭空间内操作，废气应排至VOCs收集处置系统；无法密闭的，应采取局部废气收集措施，废气排至VOCs收集处置系统</w:t>
                  </w:r>
                </w:p>
              </w:tc>
              <w:tc>
                <w:tcPr>
                  <w:tcW w:w="1288" w:type="pct"/>
                  <w:vAlign w:val="center"/>
                </w:tcPr>
                <w:p w14:paraId="294F0364">
                  <w:pPr>
                    <w:tabs>
                      <w:tab w:val="left" w:pos="1155"/>
                    </w:tabs>
                    <w:spacing w:line="240" w:lineRule="auto"/>
                    <w:ind w:firstLine="0" w:firstLineChars="0"/>
                    <w:jc w:val="left"/>
                    <w:rPr>
                      <w:color w:val="auto"/>
                      <w:sz w:val="18"/>
                      <w:szCs w:val="18"/>
                    </w:rPr>
                  </w:pPr>
                  <w:r>
                    <w:rPr>
                      <w:rFonts w:hint="eastAsia"/>
                      <w:color w:val="auto"/>
                      <w:sz w:val="18"/>
                      <w:szCs w:val="18"/>
                    </w:rPr>
                    <w:t>设置</w:t>
                  </w:r>
                  <w:r>
                    <w:rPr>
                      <w:rFonts w:hint="eastAsia"/>
                      <w:color w:val="auto"/>
                      <w:sz w:val="18"/>
                      <w:szCs w:val="18"/>
                      <w:lang w:val="en-US" w:eastAsia="zh-CN"/>
                    </w:rPr>
                    <w:t>封闭式集气系统，废气经收集后通入冷凝器+活性炭吸附装置</w:t>
                  </w:r>
                  <w:r>
                    <w:rPr>
                      <w:rFonts w:hint="eastAsia"/>
                      <w:color w:val="auto"/>
                      <w:sz w:val="18"/>
                      <w:szCs w:val="18"/>
                    </w:rPr>
                    <w:t>，</w:t>
                  </w:r>
                  <w:r>
                    <w:rPr>
                      <w:rFonts w:hint="eastAsia"/>
                      <w:color w:val="auto"/>
                      <w:sz w:val="18"/>
                      <w:szCs w:val="18"/>
                      <w:lang w:val="en-US" w:eastAsia="zh-CN"/>
                    </w:rPr>
                    <w:t>经</w:t>
                  </w:r>
                  <w:r>
                    <w:rPr>
                      <w:rFonts w:hint="eastAsia"/>
                      <w:color w:val="auto"/>
                      <w:sz w:val="18"/>
                      <w:szCs w:val="18"/>
                    </w:rPr>
                    <w:t>处理达标后排放。</w:t>
                  </w:r>
                </w:p>
              </w:tc>
              <w:tc>
                <w:tcPr>
                  <w:tcW w:w="295" w:type="pct"/>
                  <w:vAlign w:val="center"/>
                </w:tcPr>
                <w:p w14:paraId="2F353D27">
                  <w:pPr>
                    <w:tabs>
                      <w:tab w:val="left" w:pos="1155"/>
                    </w:tabs>
                    <w:spacing w:line="240" w:lineRule="auto"/>
                    <w:ind w:firstLine="0" w:firstLineChars="0"/>
                    <w:rPr>
                      <w:sz w:val="18"/>
                      <w:szCs w:val="18"/>
                    </w:rPr>
                  </w:pPr>
                  <w:r>
                    <w:rPr>
                      <w:rFonts w:hint="eastAsia"/>
                      <w:sz w:val="18"/>
                      <w:szCs w:val="18"/>
                    </w:rPr>
                    <w:t>符合</w:t>
                  </w:r>
                </w:p>
              </w:tc>
            </w:tr>
          </w:tbl>
          <w:p w14:paraId="5A788B9C">
            <w:pPr>
              <w:pStyle w:val="77"/>
              <w:snapToGrid/>
              <w:ind w:firstLine="420"/>
              <w:rPr>
                <w:rFonts w:ascii="Times New Roman"/>
                <w:b w:val="0"/>
                <w:color w:val="auto"/>
                <w:kern w:val="0"/>
                <w:szCs w:val="21"/>
              </w:rPr>
            </w:pPr>
            <w:r>
              <w:rPr>
                <w:rFonts w:ascii="Times New Roman"/>
                <w:b w:val="0"/>
                <w:color w:val="auto"/>
                <w:kern w:val="0"/>
                <w:szCs w:val="21"/>
              </w:rPr>
              <w:t>综上分析，项目符合</w:t>
            </w:r>
            <w:r>
              <w:rPr>
                <w:rFonts w:hint="eastAsia" w:ascii="Times New Roman"/>
                <w:b w:val="0"/>
                <w:color w:val="auto"/>
                <w:kern w:val="0"/>
                <w:szCs w:val="21"/>
              </w:rPr>
              <w:t>相关文件及规范</w:t>
            </w:r>
            <w:r>
              <w:rPr>
                <w:rFonts w:ascii="Times New Roman"/>
                <w:b w:val="0"/>
                <w:color w:val="auto"/>
                <w:kern w:val="0"/>
                <w:szCs w:val="21"/>
              </w:rPr>
              <w:t>要求。</w:t>
            </w:r>
          </w:p>
          <w:p w14:paraId="51873AA3">
            <w:pPr>
              <w:pStyle w:val="77"/>
              <w:snapToGrid/>
              <w:ind w:left="0" w:leftChars="0" w:firstLine="0" w:firstLineChars="0"/>
              <w:rPr>
                <w:rFonts w:hint="default" w:ascii="Times New Roman" w:hAnsi="Times New Roman" w:eastAsia="宋体" w:cs="Times New Roman"/>
                <w:color w:val="auto"/>
                <w:kern w:val="0"/>
                <w:szCs w:val="21"/>
                <w:lang w:val="en-US" w:eastAsia="zh-CN"/>
              </w:rPr>
            </w:pPr>
          </w:p>
          <w:p w14:paraId="22EA60C2">
            <w:pPr>
              <w:pStyle w:val="77"/>
              <w:snapToGrid/>
              <w:ind w:left="0" w:leftChars="0" w:firstLine="0" w:firstLineChars="0"/>
              <w:rPr>
                <w:rFonts w:hint="default" w:ascii="Times New Roman" w:hAnsi="Times New Roman" w:cs="Times New Roman"/>
                <w:color w:val="auto"/>
                <w:kern w:val="0"/>
                <w:szCs w:val="21"/>
              </w:rPr>
            </w:pPr>
          </w:p>
          <w:p w14:paraId="63E0CBFD">
            <w:pPr>
              <w:pStyle w:val="77"/>
              <w:snapToGrid/>
              <w:ind w:left="0" w:leftChars="0" w:firstLine="0" w:firstLineChars="0"/>
              <w:rPr>
                <w:rFonts w:hint="default" w:ascii="Times New Roman" w:hAnsi="Times New Roman" w:cs="Times New Roman"/>
                <w:color w:val="auto"/>
                <w:kern w:val="0"/>
                <w:szCs w:val="21"/>
              </w:rPr>
            </w:pPr>
          </w:p>
          <w:p w14:paraId="7EA223B7">
            <w:pPr>
              <w:pStyle w:val="77"/>
              <w:snapToGrid/>
              <w:ind w:left="0" w:leftChars="0" w:firstLine="0" w:firstLineChars="0"/>
              <w:rPr>
                <w:rFonts w:hint="default" w:ascii="Times New Roman" w:hAnsi="Times New Roman" w:cs="Times New Roman"/>
                <w:color w:val="auto"/>
                <w:kern w:val="0"/>
                <w:szCs w:val="21"/>
              </w:rPr>
            </w:pPr>
          </w:p>
          <w:p w14:paraId="72634C50">
            <w:pPr>
              <w:pStyle w:val="77"/>
              <w:snapToGrid/>
              <w:ind w:left="0" w:leftChars="0" w:firstLine="0" w:firstLineChars="0"/>
              <w:rPr>
                <w:rFonts w:hint="default" w:ascii="Times New Roman" w:hAnsi="Times New Roman" w:cs="Times New Roman"/>
                <w:color w:val="auto"/>
                <w:kern w:val="0"/>
                <w:szCs w:val="21"/>
              </w:rPr>
            </w:pPr>
          </w:p>
          <w:p w14:paraId="329F12A0">
            <w:pPr>
              <w:pStyle w:val="77"/>
              <w:snapToGrid/>
              <w:ind w:left="0" w:leftChars="0" w:firstLine="0" w:firstLineChars="0"/>
              <w:rPr>
                <w:rFonts w:hint="default" w:ascii="Times New Roman" w:hAnsi="Times New Roman" w:cs="Times New Roman"/>
                <w:color w:val="auto"/>
                <w:kern w:val="0"/>
                <w:szCs w:val="21"/>
              </w:rPr>
            </w:pPr>
          </w:p>
          <w:p w14:paraId="09D8515A">
            <w:pPr>
              <w:pStyle w:val="77"/>
              <w:snapToGrid/>
              <w:ind w:left="0" w:leftChars="0" w:firstLine="0" w:firstLineChars="0"/>
              <w:rPr>
                <w:rFonts w:hint="default" w:ascii="Times New Roman" w:hAnsi="Times New Roman" w:cs="Times New Roman"/>
                <w:color w:val="auto"/>
                <w:kern w:val="0"/>
                <w:szCs w:val="21"/>
              </w:rPr>
            </w:pPr>
          </w:p>
          <w:p w14:paraId="16440642">
            <w:pPr>
              <w:pStyle w:val="77"/>
              <w:snapToGrid/>
              <w:ind w:left="0" w:leftChars="0" w:firstLine="0" w:firstLineChars="0"/>
              <w:rPr>
                <w:rFonts w:hint="default" w:ascii="Times New Roman" w:hAnsi="Times New Roman" w:cs="Times New Roman"/>
                <w:color w:val="auto"/>
                <w:kern w:val="0"/>
                <w:szCs w:val="21"/>
              </w:rPr>
            </w:pPr>
          </w:p>
          <w:p w14:paraId="2C441863">
            <w:pPr>
              <w:pStyle w:val="77"/>
              <w:snapToGrid/>
              <w:ind w:left="0" w:leftChars="0" w:firstLine="0" w:firstLineChars="0"/>
              <w:rPr>
                <w:rFonts w:hint="default" w:ascii="Times New Roman" w:hAnsi="Times New Roman" w:cs="Times New Roman"/>
                <w:color w:val="auto"/>
                <w:kern w:val="0"/>
                <w:szCs w:val="21"/>
              </w:rPr>
            </w:pPr>
          </w:p>
          <w:p w14:paraId="28BB7F32">
            <w:pPr>
              <w:pStyle w:val="77"/>
              <w:snapToGrid/>
              <w:ind w:left="0" w:leftChars="0" w:firstLine="0" w:firstLineChars="0"/>
              <w:rPr>
                <w:rFonts w:hint="default" w:ascii="Times New Roman" w:hAnsi="Times New Roman" w:cs="Times New Roman"/>
                <w:color w:val="auto"/>
                <w:kern w:val="0"/>
                <w:szCs w:val="21"/>
              </w:rPr>
            </w:pPr>
          </w:p>
          <w:p w14:paraId="286B7B78">
            <w:pPr>
              <w:pStyle w:val="77"/>
              <w:snapToGrid/>
              <w:ind w:left="0" w:leftChars="0" w:firstLine="0" w:firstLineChars="0"/>
              <w:rPr>
                <w:rFonts w:hint="default" w:ascii="Times New Roman" w:hAnsi="Times New Roman" w:cs="Times New Roman"/>
                <w:color w:val="auto"/>
                <w:kern w:val="0"/>
                <w:szCs w:val="21"/>
              </w:rPr>
            </w:pPr>
          </w:p>
          <w:p w14:paraId="14BA292B">
            <w:pPr>
              <w:pStyle w:val="77"/>
              <w:snapToGrid/>
              <w:ind w:left="0" w:leftChars="0" w:firstLine="0" w:firstLineChars="0"/>
              <w:rPr>
                <w:rFonts w:hint="default" w:ascii="Times New Roman" w:hAnsi="Times New Roman" w:cs="Times New Roman"/>
                <w:color w:val="auto"/>
                <w:kern w:val="0"/>
                <w:szCs w:val="21"/>
              </w:rPr>
            </w:pPr>
          </w:p>
          <w:p w14:paraId="0D10D100">
            <w:pPr>
              <w:pStyle w:val="77"/>
              <w:snapToGrid/>
              <w:ind w:left="0" w:leftChars="0" w:firstLine="0" w:firstLineChars="0"/>
              <w:rPr>
                <w:rFonts w:hint="default" w:ascii="Times New Roman" w:hAnsi="Times New Roman" w:cs="Times New Roman"/>
                <w:color w:val="auto"/>
                <w:kern w:val="0"/>
                <w:szCs w:val="21"/>
              </w:rPr>
            </w:pPr>
          </w:p>
          <w:p w14:paraId="7819951C">
            <w:pPr>
              <w:pStyle w:val="77"/>
              <w:snapToGrid/>
              <w:ind w:left="0" w:leftChars="0" w:firstLine="0" w:firstLineChars="0"/>
              <w:rPr>
                <w:rFonts w:hint="default" w:ascii="Times New Roman" w:hAnsi="Times New Roman" w:cs="Times New Roman"/>
                <w:color w:val="auto"/>
                <w:kern w:val="0"/>
                <w:szCs w:val="21"/>
              </w:rPr>
            </w:pPr>
          </w:p>
          <w:p w14:paraId="1D0C6A63">
            <w:pPr>
              <w:pStyle w:val="77"/>
              <w:snapToGrid/>
              <w:ind w:left="0" w:leftChars="0" w:firstLine="0" w:firstLineChars="0"/>
              <w:rPr>
                <w:rFonts w:hint="default" w:ascii="Times New Roman" w:hAnsi="Times New Roman" w:cs="Times New Roman"/>
                <w:color w:val="auto"/>
                <w:kern w:val="0"/>
                <w:szCs w:val="21"/>
              </w:rPr>
            </w:pPr>
          </w:p>
          <w:p w14:paraId="18FFA9B1">
            <w:pPr>
              <w:pStyle w:val="77"/>
              <w:snapToGrid/>
              <w:ind w:left="0" w:leftChars="0" w:firstLine="0" w:firstLineChars="0"/>
              <w:rPr>
                <w:rFonts w:hint="default" w:ascii="Times New Roman" w:hAnsi="Times New Roman" w:cs="Times New Roman"/>
                <w:color w:val="auto"/>
                <w:kern w:val="0"/>
                <w:szCs w:val="21"/>
              </w:rPr>
            </w:pPr>
          </w:p>
          <w:p w14:paraId="23DECB34">
            <w:pPr>
              <w:pStyle w:val="77"/>
              <w:snapToGrid/>
              <w:ind w:left="0" w:leftChars="0" w:firstLine="0" w:firstLineChars="0"/>
              <w:rPr>
                <w:rFonts w:hint="default" w:ascii="Times New Roman" w:hAnsi="Times New Roman" w:cs="Times New Roman"/>
                <w:color w:val="auto"/>
                <w:kern w:val="0"/>
                <w:szCs w:val="21"/>
              </w:rPr>
            </w:pPr>
          </w:p>
          <w:p w14:paraId="67B3D5C4">
            <w:pPr>
              <w:pStyle w:val="77"/>
              <w:snapToGrid/>
              <w:ind w:left="0" w:leftChars="0" w:firstLine="0" w:firstLineChars="0"/>
              <w:rPr>
                <w:rFonts w:hint="default" w:ascii="Times New Roman" w:hAnsi="Times New Roman" w:cs="Times New Roman"/>
                <w:color w:val="auto"/>
                <w:kern w:val="0"/>
                <w:szCs w:val="21"/>
              </w:rPr>
            </w:pPr>
          </w:p>
          <w:p w14:paraId="01EE3CA1">
            <w:pPr>
              <w:pStyle w:val="77"/>
              <w:snapToGrid/>
              <w:ind w:left="0" w:leftChars="0" w:firstLine="0" w:firstLineChars="0"/>
              <w:rPr>
                <w:rFonts w:hint="default" w:ascii="Times New Roman" w:hAnsi="Times New Roman" w:cs="Times New Roman"/>
                <w:color w:val="auto"/>
                <w:kern w:val="0"/>
                <w:szCs w:val="21"/>
              </w:rPr>
            </w:pPr>
          </w:p>
          <w:p w14:paraId="263E48F1">
            <w:pPr>
              <w:pStyle w:val="77"/>
              <w:snapToGrid/>
              <w:ind w:left="0" w:leftChars="0" w:firstLine="0" w:firstLineChars="0"/>
              <w:rPr>
                <w:rFonts w:hint="default" w:ascii="Times New Roman" w:hAnsi="Times New Roman" w:cs="Times New Roman"/>
                <w:color w:val="auto"/>
                <w:kern w:val="0"/>
                <w:szCs w:val="21"/>
              </w:rPr>
            </w:pPr>
          </w:p>
          <w:p w14:paraId="74E671CD">
            <w:pPr>
              <w:pStyle w:val="77"/>
              <w:snapToGrid/>
              <w:ind w:left="0" w:leftChars="0" w:firstLine="0" w:firstLineChars="0"/>
              <w:rPr>
                <w:rFonts w:hint="default" w:ascii="Times New Roman" w:hAnsi="Times New Roman" w:cs="Times New Roman"/>
                <w:color w:val="auto"/>
                <w:kern w:val="0"/>
                <w:szCs w:val="21"/>
              </w:rPr>
            </w:pPr>
          </w:p>
          <w:p w14:paraId="0AFFB9D6">
            <w:pPr>
              <w:pStyle w:val="77"/>
              <w:snapToGrid/>
              <w:ind w:left="0" w:leftChars="0" w:firstLine="0" w:firstLineChars="0"/>
              <w:rPr>
                <w:rFonts w:hint="default" w:ascii="Times New Roman" w:hAnsi="Times New Roman" w:cs="Times New Roman"/>
                <w:color w:val="auto"/>
                <w:kern w:val="0"/>
                <w:szCs w:val="21"/>
              </w:rPr>
            </w:pPr>
          </w:p>
          <w:p w14:paraId="6FD8C1F0">
            <w:pPr>
              <w:pStyle w:val="77"/>
              <w:snapToGrid/>
              <w:ind w:left="0" w:leftChars="0" w:firstLine="0" w:firstLineChars="0"/>
              <w:rPr>
                <w:rFonts w:hint="default" w:ascii="Times New Roman" w:hAnsi="Times New Roman" w:cs="Times New Roman"/>
                <w:color w:val="auto"/>
                <w:kern w:val="0"/>
                <w:szCs w:val="21"/>
              </w:rPr>
            </w:pPr>
          </w:p>
          <w:p w14:paraId="6190C4ED">
            <w:pPr>
              <w:pStyle w:val="77"/>
              <w:snapToGrid/>
              <w:ind w:left="0" w:leftChars="0" w:firstLine="0" w:firstLineChars="0"/>
              <w:rPr>
                <w:rFonts w:hint="default" w:ascii="Times New Roman" w:hAnsi="Times New Roman" w:cs="Times New Roman"/>
                <w:color w:val="auto"/>
                <w:kern w:val="0"/>
                <w:szCs w:val="21"/>
              </w:rPr>
            </w:pPr>
          </w:p>
        </w:tc>
      </w:tr>
    </w:tbl>
    <w:p w14:paraId="6B3EFACE">
      <w:pPr>
        <w:autoSpaceDE w:val="0"/>
        <w:autoSpaceDN w:val="0"/>
        <w:adjustRightInd w:val="0"/>
        <w:snapToGrid w:val="0"/>
        <w:jc w:val="center"/>
        <w:rPr>
          <w:color w:val="auto"/>
          <w:kern w:val="0"/>
          <w:szCs w:val="21"/>
        </w:rPr>
      </w:pPr>
      <w:r>
        <w:rPr>
          <w:color w:val="auto"/>
          <w:kern w:val="0"/>
          <w:szCs w:val="21"/>
        </w:rPr>
        <w:br w:type="page"/>
      </w:r>
    </w:p>
    <w:p w14:paraId="0A330D5E">
      <w:pPr>
        <w:spacing w:line="360" w:lineRule="auto"/>
        <w:outlineLvl w:val="9"/>
        <w:rPr>
          <w:rFonts w:eastAsia="黑体"/>
          <w:color w:val="auto"/>
          <w:sz w:val="30"/>
        </w:rPr>
        <w:sectPr>
          <w:footerReference r:id="rId6"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p>
    <w:p w14:paraId="3A518B3B">
      <w:pPr>
        <w:pStyle w:val="41"/>
        <w:jc w:val="center"/>
        <w:outlineLvl w:val="0"/>
        <w:rPr>
          <w:rFonts w:ascii="Times New Roman" w:hAnsi="Times New Roman" w:eastAsia="黑体"/>
          <w:snapToGrid w:val="0"/>
          <w:color w:val="auto"/>
          <w:sz w:val="30"/>
          <w:szCs w:val="30"/>
        </w:rPr>
      </w:pPr>
      <w:bookmarkStart w:id="2" w:name="_Toc11592"/>
      <w:r>
        <w:rPr>
          <w:rFonts w:ascii="Times New Roman" w:hAnsi="Times New Roman" w:eastAsia="黑体"/>
          <w:snapToGrid w:val="0"/>
          <w:color w:val="auto"/>
          <w:sz w:val="30"/>
          <w:szCs w:val="30"/>
        </w:rPr>
        <w:t>二、建设项目工程分析</w:t>
      </w:r>
      <w:bookmarkEnd w:id="2"/>
    </w:p>
    <w:tbl>
      <w:tblPr>
        <w:tblStyle w:val="4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26"/>
        <w:gridCol w:w="8264"/>
      </w:tblGrid>
      <w:tr w14:paraId="258993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11" w:hRule="atLeast"/>
          <w:jc w:val="center"/>
        </w:trPr>
        <w:tc>
          <w:tcPr>
            <w:tcW w:w="726" w:type="dxa"/>
            <w:vAlign w:val="center"/>
          </w:tcPr>
          <w:p w14:paraId="4FEC4655">
            <w:pPr>
              <w:pStyle w:val="41"/>
              <w:adjustRightInd w:val="0"/>
              <w:snapToGrid w:val="0"/>
              <w:spacing w:before="0" w:beforeAutospacing="0" w:after="0" w:afterAutospacing="0"/>
              <w:jc w:val="center"/>
              <w:rPr>
                <w:rFonts w:ascii="Times New Roman" w:hAnsi="Times New Roman"/>
                <w:color w:val="auto"/>
                <w:sz w:val="21"/>
                <w:szCs w:val="21"/>
              </w:rPr>
            </w:pPr>
            <w:r>
              <w:rPr>
                <w:rFonts w:ascii="Times New Roman" w:hAnsi="Times New Roman"/>
                <w:color w:val="auto"/>
                <w:sz w:val="21"/>
                <w:szCs w:val="21"/>
              </w:rPr>
              <w:t>建设</w:t>
            </w:r>
          </w:p>
          <w:p w14:paraId="5BC131BB">
            <w:pPr>
              <w:pStyle w:val="41"/>
              <w:adjustRightInd w:val="0"/>
              <w:snapToGrid w:val="0"/>
              <w:spacing w:before="0" w:beforeAutospacing="0" w:after="0" w:afterAutospacing="0"/>
              <w:jc w:val="center"/>
              <w:rPr>
                <w:rFonts w:ascii="Times New Roman" w:hAnsi="Times New Roman"/>
                <w:color w:val="auto"/>
                <w:sz w:val="21"/>
                <w:szCs w:val="21"/>
              </w:rPr>
            </w:pPr>
            <w:r>
              <w:rPr>
                <w:rFonts w:ascii="Times New Roman" w:hAnsi="Times New Roman"/>
                <w:color w:val="auto"/>
                <w:sz w:val="21"/>
                <w:szCs w:val="21"/>
              </w:rPr>
              <w:t>内容</w:t>
            </w:r>
          </w:p>
        </w:tc>
        <w:tc>
          <w:tcPr>
            <w:tcW w:w="8264" w:type="dxa"/>
          </w:tcPr>
          <w:p w14:paraId="3022D48D">
            <w:pPr>
              <w:spacing w:line="360" w:lineRule="auto"/>
              <w:ind w:firstLine="422" w:firstLineChars="200"/>
              <w:rPr>
                <w:rFonts w:hint="eastAsia"/>
                <w:b/>
                <w:bCs/>
                <w:color w:val="auto"/>
                <w:szCs w:val="21"/>
                <w:lang w:val="en-US" w:eastAsia="zh-CN"/>
              </w:rPr>
            </w:pPr>
            <w:r>
              <w:rPr>
                <w:rFonts w:hint="eastAsia"/>
                <w:b/>
                <w:bCs/>
                <w:color w:val="auto"/>
                <w:szCs w:val="21"/>
                <w:lang w:val="en-US" w:eastAsia="zh-CN"/>
              </w:rPr>
              <w:t>项目由来简介：</w:t>
            </w:r>
          </w:p>
          <w:p w14:paraId="7EA89845">
            <w:pPr>
              <w:spacing w:line="360" w:lineRule="auto"/>
              <w:ind w:firstLine="420" w:firstLineChars="200"/>
              <w:rPr>
                <w:rFonts w:hint="eastAsia"/>
                <w:bCs/>
                <w:color w:val="auto"/>
                <w:szCs w:val="21"/>
                <w:lang w:val="en-US" w:eastAsia="zh-CN"/>
              </w:rPr>
            </w:pPr>
            <w:r>
              <w:rPr>
                <w:rFonts w:hint="eastAsia"/>
                <w:bCs/>
                <w:color w:val="auto"/>
                <w:szCs w:val="21"/>
                <w:lang w:val="en-US" w:eastAsia="zh-CN"/>
              </w:rPr>
              <w:t>本项目建设单位为天镇县鼎信商砼有限公司。2025年2月，天镇县鼎信商砼有限公司开工建设，未办理相应的环保手续，属于“未批先建”项目。对此，大同市生态环境局于2025年5月27日对建设单位出具了行政处罚决定书，罚款贰万叁仟元，建设单位已于2025年5月29日缴纳了罚款。现进行环境影响评价相关手续的办理。</w:t>
            </w:r>
          </w:p>
          <w:p w14:paraId="4CCD9281">
            <w:pPr>
              <w:spacing w:line="360" w:lineRule="auto"/>
              <w:ind w:firstLine="420" w:firstLineChars="200"/>
              <w:rPr>
                <w:rFonts w:hint="default"/>
                <w:bCs/>
                <w:color w:val="auto"/>
                <w:szCs w:val="21"/>
                <w:lang w:val="en-US" w:eastAsia="zh-CN"/>
              </w:rPr>
            </w:pPr>
            <w:r>
              <w:rPr>
                <w:rFonts w:hint="eastAsia"/>
                <w:bCs/>
                <w:color w:val="auto"/>
                <w:szCs w:val="21"/>
                <w:lang w:val="en-US" w:eastAsia="zh-CN"/>
              </w:rPr>
              <w:t>本项目的建设选址旨在针对玉泉镇及周边建设工程等建筑材料供应。</w:t>
            </w:r>
            <w:r>
              <w:rPr>
                <w:rFonts w:hint="default"/>
                <w:bCs/>
                <w:color w:val="auto"/>
                <w:szCs w:val="21"/>
                <w:lang w:val="en-US" w:eastAsia="zh-CN"/>
              </w:rPr>
              <w:t xml:space="preserve">  </w:t>
            </w:r>
          </w:p>
          <w:p w14:paraId="49A05AB0">
            <w:pPr>
              <w:spacing w:line="360" w:lineRule="auto"/>
              <w:ind w:firstLine="422" w:firstLineChars="200"/>
              <w:rPr>
                <w:rFonts w:hint="default" w:eastAsia="宋体"/>
                <w:b/>
                <w:bCs/>
                <w:color w:val="auto"/>
                <w:szCs w:val="21"/>
                <w:lang w:val="en-US" w:eastAsia="zh-CN"/>
              </w:rPr>
            </w:pPr>
            <w:r>
              <w:rPr>
                <w:rFonts w:hint="eastAsia"/>
                <w:b/>
                <w:bCs/>
                <w:color w:val="auto"/>
                <w:szCs w:val="21"/>
                <w:lang w:val="en-US" w:eastAsia="zh-CN"/>
              </w:rPr>
              <w:t>2.1工程组成</w:t>
            </w:r>
          </w:p>
          <w:p w14:paraId="1E2FDCCF">
            <w:pPr>
              <w:spacing w:line="360" w:lineRule="auto"/>
              <w:ind w:firstLine="420" w:firstLineChars="200"/>
              <w:rPr>
                <w:rFonts w:hint="default" w:eastAsia="宋体"/>
                <w:bCs/>
                <w:color w:val="auto"/>
                <w:szCs w:val="21"/>
                <w:lang w:val="en-US" w:eastAsia="zh-CN"/>
              </w:rPr>
            </w:pPr>
            <w:r>
              <w:rPr>
                <w:rFonts w:hint="eastAsia"/>
                <w:bCs/>
                <w:color w:val="auto"/>
                <w:szCs w:val="21"/>
                <w:lang w:val="en-US" w:eastAsia="zh-CN"/>
              </w:rPr>
              <w:t>本项目主要建设内容包括：建设1条沥青混凝土生产线、1条混凝土生产线、1条水稳土生产线、办公楼以及配套环保设施。</w:t>
            </w:r>
          </w:p>
          <w:p w14:paraId="64AB497E">
            <w:pPr>
              <w:spacing w:line="360" w:lineRule="auto"/>
              <w:ind w:firstLine="420" w:firstLineChars="200"/>
              <w:rPr>
                <w:b/>
                <w:bCs/>
                <w:color w:val="auto"/>
                <w:szCs w:val="21"/>
              </w:rPr>
            </w:pPr>
            <w:r>
              <w:rPr>
                <w:bCs/>
                <w:color w:val="auto"/>
                <w:szCs w:val="21"/>
              </w:rPr>
              <w:t>本项目主要建设内容见表2</w:t>
            </w:r>
            <w:r>
              <w:rPr>
                <w:rFonts w:hint="eastAsia"/>
                <w:bCs/>
                <w:color w:val="auto"/>
                <w:szCs w:val="21"/>
                <w:lang w:val="en-US" w:eastAsia="zh-CN"/>
              </w:rPr>
              <w:t>.1</w:t>
            </w:r>
            <w:r>
              <w:rPr>
                <w:bCs/>
                <w:color w:val="auto"/>
                <w:szCs w:val="21"/>
              </w:rPr>
              <w:t>-</w:t>
            </w:r>
            <w:r>
              <w:rPr>
                <w:rFonts w:hint="eastAsia"/>
                <w:bCs/>
                <w:color w:val="auto"/>
                <w:szCs w:val="21"/>
                <w:lang w:val="en-US" w:eastAsia="zh-CN"/>
              </w:rPr>
              <w:t>1</w:t>
            </w:r>
            <w:r>
              <w:rPr>
                <w:bCs/>
                <w:color w:val="auto"/>
                <w:szCs w:val="21"/>
              </w:rPr>
              <w:t>。</w:t>
            </w:r>
          </w:p>
          <w:p w14:paraId="586B24BE">
            <w:pPr>
              <w:pStyle w:val="77"/>
              <w:snapToGrid/>
              <w:spacing w:line="240" w:lineRule="exact"/>
              <w:ind w:firstLine="361"/>
              <w:jc w:val="center"/>
              <w:rPr>
                <w:rFonts w:ascii="Times New Roman" w:hAnsi="Times New Roman"/>
                <w:b w:val="0"/>
                <w:bCs/>
                <w:color w:val="auto"/>
                <w:sz w:val="18"/>
                <w:szCs w:val="18"/>
              </w:rPr>
            </w:pPr>
            <w:r>
              <w:rPr>
                <w:rFonts w:ascii="Times New Roman" w:hAnsi="Times New Roman"/>
                <w:color w:val="auto"/>
                <w:sz w:val="18"/>
                <w:szCs w:val="18"/>
              </w:rPr>
              <w:t>表2</w:t>
            </w:r>
            <w:r>
              <w:rPr>
                <w:rFonts w:hint="eastAsia" w:ascii="Times New Roman" w:hAnsi="Times New Roman"/>
                <w:color w:val="auto"/>
                <w:sz w:val="18"/>
                <w:szCs w:val="18"/>
                <w:lang w:val="en-US" w:eastAsia="zh-CN"/>
              </w:rPr>
              <w:t>.1</w:t>
            </w:r>
            <w:r>
              <w:rPr>
                <w:rFonts w:ascii="Times New Roman" w:hAnsi="Times New Roman"/>
                <w:color w:val="auto"/>
                <w:sz w:val="18"/>
                <w:szCs w:val="18"/>
              </w:rPr>
              <w:t>-</w:t>
            </w:r>
            <w:r>
              <w:rPr>
                <w:rFonts w:hint="eastAsia" w:ascii="Times New Roman" w:hAnsi="Times New Roman"/>
                <w:color w:val="auto"/>
                <w:sz w:val="18"/>
                <w:szCs w:val="18"/>
                <w:lang w:val="en-US" w:eastAsia="zh-CN"/>
              </w:rPr>
              <w:t>1</w:t>
            </w:r>
            <w:r>
              <w:rPr>
                <w:rFonts w:ascii="Times New Roman" w:hAnsi="Times New Roman"/>
                <w:color w:val="auto"/>
                <w:sz w:val="18"/>
                <w:szCs w:val="18"/>
              </w:rPr>
              <w:t xml:space="preserve">    主要建设内容表</w:t>
            </w:r>
          </w:p>
          <w:tbl>
            <w:tblPr>
              <w:tblStyle w:val="4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34"/>
              <w:gridCol w:w="547"/>
              <w:gridCol w:w="257"/>
              <w:gridCol w:w="970"/>
              <w:gridCol w:w="5038"/>
              <w:gridCol w:w="672"/>
            </w:tblGrid>
            <w:tr w14:paraId="098250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8" w:hRule="atLeast"/>
                <w:jc w:val="center"/>
              </w:trPr>
              <w:tc>
                <w:tcPr>
                  <w:tcW w:w="1439" w:type="pct"/>
                  <w:gridSpan w:val="4"/>
                  <w:tcBorders>
                    <w:tl2br w:val="nil"/>
                    <w:tr2bl w:val="nil"/>
                  </w:tcBorders>
                  <w:vAlign w:val="center"/>
                </w:tcPr>
                <w:p w14:paraId="6C47E7FE">
                  <w:pPr>
                    <w:jc w:val="center"/>
                    <w:rPr>
                      <w:color w:val="auto"/>
                      <w:sz w:val="18"/>
                      <w:szCs w:val="18"/>
                    </w:rPr>
                  </w:pPr>
                  <w:r>
                    <w:rPr>
                      <w:color w:val="auto"/>
                      <w:sz w:val="18"/>
                      <w:szCs w:val="18"/>
                    </w:rPr>
                    <w:t>工程名称</w:t>
                  </w:r>
                </w:p>
              </w:tc>
              <w:tc>
                <w:tcPr>
                  <w:tcW w:w="3141" w:type="pct"/>
                  <w:tcBorders>
                    <w:tl2br w:val="nil"/>
                    <w:tr2bl w:val="nil"/>
                  </w:tcBorders>
                  <w:vAlign w:val="center"/>
                </w:tcPr>
                <w:p w14:paraId="309E8C52">
                  <w:pPr>
                    <w:jc w:val="center"/>
                    <w:rPr>
                      <w:color w:val="auto"/>
                      <w:sz w:val="18"/>
                      <w:szCs w:val="18"/>
                    </w:rPr>
                  </w:pPr>
                  <w:r>
                    <w:rPr>
                      <w:color w:val="auto"/>
                      <w:sz w:val="18"/>
                      <w:szCs w:val="18"/>
                    </w:rPr>
                    <w:t>建设内容</w:t>
                  </w:r>
                </w:p>
              </w:tc>
              <w:tc>
                <w:tcPr>
                  <w:tcW w:w="419" w:type="pct"/>
                  <w:tcBorders>
                    <w:tl2br w:val="nil"/>
                    <w:tr2bl w:val="nil"/>
                  </w:tcBorders>
                  <w:vAlign w:val="center"/>
                </w:tcPr>
                <w:p w14:paraId="79263BB1">
                  <w:pPr>
                    <w:jc w:val="center"/>
                    <w:rPr>
                      <w:color w:val="auto"/>
                      <w:sz w:val="18"/>
                      <w:szCs w:val="18"/>
                    </w:rPr>
                  </w:pPr>
                  <w:r>
                    <w:rPr>
                      <w:color w:val="auto"/>
                      <w:sz w:val="18"/>
                      <w:szCs w:val="18"/>
                    </w:rPr>
                    <w:t>备注</w:t>
                  </w:r>
                </w:p>
              </w:tc>
            </w:tr>
            <w:tr w14:paraId="49C850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3" w:type="pct"/>
                  <w:vMerge w:val="restart"/>
                  <w:tcBorders>
                    <w:tl2br w:val="nil"/>
                    <w:tr2bl w:val="nil"/>
                  </w:tcBorders>
                  <w:vAlign w:val="center"/>
                </w:tcPr>
                <w:p w14:paraId="786BF087">
                  <w:pPr>
                    <w:jc w:val="center"/>
                    <w:rPr>
                      <w:color w:val="auto"/>
                      <w:sz w:val="18"/>
                      <w:szCs w:val="18"/>
                    </w:rPr>
                  </w:pPr>
                  <w:r>
                    <w:rPr>
                      <w:color w:val="auto"/>
                      <w:sz w:val="18"/>
                      <w:szCs w:val="18"/>
                    </w:rPr>
                    <w:t>主体工程</w:t>
                  </w:r>
                </w:p>
              </w:tc>
              <w:tc>
                <w:tcPr>
                  <w:tcW w:w="501" w:type="pct"/>
                  <w:gridSpan w:val="2"/>
                  <w:vMerge w:val="restart"/>
                  <w:tcBorders>
                    <w:tl2br w:val="nil"/>
                    <w:tr2bl w:val="nil"/>
                  </w:tcBorders>
                  <w:vAlign w:val="center"/>
                </w:tcPr>
                <w:p w14:paraId="1662A730">
                  <w:pPr>
                    <w:jc w:val="center"/>
                    <w:rPr>
                      <w:rFonts w:hint="default" w:eastAsia="宋体"/>
                      <w:color w:val="auto"/>
                      <w:sz w:val="18"/>
                      <w:szCs w:val="18"/>
                      <w:lang w:val="en-US" w:eastAsia="zh-CN"/>
                    </w:rPr>
                  </w:pPr>
                  <w:r>
                    <w:rPr>
                      <w:rFonts w:hint="eastAsia"/>
                      <w:color w:val="auto"/>
                      <w:sz w:val="18"/>
                      <w:szCs w:val="18"/>
                      <w:lang w:val="en-US" w:eastAsia="zh-CN"/>
                    </w:rPr>
                    <w:t>沥青混凝土生产线</w:t>
                  </w:r>
                </w:p>
              </w:tc>
              <w:tc>
                <w:tcPr>
                  <w:tcW w:w="604" w:type="pct"/>
                  <w:tcBorders>
                    <w:tl2br w:val="nil"/>
                    <w:tr2bl w:val="nil"/>
                  </w:tcBorders>
                  <w:vAlign w:val="center"/>
                </w:tcPr>
                <w:p w14:paraId="525852AC">
                  <w:pPr>
                    <w:jc w:val="center"/>
                    <w:rPr>
                      <w:color w:val="auto"/>
                      <w:sz w:val="18"/>
                      <w:szCs w:val="18"/>
                    </w:rPr>
                  </w:pPr>
                  <w:r>
                    <w:rPr>
                      <w:rFonts w:hint="eastAsia"/>
                      <w:color w:val="auto"/>
                      <w:sz w:val="18"/>
                      <w:szCs w:val="18"/>
                      <w:lang w:val="en-US" w:eastAsia="zh-CN"/>
                    </w:rPr>
                    <w:t>原料预处理单元</w:t>
                  </w:r>
                </w:p>
              </w:tc>
              <w:tc>
                <w:tcPr>
                  <w:tcW w:w="3141" w:type="pct"/>
                  <w:tcBorders>
                    <w:tl2br w:val="nil"/>
                    <w:tr2bl w:val="nil"/>
                  </w:tcBorders>
                  <w:vAlign w:val="center"/>
                </w:tcPr>
                <w:p w14:paraId="3AD76432">
                  <w:pPr>
                    <w:jc w:val="left"/>
                    <w:rPr>
                      <w:rFonts w:hint="default" w:eastAsia="宋体"/>
                      <w:color w:val="auto"/>
                      <w:sz w:val="18"/>
                      <w:szCs w:val="18"/>
                      <w:lang w:val="en-US" w:eastAsia="zh-CN"/>
                    </w:rPr>
                  </w:pPr>
                  <w:r>
                    <w:rPr>
                      <w:rFonts w:hint="eastAsia"/>
                      <w:color w:val="auto"/>
                      <w:sz w:val="18"/>
                      <w:szCs w:val="18"/>
                      <w:lang w:val="en-US" w:eastAsia="zh-CN"/>
                    </w:rPr>
                    <w:t>厂区西北角处设置有1座冷骨料斗（总60m</w:t>
                  </w:r>
                  <w:r>
                    <w:rPr>
                      <w:rFonts w:hint="eastAsia"/>
                      <w:color w:val="auto"/>
                      <w:sz w:val="18"/>
                      <w:szCs w:val="18"/>
                      <w:vertAlign w:val="superscript"/>
                      <w:lang w:val="en-US" w:eastAsia="zh-CN"/>
                    </w:rPr>
                    <w:t>3</w:t>
                  </w:r>
                  <w:r>
                    <w:rPr>
                      <w:rFonts w:hint="eastAsia"/>
                      <w:color w:val="auto"/>
                      <w:sz w:val="18"/>
                      <w:szCs w:val="18"/>
                      <w:vertAlign w:val="baseline"/>
                      <w:lang w:val="en-US" w:eastAsia="zh-CN"/>
                    </w:rPr>
                    <w:t>，4座15m</w:t>
                  </w:r>
                  <w:r>
                    <w:rPr>
                      <w:rFonts w:hint="eastAsia"/>
                      <w:color w:val="auto"/>
                      <w:sz w:val="18"/>
                      <w:szCs w:val="18"/>
                      <w:vertAlign w:val="superscript"/>
                      <w:lang w:val="en-US" w:eastAsia="zh-CN"/>
                    </w:rPr>
                    <w:t>3</w:t>
                  </w:r>
                  <w:r>
                    <w:rPr>
                      <w:rFonts w:hint="eastAsia"/>
                      <w:color w:val="auto"/>
                      <w:sz w:val="18"/>
                      <w:szCs w:val="18"/>
                      <w:lang w:val="en-US" w:eastAsia="zh-CN"/>
                    </w:rPr>
                    <w:t>），1套给料机（50~120t/h）、1套皮带输送机（L15m，B800mm）、1套冷振筛（260t/h）、1套斜皮带输送机（L7.5m，B800mm）</w:t>
                  </w:r>
                </w:p>
              </w:tc>
              <w:tc>
                <w:tcPr>
                  <w:tcW w:w="419" w:type="pct"/>
                  <w:vMerge w:val="restart"/>
                  <w:tcBorders>
                    <w:tl2br w:val="nil"/>
                    <w:tr2bl w:val="nil"/>
                  </w:tcBorders>
                  <w:vAlign w:val="center"/>
                </w:tcPr>
                <w:p w14:paraId="699D2974">
                  <w:pPr>
                    <w:jc w:val="center"/>
                    <w:rPr>
                      <w:rFonts w:hint="default" w:eastAsia="宋体"/>
                      <w:color w:val="auto"/>
                      <w:sz w:val="18"/>
                      <w:szCs w:val="18"/>
                      <w:lang w:val="en-US" w:eastAsia="zh-CN"/>
                    </w:rPr>
                  </w:pPr>
                  <w:r>
                    <w:rPr>
                      <w:rFonts w:hint="eastAsia"/>
                      <w:color w:val="auto"/>
                      <w:sz w:val="18"/>
                      <w:szCs w:val="18"/>
                      <w:lang w:val="en-US" w:eastAsia="zh-CN"/>
                    </w:rPr>
                    <w:t>已建</w:t>
                  </w:r>
                </w:p>
              </w:tc>
            </w:tr>
            <w:tr w14:paraId="07CB1A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34" w:hRule="atLeast"/>
                <w:jc w:val="center"/>
              </w:trPr>
              <w:tc>
                <w:tcPr>
                  <w:tcW w:w="333" w:type="pct"/>
                  <w:vMerge w:val="continue"/>
                  <w:tcBorders>
                    <w:tl2br w:val="nil"/>
                    <w:tr2bl w:val="nil"/>
                  </w:tcBorders>
                  <w:vAlign w:val="center"/>
                </w:tcPr>
                <w:p w14:paraId="7D225EC0">
                  <w:pPr>
                    <w:jc w:val="center"/>
                    <w:rPr>
                      <w:color w:val="auto"/>
                      <w:sz w:val="18"/>
                      <w:szCs w:val="18"/>
                    </w:rPr>
                  </w:pPr>
                </w:p>
              </w:tc>
              <w:tc>
                <w:tcPr>
                  <w:tcW w:w="501" w:type="pct"/>
                  <w:gridSpan w:val="2"/>
                  <w:vMerge w:val="continue"/>
                  <w:tcBorders>
                    <w:tl2br w:val="nil"/>
                    <w:tr2bl w:val="nil"/>
                  </w:tcBorders>
                  <w:vAlign w:val="center"/>
                </w:tcPr>
                <w:p w14:paraId="298CD1EC">
                  <w:pPr>
                    <w:jc w:val="center"/>
                    <w:rPr>
                      <w:color w:val="auto"/>
                      <w:sz w:val="18"/>
                      <w:szCs w:val="18"/>
                    </w:rPr>
                  </w:pPr>
                </w:p>
              </w:tc>
              <w:tc>
                <w:tcPr>
                  <w:tcW w:w="604" w:type="pct"/>
                  <w:tcBorders>
                    <w:tl2br w:val="nil"/>
                    <w:tr2bl w:val="nil"/>
                  </w:tcBorders>
                  <w:vAlign w:val="center"/>
                </w:tcPr>
                <w:p w14:paraId="2EE6A178">
                  <w:pPr>
                    <w:jc w:val="center"/>
                    <w:rPr>
                      <w:color w:val="auto"/>
                      <w:sz w:val="18"/>
                      <w:szCs w:val="18"/>
                    </w:rPr>
                  </w:pPr>
                  <w:r>
                    <w:rPr>
                      <w:rFonts w:hint="eastAsia"/>
                      <w:color w:val="auto"/>
                      <w:sz w:val="18"/>
                      <w:szCs w:val="18"/>
                      <w:lang w:val="en-US" w:eastAsia="zh-CN"/>
                    </w:rPr>
                    <w:t>生产单元</w:t>
                  </w:r>
                </w:p>
              </w:tc>
              <w:tc>
                <w:tcPr>
                  <w:tcW w:w="3141" w:type="pct"/>
                  <w:tcBorders>
                    <w:tl2br w:val="nil"/>
                    <w:tr2bl w:val="nil"/>
                  </w:tcBorders>
                  <w:vAlign w:val="center"/>
                </w:tcPr>
                <w:p w14:paraId="02F4501E">
                  <w:pPr>
                    <w:jc w:val="left"/>
                    <w:rPr>
                      <w:rFonts w:hint="default" w:eastAsia="宋体"/>
                      <w:color w:val="auto"/>
                      <w:sz w:val="18"/>
                      <w:szCs w:val="18"/>
                      <w:lang w:val="en-US" w:eastAsia="zh-CN"/>
                    </w:rPr>
                  </w:pPr>
                  <w:r>
                    <w:rPr>
                      <w:rFonts w:hint="eastAsia"/>
                      <w:color w:val="auto"/>
                      <w:sz w:val="18"/>
                      <w:szCs w:val="18"/>
                      <w:lang w:val="en-US" w:eastAsia="zh-CN"/>
                    </w:rPr>
                    <w:t>厂区西北角处设置有1套柴油燃烧器（型号TTB-1000，最大320t/h）、1座烘干滚筒（型号GT100，尺寸φ3m×10m，260t/h）、1套搅拌器（80t/h）、1套沥青供应系统，其中沥青供应系统包括1套燃油导热油炉（燃料消耗轻质柴油48kg/h）、3座沥青加热储存罐（单座50t）</w:t>
                  </w:r>
                </w:p>
              </w:tc>
              <w:tc>
                <w:tcPr>
                  <w:tcW w:w="419" w:type="pct"/>
                  <w:vMerge w:val="continue"/>
                  <w:tcBorders>
                    <w:tl2br w:val="nil"/>
                    <w:tr2bl w:val="nil"/>
                  </w:tcBorders>
                  <w:vAlign w:val="center"/>
                </w:tcPr>
                <w:p w14:paraId="6E352918">
                  <w:pPr>
                    <w:jc w:val="center"/>
                    <w:rPr>
                      <w:rFonts w:hint="default" w:eastAsia="宋体"/>
                      <w:color w:val="auto"/>
                      <w:sz w:val="18"/>
                      <w:szCs w:val="18"/>
                      <w:lang w:val="en-US" w:eastAsia="zh-CN"/>
                    </w:rPr>
                  </w:pPr>
                </w:p>
              </w:tc>
            </w:tr>
            <w:tr w14:paraId="57E5AD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99" w:hRule="atLeast"/>
                <w:jc w:val="center"/>
              </w:trPr>
              <w:tc>
                <w:tcPr>
                  <w:tcW w:w="333" w:type="pct"/>
                  <w:vMerge w:val="continue"/>
                  <w:tcBorders>
                    <w:tl2br w:val="nil"/>
                    <w:tr2bl w:val="nil"/>
                  </w:tcBorders>
                  <w:vAlign w:val="center"/>
                </w:tcPr>
                <w:p w14:paraId="4E8B86A5">
                  <w:pPr>
                    <w:jc w:val="center"/>
                    <w:rPr>
                      <w:color w:val="auto"/>
                      <w:sz w:val="18"/>
                      <w:szCs w:val="18"/>
                    </w:rPr>
                  </w:pPr>
                </w:p>
              </w:tc>
              <w:tc>
                <w:tcPr>
                  <w:tcW w:w="1106" w:type="pct"/>
                  <w:gridSpan w:val="3"/>
                  <w:tcBorders>
                    <w:tl2br w:val="nil"/>
                    <w:tr2bl w:val="nil"/>
                  </w:tcBorders>
                  <w:shd w:val="clear" w:color="auto" w:fill="auto"/>
                  <w:vAlign w:val="center"/>
                </w:tcPr>
                <w:p w14:paraId="2F5B62BE">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混凝土生产线</w:t>
                  </w:r>
                </w:p>
              </w:tc>
              <w:tc>
                <w:tcPr>
                  <w:tcW w:w="3141" w:type="pct"/>
                  <w:tcBorders>
                    <w:tl2br w:val="nil"/>
                    <w:tr2bl w:val="nil"/>
                  </w:tcBorders>
                  <w:shd w:val="clear" w:color="auto" w:fill="auto"/>
                  <w:vAlign w:val="center"/>
                </w:tcPr>
                <w:p w14:paraId="5A9D6CA3">
                  <w:pPr>
                    <w:keepNext w:val="0"/>
                    <w:keepLines w:val="0"/>
                    <w:widowControl/>
                    <w:suppressLineNumbers w:val="0"/>
                    <w:jc w:val="left"/>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在厂区西南角处布置1条混凝土生产线，设置有1套混凝土搅拌机组（</w:t>
                  </w:r>
                  <w:r>
                    <w:rPr>
                      <w:rFonts w:hint="eastAsia" w:cs="Times New Roman"/>
                      <w:color w:val="auto"/>
                      <w:sz w:val="18"/>
                      <w:szCs w:val="18"/>
                      <w:lang w:val="en-US" w:eastAsia="zh-CN"/>
                    </w:rPr>
                    <w:t>HZS240型，生产能力100-240t/h</w:t>
                  </w:r>
                  <w:r>
                    <w:rPr>
                      <w:rFonts w:hint="eastAsia"/>
                      <w:color w:val="auto"/>
                      <w:sz w:val="18"/>
                      <w:szCs w:val="18"/>
                      <w:lang w:val="en-US" w:eastAsia="zh-CN"/>
                    </w:rPr>
                    <w:t>）、输送皮带、称重计量以及配套设施等。</w:t>
                  </w:r>
                </w:p>
              </w:tc>
              <w:tc>
                <w:tcPr>
                  <w:tcW w:w="419" w:type="pct"/>
                  <w:tcBorders>
                    <w:tl2br w:val="nil"/>
                    <w:tr2bl w:val="nil"/>
                  </w:tcBorders>
                  <w:vAlign w:val="center"/>
                </w:tcPr>
                <w:p w14:paraId="733F4085">
                  <w:pPr>
                    <w:jc w:val="center"/>
                    <w:rPr>
                      <w:rFonts w:hint="default" w:eastAsia="宋体"/>
                      <w:color w:val="auto"/>
                      <w:sz w:val="18"/>
                      <w:szCs w:val="18"/>
                      <w:lang w:val="en-US" w:eastAsia="zh-CN"/>
                    </w:rPr>
                  </w:pPr>
                  <w:r>
                    <w:rPr>
                      <w:rFonts w:hint="eastAsia"/>
                      <w:color w:val="auto"/>
                      <w:sz w:val="18"/>
                      <w:szCs w:val="18"/>
                      <w:lang w:val="en-US" w:eastAsia="zh-CN"/>
                    </w:rPr>
                    <w:t>已建</w:t>
                  </w:r>
                </w:p>
              </w:tc>
            </w:tr>
            <w:tr w14:paraId="6B3CBC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69" w:hRule="atLeast"/>
                <w:jc w:val="center"/>
              </w:trPr>
              <w:tc>
                <w:tcPr>
                  <w:tcW w:w="333" w:type="pct"/>
                  <w:vMerge w:val="continue"/>
                  <w:tcBorders>
                    <w:tl2br w:val="nil"/>
                    <w:tr2bl w:val="nil"/>
                  </w:tcBorders>
                  <w:vAlign w:val="center"/>
                </w:tcPr>
                <w:p w14:paraId="084A0B3E">
                  <w:pPr>
                    <w:jc w:val="center"/>
                    <w:rPr>
                      <w:color w:val="auto"/>
                      <w:sz w:val="18"/>
                      <w:szCs w:val="18"/>
                    </w:rPr>
                  </w:pPr>
                </w:p>
              </w:tc>
              <w:tc>
                <w:tcPr>
                  <w:tcW w:w="1106" w:type="pct"/>
                  <w:gridSpan w:val="3"/>
                  <w:tcBorders>
                    <w:tl2br w:val="nil"/>
                    <w:tr2bl w:val="nil"/>
                  </w:tcBorders>
                  <w:shd w:val="clear" w:color="auto" w:fill="auto"/>
                  <w:vAlign w:val="center"/>
                </w:tcPr>
                <w:p w14:paraId="0D443591">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水稳土生产线</w:t>
                  </w:r>
                </w:p>
              </w:tc>
              <w:tc>
                <w:tcPr>
                  <w:tcW w:w="3141" w:type="pct"/>
                  <w:tcBorders>
                    <w:tl2br w:val="nil"/>
                    <w:tr2bl w:val="nil"/>
                  </w:tcBorders>
                  <w:shd w:val="clear" w:color="auto" w:fill="auto"/>
                  <w:vAlign w:val="center"/>
                </w:tcPr>
                <w:p w14:paraId="51268662">
                  <w:pPr>
                    <w:keepNext w:val="0"/>
                    <w:keepLines w:val="0"/>
                    <w:widowControl/>
                    <w:suppressLineNumbers w:val="0"/>
                    <w:jc w:val="left"/>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在厂区中部布置1条水稳土生产线，设置有1套水稳土搅拌机组（型号WBZ600，100-150t/h）、输送皮带、称重计量以及配套设施等。</w:t>
                  </w:r>
                </w:p>
              </w:tc>
              <w:tc>
                <w:tcPr>
                  <w:tcW w:w="419" w:type="pct"/>
                  <w:tcBorders>
                    <w:tl2br w:val="nil"/>
                    <w:tr2bl w:val="nil"/>
                  </w:tcBorders>
                  <w:shd w:val="clear" w:color="auto" w:fill="auto"/>
                  <w:vAlign w:val="center"/>
                </w:tcPr>
                <w:p w14:paraId="3270DDB9">
                  <w:pPr>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已建</w:t>
                  </w:r>
                </w:p>
              </w:tc>
            </w:tr>
            <w:tr w14:paraId="0B3E62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3" w:type="pct"/>
                  <w:vMerge w:val="restart"/>
                  <w:tcBorders>
                    <w:tl2br w:val="nil"/>
                    <w:tr2bl w:val="nil"/>
                  </w:tcBorders>
                  <w:vAlign w:val="center"/>
                </w:tcPr>
                <w:p w14:paraId="1020BEB1">
                  <w:pPr>
                    <w:jc w:val="center"/>
                    <w:rPr>
                      <w:color w:val="auto"/>
                      <w:sz w:val="18"/>
                      <w:szCs w:val="18"/>
                    </w:rPr>
                  </w:pPr>
                  <w:r>
                    <w:rPr>
                      <w:rFonts w:hint="eastAsia"/>
                      <w:color w:val="auto"/>
                      <w:sz w:val="18"/>
                      <w:szCs w:val="18"/>
                      <w:lang w:val="en-US" w:eastAsia="zh-CN"/>
                    </w:rPr>
                    <w:t>辅助</w:t>
                  </w:r>
                  <w:r>
                    <w:rPr>
                      <w:color w:val="auto"/>
                      <w:sz w:val="18"/>
                      <w:szCs w:val="18"/>
                    </w:rPr>
                    <w:t>工程</w:t>
                  </w:r>
                </w:p>
              </w:tc>
              <w:tc>
                <w:tcPr>
                  <w:tcW w:w="1106" w:type="pct"/>
                  <w:gridSpan w:val="3"/>
                  <w:tcBorders>
                    <w:tl2br w:val="nil"/>
                    <w:tr2bl w:val="nil"/>
                  </w:tcBorders>
                  <w:vAlign w:val="center"/>
                </w:tcPr>
                <w:p w14:paraId="19E73718">
                  <w:pPr>
                    <w:jc w:val="center"/>
                    <w:rPr>
                      <w:rFonts w:hint="default" w:eastAsia="宋体"/>
                      <w:color w:val="auto"/>
                      <w:sz w:val="18"/>
                      <w:szCs w:val="18"/>
                      <w:lang w:val="en-US" w:eastAsia="zh-CN"/>
                    </w:rPr>
                  </w:pPr>
                  <w:r>
                    <w:rPr>
                      <w:rFonts w:hint="eastAsia"/>
                      <w:color w:val="auto"/>
                      <w:sz w:val="18"/>
                      <w:szCs w:val="18"/>
                      <w:lang w:val="en-US" w:eastAsia="zh-CN"/>
                    </w:rPr>
                    <w:t>办公生活区</w:t>
                  </w:r>
                </w:p>
              </w:tc>
              <w:tc>
                <w:tcPr>
                  <w:tcW w:w="3141" w:type="pct"/>
                  <w:tcBorders>
                    <w:tl2br w:val="nil"/>
                    <w:tr2bl w:val="nil"/>
                  </w:tcBorders>
                  <w:vAlign w:val="center"/>
                </w:tcPr>
                <w:p w14:paraId="0F38320E">
                  <w:pPr>
                    <w:rPr>
                      <w:rFonts w:hint="default" w:eastAsia="宋体"/>
                      <w:color w:val="auto"/>
                      <w:sz w:val="18"/>
                      <w:szCs w:val="18"/>
                      <w:lang w:val="en-US" w:eastAsia="zh-CN"/>
                    </w:rPr>
                  </w:pPr>
                  <w:r>
                    <w:rPr>
                      <w:rFonts w:hint="eastAsia"/>
                      <w:color w:val="auto"/>
                      <w:sz w:val="18"/>
                      <w:szCs w:val="18"/>
                      <w:lang w:val="en-US" w:eastAsia="zh-CN"/>
                    </w:rPr>
                    <w:t>厂区北侧设置1座办公楼，建筑面积540m</w:t>
                  </w:r>
                  <w:r>
                    <w:rPr>
                      <w:rFonts w:hint="eastAsia"/>
                      <w:color w:val="auto"/>
                      <w:sz w:val="18"/>
                      <w:szCs w:val="18"/>
                      <w:vertAlign w:val="superscript"/>
                      <w:lang w:val="en-US" w:eastAsia="zh-CN"/>
                    </w:rPr>
                    <w:t>2</w:t>
                  </w:r>
                  <w:r>
                    <w:rPr>
                      <w:rFonts w:hint="eastAsia"/>
                      <w:color w:val="auto"/>
                      <w:sz w:val="18"/>
                      <w:szCs w:val="18"/>
                      <w:lang w:val="en-US" w:eastAsia="zh-CN"/>
                    </w:rPr>
                    <w:t>，三层混凝土结构。</w:t>
                  </w:r>
                </w:p>
              </w:tc>
              <w:tc>
                <w:tcPr>
                  <w:tcW w:w="419" w:type="pct"/>
                  <w:tcBorders>
                    <w:tl2br w:val="nil"/>
                    <w:tr2bl w:val="nil"/>
                  </w:tcBorders>
                  <w:vAlign w:val="center"/>
                </w:tcPr>
                <w:p w14:paraId="209B3D9F">
                  <w:pPr>
                    <w:jc w:val="center"/>
                    <w:rPr>
                      <w:rFonts w:hint="default"/>
                      <w:color w:val="auto"/>
                      <w:sz w:val="18"/>
                      <w:szCs w:val="18"/>
                      <w:lang w:val="en-US" w:eastAsia="zh-CN"/>
                    </w:rPr>
                  </w:pPr>
                  <w:r>
                    <w:rPr>
                      <w:rFonts w:hint="eastAsia"/>
                      <w:color w:val="auto"/>
                      <w:sz w:val="18"/>
                      <w:szCs w:val="18"/>
                      <w:lang w:val="en-US" w:eastAsia="zh-CN"/>
                    </w:rPr>
                    <w:t>已建主体</w:t>
                  </w:r>
                </w:p>
              </w:tc>
            </w:tr>
            <w:tr w14:paraId="6778F9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3" w:type="pct"/>
                  <w:vMerge w:val="continue"/>
                  <w:tcBorders>
                    <w:tl2br w:val="nil"/>
                    <w:tr2bl w:val="nil"/>
                  </w:tcBorders>
                  <w:vAlign w:val="center"/>
                </w:tcPr>
                <w:p w14:paraId="4888A5C6">
                  <w:pPr>
                    <w:jc w:val="center"/>
                    <w:rPr>
                      <w:rFonts w:hint="eastAsia"/>
                      <w:color w:val="auto"/>
                      <w:sz w:val="18"/>
                      <w:szCs w:val="18"/>
                      <w:lang w:val="en-US" w:eastAsia="zh-CN"/>
                    </w:rPr>
                  </w:pPr>
                </w:p>
              </w:tc>
              <w:tc>
                <w:tcPr>
                  <w:tcW w:w="1106" w:type="pct"/>
                  <w:gridSpan w:val="3"/>
                  <w:tcBorders>
                    <w:tl2br w:val="nil"/>
                    <w:tr2bl w:val="nil"/>
                  </w:tcBorders>
                  <w:vAlign w:val="center"/>
                </w:tcPr>
                <w:p w14:paraId="22E996B1">
                  <w:pPr>
                    <w:jc w:val="center"/>
                    <w:rPr>
                      <w:rFonts w:hint="default"/>
                      <w:color w:val="auto"/>
                      <w:sz w:val="18"/>
                      <w:szCs w:val="18"/>
                      <w:lang w:val="en-US" w:eastAsia="zh-CN"/>
                    </w:rPr>
                  </w:pPr>
                  <w:r>
                    <w:rPr>
                      <w:rFonts w:hint="eastAsia"/>
                      <w:color w:val="auto"/>
                      <w:sz w:val="18"/>
                      <w:szCs w:val="18"/>
                      <w:lang w:val="en-US" w:eastAsia="zh-CN"/>
                    </w:rPr>
                    <w:t>门卫室</w:t>
                  </w:r>
                </w:p>
              </w:tc>
              <w:tc>
                <w:tcPr>
                  <w:tcW w:w="3141" w:type="pct"/>
                  <w:tcBorders>
                    <w:tl2br w:val="nil"/>
                    <w:tr2bl w:val="nil"/>
                  </w:tcBorders>
                  <w:vAlign w:val="center"/>
                </w:tcPr>
                <w:p w14:paraId="251C8C4C">
                  <w:pPr>
                    <w:rPr>
                      <w:rFonts w:hint="default"/>
                      <w:color w:val="auto"/>
                      <w:sz w:val="18"/>
                      <w:szCs w:val="18"/>
                      <w:lang w:val="en-US" w:eastAsia="zh-CN"/>
                    </w:rPr>
                  </w:pPr>
                  <w:r>
                    <w:rPr>
                      <w:rFonts w:hint="eastAsia"/>
                      <w:color w:val="auto"/>
                      <w:sz w:val="18"/>
                      <w:szCs w:val="18"/>
                      <w:lang w:val="en-US" w:eastAsia="zh-CN"/>
                    </w:rPr>
                    <w:t>砖混结构，占地面积20m</w:t>
                  </w:r>
                  <w:r>
                    <w:rPr>
                      <w:rFonts w:hint="eastAsia"/>
                      <w:color w:val="auto"/>
                      <w:sz w:val="18"/>
                      <w:szCs w:val="18"/>
                      <w:vertAlign w:val="superscript"/>
                      <w:lang w:val="en-US" w:eastAsia="zh-CN"/>
                    </w:rPr>
                    <w:t>2</w:t>
                  </w:r>
                  <w:r>
                    <w:rPr>
                      <w:rFonts w:hint="eastAsia"/>
                      <w:color w:val="auto"/>
                      <w:sz w:val="18"/>
                      <w:szCs w:val="18"/>
                      <w:lang w:val="en-US" w:eastAsia="zh-CN"/>
                    </w:rPr>
                    <w:t>。</w:t>
                  </w:r>
                </w:p>
              </w:tc>
              <w:tc>
                <w:tcPr>
                  <w:tcW w:w="419" w:type="pct"/>
                  <w:tcBorders>
                    <w:tl2br w:val="nil"/>
                    <w:tr2bl w:val="nil"/>
                  </w:tcBorders>
                  <w:vAlign w:val="center"/>
                </w:tcPr>
                <w:p w14:paraId="7C716DCD">
                  <w:pPr>
                    <w:jc w:val="center"/>
                    <w:rPr>
                      <w:rFonts w:hint="default"/>
                      <w:color w:val="auto"/>
                      <w:sz w:val="18"/>
                      <w:szCs w:val="18"/>
                      <w:lang w:val="en-US" w:eastAsia="zh-CN"/>
                    </w:rPr>
                  </w:pPr>
                  <w:r>
                    <w:rPr>
                      <w:rFonts w:hint="eastAsia"/>
                      <w:color w:val="auto"/>
                      <w:sz w:val="18"/>
                      <w:szCs w:val="18"/>
                      <w:lang w:val="en-US" w:eastAsia="zh-CN"/>
                    </w:rPr>
                    <w:t>新建</w:t>
                  </w:r>
                </w:p>
              </w:tc>
            </w:tr>
            <w:tr w14:paraId="7B1F74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3" w:type="pct"/>
                  <w:vMerge w:val="continue"/>
                  <w:tcBorders>
                    <w:tl2br w:val="nil"/>
                    <w:tr2bl w:val="nil"/>
                  </w:tcBorders>
                  <w:vAlign w:val="center"/>
                </w:tcPr>
                <w:p w14:paraId="6C47B68F">
                  <w:pPr>
                    <w:jc w:val="center"/>
                    <w:rPr>
                      <w:rFonts w:hint="eastAsia"/>
                      <w:color w:val="auto"/>
                      <w:sz w:val="18"/>
                      <w:szCs w:val="18"/>
                      <w:lang w:val="en-US" w:eastAsia="zh-CN"/>
                    </w:rPr>
                  </w:pPr>
                </w:p>
              </w:tc>
              <w:tc>
                <w:tcPr>
                  <w:tcW w:w="1106" w:type="pct"/>
                  <w:gridSpan w:val="3"/>
                  <w:tcBorders>
                    <w:tl2br w:val="nil"/>
                    <w:tr2bl w:val="nil"/>
                  </w:tcBorders>
                  <w:vAlign w:val="center"/>
                </w:tcPr>
                <w:p w14:paraId="1837483D">
                  <w:pPr>
                    <w:jc w:val="center"/>
                    <w:rPr>
                      <w:rFonts w:hint="default"/>
                      <w:color w:val="auto"/>
                      <w:sz w:val="18"/>
                      <w:szCs w:val="18"/>
                      <w:lang w:val="en-US" w:eastAsia="zh-CN"/>
                    </w:rPr>
                  </w:pPr>
                  <w:r>
                    <w:rPr>
                      <w:rFonts w:hint="eastAsia"/>
                      <w:color w:val="auto"/>
                      <w:sz w:val="18"/>
                      <w:szCs w:val="18"/>
                      <w:lang w:val="en-US" w:eastAsia="zh-CN"/>
                    </w:rPr>
                    <w:t>化粪池</w:t>
                  </w:r>
                </w:p>
              </w:tc>
              <w:tc>
                <w:tcPr>
                  <w:tcW w:w="3141" w:type="pct"/>
                  <w:tcBorders>
                    <w:tl2br w:val="nil"/>
                    <w:tr2bl w:val="nil"/>
                  </w:tcBorders>
                  <w:vAlign w:val="center"/>
                </w:tcPr>
                <w:p w14:paraId="2349EDFB">
                  <w:pPr>
                    <w:rPr>
                      <w:rFonts w:hint="default"/>
                      <w:color w:val="auto"/>
                      <w:sz w:val="18"/>
                      <w:szCs w:val="18"/>
                      <w:lang w:val="en-US" w:eastAsia="zh-CN"/>
                    </w:rPr>
                  </w:pPr>
                  <w:r>
                    <w:rPr>
                      <w:rFonts w:hint="eastAsia"/>
                      <w:color w:val="auto"/>
                      <w:sz w:val="18"/>
                      <w:szCs w:val="18"/>
                      <w:lang w:val="en-US" w:eastAsia="zh-CN"/>
                    </w:rPr>
                    <w:t>办公区东侧设置有1座20m</w:t>
                  </w:r>
                  <w:r>
                    <w:rPr>
                      <w:rFonts w:hint="eastAsia"/>
                      <w:color w:val="auto"/>
                      <w:sz w:val="18"/>
                      <w:szCs w:val="18"/>
                      <w:vertAlign w:val="superscript"/>
                      <w:lang w:val="en-US" w:eastAsia="zh-CN"/>
                    </w:rPr>
                    <w:t>3</w:t>
                  </w:r>
                  <w:r>
                    <w:rPr>
                      <w:rFonts w:hint="eastAsia"/>
                      <w:color w:val="auto"/>
                      <w:sz w:val="18"/>
                      <w:szCs w:val="18"/>
                      <w:lang w:val="en-US" w:eastAsia="zh-CN"/>
                    </w:rPr>
                    <w:t>的化粪池。</w:t>
                  </w:r>
                </w:p>
              </w:tc>
              <w:tc>
                <w:tcPr>
                  <w:tcW w:w="419" w:type="pct"/>
                  <w:tcBorders>
                    <w:tl2br w:val="nil"/>
                    <w:tr2bl w:val="nil"/>
                  </w:tcBorders>
                  <w:vAlign w:val="center"/>
                </w:tcPr>
                <w:p w14:paraId="4214B30D">
                  <w:pPr>
                    <w:jc w:val="center"/>
                    <w:rPr>
                      <w:rFonts w:hint="default"/>
                      <w:color w:val="auto"/>
                      <w:sz w:val="18"/>
                      <w:szCs w:val="18"/>
                      <w:lang w:val="en-US" w:eastAsia="zh-CN"/>
                    </w:rPr>
                  </w:pPr>
                  <w:r>
                    <w:rPr>
                      <w:rFonts w:hint="eastAsia"/>
                      <w:color w:val="auto"/>
                      <w:sz w:val="18"/>
                      <w:szCs w:val="18"/>
                      <w:lang w:val="en-US" w:eastAsia="zh-CN"/>
                    </w:rPr>
                    <w:t>新建</w:t>
                  </w:r>
                </w:p>
              </w:tc>
            </w:tr>
            <w:tr w14:paraId="2F8D95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3" w:type="pct"/>
                  <w:vMerge w:val="continue"/>
                  <w:tcBorders>
                    <w:tl2br w:val="nil"/>
                    <w:tr2bl w:val="nil"/>
                  </w:tcBorders>
                  <w:vAlign w:val="center"/>
                </w:tcPr>
                <w:p w14:paraId="4327FE97">
                  <w:pPr>
                    <w:jc w:val="center"/>
                    <w:rPr>
                      <w:rFonts w:hint="eastAsia"/>
                      <w:color w:val="auto"/>
                      <w:sz w:val="18"/>
                      <w:szCs w:val="18"/>
                      <w:lang w:val="en-US" w:eastAsia="zh-CN"/>
                    </w:rPr>
                  </w:pPr>
                </w:p>
              </w:tc>
              <w:tc>
                <w:tcPr>
                  <w:tcW w:w="1106" w:type="pct"/>
                  <w:gridSpan w:val="3"/>
                  <w:tcBorders>
                    <w:tl2br w:val="nil"/>
                    <w:tr2bl w:val="nil"/>
                  </w:tcBorders>
                  <w:vAlign w:val="center"/>
                </w:tcPr>
                <w:p w14:paraId="12474981">
                  <w:pPr>
                    <w:jc w:val="center"/>
                    <w:rPr>
                      <w:rFonts w:hint="default"/>
                      <w:color w:val="auto"/>
                      <w:sz w:val="18"/>
                      <w:szCs w:val="18"/>
                      <w:lang w:val="en-US" w:eastAsia="zh-CN"/>
                    </w:rPr>
                  </w:pPr>
                  <w:r>
                    <w:rPr>
                      <w:rFonts w:hint="eastAsia"/>
                      <w:color w:val="auto"/>
                      <w:sz w:val="18"/>
                      <w:szCs w:val="18"/>
                      <w:lang w:val="en-US" w:eastAsia="zh-CN"/>
                    </w:rPr>
                    <w:t>导热油炉</w:t>
                  </w:r>
                </w:p>
              </w:tc>
              <w:tc>
                <w:tcPr>
                  <w:tcW w:w="3141" w:type="pct"/>
                  <w:tcBorders>
                    <w:tl2br w:val="nil"/>
                    <w:tr2bl w:val="nil"/>
                  </w:tcBorders>
                  <w:vAlign w:val="center"/>
                </w:tcPr>
                <w:p w14:paraId="15818938">
                  <w:pPr>
                    <w:rPr>
                      <w:rFonts w:hint="default"/>
                      <w:color w:val="auto"/>
                      <w:sz w:val="18"/>
                      <w:szCs w:val="18"/>
                      <w:lang w:val="en-US" w:eastAsia="zh-CN"/>
                    </w:rPr>
                  </w:pPr>
                  <w:r>
                    <w:rPr>
                      <w:rFonts w:hint="eastAsia"/>
                      <w:color w:val="auto"/>
                      <w:sz w:val="18"/>
                      <w:szCs w:val="18"/>
                      <w:lang w:val="en-US" w:eastAsia="zh-CN"/>
                    </w:rPr>
                    <w:t>位于柴油罐区东侧、骨料仓北侧，占地10m</w:t>
                  </w:r>
                  <w:r>
                    <w:rPr>
                      <w:rFonts w:hint="eastAsia"/>
                      <w:color w:val="auto"/>
                      <w:sz w:val="18"/>
                      <w:szCs w:val="18"/>
                      <w:vertAlign w:val="superscript"/>
                      <w:lang w:val="en-US" w:eastAsia="zh-CN"/>
                    </w:rPr>
                    <w:t>2</w:t>
                  </w:r>
                  <w:r>
                    <w:rPr>
                      <w:rFonts w:hint="eastAsia"/>
                      <w:color w:val="auto"/>
                      <w:sz w:val="18"/>
                      <w:szCs w:val="18"/>
                      <w:lang w:val="en-US" w:eastAsia="zh-CN"/>
                    </w:rPr>
                    <w:t>，燃料为轻质柴油，并设置有2座导热油储罐，上下分布，导热油总储存量2.5t。</w:t>
                  </w:r>
                </w:p>
              </w:tc>
              <w:tc>
                <w:tcPr>
                  <w:tcW w:w="419" w:type="pct"/>
                  <w:tcBorders>
                    <w:tl2br w:val="nil"/>
                    <w:tr2bl w:val="nil"/>
                  </w:tcBorders>
                  <w:vAlign w:val="center"/>
                </w:tcPr>
                <w:p w14:paraId="628FCB10">
                  <w:pPr>
                    <w:jc w:val="center"/>
                    <w:rPr>
                      <w:rFonts w:hint="default"/>
                      <w:color w:val="auto"/>
                      <w:sz w:val="18"/>
                      <w:szCs w:val="18"/>
                      <w:lang w:val="en-US" w:eastAsia="zh-CN"/>
                    </w:rPr>
                  </w:pPr>
                  <w:r>
                    <w:rPr>
                      <w:rFonts w:hint="eastAsia"/>
                      <w:color w:val="auto"/>
                      <w:sz w:val="18"/>
                      <w:szCs w:val="18"/>
                      <w:lang w:val="en-US" w:eastAsia="zh-CN"/>
                    </w:rPr>
                    <w:t>已建</w:t>
                  </w:r>
                </w:p>
              </w:tc>
            </w:tr>
            <w:tr w14:paraId="77F70D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3" w:type="pct"/>
                  <w:vMerge w:val="continue"/>
                  <w:tcBorders>
                    <w:tl2br w:val="nil"/>
                    <w:tr2bl w:val="nil"/>
                  </w:tcBorders>
                  <w:vAlign w:val="center"/>
                </w:tcPr>
                <w:p w14:paraId="4E26B021">
                  <w:pPr>
                    <w:jc w:val="center"/>
                    <w:rPr>
                      <w:rFonts w:hint="eastAsia"/>
                      <w:color w:val="auto"/>
                      <w:sz w:val="18"/>
                      <w:szCs w:val="18"/>
                      <w:lang w:val="en-US" w:eastAsia="zh-CN"/>
                    </w:rPr>
                  </w:pPr>
                </w:p>
              </w:tc>
              <w:tc>
                <w:tcPr>
                  <w:tcW w:w="1106" w:type="pct"/>
                  <w:gridSpan w:val="3"/>
                  <w:tcBorders>
                    <w:tl2br w:val="nil"/>
                    <w:tr2bl w:val="nil"/>
                  </w:tcBorders>
                  <w:vAlign w:val="center"/>
                </w:tcPr>
                <w:p w14:paraId="08C2EED8">
                  <w:pPr>
                    <w:jc w:val="center"/>
                    <w:rPr>
                      <w:rFonts w:hint="default"/>
                      <w:color w:val="auto"/>
                      <w:sz w:val="18"/>
                      <w:szCs w:val="18"/>
                      <w:lang w:val="en-US" w:eastAsia="zh-CN"/>
                    </w:rPr>
                  </w:pPr>
                  <w:r>
                    <w:rPr>
                      <w:rFonts w:hint="eastAsia"/>
                      <w:color w:val="auto"/>
                      <w:sz w:val="18"/>
                      <w:szCs w:val="18"/>
                      <w:lang w:val="en-US" w:eastAsia="zh-CN"/>
                    </w:rPr>
                    <w:t>沉淀池</w:t>
                  </w:r>
                </w:p>
              </w:tc>
              <w:tc>
                <w:tcPr>
                  <w:tcW w:w="3141" w:type="pct"/>
                  <w:tcBorders>
                    <w:tl2br w:val="nil"/>
                    <w:tr2bl w:val="nil"/>
                  </w:tcBorders>
                  <w:vAlign w:val="center"/>
                </w:tcPr>
                <w:p w14:paraId="2848F5A9">
                  <w:pPr>
                    <w:rPr>
                      <w:rFonts w:hint="default"/>
                      <w:color w:val="auto"/>
                      <w:sz w:val="18"/>
                      <w:szCs w:val="18"/>
                      <w:lang w:val="en-US" w:eastAsia="zh-CN"/>
                    </w:rPr>
                  </w:pPr>
                  <w:r>
                    <w:rPr>
                      <w:rFonts w:hint="eastAsia"/>
                      <w:color w:val="auto"/>
                      <w:sz w:val="18"/>
                      <w:szCs w:val="18"/>
                      <w:lang w:val="en-US" w:eastAsia="zh-CN"/>
                    </w:rPr>
                    <w:t>在作业区地势最低处设置一座沉淀池，兼顾洗车平台循环水池，建设尺寸：L8m×5m×1m，容积40m</w:t>
                  </w:r>
                  <w:r>
                    <w:rPr>
                      <w:rFonts w:hint="eastAsia"/>
                      <w:color w:val="auto"/>
                      <w:sz w:val="18"/>
                      <w:szCs w:val="18"/>
                      <w:vertAlign w:val="superscript"/>
                      <w:lang w:val="en-US" w:eastAsia="zh-CN"/>
                    </w:rPr>
                    <w:t>3</w:t>
                  </w:r>
                  <w:r>
                    <w:rPr>
                      <w:rFonts w:hint="eastAsia"/>
                      <w:color w:val="auto"/>
                      <w:sz w:val="18"/>
                      <w:szCs w:val="18"/>
                      <w:vertAlign w:val="baseline"/>
                      <w:lang w:val="en-US" w:eastAsia="zh-CN"/>
                    </w:rPr>
                    <w:t>。</w:t>
                  </w:r>
                </w:p>
              </w:tc>
              <w:tc>
                <w:tcPr>
                  <w:tcW w:w="419" w:type="pct"/>
                  <w:tcBorders>
                    <w:tl2br w:val="nil"/>
                    <w:tr2bl w:val="nil"/>
                  </w:tcBorders>
                  <w:vAlign w:val="center"/>
                </w:tcPr>
                <w:p w14:paraId="44B1426C">
                  <w:pPr>
                    <w:jc w:val="center"/>
                    <w:rPr>
                      <w:rFonts w:hint="eastAsia"/>
                      <w:color w:val="auto"/>
                      <w:sz w:val="18"/>
                      <w:szCs w:val="18"/>
                      <w:lang w:val="en-US" w:eastAsia="zh-CN"/>
                    </w:rPr>
                  </w:pPr>
                  <w:r>
                    <w:rPr>
                      <w:rFonts w:hint="eastAsia"/>
                      <w:color w:val="auto"/>
                      <w:sz w:val="18"/>
                      <w:szCs w:val="18"/>
                      <w:lang w:val="en-US" w:eastAsia="zh-CN"/>
                    </w:rPr>
                    <w:t>新建</w:t>
                  </w:r>
                </w:p>
              </w:tc>
            </w:tr>
            <w:tr w14:paraId="5E6B12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3" w:type="pct"/>
                  <w:vMerge w:val="restart"/>
                  <w:tcBorders>
                    <w:tl2br w:val="nil"/>
                    <w:tr2bl w:val="nil"/>
                  </w:tcBorders>
                  <w:vAlign w:val="center"/>
                </w:tcPr>
                <w:p w14:paraId="77DF2A8E">
                  <w:pPr>
                    <w:jc w:val="center"/>
                    <w:rPr>
                      <w:color w:val="auto"/>
                      <w:sz w:val="18"/>
                      <w:szCs w:val="18"/>
                    </w:rPr>
                  </w:pPr>
                  <w:r>
                    <w:rPr>
                      <w:color w:val="auto"/>
                      <w:sz w:val="18"/>
                      <w:szCs w:val="18"/>
                    </w:rPr>
                    <w:t>公用工程</w:t>
                  </w:r>
                </w:p>
              </w:tc>
              <w:tc>
                <w:tcPr>
                  <w:tcW w:w="1106" w:type="pct"/>
                  <w:gridSpan w:val="3"/>
                  <w:tcBorders>
                    <w:tl2br w:val="nil"/>
                    <w:tr2bl w:val="nil"/>
                  </w:tcBorders>
                  <w:shd w:val="clear" w:color="auto" w:fill="auto"/>
                  <w:vAlign w:val="center"/>
                </w:tcPr>
                <w:p w14:paraId="4665B316">
                  <w:pPr>
                    <w:jc w:val="center"/>
                    <w:rPr>
                      <w:rFonts w:hint="eastAsia"/>
                      <w:color w:val="auto"/>
                      <w:sz w:val="18"/>
                      <w:szCs w:val="18"/>
                      <w:lang w:val="en-US" w:eastAsia="zh-CN"/>
                    </w:rPr>
                  </w:pPr>
                  <w:r>
                    <w:rPr>
                      <w:rFonts w:hint="eastAsia"/>
                      <w:color w:val="auto"/>
                      <w:sz w:val="18"/>
                      <w:szCs w:val="18"/>
                      <w:lang w:val="en-US" w:eastAsia="zh-CN"/>
                    </w:rPr>
                    <w:t>供电</w:t>
                  </w:r>
                </w:p>
              </w:tc>
              <w:tc>
                <w:tcPr>
                  <w:tcW w:w="3141" w:type="pct"/>
                  <w:tcBorders>
                    <w:tl2br w:val="nil"/>
                    <w:tr2bl w:val="nil"/>
                  </w:tcBorders>
                  <w:shd w:val="clear" w:color="auto" w:fill="auto"/>
                  <w:vAlign w:val="center"/>
                </w:tcPr>
                <w:p w14:paraId="2CE32FD2">
                  <w:pPr>
                    <w:rPr>
                      <w:rFonts w:hint="eastAsia"/>
                      <w:color w:val="auto"/>
                      <w:sz w:val="18"/>
                      <w:szCs w:val="18"/>
                      <w:lang w:val="en-US" w:eastAsia="zh-CN"/>
                    </w:rPr>
                  </w:pPr>
                  <w:r>
                    <w:rPr>
                      <w:rFonts w:hint="eastAsia"/>
                      <w:color w:val="auto"/>
                      <w:sz w:val="18"/>
                      <w:szCs w:val="18"/>
                      <w:lang w:val="en-US" w:eastAsia="zh-CN"/>
                    </w:rPr>
                    <w:t>由附近变电站引入，厂区内设置1座箱变。</w:t>
                  </w:r>
                </w:p>
              </w:tc>
              <w:tc>
                <w:tcPr>
                  <w:tcW w:w="419" w:type="pct"/>
                  <w:tcBorders>
                    <w:tl2br w:val="nil"/>
                    <w:tr2bl w:val="nil"/>
                  </w:tcBorders>
                  <w:vAlign w:val="center"/>
                </w:tcPr>
                <w:p w14:paraId="4C1E6DAB">
                  <w:pPr>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已建</w:t>
                  </w:r>
                </w:p>
              </w:tc>
            </w:tr>
            <w:tr w14:paraId="77D57D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3" w:type="pct"/>
                  <w:vMerge w:val="continue"/>
                  <w:tcBorders>
                    <w:tl2br w:val="nil"/>
                    <w:tr2bl w:val="nil"/>
                  </w:tcBorders>
                  <w:vAlign w:val="center"/>
                </w:tcPr>
                <w:p w14:paraId="07AEB70D">
                  <w:pPr>
                    <w:jc w:val="center"/>
                    <w:rPr>
                      <w:color w:val="auto"/>
                      <w:sz w:val="18"/>
                      <w:szCs w:val="18"/>
                    </w:rPr>
                  </w:pPr>
                </w:p>
              </w:tc>
              <w:tc>
                <w:tcPr>
                  <w:tcW w:w="1106" w:type="pct"/>
                  <w:gridSpan w:val="3"/>
                  <w:tcBorders>
                    <w:tl2br w:val="nil"/>
                    <w:tr2bl w:val="nil"/>
                  </w:tcBorders>
                  <w:shd w:val="clear" w:color="auto" w:fill="auto"/>
                  <w:vAlign w:val="center"/>
                </w:tcPr>
                <w:p w14:paraId="41DF9CA8">
                  <w:pPr>
                    <w:jc w:val="center"/>
                    <w:rPr>
                      <w:rFonts w:hint="eastAsia" w:ascii="Times New Roman" w:hAnsi="Times New Roman" w:eastAsia="宋体" w:cs="Times New Roman"/>
                      <w:color w:val="auto"/>
                      <w:kern w:val="2"/>
                      <w:sz w:val="18"/>
                      <w:szCs w:val="18"/>
                      <w:lang w:val="en-US" w:eastAsia="zh-CN" w:bidi="ar-SA"/>
                    </w:rPr>
                  </w:pPr>
                  <w:r>
                    <w:rPr>
                      <w:color w:val="auto"/>
                      <w:sz w:val="18"/>
                      <w:szCs w:val="18"/>
                    </w:rPr>
                    <w:t>供水</w:t>
                  </w:r>
                </w:p>
              </w:tc>
              <w:tc>
                <w:tcPr>
                  <w:tcW w:w="3141" w:type="pct"/>
                  <w:tcBorders>
                    <w:tl2br w:val="nil"/>
                    <w:tr2bl w:val="nil"/>
                  </w:tcBorders>
                  <w:shd w:val="clear" w:color="auto" w:fill="auto"/>
                  <w:vAlign w:val="center"/>
                </w:tcPr>
                <w:p w14:paraId="49A00D35">
                  <w:pPr>
                    <w:rPr>
                      <w:rFonts w:hint="default" w:ascii="Times New Roman" w:hAnsi="Times New Roman" w:eastAsia="宋体" w:cs="Times New Roman"/>
                      <w:color w:val="auto"/>
                      <w:kern w:val="2"/>
                      <w:sz w:val="18"/>
                      <w:szCs w:val="18"/>
                      <w:lang w:val="en-US" w:eastAsia="zh-CN" w:bidi="ar-SA"/>
                    </w:rPr>
                  </w:pPr>
                  <w:r>
                    <w:rPr>
                      <w:color w:val="auto"/>
                      <w:sz w:val="18"/>
                      <w:szCs w:val="18"/>
                    </w:rPr>
                    <w:t>由</w:t>
                  </w:r>
                  <w:r>
                    <w:rPr>
                      <w:rFonts w:hint="eastAsia"/>
                      <w:color w:val="auto"/>
                      <w:sz w:val="18"/>
                      <w:szCs w:val="18"/>
                      <w:lang w:val="en-US" w:eastAsia="zh-CN"/>
                    </w:rPr>
                    <w:t>自来水供水管网提供</w:t>
                  </w:r>
                  <w:r>
                    <w:rPr>
                      <w:color w:val="auto"/>
                      <w:sz w:val="18"/>
                      <w:szCs w:val="18"/>
                    </w:rPr>
                    <w:t>。</w:t>
                  </w:r>
                </w:p>
              </w:tc>
              <w:tc>
                <w:tcPr>
                  <w:tcW w:w="419" w:type="pct"/>
                  <w:tcBorders>
                    <w:tl2br w:val="nil"/>
                    <w:tr2bl w:val="nil"/>
                  </w:tcBorders>
                  <w:vAlign w:val="center"/>
                </w:tcPr>
                <w:p w14:paraId="1FB8E2C4">
                  <w:pPr>
                    <w:jc w:val="center"/>
                    <w:rPr>
                      <w:rFonts w:hint="eastAsia"/>
                      <w:color w:val="auto"/>
                      <w:sz w:val="18"/>
                      <w:szCs w:val="18"/>
                    </w:rPr>
                  </w:pPr>
                  <w:r>
                    <w:rPr>
                      <w:rFonts w:hint="eastAsia"/>
                      <w:color w:val="auto"/>
                      <w:sz w:val="18"/>
                      <w:szCs w:val="18"/>
                      <w:lang w:val="en-US" w:eastAsia="zh-CN"/>
                    </w:rPr>
                    <w:t>已建</w:t>
                  </w:r>
                </w:p>
              </w:tc>
            </w:tr>
            <w:tr w14:paraId="2E78BA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3" w:type="pct"/>
                  <w:vMerge w:val="continue"/>
                  <w:tcBorders>
                    <w:tl2br w:val="nil"/>
                    <w:tr2bl w:val="nil"/>
                  </w:tcBorders>
                  <w:vAlign w:val="center"/>
                </w:tcPr>
                <w:p w14:paraId="0D3D1A3D">
                  <w:pPr>
                    <w:jc w:val="center"/>
                    <w:rPr>
                      <w:color w:val="auto"/>
                      <w:sz w:val="18"/>
                      <w:szCs w:val="18"/>
                    </w:rPr>
                  </w:pPr>
                </w:p>
              </w:tc>
              <w:tc>
                <w:tcPr>
                  <w:tcW w:w="1106" w:type="pct"/>
                  <w:gridSpan w:val="3"/>
                  <w:tcBorders>
                    <w:tl2br w:val="nil"/>
                    <w:tr2bl w:val="nil"/>
                  </w:tcBorders>
                  <w:shd w:val="clear" w:color="auto" w:fill="auto"/>
                  <w:vAlign w:val="center"/>
                </w:tcPr>
                <w:p w14:paraId="0589335C">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排水</w:t>
                  </w:r>
                </w:p>
              </w:tc>
              <w:tc>
                <w:tcPr>
                  <w:tcW w:w="3141" w:type="pct"/>
                  <w:tcBorders>
                    <w:tl2br w:val="nil"/>
                    <w:tr2bl w:val="nil"/>
                  </w:tcBorders>
                  <w:shd w:val="clear" w:color="auto" w:fill="auto"/>
                  <w:vAlign w:val="center"/>
                </w:tcPr>
                <w:p w14:paraId="271B99CF">
                  <w:pP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生活污水经化粪池沉淀后，定期清掏由附近村民拉走施肥；</w:t>
                  </w:r>
                </w:p>
                <w:p w14:paraId="47763055">
                  <w:pP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其他废水经沉淀后回用于厂区洒水降尘。</w:t>
                  </w:r>
                </w:p>
              </w:tc>
              <w:tc>
                <w:tcPr>
                  <w:tcW w:w="419" w:type="pct"/>
                  <w:tcBorders>
                    <w:tl2br w:val="nil"/>
                    <w:tr2bl w:val="nil"/>
                  </w:tcBorders>
                  <w:vAlign w:val="center"/>
                </w:tcPr>
                <w:p w14:paraId="7F8F2F76">
                  <w:pPr>
                    <w:jc w:val="center"/>
                    <w:rPr>
                      <w:rFonts w:hint="eastAsia" w:eastAsia="宋体"/>
                      <w:color w:val="auto"/>
                      <w:sz w:val="18"/>
                      <w:szCs w:val="18"/>
                      <w:lang w:val="en-US" w:eastAsia="zh-CN"/>
                    </w:rPr>
                  </w:pPr>
                  <w:r>
                    <w:rPr>
                      <w:rFonts w:hint="eastAsia"/>
                      <w:color w:val="auto"/>
                      <w:sz w:val="18"/>
                      <w:szCs w:val="18"/>
                      <w:lang w:val="en-US" w:eastAsia="zh-CN"/>
                    </w:rPr>
                    <w:t>新建</w:t>
                  </w:r>
                </w:p>
              </w:tc>
            </w:tr>
            <w:tr w14:paraId="6185C0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3" w:type="pct"/>
                  <w:vMerge w:val="continue"/>
                  <w:tcBorders>
                    <w:tl2br w:val="nil"/>
                    <w:tr2bl w:val="nil"/>
                  </w:tcBorders>
                  <w:vAlign w:val="center"/>
                </w:tcPr>
                <w:p w14:paraId="790FF5D7">
                  <w:pPr>
                    <w:jc w:val="center"/>
                    <w:rPr>
                      <w:color w:val="auto"/>
                      <w:sz w:val="18"/>
                      <w:szCs w:val="18"/>
                    </w:rPr>
                  </w:pPr>
                </w:p>
              </w:tc>
              <w:tc>
                <w:tcPr>
                  <w:tcW w:w="1106" w:type="pct"/>
                  <w:gridSpan w:val="3"/>
                  <w:tcBorders>
                    <w:tl2br w:val="nil"/>
                    <w:tr2bl w:val="nil"/>
                  </w:tcBorders>
                  <w:shd w:val="clear" w:color="auto" w:fill="auto"/>
                  <w:vAlign w:val="center"/>
                </w:tcPr>
                <w:p w14:paraId="1554B041">
                  <w:pPr>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供热</w:t>
                  </w:r>
                </w:p>
              </w:tc>
              <w:tc>
                <w:tcPr>
                  <w:tcW w:w="3141" w:type="pct"/>
                  <w:tcBorders>
                    <w:tl2br w:val="nil"/>
                    <w:tr2bl w:val="nil"/>
                  </w:tcBorders>
                  <w:shd w:val="clear" w:color="auto" w:fill="auto"/>
                  <w:vAlign w:val="center"/>
                </w:tcPr>
                <w:p w14:paraId="0327525C">
                  <w:pPr>
                    <w:rPr>
                      <w:rFonts w:hint="eastAsia"/>
                      <w:color w:val="auto"/>
                      <w:sz w:val="18"/>
                      <w:szCs w:val="18"/>
                      <w:lang w:val="en-US" w:eastAsia="zh-CN"/>
                    </w:rPr>
                  </w:pPr>
                  <w:r>
                    <w:rPr>
                      <w:rFonts w:hint="eastAsia"/>
                      <w:color w:val="auto"/>
                      <w:sz w:val="18"/>
                      <w:szCs w:val="18"/>
                      <w:lang w:val="en-US" w:eastAsia="zh-CN"/>
                    </w:rPr>
                    <w:t>沥青加热采用导热油炉间接加热，燃料采用轻质柴油；</w:t>
                  </w:r>
                </w:p>
                <w:p w14:paraId="6C6C7347">
                  <w:pPr>
                    <w:rPr>
                      <w:rFonts w:hint="eastAsia"/>
                      <w:color w:val="auto"/>
                      <w:sz w:val="18"/>
                      <w:szCs w:val="18"/>
                      <w:lang w:val="en-US" w:eastAsia="zh-CN"/>
                    </w:rPr>
                  </w:pPr>
                  <w:r>
                    <w:rPr>
                      <w:rFonts w:hint="eastAsia"/>
                      <w:color w:val="auto"/>
                      <w:sz w:val="18"/>
                      <w:szCs w:val="18"/>
                      <w:lang w:val="en-US" w:eastAsia="zh-CN"/>
                    </w:rPr>
                    <w:t>骨料烘干筒热源来自燃柴油燃烧器；</w:t>
                  </w:r>
                </w:p>
                <w:p w14:paraId="32C5226D">
                  <w:pP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本项目冬季不生产，冬季留守人员办公区采用电暖器。</w:t>
                  </w:r>
                </w:p>
              </w:tc>
              <w:tc>
                <w:tcPr>
                  <w:tcW w:w="419" w:type="pct"/>
                  <w:tcBorders>
                    <w:tl2br w:val="nil"/>
                    <w:tr2bl w:val="nil"/>
                  </w:tcBorders>
                  <w:shd w:val="clear" w:color="auto" w:fill="auto"/>
                  <w:vAlign w:val="center"/>
                </w:tcPr>
                <w:p w14:paraId="109A06C3">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r>
            <w:tr w14:paraId="683180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33" w:type="pct"/>
                  <w:vMerge w:val="restart"/>
                  <w:tcBorders>
                    <w:tl2br w:val="nil"/>
                    <w:tr2bl w:val="nil"/>
                  </w:tcBorders>
                  <w:vAlign w:val="center"/>
                </w:tcPr>
                <w:p w14:paraId="5346775D">
                  <w:pPr>
                    <w:jc w:val="center"/>
                    <w:rPr>
                      <w:rFonts w:hint="default" w:eastAsia="宋体"/>
                      <w:color w:val="auto"/>
                      <w:sz w:val="18"/>
                      <w:szCs w:val="18"/>
                      <w:lang w:val="en-US" w:eastAsia="zh-CN"/>
                    </w:rPr>
                  </w:pPr>
                  <w:r>
                    <w:rPr>
                      <w:rFonts w:hint="eastAsia"/>
                      <w:color w:val="auto"/>
                      <w:sz w:val="18"/>
                      <w:szCs w:val="18"/>
                      <w:lang w:val="en-US" w:eastAsia="zh-CN"/>
                    </w:rPr>
                    <w:t>储运工程</w:t>
                  </w:r>
                </w:p>
              </w:tc>
              <w:tc>
                <w:tcPr>
                  <w:tcW w:w="1106" w:type="pct"/>
                  <w:gridSpan w:val="3"/>
                  <w:tcBorders>
                    <w:tl2br w:val="nil"/>
                    <w:tr2bl w:val="nil"/>
                  </w:tcBorders>
                  <w:shd w:val="clear" w:color="auto" w:fill="auto"/>
                  <w:vAlign w:val="center"/>
                </w:tcPr>
                <w:p w14:paraId="29DC041D">
                  <w:pPr>
                    <w:jc w:val="center"/>
                    <w:rPr>
                      <w:rFonts w:hint="default"/>
                      <w:color w:val="auto"/>
                      <w:sz w:val="18"/>
                      <w:szCs w:val="18"/>
                      <w:lang w:val="en-US" w:eastAsia="zh-CN"/>
                    </w:rPr>
                  </w:pPr>
                  <w:r>
                    <w:rPr>
                      <w:rFonts w:hint="eastAsia"/>
                      <w:color w:val="auto"/>
                      <w:sz w:val="18"/>
                      <w:szCs w:val="18"/>
                      <w:lang w:val="en-US" w:eastAsia="zh-CN"/>
                    </w:rPr>
                    <w:t>原料堆存</w:t>
                  </w:r>
                </w:p>
              </w:tc>
              <w:tc>
                <w:tcPr>
                  <w:tcW w:w="3141" w:type="pct"/>
                  <w:tcBorders>
                    <w:tl2br w:val="nil"/>
                    <w:tr2bl w:val="nil"/>
                  </w:tcBorders>
                  <w:shd w:val="clear" w:color="auto" w:fill="auto"/>
                  <w:vAlign w:val="center"/>
                </w:tcPr>
                <w:p w14:paraId="50CAAAA9">
                  <w:pPr>
                    <w:rPr>
                      <w:rFonts w:hint="eastAsia"/>
                      <w:color w:val="auto"/>
                      <w:sz w:val="18"/>
                      <w:szCs w:val="18"/>
                      <w:lang w:val="en-US" w:eastAsia="zh-CN"/>
                    </w:rPr>
                  </w:pPr>
                  <w:r>
                    <w:rPr>
                      <w:rFonts w:hint="eastAsia"/>
                      <w:color w:val="auto"/>
                      <w:sz w:val="18"/>
                      <w:szCs w:val="18"/>
                      <w:lang w:val="en-US" w:eastAsia="zh-CN"/>
                    </w:rPr>
                    <w:t>在厂区中部设置1座封闭式储料库，总占地面积5000m</w:t>
                  </w:r>
                  <w:r>
                    <w:rPr>
                      <w:rFonts w:hint="eastAsia"/>
                      <w:color w:val="auto"/>
                      <w:sz w:val="18"/>
                      <w:szCs w:val="18"/>
                      <w:vertAlign w:val="superscript"/>
                      <w:lang w:val="en-US" w:eastAsia="zh-CN"/>
                    </w:rPr>
                    <w:t>2</w:t>
                  </w:r>
                  <w:r>
                    <w:rPr>
                      <w:rFonts w:hint="eastAsia"/>
                      <w:color w:val="auto"/>
                      <w:sz w:val="18"/>
                      <w:szCs w:val="18"/>
                      <w:lang w:val="en-US" w:eastAsia="zh-CN"/>
                    </w:rPr>
                    <w:t>，库内地面硬化，底部加固，球形钢架结构，石料和机制砂分库堆存，总设计储料量1.5万t。</w:t>
                  </w:r>
                </w:p>
                <w:p w14:paraId="0D90691C">
                  <w:pPr>
                    <w:rPr>
                      <w:rFonts w:hint="default"/>
                      <w:color w:val="auto"/>
                      <w:sz w:val="18"/>
                      <w:szCs w:val="18"/>
                      <w:lang w:val="en-US" w:eastAsia="zh-CN"/>
                    </w:rPr>
                  </w:pPr>
                  <w:r>
                    <w:rPr>
                      <w:rFonts w:hint="eastAsia"/>
                      <w:color w:val="auto"/>
                      <w:sz w:val="18"/>
                      <w:szCs w:val="18"/>
                      <w:lang w:val="en-US" w:eastAsia="zh-CN"/>
                    </w:rPr>
                    <w:t>储料库主要堆存机制砂和不同粒径的石料。</w:t>
                  </w:r>
                </w:p>
              </w:tc>
              <w:tc>
                <w:tcPr>
                  <w:tcW w:w="419" w:type="pct"/>
                  <w:tcBorders>
                    <w:tl2br w:val="nil"/>
                    <w:tr2bl w:val="nil"/>
                  </w:tcBorders>
                  <w:vAlign w:val="center"/>
                </w:tcPr>
                <w:p w14:paraId="4E6EE15F">
                  <w:pPr>
                    <w:jc w:val="center"/>
                    <w:rPr>
                      <w:rFonts w:hint="default" w:eastAsia="宋体"/>
                      <w:color w:val="auto"/>
                      <w:sz w:val="18"/>
                      <w:szCs w:val="18"/>
                      <w:lang w:val="en-US" w:eastAsia="zh-CN"/>
                    </w:rPr>
                  </w:pPr>
                  <w:r>
                    <w:rPr>
                      <w:rFonts w:hint="eastAsia"/>
                      <w:color w:val="auto"/>
                      <w:sz w:val="18"/>
                      <w:szCs w:val="18"/>
                      <w:lang w:val="en-US" w:eastAsia="zh-CN"/>
                    </w:rPr>
                    <w:t>新建</w:t>
                  </w:r>
                </w:p>
              </w:tc>
            </w:tr>
            <w:tr w14:paraId="29CDD2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33" w:type="pct"/>
                  <w:vMerge w:val="continue"/>
                  <w:tcBorders>
                    <w:tl2br w:val="nil"/>
                    <w:tr2bl w:val="nil"/>
                  </w:tcBorders>
                  <w:vAlign w:val="center"/>
                </w:tcPr>
                <w:p w14:paraId="500C1FB8">
                  <w:pPr>
                    <w:jc w:val="center"/>
                    <w:rPr>
                      <w:rFonts w:hint="eastAsia"/>
                      <w:color w:val="auto"/>
                      <w:sz w:val="18"/>
                      <w:szCs w:val="18"/>
                      <w:lang w:val="en-US" w:eastAsia="zh-CN"/>
                    </w:rPr>
                  </w:pPr>
                </w:p>
              </w:tc>
              <w:tc>
                <w:tcPr>
                  <w:tcW w:w="1106" w:type="pct"/>
                  <w:gridSpan w:val="3"/>
                  <w:tcBorders>
                    <w:tl2br w:val="nil"/>
                    <w:tr2bl w:val="nil"/>
                  </w:tcBorders>
                  <w:shd w:val="clear" w:color="auto" w:fill="auto"/>
                  <w:vAlign w:val="center"/>
                </w:tcPr>
                <w:p w14:paraId="0382F63D">
                  <w:pPr>
                    <w:jc w:val="center"/>
                    <w:rPr>
                      <w:rFonts w:hint="default"/>
                      <w:color w:val="auto"/>
                      <w:sz w:val="18"/>
                      <w:szCs w:val="18"/>
                      <w:lang w:val="en-US" w:eastAsia="zh-CN"/>
                    </w:rPr>
                  </w:pPr>
                  <w:r>
                    <w:rPr>
                      <w:rFonts w:hint="eastAsia"/>
                      <w:color w:val="auto"/>
                      <w:sz w:val="18"/>
                      <w:szCs w:val="18"/>
                      <w:lang w:val="en-US" w:eastAsia="zh-CN"/>
                    </w:rPr>
                    <w:t>沥青储存</w:t>
                  </w:r>
                </w:p>
              </w:tc>
              <w:tc>
                <w:tcPr>
                  <w:tcW w:w="3141" w:type="pct"/>
                  <w:tcBorders>
                    <w:tl2br w:val="nil"/>
                    <w:tr2bl w:val="nil"/>
                  </w:tcBorders>
                  <w:shd w:val="clear" w:color="auto" w:fill="auto"/>
                  <w:vAlign w:val="center"/>
                </w:tcPr>
                <w:p w14:paraId="3A339691">
                  <w:pPr>
                    <w:rPr>
                      <w:rFonts w:hint="default"/>
                      <w:color w:val="auto"/>
                      <w:sz w:val="18"/>
                      <w:szCs w:val="18"/>
                      <w:lang w:val="en-US" w:eastAsia="zh-CN"/>
                    </w:rPr>
                  </w:pPr>
                  <w:r>
                    <w:rPr>
                      <w:rFonts w:hint="eastAsia"/>
                      <w:color w:val="auto"/>
                      <w:sz w:val="18"/>
                      <w:szCs w:val="18"/>
                      <w:lang w:val="en-US" w:eastAsia="zh-CN"/>
                    </w:rPr>
                    <w:t>设置3座沥青加热储存罐（单座50t）。</w:t>
                  </w:r>
                </w:p>
              </w:tc>
              <w:tc>
                <w:tcPr>
                  <w:tcW w:w="419" w:type="pct"/>
                  <w:tcBorders>
                    <w:tl2br w:val="nil"/>
                    <w:tr2bl w:val="nil"/>
                  </w:tcBorders>
                  <w:vAlign w:val="center"/>
                </w:tcPr>
                <w:p w14:paraId="42E03E8A">
                  <w:pPr>
                    <w:jc w:val="center"/>
                    <w:rPr>
                      <w:rFonts w:hint="default"/>
                      <w:color w:val="auto"/>
                      <w:sz w:val="18"/>
                      <w:szCs w:val="18"/>
                      <w:lang w:val="en-US" w:eastAsia="zh-CN"/>
                    </w:rPr>
                  </w:pPr>
                  <w:r>
                    <w:rPr>
                      <w:rFonts w:hint="eastAsia"/>
                      <w:color w:val="auto"/>
                      <w:sz w:val="18"/>
                      <w:szCs w:val="18"/>
                      <w:lang w:val="en-US" w:eastAsia="zh-CN"/>
                    </w:rPr>
                    <w:t>已建</w:t>
                  </w:r>
                </w:p>
              </w:tc>
            </w:tr>
            <w:tr w14:paraId="26E754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1" w:hRule="atLeast"/>
                <w:jc w:val="center"/>
              </w:trPr>
              <w:tc>
                <w:tcPr>
                  <w:tcW w:w="333" w:type="pct"/>
                  <w:vMerge w:val="continue"/>
                  <w:tcBorders>
                    <w:tl2br w:val="nil"/>
                    <w:tr2bl w:val="nil"/>
                  </w:tcBorders>
                  <w:vAlign w:val="center"/>
                </w:tcPr>
                <w:p w14:paraId="7CBA5B63">
                  <w:pPr>
                    <w:jc w:val="center"/>
                    <w:rPr>
                      <w:rFonts w:hint="eastAsia"/>
                      <w:color w:val="auto"/>
                      <w:sz w:val="18"/>
                      <w:szCs w:val="18"/>
                      <w:lang w:val="en-US" w:eastAsia="zh-CN"/>
                    </w:rPr>
                  </w:pPr>
                </w:p>
              </w:tc>
              <w:tc>
                <w:tcPr>
                  <w:tcW w:w="1106" w:type="pct"/>
                  <w:gridSpan w:val="3"/>
                  <w:tcBorders>
                    <w:tl2br w:val="nil"/>
                    <w:tr2bl w:val="nil"/>
                  </w:tcBorders>
                  <w:shd w:val="clear" w:color="auto" w:fill="auto"/>
                  <w:vAlign w:val="center"/>
                </w:tcPr>
                <w:p w14:paraId="39EE9016">
                  <w:pPr>
                    <w:jc w:val="center"/>
                    <w:rPr>
                      <w:rFonts w:hint="default"/>
                      <w:color w:val="auto"/>
                      <w:sz w:val="18"/>
                      <w:szCs w:val="18"/>
                      <w:lang w:val="en-US" w:eastAsia="zh-CN"/>
                    </w:rPr>
                  </w:pPr>
                  <w:r>
                    <w:rPr>
                      <w:rFonts w:hint="eastAsia"/>
                      <w:color w:val="auto"/>
                      <w:sz w:val="18"/>
                      <w:szCs w:val="18"/>
                      <w:lang w:val="en-US" w:eastAsia="zh-CN"/>
                    </w:rPr>
                    <w:t>柴油储罐</w:t>
                  </w:r>
                </w:p>
              </w:tc>
              <w:tc>
                <w:tcPr>
                  <w:tcW w:w="3141" w:type="pct"/>
                  <w:tcBorders>
                    <w:tl2br w:val="nil"/>
                    <w:tr2bl w:val="nil"/>
                  </w:tcBorders>
                  <w:shd w:val="clear" w:color="auto" w:fill="auto"/>
                  <w:vAlign w:val="center"/>
                </w:tcPr>
                <w:p w14:paraId="5FD77789">
                  <w:pPr>
                    <w:rPr>
                      <w:rFonts w:hint="default"/>
                      <w:color w:val="auto"/>
                      <w:sz w:val="18"/>
                      <w:szCs w:val="18"/>
                      <w:lang w:val="en-US" w:eastAsia="zh-CN"/>
                    </w:rPr>
                  </w:pPr>
                  <w:r>
                    <w:rPr>
                      <w:rFonts w:hint="eastAsia"/>
                      <w:color w:val="auto"/>
                      <w:sz w:val="18"/>
                      <w:szCs w:val="18"/>
                      <w:lang w:val="en-US" w:eastAsia="zh-CN"/>
                    </w:rPr>
                    <w:t>设置轻质柴油储罐1座，50t，地上卧式。</w:t>
                  </w:r>
                </w:p>
              </w:tc>
              <w:tc>
                <w:tcPr>
                  <w:tcW w:w="419" w:type="pct"/>
                  <w:tcBorders>
                    <w:tl2br w:val="nil"/>
                    <w:tr2bl w:val="nil"/>
                  </w:tcBorders>
                  <w:vAlign w:val="center"/>
                </w:tcPr>
                <w:p w14:paraId="191D894F">
                  <w:pPr>
                    <w:jc w:val="center"/>
                    <w:rPr>
                      <w:rFonts w:hint="default"/>
                      <w:color w:val="auto"/>
                      <w:sz w:val="18"/>
                      <w:szCs w:val="18"/>
                      <w:lang w:val="en-US" w:eastAsia="zh-CN"/>
                    </w:rPr>
                  </w:pPr>
                  <w:r>
                    <w:rPr>
                      <w:rFonts w:hint="eastAsia"/>
                      <w:color w:val="auto"/>
                      <w:sz w:val="18"/>
                      <w:szCs w:val="18"/>
                      <w:lang w:val="en-US" w:eastAsia="zh-CN"/>
                    </w:rPr>
                    <w:t>已建</w:t>
                  </w:r>
                </w:p>
              </w:tc>
            </w:tr>
            <w:tr w14:paraId="294A39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33" w:type="pct"/>
                  <w:vMerge w:val="continue"/>
                  <w:tcBorders>
                    <w:tl2br w:val="nil"/>
                    <w:tr2bl w:val="nil"/>
                  </w:tcBorders>
                  <w:vAlign w:val="center"/>
                </w:tcPr>
                <w:p w14:paraId="04D52EA6">
                  <w:pPr>
                    <w:jc w:val="center"/>
                    <w:rPr>
                      <w:rFonts w:hint="eastAsia"/>
                      <w:color w:val="auto"/>
                      <w:sz w:val="18"/>
                      <w:szCs w:val="18"/>
                      <w:lang w:val="en-US" w:eastAsia="zh-CN"/>
                    </w:rPr>
                  </w:pPr>
                </w:p>
              </w:tc>
              <w:tc>
                <w:tcPr>
                  <w:tcW w:w="1106" w:type="pct"/>
                  <w:gridSpan w:val="3"/>
                  <w:vMerge w:val="restart"/>
                  <w:tcBorders>
                    <w:tl2br w:val="nil"/>
                    <w:tr2bl w:val="nil"/>
                  </w:tcBorders>
                  <w:shd w:val="clear" w:color="auto" w:fill="auto"/>
                  <w:vAlign w:val="center"/>
                </w:tcPr>
                <w:p w14:paraId="47923BBC">
                  <w:pPr>
                    <w:jc w:val="center"/>
                    <w:rPr>
                      <w:rFonts w:hint="default"/>
                      <w:color w:val="auto"/>
                      <w:sz w:val="18"/>
                      <w:szCs w:val="18"/>
                      <w:lang w:val="en-US" w:eastAsia="zh-CN"/>
                    </w:rPr>
                  </w:pPr>
                  <w:r>
                    <w:rPr>
                      <w:rFonts w:hint="eastAsia"/>
                      <w:color w:val="auto"/>
                      <w:sz w:val="18"/>
                      <w:szCs w:val="18"/>
                      <w:lang w:val="en-US" w:eastAsia="zh-CN"/>
                    </w:rPr>
                    <w:t>粉料储存</w:t>
                  </w:r>
                </w:p>
              </w:tc>
              <w:tc>
                <w:tcPr>
                  <w:tcW w:w="3141" w:type="pct"/>
                  <w:tcBorders>
                    <w:tl2br w:val="nil"/>
                    <w:tr2bl w:val="nil"/>
                  </w:tcBorders>
                  <w:shd w:val="clear" w:color="auto" w:fill="auto"/>
                  <w:vAlign w:val="center"/>
                </w:tcPr>
                <w:p w14:paraId="3AAD020D">
                  <w:pPr>
                    <w:rPr>
                      <w:rFonts w:hint="default"/>
                      <w:color w:val="auto"/>
                      <w:sz w:val="18"/>
                      <w:szCs w:val="18"/>
                      <w:lang w:val="en-US" w:eastAsia="zh-CN"/>
                    </w:rPr>
                  </w:pPr>
                  <w:r>
                    <w:rPr>
                      <w:rFonts w:hint="eastAsia"/>
                      <w:color w:val="auto"/>
                      <w:sz w:val="18"/>
                      <w:szCs w:val="18"/>
                      <w:lang w:val="en-US" w:eastAsia="zh-CN"/>
                    </w:rPr>
                    <w:t>沥青混凝土生产线设置2座100m</w:t>
                  </w:r>
                  <w:r>
                    <w:rPr>
                      <w:rFonts w:hint="eastAsia"/>
                      <w:color w:val="auto"/>
                      <w:sz w:val="18"/>
                      <w:szCs w:val="18"/>
                      <w:vertAlign w:val="superscript"/>
                      <w:lang w:val="en-US" w:eastAsia="zh-CN"/>
                    </w:rPr>
                    <w:t>3</w:t>
                  </w:r>
                  <w:r>
                    <w:rPr>
                      <w:rFonts w:hint="eastAsia"/>
                      <w:color w:val="auto"/>
                      <w:sz w:val="18"/>
                      <w:szCs w:val="18"/>
                      <w:lang w:val="en-US" w:eastAsia="zh-CN"/>
                    </w:rPr>
                    <w:t>的矿粉筒仓；</w:t>
                  </w:r>
                </w:p>
              </w:tc>
              <w:tc>
                <w:tcPr>
                  <w:tcW w:w="419" w:type="pct"/>
                  <w:tcBorders>
                    <w:tl2br w:val="nil"/>
                    <w:tr2bl w:val="nil"/>
                  </w:tcBorders>
                  <w:vAlign w:val="center"/>
                </w:tcPr>
                <w:p w14:paraId="42D5E525">
                  <w:pPr>
                    <w:jc w:val="center"/>
                    <w:rPr>
                      <w:rFonts w:hint="default"/>
                      <w:color w:val="auto"/>
                      <w:sz w:val="18"/>
                      <w:szCs w:val="18"/>
                      <w:lang w:val="en-US" w:eastAsia="zh-CN"/>
                    </w:rPr>
                  </w:pPr>
                  <w:r>
                    <w:rPr>
                      <w:rFonts w:hint="eastAsia"/>
                      <w:color w:val="auto"/>
                      <w:sz w:val="18"/>
                      <w:szCs w:val="18"/>
                      <w:lang w:val="en-US" w:eastAsia="zh-CN"/>
                    </w:rPr>
                    <w:t>新建</w:t>
                  </w:r>
                </w:p>
              </w:tc>
            </w:tr>
            <w:tr w14:paraId="524888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33" w:type="pct"/>
                  <w:vMerge w:val="continue"/>
                  <w:tcBorders>
                    <w:tl2br w:val="nil"/>
                    <w:tr2bl w:val="nil"/>
                  </w:tcBorders>
                  <w:vAlign w:val="center"/>
                </w:tcPr>
                <w:p w14:paraId="26559C14">
                  <w:pPr>
                    <w:jc w:val="center"/>
                    <w:rPr>
                      <w:rFonts w:hint="eastAsia"/>
                      <w:color w:val="auto"/>
                      <w:sz w:val="18"/>
                      <w:szCs w:val="18"/>
                      <w:lang w:val="en-US" w:eastAsia="zh-CN"/>
                    </w:rPr>
                  </w:pPr>
                </w:p>
              </w:tc>
              <w:tc>
                <w:tcPr>
                  <w:tcW w:w="1106" w:type="pct"/>
                  <w:gridSpan w:val="3"/>
                  <w:vMerge w:val="continue"/>
                  <w:tcBorders>
                    <w:tl2br w:val="nil"/>
                    <w:tr2bl w:val="nil"/>
                  </w:tcBorders>
                  <w:shd w:val="clear" w:color="auto" w:fill="auto"/>
                  <w:vAlign w:val="center"/>
                </w:tcPr>
                <w:p w14:paraId="5BB41236">
                  <w:pPr>
                    <w:jc w:val="center"/>
                    <w:rPr>
                      <w:rFonts w:hint="eastAsia"/>
                      <w:color w:val="auto"/>
                      <w:sz w:val="18"/>
                      <w:szCs w:val="18"/>
                      <w:lang w:val="en-US" w:eastAsia="zh-CN"/>
                    </w:rPr>
                  </w:pPr>
                </w:p>
              </w:tc>
              <w:tc>
                <w:tcPr>
                  <w:tcW w:w="3141" w:type="pct"/>
                  <w:tcBorders>
                    <w:tl2br w:val="nil"/>
                    <w:tr2bl w:val="nil"/>
                  </w:tcBorders>
                  <w:shd w:val="clear" w:color="auto" w:fill="auto"/>
                  <w:vAlign w:val="center"/>
                </w:tcPr>
                <w:p w14:paraId="21018282">
                  <w:pPr>
                    <w:rPr>
                      <w:rFonts w:hint="default"/>
                      <w:color w:val="auto"/>
                      <w:sz w:val="18"/>
                      <w:szCs w:val="18"/>
                      <w:lang w:val="en-US" w:eastAsia="zh-CN"/>
                    </w:rPr>
                  </w:pPr>
                  <w:r>
                    <w:rPr>
                      <w:rFonts w:hint="eastAsia"/>
                      <w:color w:val="auto"/>
                      <w:sz w:val="18"/>
                      <w:szCs w:val="18"/>
                      <w:lang w:val="en-US" w:eastAsia="zh-CN"/>
                    </w:rPr>
                    <w:t>水稳土生产线设置1座100m</w:t>
                  </w:r>
                  <w:r>
                    <w:rPr>
                      <w:rFonts w:hint="eastAsia"/>
                      <w:color w:val="auto"/>
                      <w:sz w:val="18"/>
                      <w:szCs w:val="18"/>
                      <w:vertAlign w:val="superscript"/>
                      <w:lang w:val="en-US" w:eastAsia="zh-CN"/>
                    </w:rPr>
                    <w:t>3</w:t>
                  </w:r>
                  <w:r>
                    <w:rPr>
                      <w:rFonts w:hint="eastAsia"/>
                      <w:color w:val="auto"/>
                      <w:sz w:val="18"/>
                      <w:szCs w:val="18"/>
                      <w:lang w:val="en-US" w:eastAsia="zh-CN"/>
                    </w:rPr>
                    <w:t>的水泥筒仓；</w:t>
                  </w:r>
                </w:p>
              </w:tc>
              <w:tc>
                <w:tcPr>
                  <w:tcW w:w="419" w:type="pct"/>
                  <w:tcBorders>
                    <w:tl2br w:val="nil"/>
                    <w:tr2bl w:val="nil"/>
                  </w:tcBorders>
                  <w:vAlign w:val="center"/>
                </w:tcPr>
                <w:p w14:paraId="78569445">
                  <w:pPr>
                    <w:jc w:val="center"/>
                    <w:rPr>
                      <w:rFonts w:hint="eastAsia"/>
                      <w:color w:val="auto"/>
                      <w:sz w:val="18"/>
                      <w:szCs w:val="18"/>
                      <w:lang w:val="en-US" w:eastAsia="zh-CN"/>
                    </w:rPr>
                  </w:pPr>
                  <w:r>
                    <w:rPr>
                      <w:rFonts w:hint="eastAsia"/>
                      <w:color w:val="auto"/>
                      <w:sz w:val="18"/>
                      <w:szCs w:val="18"/>
                      <w:lang w:val="en-US" w:eastAsia="zh-CN"/>
                    </w:rPr>
                    <w:t>已建</w:t>
                  </w:r>
                </w:p>
              </w:tc>
            </w:tr>
            <w:tr w14:paraId="1172AF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8" w:hRule="atLeast"/>
                <w:jc w:val="center"/>
              </w:trPr>
              <w:tc>
                <w:tcPr>
                  <w:tcW w:w="333" w:type="pct"/>
                  <w:vMerge w:val="continue"/>
                  <w:tcBorders>
                    <w:tl2br w:val="nil"/>
                    <w:tr2bl w:val="nil"/>
                  </w:tcBorders>
                  <w:vAlign w:val="center"/>
                </w:tcPr>
                <w:p w14:paraId="389EF417">
                  <w:pPr>
                    <w:jc w:val="center"/>
                  </w:pPr>
                </w:p>
              </w:tc>
              <w:tc>
                <w:tcPr>
                  <w:tcW w:w="1106" w:type="pct"/>
                  <w:gridSpan w:val="3"/>
                  <w:vMerge w:val="continue"/>
                  <w:tcBorders>
                    <w:tl2br w:val="nil"/>
                    <w:tr2bl w:val="nil"/>
                  </w:tcBorders>
                  <w:shd w:val="clear" w:color="auto" w:fill="auto"/>
                  <w:vAlign w:val="center"/>
                </w:tcPr>
                <w:p w14:paraId="3A0EA4D0">
                  <w:pPr>
                    <w:jc w:val="center"/>
                  </w:pPr>
                </w:p>
              </w:tc>
              <w:tc>
                <w:tcPr>
                  <w:tcW w:w="3141" w:type="pct"/>
                  <w:tcBorders>
                    <w:tl2br w:val="nil"/>
                    <w:tr2bl w:val="nil"/>
                  </w:tcBorders>
                  <w:shd w:val="clear" w:color="auto" w:fill="auto"/>
                  <w:vAlign w:val="center"/>
                </w:tcPr>
                <w:p w14:paraId="04561D8C">
                  <w:pPr>
                    <w:jc w:val="both"/>
                    <w:rPr>
                      <w:rFonts w:hint="default"/>
                      <w:color w:val="auto"/>
                      <w:sz w:val="18"/>
                      <w:szCs w:val="18"/>
                      <w:lang w:val="en-US" w:eastAsia="zh-CN"/>
                    </w:rPr>
                  </w:pPr>
                  <w:r>
                    <w:rPr>
                      <w:rFonts w:hint="eastAsia"/>
                      <w:color w:val="auto"/>
                      <w:sz w:val="18"/>
                      <w:szCs w:val="18"/>
                      <w:lang w:val="en-US" w:eastAsia="zh-CN"/>
                    </w:rPr>
                    <w:t>混凝土生产线设置2座200m</w:t>
                  </w:r>
                  <w:r>
                    <w:rPr>
                      <w:rFonts w:hint="eastAsia"/>
                      <w:color w:val="auto"/>
                      <w:sz w:val="18"/>
                      <w:szCs w:val="18"/>
                      <w:vertAlign w:val="superscript"/>
                      <w:lang w:val="en-US" w:eastAsia="zh-CN"/>
                    </w:rPr>
                    <w:t>3</w:t>
                  </w:r>
                  <w:r>
                    <w:rPr>
                      <w:rFonts w:hint="eastAsia"/>
                      <w:color w:val="auto"/>
                      <w:sz w:val="18"/>
                      <w:szCs w:val="18"/>
                      <w:lang w:val="en-US" w:eastAsia="zh-CN"/>
                    </w:rPr>
                    <w:t>的水泥筒仓、1座200m</w:t>
                  </w:r>
                  <w:r>
                    <w:rPr>
                      <w:rFonts w:hint="eastAsia"/>
                      <w:color w:val="auto"/>
                      <w:sz w:val="18"/>
                      <w:szCs w:val="18"/>
                      <w:vertAlign w:val="superscript"/>
                      <w:lang w:val="en-US" w:eastAsia="zh-CN"/>
                    </w:rPr>
                    <w:t>3</w:t>
                  </w:r>
                  <w:r>
                    <w:rPr>
                      <w:rFonts w:hint="eastAsia"/>
                      <w:color w:val="auto"/>
                      <w:sz w:val="18"/>
                      <w:szCs w:val="18"/>
                      <w:lang w:val="en-US" w:eastAsia="zh-CN"/>
                    </w:rPr>
                    <w:t>的矿粉筒仓、1座200m</w:t>
                  </w:r>
                  <w:r>
                    <w:rPr>
                      <w:rFonts w:hint="eastAsia"/>
                      <w:color w:val="auto"/>
                      <w:sz w:val="18"/>
                      <w:szCs w:val="18"/>
                      <w:vertAlign w:val="superscript"/>
                      <w:lang w:val="en-US" w:eastAsia="zh-CN"/>
                    </w:rPr>
                    <w:t>3</w:t>
                  </w:r>
                  <w:r>
                    <w:rPr>
                      <w:rFonts w:hint="eastAsia"/>
                      <w:color w:val="auto"/>
                      <w:sz w:val="18"/>
                      <w:szCs w:val="18"/>
                      <w:lang w:val="en-US" w:eastAsia="zh-CN"/>
                    </w:rPr>
                    <w:t>的粉煤灰筒仓、2座10m</w:t>
                  </w:r>
                  <w:r>
                    <w:rPr>
                      <w:rFonts w:hint="eastAsia"/>
                      <w:color w:val="auto"/>
                      <w:sz w:val="18"/>
                      <w:szCs w:val="18"/>
                      <w:vertAlign w:val="superscript"/>
                      <w:lang w:val="en-US" w:eastAsia="zh-CN"/>
                    </w:rPr>
                    <w:t>3</w:t>
                  </w:r>
                  <w:r>
                    <w:rPr>
                      <w:rFonts w:hint="eastAsia"/>
                      <w:color w:val="auto"/>
                      <w:sz w:val="18"/>
                      <w:szCs w:val="18"/>
                      <w:lang w:val="en-US" w:eastAsia="zh-CN"/>
                    </w:rPr>
                    <w:t>的外加剂储罐。</w:t>
                  </w:r>
                </w:p>
              </w:tc>
              <w:tc>
                <w:tcPr>
                  <w:tcW w:w="419" w:type="pct"/>
                  <w:tcBorders>
                    <w:tl2br w:val="nil"/>
                    <w:tr2bl w:val="nil"/>
                  </w:tcBorders>
                  <w:vAlign w:val="center"/>
                </w:tcPr>
                <w:p w14:paraId="43259E41">
                  <w:pPr>
                    <w:jc w:val="center"/>
                    <w:rPr>
                      <w:rFonts w:hint="default"/>
                      <w:color w:val="auto"/>
                      <w:sz w:val="18"/>
                      <w:szCs w:val="18"/>
                      <w:lang w:val="en-US" w:eastAsia="zh-CN"/>
                    </w:rPr>
                  </w:pPr>
                  <w:r>
                    <w:rPr>
                      <w:rFonts w:hint="eastAsia"/>
                      <w:color w:val="auto"/>
                      <w:sz w:val="18"/>
                      <w:szCs w:val="18"/>
                      <w:lang w:val="en-US" w:eastAsia="zh-CN"/>
                    </w:rPr>
                    <w:t>已建</w:t>
                  </w:r>
                </w:p>
              </w:tc>
            </w:tr>
            <w:tr w14:paraId="4362C5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3" w:type="pct"/>
                  <w:vMerge w:val="continue"/>
                  <w:tcBorders>
                    <w:tl2br w:val="nil"/>
                    <w:tr2bl w:val="nil"/>
                  </w:tcBorders>
                  <w:vAlign w:val="center"/>
                </w:tcPr>
                <w:p w14:paraId="3EF488AE">
                  <w:pPr>
                    <w:jc w:val="center"/>
                    <w:rPr>
                      <w:rFonts w:hint="eastAsia"/>
                      <w:color w:val="auto"/>
                      <w:sz w:val="18"/>
                      <w:szCs w:val="18"/>
                      <w:lang w:val="en-US" w:eastAsia="zh-CN"/>
                    </w:rPr>
                  </w:pPr>
                </w:p>
              </w:tc>
              <w:tc>
                <w:tcPr>
                  <w:tcW w:w="1106" w:type="pct"/>
                  <w:gridSpan w:val="3"/>
                  <w:tcBorders>
                    <w:tl2br w:val="nil"/>
                    <w:tr2bl w:val="nil"/>
                  </w:tcBorders>
                  <w:shd w:val="clear" w:color="auto" w:fill="auto"/>
                  <w:vAlign w:val="center"/>
                </w:tcPr>
                <w:p w14:paraId="5761B0B9">
                  <w:pPr>
                    <w:jc w:val="center"/>
                    <w:rPr>
                      <w:rFonts w:hint="default"/>
                      <w:color w:val="auto"/>
                      <w:sz w:val="18"/>
                      <w:szCs w:val="18"/>
                      <w:lang w:val="en-US" w:eastAsia="zh-CN"/>
                    </w:rPr>
                  </w:pPr>
                  <w:r>
                    <w:rPr>
                      <w:rFonts w:hint="eastAsia"/>
                      <w:color w:val="auto"/>
                      <w:sz w:val="18"/>
                      <w:szCs w:val="18"/>
                      <w:lang w:val="en-US" w:eastAsia="zh-CN"/>
                    </w:rPr>
                    <w:t>产品堆存</w:t>
                  </w:r>
                </w:p>
              </w:tc>
              <w:tc>
                <w:tcPr>
                  <w:tcW w:w="3141" w:type="pct"/>
                  <w:tcBorders>
                    <w:tl2br w:val="nil"/>
                    <w:tr2bl w:val="nil"/>
                  </w:tcBorders>
                  <w:shd w:val="clear" w:color="auto" w:fill="auto"/>
                  <w:vAlign w:val="center"/>
                </w:tcPr>
                <w:p w14:paraId="78550EE5">
                  <w:pPr>
                    <w:rPr>
                      <w:rFonts w:hint="eastAsia"/>
                      <w:color w:val="auto"/>
                      <w:sz w:val="18"/>
                      <w:szCs w:val="18"/>
                      <w:lang w:val="en-US" w:eastAsia="zh-CN"/>
                    </w:rPr>
                  </w:pPr>
                  <w:r>
                    <w:rPr>
                      <w:rFonts w:hint="eastAsia"/>
                      <w:color w:val="auto"/>
                      <w:sz w:val="18"/>
                      <w:szCs w:val="18"/>
                      <w:lang w:val="en-US" w:eastAsia="zh-CN"/>
                    </w:rPr>
                    <w:t>沥青混凝土成品不做储存，直接装车，运至施工工地；</w:t>
                  </w:r>
                </w:p>
                <w:p w14:paraId="14A65363">
                  <w:pPr>
                    <w:rPr>
                      <w:rFonts w:hint="default"/>
                      <w:color w:val="auto"/>
                      <w:sz w:val="18"/>
                      <w:szCs w:val="18"/>
                      <w:lang w:val="en-US" w:eastAsia="zh-CN"/>
                    </w:rPr>
                  </w:pPr>
                  <w:r>
                    <w:rPr>
                      <w:rFonts w:hint="eastAsia"/>
                      <w:color w:val="auto"/>
                      <w:sz w:val="18"/>
                      <w:szCs w:val="18"/>
                      <w:lang w:val="en-US" w:eastAsia="zh-CN"/>
                    </w:rPr>
                    <w:t>混凝土成品不做储存，直接装车，运至施工工地。</w:t>
                  </w:r>
                </w:p>
              </w:tc>
              <w:tc>
                <w:tcPr>
                  <w:tcW w:w="419" w:type="pct"/>
                  <w:tcBorders>
                    <w:tl2br w:val="nil"/>
                    <w:tr2bl w:val="nil"/>
                  </w:tcBorders>
                  <w:vAlign w:val="center"/>
                </w:tcPr>
                <w:p w14:paraId="2592C6BB">
                  <w:pPr>
                    <w:jc w:val="center"/>
                    <w:rPr>
                      <w:rFonts w:hint="default" w:eastAsia="宋体"/>
                      <w:color w:val="auto"/>
                      <w:sz w:val="18"/>
                      <w:szCs w:val="18"/>
                      <w:lang w:val="en-US" w:eastAsia="zh-CN"/>
                    </w:rPr>
                  </w:pPr>
                  <w:r>
                    <w:rPr>
                      <w:rFonts w:hint="eastAsia"/>
                      <w:color w:val="auto"/>
                      <w:sz w:val="18"/>
                      <w:szCs w:val="18"/>
                      <w:lang w:val="en-US" w:eastAsia="zh-CN"/>
                    </w:rPr>
                    <w:t>//</w:t>
                  </w:r>
                </w:p>
              </w:tc>
            </w:tr>
            <w:tr w14:paraId="07816F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3" w:type="pct"/>
                  <w:vMerge w:val="continue"/>
                  <w:tcBorders>
                    <w:tl2br w:val="nil"/>
                    <w:tr2bl w:val="nil"/>
                  </w:tcBorders>
                  <w:vAlign w:val="center"/>
                </w:tcPr>
                <w:p w14:paraId="5020A9B8">
                  <w:pPr>
                    <w:jc w:val="center"/>
                    <w:rPr>
                      <w:rFonts w:hint="eastAsia"/>
                      <w:color w:val="auto"/>
                      <w:sz w:val="18"/>
                      <w:szCs w:val="18"/>
                      <w:lang w:val="en-US" w:eastAsia="zh-CN"/>
                    </w:rPr>
                  </w:pPr>
                </w:p>
              </w:tc>
              <w:tc>
                <w:tcPr>
                  <w:tcW w:w="1106" w:type="pct"/>
                  <w:gridSpan w:val="3"/>
                  <w:tcBorders>
                    <w:tl2br w:val="nil"/>
                    <w:tr2bl w:val="nil"/>
                  </w:tcBorders>
                  <w:shd w:val="clear" w:color="auto" w:fill="auto"/>
                  <w:vAlign w:val="center"/>
                </w:tcPr>
                <w:p w14:paraId="604EF56F">
                  <w:pPr>
                    <w:jc w:val="center"/>
                    <w:rPr>
                      <w:rFonts w:hint="default"/>
                      <w:color w:val="auto"/>
                      <w:sz w:val="18"/>
                      <w:szCs w:val="18"/>
                      <w:lang w:val="en-US" w:eastAsia="zh-CN"/>
                    </w:rPr>
                  </w:pPr>
                  <w:r>
                    <w:rPr>
                      <w:rFonts w:hint="eastAsia"/>
                      <w:color w:val="auto"/>
                      <w:sz w:val="18"/>
                      <w:szCs w:val="18"/>
                      <w:lang w:val="en-US" w:eastAsia="zh-CN"/>
                    </w:rPr>
                    <w:t>输送转运</w:t>
                  </w:r>
                </w:p>
              </w:tc>
              <w:tc>
                <w:tcPr>
                  <w:tcW w:w="3141" w:type="pct"/>
                  <w:tcBorders>
                    <w:tl2br w:val="nil"/>
                    <w:tr2bl w:val="nil"/>
                  </w:tcBorders>
                  <w:shd w:val="clear" w:color="auto" w:fill="auto"/>
                  <w:vAlign w:val="center"/>
                </w:tcPr>
                <w:p w14:paraId="09E64CCB">
                  <w:pPr>
                    <w:rPr>
                      <w:rFonts w:hint="default"/>
                      <w:color w:val="auto"/>
                      <w:sz w:val="18"/>
                      <w:szCs w:val="18"/>
                      <w:lang w:val="en-US" w:eastAsia="zh-CN"/>
                    </w:rPr>
                  </w:pPr>
                  <w:r>
                    <w:rPr>
                      <w:rFonts w:hint="eastAsia"/>
                      <w:color w:val="auto"/>
                      <w:sz w:val="18"/>
                      <w:szCs w:val="18"/>
                      <w:lang w:val="en-US" w:eastAsia="zh-CN"/>
                    </w:rPr>
                    <w:t>全封闭皮带输送机。</w:t>
                  </w:r>
                </w:p>
              </w:tc>
              <w:tc>
                <w:tcPr>
                  <w:tcW w:w="419" w:type="pct"/>
                  <w:tcBorders>
                    <w:tl2br w:val="nil"/>
                    <w:tr2bl w:val="nil"/>
                  </w:tcBorders>
                  <w:vAlign w:val="center"/>
                </w:tcPr>
                <w:p w14:paraId="3BF35665">
                  <w:pPr>
                    <w:jc w:val="center"/>
                    <w:rPr>
                      <w:rFonts w:hint="eastAsia" w:eastAsia="宋体"/>
                      <w:color w:val="auto"/>
                      <w:sz w:val="18"/>
                      <w:szCs w:val="18"/>
                      <w:lang w:val="en-US" w:eastAsia="zh-CN"/>
                    </w:rPr>
                  </w:pPr>
                  <w:r>
                    <w:rPr>
                      <w:rFonts w:hint="eastAsia"/>
                      <w:color w:val="auto"/>
                      <w:sz w:val="18"/>
                      <w:szCs w:val="18"/>
                      <w:lang w:val="en-US" w:eastAsia="zh-CN"/>
                    </w:rPr>
                    <w:t>已建</w:t>
                  </w:r>
                </w:p>
              </w:tc>
            </w:tr>
            <w:tr w14:paraId="464821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3" w:type="pct"/>
                  <w:vMerge w:val="continue"/>
                  <w:tcBorders>
                    <w:tl2br w:val="nil"/>
                    <w:tr2bl w:val="nil"/>
                  </w:tcBorders>
                  <w:vAlign w:val="center"/>
                </w:tcPr>
                <w:p w14:paraId="3B87D6A3">
                  <w:pPr>
                    <w:jc w:val="center"/>
                    <w:rPr>
                      <w:rFonts w:hint="eastAsia"/>
                      <w:color w:val="auto"/>
                      <w:sz w:val="18"/>
                      <w:szCs w:val="18"/>
                      <w:lang w:val="en-US" w:eastAsia="zh-CN"/>
                    </w:rPr>
                  </w:pPr>
                </w:p>
              </w:tc>
              <w:tc>
                <w:tcPr>
                  <w:tcW w:w="1106" w:type="pct"/>
                  <w:gridSpan w:val="3"/>
                  <w:tcBorders>
                    <w:tl2br w:val="nil"/>
                    <w:tr2bl w:val="nil"/>
                  </w:tcBorders>
                  <w:shd w:val="clear" w:color="auto" w:fill="auto"/>
                  <w:vAlign w:val="center"/>
                </w:tcPr>
                <w:p w14:paraId="06A41F30">
                  <w:pPr>
                    <w:jc w:val="center"/>
                    <w:rPr>
                      <w:rFonts w:hint="eastAsia"/>
                      <w:color w:val="auto"/>
                      <w:sz w:val="18"/>
                      <w:szCs w:val="18"/>
                      <w:lang w:val="en-US" w:eastAsia="zh-CN"/>
                    </w:rPr>
                  </w:pPr>
                  <w:r>
                    <w:rPr>
                      <w:rFonts w:hint="eastAsia"/>
                      <w:color w:val="auto"/>
                      <w:sz w:val="18"/>
                      <w:szCs w:val="18"/>
                      <w:lang w:val="en-US" w:eastAsia="zh-CN"/>
                    </w:rPr>
                    <w:t>危险废物</w:t>
                  </w:r>
                </w:p>
                <w:p w14:paraId="0AE14F56">
                  <w:pPr>
                    <w:jc w:val="center"/>
                    <w:rPr>
                      <w:rFonts w:hint="default"/>
                      <w:color w:val="auto"/>
                      <w:sz w:val="18"/>
                      <w:szCs w:val="18"/>
                      <w:lang w:val="en-US" w:eastAsia="zh-CN"/>
                    </w:rPr>
                  </w:pPr>
                  <w:r>
                    <w:rPr>
                      <w:rFonts w:hint="eastAsia"/>
                      <w:color w:val="auto"/>
                      <w:sz w:val="18"/>
                      <w:szCs w:val="18"/>
                      <w:lang w:val="en-US" w:eastAsia="zh-CN"/>
                    </w:rPr>
                    <w:t>贮存库</w:t>
                  </w:r>
                </w:p>
              </w:tc>
              <w:tc>
                <w:tcPr>
                  <w:tcW w:w="3141" w:type="pct"/>
                  <w:tcBorders>
                    <w:tl2br w:val="nil"/>
                    <w:tr2bl w:val="nil"/>
                  </w:tcBorders>
                  <w:shd w:val="clear" w:color="auto" w:fill="auto"/>
                  <w:vAlign w:val="center"/>
                </w:tcPr>
                <w:p w14:paraId="13B71B67">
                  <w:pPr>
                    <w:rPr>
                      <w:rFonts w:hint="default"/>
                      <w:color w:val="auto"/>
                      <w:sz w:val="18"/>
                      <w:szCs w:val="18"/>
                      <w:lang w:val="en-US" w:eastAsia="zh-CN"/>
                    </w:rPr>
                  </w:pPr>
                  <w:r>
                    <w:rPr>
                      <w:rFonts w:hint="eastAsia"/>
                      <w:color w:val="auto"/>
                      <w:sz w:val="18"/>
                      <w:szCs w:val="18"/>
                      <w:lang w:val="en-US" w:eastAsia="zh-CN"/>
                    </w:rPr>
                    <w:t>在储料库内东南角处设置一座危险废物贮存库，占地面积10m</w:t>
                  </w:r>
                  <w:r>
                    <w:rPr>
                      <w:rFonts w:hint="eastAsia"/>
                      <w:color w:val="auto"/>
                      <w:sz w:val="18"/>
                      <w:szCs w:val="18"/>
                      <w:vertAlign w:val="superscript"/>
                      <w:lang w:val="en-US" w:eastAsia="zh-CN"/>
                    </w:rPr>
                    <w:t>2</w:t>
                  </w:r>
                  <w:r>
                    <w:rPr>
                      <w:rFonts w:hint="eastAsia"/>
                      <w:color w:val="auto"/>
                      <w:sz w:val="18"/>
                      <w:szCs w:val="18"/>
                      <w:lang w:val="en-US" w:eastAsia="zh-CN"/>
                    </w:rPr>
                    <w:t>，用于暂存废矿物</w:t>
                  </w:r>
                  <w:r>
                    <w:rPr>
                      <w:rFonts w:hint="eastAsia"/>
                      <w:color w:val="auto"/>
                      <w:sz w:val="18"/>
                      <w:szCs w:val="18"/>
                      <w:highlight w:val="none"/>
                      <w:lang w:val="en-US" w:eastAsia="zh-CN"/>
                    </w:rPr>
                    <w:t>油</w:t>
                  </w:r>
                  <w:r>
                    <w:rPr>
                      <w:rFonts w:hint="eastAsia"/>
                      <w:color w:val="auto"/>
                      <w:sz w:val="18"/>
                      <w:szCs w:val="18"/>
                      <w:lang w:val="en-US" w:eastAsia="zh-CN"/>
                    </w:rPr>
                    <w:t>、废油桶、废活性炭等危险废物，定期委托有资质单位清运处置。危废贮存库严格按照执行《危险废物贮存污染控制标准》（GB18597-2023）中相关要求建设。</w:t>
                  </w:r>
                </w:p>
              </w:tc>
              <w:tc>
                <w:tcPr>
                  <w:tcW w:w="419" w:type="pct"/>
                  <w:tcBorders>
                    <w:tl2br w:val="nil"/>
                    <w:tr2bl w:val="nil"/>
                  </w:tcBorders>
                  <w:vAlign w:val="center"/>
                </w:tcPr>
                <w:p w14:paraId="02FFC88A">
                  <w:pPr>
                    <w:jc w:val="center"/>
                    <w:rPr>
                      <w:rFonts w:hint="default" w:eastAsia="宋体"/>
                      <w:color w:val="auto"/>
                      <w:sz w:val="18"/>
                      <w:szCs w:val="18"/>
                      <w:lang w:val="en-US" w:eastAsia="zh-CN"/>
                    </w:rPr>
                  </w:pPr>
                  <w:r>
                    <w:rPr>
                      <w:rFonts w:hint="eastAsia"/>
                      <w:color w:val="auto"/>
                      <w:sz w:val="18"/>
                      <w:szCs w:val="18"/>
                      <w:lang w:val="en-US" w:eastAsia="zh-CN"/>
                    </w:rPr>
                    <w:t>新建</w:t>
                  </w:r>
                </w:p>
              </w:tc>
            </w:tr>
            <w:tr w14:paraId="3AFD5F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333" w:type="pct"/>
                  <w:vMerge w:val="restart"/>
                  <w:tcBorders>
                    <w:tl2br w:val="nil"/>
                    <w:tr2bl w:val="nil"/>
                  </w:tcBorders>
                  <w:vAlign w:val="center"/>
                </w:tcPr>
                <w:p w14:paraId="1881F9B7">
                  <w:pPr>
                    <w:jc w:val="center"/>
                    <w:rPr>
                      <w:color w:val="auto"/>
                      <w:sz w:val="18"/>
                      <w:szCs w:val="18"/>
                    </w:rPr>
                  </w:pPr>
                  <w:r>
                    <w:rPr>
                      <w:color w:val="auto"/>
                      <w:sz w:val="18"/>
                      <w:szCs w:val="18"/>
                    </w:rPr>
                    <w:t>环保工程</w:t>
                  </w:r>
                </w:p>
              </w:tc>
              <w:tc>
                <w:tcPr>
                  <w:tcW w:w="501" w:type="pct"/>
                  <w:gridSpan w:val="2"/>
                  <w:vMerge w:val="restart"/>
                  <w:tcBorders>
                    <w:tl2br w:val="nil"/>
                    <w:tr2bl w:val="nil"/>
                  </w:tcBorders>
                  <w:vAlign w:val="center"/>
                </w:tcPr>
                <w:p w14:paraId="0EACB2C0">
                  <w:pPr>
                    <w:jc w:val="center"/>
                    <w:rPr>
                      <w:rFonts w:hint="eastAsia"/>
                      <w:color w:val="auto"/>
                      <w:sz w:val="18"/>
                      <w:szCs w:val="18"/>
                      <w:lang w:val="en-US" w:eastAsia="zh-CN"/>
                    </w:rPr>
                  </w:pPr>
                  <w:r>
                    <w:rPr>
                      <w:color w:val="auto"/>
                      <w:sz w:val="18"/>
                      <w:szCs w:val="18"/>
                    </w:rPr>
                    <w:t>废气</w:t>
                  </w:r>
                </w:p>
              </w:tc>
              <w:tc>
                <w:tcPr>
                  <w:tcW w:w="604" w:type="pct"/>
                  <w:tcBorders>
                    <w:tl2br w:val="nil"/>
                    <w:tr2bl w:val="nil"/>
                  </w:tcBorders>
                  <w:vAlign w:val="center"/>
                </w:tcPr>
                <w:p w14:paraId="63DD9484">
                  <w:pPr>
                    <w:jc w:val="center"/>
                    <w:rPr>
                      <w:rFonts w:hint="default" w:eastAsia="宋体"/>
                      <w:color w:val="auto"/>
                      <w:sz w:val="18"/>
                      <w:szCs w:val="18"/>
                      <w:lang w:val="en-US" w:eastAsia="zh-CN"/>
                    </w:rPr>
                  </w:pPr>
                  <w:r>
                    <w:rPr>
                      <w:rFonts w:hint="eastAsia"/>
                      <w:color w:val="auto"/>
                      <w:sz w:val="18"/>
                      <w:szCs w:val="18"/>
                      <w:lang w:val="en-US" w:eastAsia="zh-CN"/>
                    </w:rPr>
                    <w:t>原料堆存装卸扬尘</w:t>
                  </w:r>
                </w:p>
              </w:tc>
              <w:tc>
                <w:tcPr>
                  <w:tcW w:w="3141" w:type="pct"/>
                  <w:tcBorders>
                    <w:tl2br w:val="nil"/>
                    <w:tr2bl w:val="nil"/>
                  </w:tcBorders>
                  <w:vAlign w:val="center"/>
                </w:tcPr>
                <w:p w14:paraId="53412036">
                  <w:pPr>
                    <w:rPr>
                      <w:rFonts w:hint="default"/>
                      <w:color w:val="auto"/>
                      <w:sz w:val="18"/>
                      <w:szCs w:val="18"/>
                      <w:lang w:val="en-US" w:eastAsia="zh-CN"/>
                    </w:rPr>
                  </w:pPr>
                  <w:r>
                    <w:rPr>
                      <w:rFonts w:hint="eastAsia"/>
                      <w:color w:val="auto"/>
                      <w:sz w:val="18"/>
                      <w:szCs w:val="18"/>
                      <w:lang w:val="en-US" w:eastAsia="zh-CN"/>
                    </w:rPr>
                    <w:t>建设封闭式储料库，占地面积5000m</w:t>
                  </w:r>
                  <w:r>
                    <w:rPr>
                      <w:rFonts w:hint="eastAsia"/>
                      <w:color w:val="auto"/>
                      <w:sz w:val="18"/>
                      <w:szCs w:val="18"/>
                      <w:vertAlign w:val="superscript"/>
                      <w:lang w:val="en-US" w:eastAsia="zh-CN"/>
                    </w:rPr>
                    <w:t>2</w:t>
                  </w:r>
                  <w:r>
                    <w:rPr>
                      <w:rFonts w:hint="eastAsia"/>
                      <w:color w:val="auto"/>
                      <w:sz w:val="18"/>
                      <w:szCs w:val="18"/>
                      <w:lang w:val="en-US" w:eastAsia="zh-CN"/>
                    </w:rPr>
                    <w:t>，储库地面硬化，原料分区堆存，设置固定装卸点，并配套雾炮车或雾炮机，定期洒水降尘。</w:t>
                  </w:r>
                </w:p>
              </w:tc>
              <w:tc>
                <w:tcPr>
                  <w:tcW w:w="419" w:type="pct"/>
                  <w:tcBorders>
                    <w:tl2br w:val="nil"/>
                    <w:tr2bl w:val="nil"/>
                  </w:tcBorders>
                  <w:vAlign w:val="center"/>
                </w:tcPr>
                <w:p w14:paraId="4DBA4A87">
                  <w:pPr>
                    <w:jc w:val="center"/>
                    <w:rPr>
                      <w:color w:val="auto"/>
                      <w:sz w:val="18"/>
                      <w:szCs w:val="18"/>
                    </w:rPr>
                  </w:pPr>
                  <w:r>
                    <w:rPr>
                      <w:color w:val="auto"/>
                      <w:sz w:val="18"/>
                      <w:szCs w:val="18"/>
                    </w:rPr>
                    <w:t>新建</w:t>
                  </w:r>
                </w:p>
              </w:tc>
            </w:tr>
            <w:tr w14:paraId="1E14A2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333" w:type="pct"/>
                  <w:vMerge w:val="continue"/>
                  <w:tcBorders>
                    <w:tl2br w:val="nil"/>
                    <w:tr2bl w:val="nil"/>
                  </w:tcBorders>
                  <w:vAlign w:val="center"/>
                </w:tcPr>
                <w:p w14:paraId="64B5A119">
                  <w:pPr>
                    <w:jc w:val="center"/>
                    <w:rPr>
                      <w:color w:val="auto"/>
                      <w:sz w:val="18"/>
                      <w:szCs w:val="18"/>
                    </w:rPr>
                  </w:pPr>
                </w:p>
              </w:tc>
              <w:tc>
                <w:tcPr>
                  <w:tcW w:w="501" w:type="pct"/>
                  <w:gridSpan w:val="2"/>
                  <w:vMerge w:val="continue"/>
                  <w:tcBorders>
                    <w:tl2br w:val="nil"/>
                    <w:tr2bl w:val="nil"/>
                  </w:tcBorders>
                  <w:vAlign w:val="center"/>
                </w:tcPr>
                <w:p w14:paraId="00D78E15">
                  <w:pPr>
                    <w:jc w:val="center"/>
                    <w:rPr>
                      <w:color w:val="auto"/>
                      <w:sz w:val="18"/>
                      <w:szCs w:val="18"/>
                    </w:rPr>
                  </w:pPr>
                </w:p>
              </w:tc>
              <w:tc>
                <w:tcPr>
                  <w:tcW w:w="604" w:type="pct"/>
                  <w:tcBorders>
                    <w:tl2br w:val="nil"/>
                    <w:tr2bl w:val="nil"/>
                  </w:tcBorders>
                  <w:vAlign w:val="center"/>
                </w:tcPr>
                <w:p w14:paraId="1998B39D">
                  <w:pPr>
                    <w:jc w:val="center"/>
                    <w:rPr>
                      <w:rFonts w:hint="default"/>
                      <w:color w:val="auto"/>
                      <w:sz w:val="18"/>
                      <w:szCs w:val="18"/>
                      <w:lang w:val="en-US" w:eastAsia="zh-CN"/>
                    </w:rPr>
                  </w:pPr>
                  <w:r>
                    <w:rPr>
                      <w:rFonts w:hint="eastAsia"/>
                      <w:color w:val="auto"/>
                      <w:sz w:val="18"/>
                      <w:szCs w:val="18"/>
                      <w:lang w:val="en-US" w:eastAsia="zh-CN"/>
                    </w:rPr>
                    <w:t>骨料烘干筛分及燃烧器混合废气</w:t>
                  </w:r>
                </w:p>
              </w:tc>
              <w:tc>
                <w:tcPr>
                  <w:tcW w:w="3141" w:type="pct"/>
                  <w:tcBorders>
                    <w:tl2br w:val="nil"/>
                    <w:tr2bl w:val="nil"/>
                  </w:tcBorders>
                  <w:vAlign w:val="center"/>
                </w:tcPr>
                <w:p w14:paraId="14682554">
                  <w:pPr>
                    <w:rPr>
                      <w:rFonts w:hint="default"/>
                      <w:color w:val="auto"/>
                      <w:sz w:val="18"/>
                      <w:szCs w:val="18"/>
                      <w:lang w:val="en-US" w:eastAsia="zh-CN"/>
                    </w:rPr>
                  </w:pPr>
                  <w:r>
                    <w:rPr>
                      <w:rFonts w:hint="eastAsia"/>
                      <w:color w:val="auto"/>
                      <w:sz w:val="18"/>
                      <w:szCs w:val="18"/>
                      <w:lang w:val="en-US" w:eastAsia="zh-CN"/>
                    </w:rPr>
                    <w:t>混合废气经旋风+布袋除尘器去除废气中的颗粒物，经处理后的废气由DA001（H15m，φ1.5m）排放。</w:t>
                  </w:r>
                </w:p>
              </w:tc>
              <w:tc>
                <w:tcPr>
                  <w:tcW w:w="419" w:type="pct"/>
                  <w:tcBorders>
                    <w:tl2br w:val="nil"/>
                    <w:tr2bl w:val="nil"/>
                  </w:tcBorders>
                  <w:vAlign w:val="center"/>
                </w:tcPr>
                <w:p w14:paraId="1D5D26A2">
                  <w:pPr>
                    <w:jc w:val="center"/>
                    <w:rPr>
                      <w:rFonts w:hint="eastAsia" w:eastAsia="宋体"/>
                      <w:color w:val="auto"/>
                      <w:sz w:val="18"/>
                      <w:szCs w:val="18"/>
                      <w:lang w:val="en-US" w:eastAsia="zh-CN"/>
                    </w:rPr>
                  </w:pPr>
                  <w:r>
                    <w:rPr>
                      <w:rFonts w:hint="eastAsia"/>
                      <w:color w:val="auto"/>
                      <w:sz w:val="18"/>
                      <w:szCs w:val="18"/>
                      <w:lang w:val="en-US" w:eastAsia="zh-CN"/>
                    </w:rPr>
                    <w:t>新建</w:t>
                  </w:r>
                </w:p>
              </w:tc>
            </w:tr>
            <w:tr w14:paraId="551B8A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86" w:hRule="atLeast"/>
                <w:jc w:val="center"/>
              </w:trPr>
              <w:tc>
                <w:tcPr>
                  <w:tcW w:w="333" w:type="pct"/>
                  <w:vMerge w:val="continue"/>
                  <w:tcBorders>
                    <w:tl2br w:val="nil"/>
                    <w:tr2bl w:val="nil"/>
                  </w:tcBorders>
                  <w:vAlign w:val="center"/>
                </w:tcPr>
                <w:p w14:paraId="6CC55EBB">
                  <w:pPr>
                    <w:jc w:val="center"/>
                    <w:rPr>
                      <w:color w:val="auto"/>
                      <w:sz w:val="18"/>
                      <w:szCs w:val="18"/>
                    </w:rPr>
                  </w:pPr>
                </w:p>
              </w:tc>
              <w:tc>
                <w:tcPr>
                  <w:tcW w:w="501" w:type="pct"/>
                  <w:gridSpan w:val="2"/>
                  <w:vMerge w:val="continue"/>
                  <w:tcBorders>
                    <w:tl2br w:val="nil"/>
                    <w:tr2bl w:val="nil"/>
                  </w:tcBorders>
                  <w:vAlign w:val="center"/>
                </w:tcPr>
                <w:p w14:paraId="5F4A7650">
                  <w:pPr>
                    <w:jc w:val="center"/>
                    <w:rPr>
                      <w:color w:val="auto"/>
                      <w:sz w:val="18"/>
                      <w:szCs w:val="18"/>
                    </w:rPr>
                  </w:pPr>
                </w:p>
              </w:tc>
              <w:tc>
                <w:tcPr>
                  <w:tcW w:w="604" w:type="pct"/>
                  <w:tcBorders>
                    <w:tl2br w:val="nil"/>
                    <w:tr2bl w:val="nil"/>
                  </w:tcBorders>
                  <w:vAlign w:val="center"/>
                </w:tcPr>
                <w:p w14:paraId="4AA06CA3">
                  <w:pPr>
                    <w:jc w:val="center"/>
                    <w:rPr>
                      <w:rFonts w:hint="default"/>
                      <w:color w:val="auto"/>
                      <w:sz w:val="18"/>
                      <w:szCs w:val="18"/>
                      <w:lang w:val="en-US" w:eastAsia="zh-CN"/>
                    </w:rPr>
                  </w:pPr>
                  <w:r>
                    <w:rPr>
                      <w:rFonts w:hint="eastAsia"/>
                      <w:color w:val="auto"/>
                      <w:sz w:val="18"/>
                      <w:szCs w:val="18"/>
                      <w:highlight w:val="none"/>
                      <w:lang w:val="en-US" w:eastAsia="zh-CN"/>
                    </w:rPr>
                    <w:t>导热油炉</w:t>
                  </w:r>
                  <w:r>
                    <w:rPr>
                      <w:rFonts w:hint="eastAsia"/>
                      <w:color w:val="auto"/>
                      <w:sz w:val="18"/>
                      <w:szCs w:val="18"/>
                      <w:lang w:val="en-US" w:eastAsia="zh-CN"/>
                    </w:rPr>
                    <w:t>烟气</w:t>
                  </w:r>
                </w:p>
              </w:tc>
              <w:tc>
                <w:tcPr>
                  <w:tcW w:w="3141" w:type="pct"/>
                  <w:tcBorders>
                    <w:tl2br w:val="nil"/>
                    <w:tr2bl w:val="nil"/>
                  </w:tcBorders>
                  <w:vAlign w:val="center"/>
                </w:tcPr>
                <w:p w14:paraId="746DDCBA">
                  <w:pPr>
                    <w:rPr>
                      <w:rFonts w:hint="default"/>
                      <w:color w:val="auto"/>
                      <w:sz w:val="18"/>
                      <w:szCs w:val="18"/>
                      <w:lang w:val="en-US" w:eastAsia="zh-CN"/>
                    </w:rPr>
                  </w:pPr>
                  <w:r>
                    <w:rPr>
                      <w:rFonts w:hint="eastAsia"/>
                      <w:color w:val="auto"/>
                      <w:sz w:val="18"/>
                      <w:szCs w:val="18"/>
                      <w:lang w:val="en-US" w:eastAsia="zh-CN"/>
                    </w:rPr>
                    <w:t>废气通入1套布袋除尘器，燃烧采用低氮燃烧技术，经处理后由DA002（H8m，φ0.3m）排放。</w:t>
                  </w:r>
                </w:p>
              </w:tc>
              <w:tc>
                <w:tcPr>
                  <w:tcW w:w="419" w:type="pct"/>
                  <w:tcBorders>
                    <w:tl2br w:val="nil"/>
                    <w:tr2bl w:val="nil"/>
                  </w:tcBorders>
                  <w:vAlign w:val="center"/>
                </w:tcPr>
                <w:p w14:paraId="7E3B2FC7">
                  <w:pPr>
                    <w:jc w:val="center"/>
                    <w:rPr>
                      <w:rFonts w:hint="eastAsia" w:eastAsia="宋体"/>
                      <w:color w:val="auto"/>
                      <w:sz w:val="18"/>
                      <w:szCs w:val="18"/>
                      <w:lang w:val="en-US" w:eastAsia="zh-CN"/>
                    </w:rPr>
                  </w:pPr>
                  <w:r>
                    <w:rPr>
                      <w:rFonts w:hint="eastAsia"/>
                      <w:color w:val="auto"/>
                      <w:sz w:val="18"/>
                      <w:szCs w:val="18"/>
                      <w:lang w:val="en-US" w:eastAsia="zh-CN"/>
                    </w:rPr>
                    <w:t>新建</w:t>
                  </w:r>
                </w:p>
              </w:tc>
            </w:tr>
            <w:tr w14:paraId="318690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333" w:type="pct"/>
                  <w:vMerge w:val="continue"/>
                  <w:tcBorders>
                    <w:tl2br w:val="nil"/>
                    <w:tr2bl w:val="nil"/>
                  </w:tcBorders>
                  <w:vAlign w:val="center"/>
                </w:tcPr>
                <w:p w14:paraId="67FEA17A">
                  <w:pPr>
                    <w:jc w:val="center"/>
                    <w:rPr>
                      <w:color w:val="auto"/>
                      <w:sz w:val="18"/>
                      <w:szCs w:val="18"/>
                    </w:rPr>
                  </w:pPr>
                </w:p>
              </w:tc>
              <w:tc>
                <w:tcPr>
                  <w:tcW w:w="501" w:type="pct"/>
                  <w:gridSpan w:val="2"/>
                  <w:vMerge w:val="continue"/>
                  <w:tcBorders>
                    <w:tl2br w:val="nil"/>
                    <w:tr2bl w:val="nil"/>
                  </w:tcBorders>
                  <w:vAlign w:val="center"/>
                </w:tcPr>
                <w:p w14:paraId="09FCBE5B">
                  <w:pPr>
                    <w:jc w:val="center"/>
                    <w:rPr>
                      <w:color w:val="auto"/>
                      <w:sz w:val="18"/>
                      <w:szCs w:val="18"/>
                    </w:rPr>
                  </w:pPr>
                </w:p>
              </w:tc>
              <w:tc>
                <w:tcPr>
                  <w:tcW w:w="604" w:type="pct"/>
                  <w:tcBorders>
                    <w:tl2br w:val="nil"/>
                    <w:tr2bl w:val="nil"/>
                  </w:tcBorders>
                  <w:vAlign w:val="center"/>
                </w:tcPr>
                <w:p w14:paraId="3E329E66">
                  <w:pPr>
                    <w:jc w:val="center"/>
                    <w:rPr>
                      <w:rFonts w:hint="default"/>
                      <w:color w:val="auto"/>
                      <w:sz w:val="18"/>
                      <w:szCs w:val="18"/>
                      <w:lang w:val="en-US" w:eastAsia="zh-CN"/>
                    </w:rPr>
                  </w:pPr>
                  <w:r>
                    <w:rPr>
                      <w:rFonts w:hint="eastAsia"/>
                      <w:color w:val="auto"/>
                      <w:sz w:val="18"/>
                      <w:szCs w:val="18"/>
                      <w:lang w:val="en-US" w:eastAsia="zh-CN"/>
                    </w:rPr>
                    <w:t>沥青预处理及搅拌废气</w:t>
                  </w:r>
                </w:p>
              </w:tc>
              <w:tc>
                <w:tcPr>
                  <w:tcW w:w="3141" w:type="pct"/>
                  <w:tcBorders>
                    <w:tl2br w:val="nil"/>
                    <w:tr2bl w:val="nil"/>
                  </w:tcBorders>
                  <w:vAlign w:val="center"/>
                </w:tcPr>
                <w:p w14:paraId="03EE1716">
                  <w:pPr>
                    <w:rPr>
                      <w:rFonts w:hint="default"/>
                      <w:color w:val="auto"/>
                      <w:sz w:val="18"/>
                      <w:szCs w:val="18"/>
                      <w:lang w:val="en-US" w:eastAsia="zh-CN"/>
                    </w:rPr>
                  </w:pPr>
                  <w:r>
                    <w:rPr>
                      <w:rFonts w:hint="eastAsia"/>
                      <w:color w:val="auto"/>
                      <w:sz w:val="18"/>
                      <w:szCs w:val="18"/>
                      <w:lang w:val="en-US" w:eastAsia="zh-CN"/>
                    </w:rPr>
                    <w:t>沥青搅拌机组封闭，并在沥青储罐呼吸孔和成品沥青混凝土储存仓出料口处设置集气罩，通过风管将废气通入1套冷凝器+活性炭吸附装置，集气效率95%，去除效率90%，经处理后的废气由DA003（H15m，φ0.3m）排放。</w:t>
                  </w:r>
                </w:p>
              </w:tc>
              <w:tc>
                <w:tcPr>
                  <w:tcW w:w="419" w:type="pct"/>
                  <w:tcBorders>
                    <w:tl2br w:val="nil"/>
                    <w:tr2bl w:val="nil"/>
                  </w:tcBorders>
                  <w:vAlign w:val="center"/>
                </w:tcPr>
                <w:p w14:paraId="00AFF4D6">
                  <w:pPr>
                    <w:jc w:val="center"/>
                    <w:rPr>
                      <w:rFonts w:hint="default" w:eastAsia="宋体"/>
                      <w:color w:val="auto"/>
                      <w:sz w:val="18"/>
                      <w:szCs w:val="18"/>
                      <w:lang w:val="en-US" w:eastAsia="zh-CN"/>
                    </w:rPr>
                  </w:pPr>
                  <w:r>
                    <w:rPr>
                      <w:rFonts w:hint="eastAsia"/>
                      <w:color w:val="auto"/>
                      <w:sz w:val="18"/>
                      <w:szCs w:val="18"/>
                      <w:lang w:val="en-US" w:eastAsia="zh-CN"/>
                    </w:rPr>
                    <w:t>新建</w:t>
                  </w:r>
                </w:p>
              </w:tc>
            </w:tr>
            <w:tr w14:paraId="7BB135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333" w:type="pct"/>
                  <w:vMerge w:val="continue"/>
                  <w:tcBorders>
                    <w:tl2br w:val="nil"/>
                    <w:tr2bl w:val="nil"/>
                  </w:tcBorders>
                  <w:vAlign w:val="center"/>
                </w:tcPr>
                <w:p w14:paraId="44255785">
                  <w:pPr>
                    <w:jc w:val="center"/>
                    <w:rPr>
                      <w:color w:val="auto"/>
                      <w:sz w:val="18"/>
                      <w:szCs w:val="18"/>
                    </w:rPr>
                  </w:pPr>
                </w:p>
              </w:tc>
              <w:tc>
                <w:tcPr>
                  <w:tcW w:w="501" w:type="pct"/>
                  <w:gridSpan w:val="2"/>
                  <w:vMerge w:val="continue"/>
                  <w:tcBorders>
                    <w:tl2br w:val="nil"/>
                    <w:tr2bl w:val="nil"/>
                  </w:tcBorders>
                  <w:vAlign w:val="center"/>
                </w:tcPr>
                <w:p w14:paraId="162F9BEF">
                  <w:pPr>
                    <w:jc w:val="center"/>
                    <w:rPr>
                      <w:color w:val="auto"/>
                      <w:sz w:val="18"/>
                      <w:szCs w:val="18"/>
                    </w:rPr>
                  </w:pPr>
                </w:p>
              </w:tc>
              <w:tc>
                <w:tcPr>
                  <w:tcW w:w="604" w:type="pct"/>
                  <w:tcBorders>
                    <w:tl2br w:val="nil"/>
                    <w:tr2bl w:val="nil"/>
                  </w:tcBorders>
                  <w:shd w:val="clear" w:color="auto" w:fill="auto"/>
                  <w:vAlign w:val="center"/>
                </w:tcPr>
                <w:p w14:paraId="1D541ED1">
                  <w:pPr>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混凝土搅拌废气</w:t>
                  </w:r>
                </w:p>
              </w:tc>
              <w:tc>
                <w:tcPr>
                  <w:tcW w:w="3141" w:type="pct"/>
                  <w:tcBorders>
                    <w:tl2br w:val="nil"/>
                    <w:tr2bl w:val="nil"/>
                  </w:tcBorders>
                  <w:shd w:val="clear" w:color="auto" w:fill="auto"/>
                  <w:vAlign w:val="center"/>
                </w:tcPr>
                <w:p w14:paraId="71261A41">
                  <w:pP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封闭搅拌机组，将废气引入1套布袋除尘器，集气效率95%，除尘效率99%，经处理后的废气由DA004（H15m，φ0.5m）排放。</w:t>
                  </w:r>
                </w:p>
              </w:tc>
              <w:tc>
                <w:tcPr>
                  <w:tcW w:w="419" w:type="pct"/>
                  <w:tcBorders>
                    <w:tl2br w:val="nil"/>
                    <w:tr2bl w:val="nil"/>
                  </w:tcBorders>
                  <w:shd w:val="clear" w:color="auto" w:fill="auto"/>
                  <w:vAlign w:val="center"/>
                </w:tcPr>
                <w:p w14:paraId="591FA13B">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新建</w:t>
                  </w:r>
                </w:p>
              </w:tc>
            </w:tr>
            <w:tr w14:paraId="1B0071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333" w:type="pct"/>
                  <w:vMerge w:val="continue"/>
                  <w:tcBorders>
                    <w:tl2br w:val="nil"/>
                    <w:tr2bl w:val="nil"/>
                  </w:tcBorders>
                  <w:vAlign w:val="center"/>
                </w:tcPr>
                <w:p w14:paraId="1313A1D0">
                  <w:pPr>
                    <w:jc w:val="center"/>
                    <w:rPr>
                      <w:color w:val="auto"/>
                      <w:sz w:val="18"/>
                      <w:szCs w:val="18"/>
                    </w:rPr>
                  </w:pPr>
                </w:p>
              </w:tc>
              <w:tc>
                <w:tcPr>
                  <w:tcW w:w="501" w:type="pct"/>
                  <w:gridSpan w:val="2"/>
                  <w:vMerge w:val="continue"/>
                  <w:tcBorders>
                    <w:tl2br w:val="nil"/>
                    <w:tr2bl w:val="nil"/>
                  </w:tcBorders>
                  <w:vAlign w:val="center"/>
                </w:tcPr>
                <w:p w14:paraId="64B10641">
                  <w:pPr>
                    <w:jc w:val="center"/>
                    <w:rPr>
                      <w:color w:val="auto"/>
                      <w:sz w:val="18"/>
                      <w:szCs w:val="18"/>
                    </w:rPr>
                  </w:pPr>
                </w:p>
              </w:tc>
              <w:tc>
                <w:tcPr>
                  <w:tcW w:w="970" w:type="dxa"/>
                  <w:tcBorders>
                    <w:tl2br w:val="nil"/>
                    <w:tr2bl w:val="nil"/>
                  </w:tcBorders>
                  <w:shd w:val="clear" w:color="auto" w:fill="auto"/>
                  <w:vAlign w:val="center"/>
                </w:tcPr>
                <w:p w14:paraId="3C9FDD7B">
                  <w:pPr>
                    <w:jc w:val="center"/>
                    <w:rPr>
                      <w:rFonts w:hint="eastAsia"/>
                      <w:color w:val="auto"/>
                      <w:sz w:val="18"/>
                      <w:szCs w:val="18"/>
                      <w:lang w:val="en-US" w:eastAsia="zh-CN"/>
                    </w:rPr>
                  </w:pPr>
                  <w:r>
                    <w:rPr>
                      <w:rFonts w:hint="eastAsia"/>
                      <w:color w:val="auto"/>
                      <w:sz w:val="18"/>
                      <w:szCs w:val="18"/>
                      <w:lang w:val="en-US" w:eastAsia="zh-CN"/>
                    </w:rPr>
                    <w:t>水稳土搅拌废气</w:t>
                  </w:r>
                </w:p>
              </w:tc>
              <w:tc>
                <w:tcPr>
                  <w:tcW w:w="5038" w:type="dxa"/>
                  <w:tcBorders>
                    <w:tl2br w:val="nil"/>
                    <w:tr2bl w:val="nil"/>
                  </w:tcBorders>
                  <w:shd w:val="clear" w:color="auto" w:fill="auto"/>
                  <w:vAlign w:val="center"/>
                </w:tcPr>
                <w:p w14:paraId="3922BEA0">
                  <w:pPr>
                    <w:rPr>
                      <w:rFonts w:hint="eastAsia"/>
                      <w:color w:val="auto"/>
                      <w:sz w:val="18"/>
                      <w:szCs w:val="18"/>
                      <w:lang w:val="en-US" w:eastAsia="zh-CN"/>
                    </w:rPr>
                  </w:pPr>
                  <w:r>
                    <w:rPr>
                      <w:rFonts w:hint="eastAsia"/>
                      <w:color w:val="auto"/>
                      <w:sz w:val="18"/>
                      <w:szCs w:val="18"/>
                      <w:lang w:val="en-US" w:eastAsia="zh-CN"/>
                    </w:rPr>
                    <w:t>封闭搅拌机组，将废气引入1套布袋除尘器，集气效率95%，除尘效率99%，经处理后的废气由DA005（H15m，φ0.5m）排放。</w:t>
                  </w:r>
                </w:p>
              </w:tc>
              <w:tc>
                <w:tcPr>
                  <w:tcW w:w="672" w:type="dxa"/>
                  <w:tcBorders>
                    <w:tl2br w:val="nil"/>
                    <w:tr2bl w:val="nil"/>
                  </w:tcBorders>
                  <w:shd w:val="clear" w:color="auto" w:fill="auto"/>
                  <w:vAlign w:val="center"/>
                </w:tcPr>
                <w:p w14:paraId="4C4041CC">
                  <w:pPr>
                    <w:jc w:val="center"/>
                    <w:rPr>
                      <w:rFonts w:hint="eastAsia"/>
                      <w:color w:val="auto"/>
                      <w:sz w:val="18"/>
                      <w:szCs w:val="18"/>
                      <w:lang w:val="en-US" w:eastAsia="zh-CN"/>
                    </w:rPr>
                  </w:pPr>
                  <w:r>
                    <w:rPr>
                      <w:rFonts w:hint="eastAsia"/>
                      <w:color w:val="auto"/>
                      <w:sz w:val="18"/>
                      <w:szCs w:val="18"/>
                      <w:lang w:val="en-US" w:eastAsia="zh-CN"/>
                    </w:rPr>
                    <w:t>新建</w:t>
                  </w:r>
                </w:p>
              </w:tc>
            </w:tr>
            <w:tr w14:paraId="5C5024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333" w:type="pct"/>
                  <w:vMerge w:val="continue"/>
                  <w:tcBorders>
                    <w:tl2br w:val="nil"/>
                    <w:tr2bl w:val="nil"/>
                  </w:tcBorders>
                  <w:vAlign w:val="center"/>
                </w:tcPr>
                <w:p w14:paraId="2B56C137">
                  <w:pPr>
                    <w:jc w:val="center"/>
                    <w:rPr>
                      <w:color w:val="auto"/>
                      <w:sz w:val="18"/>
                      <w:szCs w:val="18"/>
                    </w:rPr>
                  </w:pPr>
                </w:p>
              </w:tc>
              <w:tc>
                <w:tcPr>
                  <w:tcW w:w="501" w:type="pct"/>
                  <w:gridSpan w:val="2"/>
                  <w:vMerge w:val="continue"/>
                  <w:tcBorders>
                    <w:tl2br w:val="nil"/>
                    <w:tr2bl w:val="nil"/>
                  </w:tcBorders>
                  <w:vAlign w:val="center"/>
                </w:tcPr>
                <w:p w14:paraId="3C7CBA9F">
                  <w:pPr>
                    <w:jc w:val="center"/>
                    <w:rPr>
                      <w:color w:val="auto"/>
                      <w:sz w:val="18"/>
                      <w:szCs w:val="18"/>
                    </w:rPr>
                  </w:pPr>
                </w:p>
              </w:tc>
              <w:tc>
                <w:tcPr>
                  <w:tcW w:w="604" w:type="pct"/>
                  <w:tcBorders>
                    <w:tl2br w:val="nil"/>
                    <w:tr2bl w:val="nil"/>
                  </w:tcBorders>
                  <w:shd w:val="clear" w:color="auto" w:fill="auto"/>
                  <w:vAlign w:val="center"/>
                </w:tcPr>
                <w:p w14:paraId="19220E40">
                  <w:pPr>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粉料暂存废气</w:t>
                  </w:r>
                </w:p>
              </w:tc>
              <w:tc>
                <w:tcPr>
                  <w:tcW w:w="3141" w:type="pct"/>
                  <w:tcBorders>
                    <w:tl2br w:val="nil"/>
                    <w:tr2bl w:val="nil"/>
                  </w:tcBorders>
                  <w:shd w:val="clear" w:color="auto" w:fill="auto"/>
                  <w:vAlign w:val="center"/>
                </w:tcPr>
                <w:p w14:paraId="7F7B59D3">
                  <w:pP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粉料筒仓均设置1套仓顶除尘器，共7套，经处理后的废气分别由沥青生产线矿粉筒仓DA006（H15m，φ0.15m）、混凝土生产线水泥筒仓DA007（H15m，φ0.15m）排放、粉煤灰筒仓DA008（H15m，φ0.15m）排放、矿粉筒仓DA009（H15m，φ0.15m）、水稳土矿粉筒仓DA010（H15m，φ0.15m）排放。</w:t>
                  </w:r>
                </w:p>
              </w:tc>
              <w:tc>
                <w:tcPr>
                  <w:tcW w:w="419" w:type="pct"/>
                  <w:tcBorders>
                    <w:tl2br w:val="nil"/>
                    <w:tr2bl w:val="nil"/>
                  </w:tcBorders>
                  <w:shd w:val="clear" w:color="auto" w:fill="auto"/>
                  <w:vAlign w:val="center"/>
                </w:tcPr>
                <w:p w14:paraId="05384F88">
                  <w:pPr>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新建</w:t>
                  </w:r>
                </w:p>
              </w:tc>
            </w:tr>
            <w:tr w14:paraId="697FD2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333" w:type="pct"/>
                  <w:vMerge w:val="continue"/>
                  <w:tcBorders>
                    <w:tl2br w:val="nil"/>
                    <w:tr2bl w:val="nil"/>
                  </w:tcBorders>
                  <w:vAlign w:val="center"/>
                </w:tcPr>
                <w:p w14:paraId="50B2C858">
                  <w:pPr>
                    <w:jc w:val="center"/>
                    <w:rPr>
                      <w:color w:val="auto"/>
                      <w:sz w:val="18"/>
                      <w:szCs w:val="18"/>
                    </w:rPr>
                  </w:pPr>
                </w:p>
              </w:tc>
              <w:tc>
                <w:tcPr>
                  <w:tcW w:w="501" w:type="pct"/>
                  <w:gridSpan w:val="2"/>
                  <w:vMerge w:val="continue"/>
                  <w:tcBorders>
                    <w:tl2br w:val="nil"/>
                    <w:tr2bl w:val="nil"/>
                  </w:tcBorders>
                  <w:vAlign w:val="center"/>
                </w:tcPr>
                <w:p w14:paraId="254C5AFD">
                  <w:pPr>
                    <w:jc w:val="center"/>
                    <w:rPr>
                      <w:color w:val="auto"/>
                      <w:sz w:val="18"/>
                      <w:szCs w:val="18"/>
                    </w:rPr>
                  </w:pPr>
                </w:p>
              </w:tc>
              <w:tc>
                <w:tcPr>
                  <w:tcW w:w="604" w:type="pct"/>
                  <w:tcBorders>
                    <w:tl2br w:val="nil"/>
                    <w:tr2bl w:val="nil"/>
                  </w:tcBorders>
                  <w:shd w:val="clear" w:color="auto" w:fill="auto"/>
                  <w:vAlign w:val="center"/>
                </w:tcPr>
                <w:p w14:paraId="6C7222C2">
                  <w:pPr>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柴油呼吸废气</w:t>
                  </w:r>
                </w:p>
              </w:tc>
              <w:tc>
                <w:tcPr>
                  <w:tcW w:w="3141" w:type="pct"/>
                  <w:tcBorders>
                    <w:tl2br w:val="nil"/>
                    <w:tr2bl w:val="nil"/>
                  </w:tcBorders>
                  <w:shd w:val="clear" w:color="auto" w:fill="auto"/>
                  <w:vAlign w:val="center"/>
                </w:tcPr>
                <w:p w14:paraId="4FBA7108">
                  <w:pP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储罐设置于开阔场地，卸油采取浸没式卸油方式。</w:t>
                  </w:r>
                </w:p>
              </w:tc>
              <w:tc>
                <w:tcPr>
                  <w:tcW w:w="419" w:type="pct"/>
                  <w:tcBorders>
                    <w:tl2br w:val="nil"/>
                    <w:tr2bl w:val="nil"/>
                  </w:tcBorders>
                  <w:shd w:val="clear" w:color="auto" w:fill="auto"/>
                  <w:vAlign w:val="center"/>
                </w:tcPr>
                <w:p w14:paraId="4DA16A28">
                  <w:pPr>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新建</w:t>
                  </w:r>
                </w:p>
              </w:tc>
            </w:tr>
            <w:tr w14:paraId="33C085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333" w:type="pct"/>
                  <w:vMerge w:val="continue"/>
                  <w:tcBorders>
                    <w:tl2br w:val="nil"/>
                    <w:tr2bl w:val="nil"/>
                  </w:tcBorders>
                  <w:vAlign w:val="center"/>
                </w:tcPr>
                <w:p w14:paraId="4631B679">
                  <w:pPr>
                    <w:jc w:val="center"/>
                    <w:rPr>
                      <w:color w:val="auto"/>
                      <w:sz w:val="18"/>
                      <w:szCs w:val="18"/>
                    </w:rPr>
                  </w:pPr>
                </w:p>
              </w:tc>
              <w:tc>
                <w:tcPr>
                  <w:tcW w:w="501" w:type="pct"/>
                  <w:gridSpan w:val="2"/>
                  <w:vMerge w:val="continue"/>
                  <w:tcBorders>
                    <w:tl2br w:val="nil"/>
                    <w:tr2bl w:val="nil"/>
                  </w:tcBorders>
                  <w:vAlign w:val="center"/>
                </w:tcPr>
                <w:p w14:paraId="6EBA0094">
                  <w:pPr>
                    <w:jc w:val="center"/>
                    <w:rPr>
                      <w:color w:val="auto"/>
                      <w:sz w:val="18"/>
                      <w:szCs w:val="18"/>
                    </w:rPr>
                  </w:pPr>
                </w:p>
              </w:tc>
              <w:tc>
                <w:tcPr>
                  <w:tcW w:w="604" w:type="pct"/>
                  <w:tcBorders>
                    <w:tl2br w:val="nil"/>
                    <w:tr2bl w:val="nil"/>
                  </w:tcBorders>
                  <w:shd w:val="clear" w:color="auto" w:fill="auto"/>
                  <w:vAlign w:val="center"/>
                </w:tcPr>
                <w:p w14:paraId="177EF8E2">
                  <w:pPr>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上料转载运输</w:t>
                  </w:r>
                </w:p>
              </w:tc>
              <w:tc>
                <w:tcPr>
                  <w:tcW w:w="3141" w:type="pct"/>
                  <w:tcBorders>
                    <w:tl2br w:val="nil"/>
                    <w:tr2bl w:val="nil"/>
                  </w:tcBorders>
                  <w:shd w:val="clear" w:color="auto" w:fill="auto"/>
                  <w:vAlign w:val="center"/>
                </w:tcPr>
                <w:p w14:paraId="2E9468FA">
                  <w:pPr>
                    <w:keepNext w:val="0"/>
                    <w:keepLines w:val="0"/>
                    <w:widowControl/>
                    <w:suppressLineNumbers w:val="0"/>
                    <w:jc w:val="left"/>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封闭上料设施及输送皮带等。</w:t>
                  </w:r>
                </w:p>
              </w:tc>
              <w:tc>
                <w:tcPr>
                  <w:tcW w:w="419" w:type="pct"/>
                  <w:tcBorders>
                    <w:tl2br w:val="nil"/>
                    <w:tr2bl w:val="nil"/>
                  </w:tcBorders>
                  <w:shd w:val="clear" w:color="auto" w:fill="auto"/>
                  <w:vAlign w:val="center"/>
                </w:tcPr>
                <w:p w14:paraId="3A8C200D">
                  <w:pPr>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新建</w:t>
                  </w:r>
                </w:p>
              </w:tc>
            </w:tr>
            <w:tr w14:paraId="74FD4B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333" w:type="pct"/>
                  <w:vMerge w:val="continue"/>
                  <w:tcBorders>
                    <w:tl2br w:val="nil"/>
                    <w:tr2bl w:val="nil"/>
                  </w:tcBorders>
                  <w:vAlign w:val="center"/>
                </w:tcPr>
                <w:p w14:paraId="162AD8B5">
                  <w:pPr>
                    <w:jc w:val="center"/>
                    <w:rPr>
                      <w:color w:val="auto"/>
                      <w:sz w:val="18"/>
                      <w:szCs w:val="18"/>
                    </w:rPr>
                  </w:pPr>
                </w:p>
              </w:tc>
              <w:tc>
                <w:tcPr>
                  <w:tcW w:w="501" w:type="pct"/>
                  <w:gridSpan w:val="2"/>
                  <w:vMerge w:val="continue"/>
                  <w:tcBorders>
                    <w:tl2br w:val="nil"/>
                    <w:tr2bl w:val="nil"/>
                  </w:tcBorders>
                  <w:vAlign w:val="center"/>
                </w:tcPr>
                <w:p w14:paraId="4FFAC2DE">
                  <w:pPr>
                    <w:jc w:val="center"/>
                    <w:rPr>
                      <w:color w:val="auto"/>
                      <w:sz w:val="18"/>
                      <w:szCs w:val="18"/>
                    </w:rPr>
                  </w:pPr>
                </w:p>
              </w:tc>
              <w:tc>
                <w:tcPr>
                  <w:tcW w:w="604" w:type="pct"/>
                  <w:tcBorders>
                    <w:tl2br w:val="nil"/>
                    <w:tr2bl w:val="nil"/>
                  </w:tcBorders>
                  <w:shd w:val="clear" w:color="auto" w:fill="auto"/>
                  <w:vAlign w:val="center"/>
                </w:tcPr>
                <w:p w14:paraId="41E62FF4">
                  <w:pPr>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道路扬尘</w:t>
                  </w:r>
                </w:p>
              </w:tc>
              <w:tc>
                <w:tcPr>
                  <w:tcW w:w="3141" w:type="pct"/>
                  <w:tcBorders>
                    <w:tl2br w:val="nil"/>
                    <w:tr2bl w:val="nil"/>
                  </w:tcBorders>
                  <w:shd w:val="clear" w:color="auto" w:fill="auto"/>
                  <w:vAlign w:val="center"/>
                </w:tcPr>
                <w:p w14:paraId="15887BD5">
                  <w:pPr>
                    <w:keepNext w:val="0"/>
                    <w:keepLines w:val="0"/>
                    <w:widowControl/>
                    <w:suppressLineNumbers w:val="0"/>
                    <w:jc w:val="left"/>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硬化运输道路、场地，洒水降尘、绿化等措施。</w:t>
                  </w:r>
                </w:p>
              </w:tc>
              <w:tc>
                <w:tcPr>
                  <w:tcW w:w="419" w:type="pct"/>
                  <w:tcBorders>
                    <w:tl2br w:val="nil"/>
                    <w:tr2bl w:val="nil"/>
                  </w:tcBorders>
                  <w:shd w:val="clear" w:color="auto" w:fill="auto"/>
                  <w:vAlign w:val="center"/>
                </w:tcPr>
                <w:p w14:paraId="490601D0">
                  <w:pPr>
                    <w:jc w:val="center"/>
                    <w:rPr>
                      <w:rFonts w:hint="eastAsia" w:ascii="Times New Roman" w:hAnsi="Times New Roman" w:eastAsia="宋体" w:cs="Times New Roman"/>
                      <w:color w:val="auto"/>
                      <w:kern w:val="2"/>
                      <w:sz w:val="18"/>
                      <w:szCs w:val="18"/>
                      <w:lang w:val="en-US" w:eastAsia="zh-CN" w:bidi="ar-SA"/>
                    </w:rPr>
                  </w:pPr>
                  <w:r>
                    <w:rPr>
                      <w:color w:val="auto"/>
                      <w:sz w:val="18"/>
                      <w:szCs w:val="18"/>
                    </w:rPr>
                    <w:t>新建</w:t>
                  </w:r>
                </w:p>
              </w:tc>
            </w:tr>
            <w:tr w14:paraId="6B6F8C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333" w:type="pct"/>
                  <w:vMerge w:val="continue"/>
                  <w:tcBorders>
                    <w:tl2br w:val="nil"/>
                    <w:tr2bl w:val="nil"/>
                  </w:tcBorders>
                  <w:vAlign w:val="center"/>
                </w:tcPr>
                <w:p w14:paraId="237AD619">
                  <w:pPr>
                    <w:rPr>
                      <w:color w:val="auto"/>
                      <w:sz w:val="18"/>
                      <w:szCs w:val="18"/>
                    </w:rPr>
                  </w:pPr>
                </w:p>
              </w:tc>
              <w:tc>
                <w:tcPr>
                  <w:tcW w:w="501" w:type="pct"/>
                  <w:gridSpan w:val="2"/>
                  <w:vMerge w:val="restart"/>
                  <w:tcBorders>
                    <w:tl2br w:val="nil"/>
                    <w:tr2bl w:val="nil"/>
                  </w:tcBorders>
                  <w:vAlign w:val="center"/>
                </w:tcPr>
                <w:p w14:paraId="53DA9517">
                  <w:pPr>
                    <w:jc w:val="center"/>
                    <w:rPr>
                      <w:rFonts w:hint="eastAsia" w:eastAsia="宋体"/>
                      <w:color w:val="auto"/>
                      <w:sz w:val="18"/>
                      <w:szCs w:val="18"/>
                      <w:lang w:val="en-US" w:eastAsia="zh-CN"/>
                    </w:rPr>
                  </w:pPr>
                  <w:r>
                    <w:rPr>
                      <w:rFonts w:hint="eastAsia"/>
                      <w:color w:val="auto"/>
                      <w:sz w:val="18"/>
                      <w:szCs w:val="18"/>
                      <w:lang w:val="en-US" w:eastAsia="zh-CN"/>
                    </w:rPr>
                    <w:t>废水</w:t>
                  </w:r>
                </w:p>
              </w:tc>
              <w:tc>
                <w:tcPr>
                  <w:tcW w:w="604" w:type="pct"/>
                  <w:tcBorders>
                    <w:tl2br w:val="nil"/>
                    <w:tr2bl w:val="nil"/>
                  </w:tcBorders>
                  <w:vAlign w:val="center"/>
                </w:tcPr>
                <w:p w14:paraId="5CA4C46C">
                  <w:pPr>
                    <w:jc w:val="center"/>
                    <w:rPr>
                      <w:rFonts w:hint="default"/>
                      <w:color w:val="auto"/>
                      <w:sz w:val="18"/>
                      <w:szCs w:val="18"/>
                      <w:lang w:val="en-US" w:eastAsia="zh-CN"/>
                    </w:rPr>
                  </w:pPr>
                  <w:r>
                    <w:rPr>
                      <w:rFonts w:hint="eastAsia"/>
                      <w:color w:val="auto"/>
                      <w:sz w:val="18"/>
                      <w:szCs w:val="18"/>
                      <w:lang w:val="en-US" w:eastAsia="zh-CN"/>
                    </w:rPr>
                    <w:t>生活污水</w:t>
                  </w:r>
                </w:p>
              </w:tc>
              <w:tc>
                <w:tcPr>
                  <w:tcW w:w="3141" w:type="pct"/>
                  <w:tcBorders>
                    <w:tl2br w:val="nil"/>
                    <w:tr2bl w:val="nil"/>
                  </w:tcBorders>
                  <w:vAlign w:val="center"/>
                </w:tcPr>
                <w:p w14:paraId="258EE58E">
                  <w:pPr>
                    <w:keepNext w:val="0"/>
                    <w:keepLines w:val="0"/>
                    <w:widowControl/>
                    <w:suppressLineNumbers w:val="0"/>
                    <w:jc w:val="left"/>
                    <w:rPr>
                      <w:rFonts w:hint="default" w:eastAsia="宋体"/>
                      <w:color w:val="auto"/>
                      <w:sz w:val="18"/>
                      <w:szCs w:val="18"/>
                      <w:lang w:val="en-US" w:eastAsia="zh-CN"/>
                    </w:rPr>
                  </w:pPr>
                  <w:r>
                    <w:rPr>
                      <w:rFonts w:hint="eastAsia"/>
                      <w:color w:val="auto"/>
                      <w:sz w:val="18"/>
                      <w:szCs w:val="18"/>
                      <w:lang w:val="en-US" w:eastAsia="zh-CN"/>
                    </w:rPr>
                    <w:t>生活污水经化粪池（20m</w:t>
                  </w:r>
                  <w:r>
                    <w:rPr>
                      <w:rFonts w:hint="eastAsia"/>
                      <w:color w:val="auto"/>
                      <w:sz w:val="18"/>
                      <w:szCs w:val="18"/>
                      <w:vertAlign w:val="superscript"/>
                      <w:lang w:val="en-US" w:eastAsia="zh-CN"/>
                    </w:rPr>
                    <w:t>3</w:t>
                  </w:r>
                  <w:r>
                    <w:rPr>
                      <w:rFonts w:hint="eastAsia"/>
                      <w:color w:val="auto"/>
                      <w:sz w:val="18"/>
                      <w:szCs w:val="18"/>
                      <w:lang w:val="en-US" w:eastAsia="zh-CN"/>
                    </w:rPr>
                    <w:t>）沉淀后，定期清掏由附近村民拉走施肥。</w:t>
                  </w:r>
                </w:p>
              </w:tc>
              <w:tc>
                <w:tcPr>
                  <w:tcW w:w="419" w:type="pct"/>
                  <w:tcBorders>
                    <w:tl2br w:val="nil"/>
                    <w:tr2bl w:val="nil"/>
                  </w:tcBorders>
                  <w:vAlign w:val="center"/>
                </w:tcPr>
                <w:p w14:paraId="526A8C5C">
                  <w:pPr>
                    <w:jc w:val="center"/>
                    <w:rPr>
                      <w:rFonts w:hint="eastAsia" w:eastAsia="宋体"/>
                      <w:color w:val="auto"/>
                      <w:sz w:val="18"/>
                      <w:szCs w:val="18"/>
                      <w:lang w:eastAsia="zh-CN"/>
                    </w:rPr>
                  </w:pPr>
                  <w:r>
                    <w:rPr>
                      <w:rFonts w:hint="eastAsia"/>
                      <w:color w:val="auto"/>
                      <w:sz w:val="18"/>
                      <w:szCs w:val="18"/>
                      <w:lang w:val="en-US" w:eastAsia="zh-CN"/>
                    </w:rPr>
                    <w:t>新建</w:t>
                  </w:r>
                </w:p>
              </w:tc>
            </w:tr>
            <w:tr w14:paraId="5E5253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12" w:hRule="atLeast"/>
                <w:jc w:val="center"/>
              </w:trPr>
              <w:tc>
                <w:tcPr>
                  <w:tcW w:w="333" w:type="pct"/>
                  <w:vMerge w:val="continue"/>
                  <w:tcBorders>
                    <w:tl2br w:val="nil"/>
                    <w:tr2bl w:val="nil"/>
                  </w:tcBorders>
                  <w:vAlign w:val="center"/>
                </w:tcPr>
                <w:p w14:paraId="795E40F6">
                  <w:pPr>
                    <w:rPr>
                      <w:color w:val="auto"/>
                      <w:sz w:val="18"/>
                      <w:szCs w:val="18"/>
                    </w:rPr>
                  </w:pPr>
                </w:p>
              </w:tc>
              <w:tc>
                <w:tcPr>
                  <w:tcW w:w="501" w:type="pct"/>
                  <w:gridSpan w:val="2"/>
                  <w:vMerge w:val="continue"/>
                  <w:tcBorders>
                    <w:tl2br w:val="nil"/>
                    <w:tr2bl w:val="nil"/>
                  </w:tcBorders>
                  <w:vAlign w:val="center"/>
                </w:tcPr>
                <w:p w14:paraId="720D5F05">
                  <w:pPr>
                    <w:jc w:val="center"/>
                    <w:rPr>
                      <w:rFonts w:hint="eastAsia"/>
                      <w:color w:val="auto"/>
                      <w:sz w:val="18"/>
                      <w:szCs w:val="18"/>
                      <w:lang w:val="en-US" w:eastAsia="zh-CN"/>
                    </w:rPr>
                  </w:pPr>
                </w:p>
              </w:tc>
              <w:tc>
                <w:tcPr>
                  <w:tcW w:w="604" w:type="pct"/>
                  <w:tcBorders>
                    <w:tl2br w:val="nil"/>
                    <w:tr2bl w:val="nil"/>
                  </w:tcBorders>
                  <w:vAlign w:val="center"/>
                </w:tcPr>
                <w:p w14:paraId="7FF7DC5B">
                  <w:pPr>
                    <w:jc w:val="center"/>
                    <w:rPr>
                      <w:rFonts w:hint="default"/>
                      <w:color w:val="auto"/>
                      <w:sz w:val="18"/>
                      <w:szCs w:val="18"/>
                      <w:lang w:val="en-US" w:eastAsia="zh-CN"/>
                    </w:rPr>
                  </w:pPr>
                  <w:r>
                    <w:rPr>
                      <w:rFonts w:hint="eastAsia"/>
                      <w:color w:val="auto"/>
                      <w:sz w:val="18"/>
                      <w:szCs w:val="18"/>
                      <w:lang w:val="en-US" w:eastAsia="zh-CN"/>
                    </w:rPr>
                    <w:t>生产废水</w:t>
                  </w:r>
                </w:p>
              </w:tc>
              <w:tc>
                <w:tcPr>
                  <w:tcW w:w="3141" w:type="pct"/>
                  <w:tcBorders>
                    <w:tl2br w:val="nil"/>
                    <w:tr2bl w:val="nil"/>
                  </w:tcBorders>
                  <w:vAlign w:val="center"/>
                </w:tcPr>
                <w:p w14:paraId="78BB489C">
                  <w:pPr>
                    <w:keepNext w:val="0"/>
                    <w:keepLines w:val="0"/>
                    <w:widowControl/>
                    <w:suppressLineNumbers w:val="0"/>
                    <w:jc w:val="left"/>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混凝土搅拌机组冲洗废水、搅拌机组场地冲洗废水经收集，进入1座（40m</w:t>
                  </w:r>
                  <w:r>
                    <w:rPr>
                      <w:rFonts w:hint="eastAsia" w:cs="Times New Roman"/>
                      <w:color w:val="auto"/>
                      <w:kern w:val="2"/>
                      <w:sz w:val="18"/>
                      <w:szCs w:val="18"/>
                      <w:vertAlign w:val="superscript"/>
                      <w:lang w:val="en-US" w:eastAsia="zh-CN" w:bidi="ar-SA"/>
                    </w:rPr>
                    <w:t>3</w:t>
                  </w:r>
                  <w:r>
                    <w:rPr>
                      <w:rFonts w:hint="eastAsia" w:cs="Times New Roman"/>
                      <w:color w:val="auto"/>
                      <w:kern w:val="2"/>
                      <w:sz w:val="18"/>
                      <w:szCs w:val="18"/>
                      <w:lang w:val="en-US" w:eastAsia="zh-CN" w:bidi="ar-SA"/>
                    </w:rPr>
                    <w:t>）沉淀池（兼顾洗车平台循环水池），废水经沉淀后回用于混凝土、水稳土生产线，不外排；</w:t>
                  </w:r>
                </w:p>
              </w:tc>
              <w:tc>
                <w:tcPr>
                  <w:tcW w:w="419" w:type="pct"/>
                  <w:tcBorders>
                    <w:tl2br w:val="nil"/>
                    <w:tr2bl w:val="nil"/>
                  </w:tcBorders>
                  <w:vAlign w:val="center"/>
                </w:tcPr>
                <w:p w14:paraId="6FE99F72">
                  <w:pPr>
                    <w:jc w:val="center"/>
                    <w:rPr>
                      <w:rFonts w:hint="default"/>
                      <w:color w:val="auto"/>
                      <w:sz w:val="18"/>
                      <w:szCs w:val="18"/>
                      <w:lang w:val="en-US" w:eastAsia="zh-CN"/>
                    </w:rPr>
                  </w:pPr>
                  <w:r>
                    <w:rPr>
                      <w:rFonts w:hint="eastAsia"/>
                      <w:color w:val="auto"/>
                      <w:sz w:val="18"/>
                      <w:szCs w:val="18"/>
                      <w:lang w:val="en-US" w:eastAsia="zh-CN"/>
                    </w:rPr>
                    <w:t>新建</w:t>
                  </w:r>
                </w:p>
              </w:tc>
            </w:tr>
            <w:tr w14:paraId="4281A1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333" w:type="pct"/>
                  <w:vMerge w:val="continue"/>
                  <w:tcBorders>
                    <w:tl2br w:val="nil"/>
                    <w:tr2bl w:val="nil"/>
                  </w:tcBorders>
                  <w:vAlign w:val="center"/>
                </w:tcPr>
                <w:p w14:paraId="584C6898">
                  <w:pPr>
                    <w:rPr>
                      <w:color w:val="auto"/>
                      <w:sz w:val="18"/>
                      <w:szCs w:val="18"/>
                    </w:rPr>
                  </w:pPr>
                </w:p>
              </w:tc>
              <w:tc>
                <w:tcPr>
                  <w:tcW w:w="501" w:type="pct"/>
                  <w:gridSpan w:val="2"/>
                  <w:vMerge w:val="continue"/>
                  <w:tcBorders>
                    <w:tl2br w:val="nil"/>
                    <w:tr2bl w:val="nil"/>
                  </w:tcBorders>
                  <w:vAlign w:val="center"/>
                </w:tcPr>
                <w:p w14:paraId="18D8D29E">
                  <w:pPr>
                    <w:jc w:val="center"/>
                    <w:rPr>
                      <w:rFonts w:hint="eastAsia"/>
                      <w:color w:val="auto"/>
                      <w:sz w:val="18"/>
                      <w:szCs w:val="18"/>
                      <w:lang w:val="en-US" w:eastAsia="zh-CN"/>
                    </w:rPr>
                  </w:pPr>
                </w:p>
              </w:tc>
              <w:tc>
                <w:tcPr>
                  <w:tcW w:w="604" w:type="pct"/>
                  <w:tcBorders>
                    <w:tl2br w:val="nil"/>
                    <w:tr2bl w:val="nil"/>
                  </w:tcBorders>
                  <w:vAlign w:val="center"/>
                </w:tcPr>
                <w:p w14:paraId="1049E544">
                  <w:pPr>
                    <w:jc w:val="center"/>
                    <w:rPr>
                      <w:rFonts w:hint="default"/>
                      <w:color w:val="auto"/>
                      <w:sz w:val="18"/>
                      <w:szCs w:val="18"/>
                      <w:lang w:val="en-US" w:eastAsia="zh-CN"/>
                    </w:rPr>
                  </w:pPr>
                  <w:r>
                    <w:rPr>
                      <w:rFonts w:hint="eastAsia"/>
                      <w:color w:val="auto"/>
                      <w:sz w:val="18"/>
                      <w:szCs w:val="18"/>
                      <w:lang w:val="en-US" w:eastAsia="zh-CN"/>
                    </w:rPr>
                    <w:t>洗车废水</w:t>
                  </w:r>
                </w:p>
              </w:tc>
              <w:tc>
                <w:tcPr>
                  <w:tcW w:w="3141" w:type="pct"/>
                  <w:tcBorders>
                    <w:tl2br w:val="nil"/>
                    <w:tr2bl w:val="nil"/>
                  </w:tcBorders>
                  <w:vAlign w:val="center"/>
                </w:tcPr>
                <w:p w14:paraId="0366E6CD">
                  <w:pPr>
                    <w:keepNext w:val="0"/>
                    <w:keepLines w:val="0"/>
                    <w:widowControl/>
                    <w:suppressLineNumbers w:val="0"/>
                    <w:jc w:val="left"/>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在厂区停车场进口处设置1座洗车平台，配套循环水池，洗车废水经沉淀后循环使用，不外排；</w:t>
                  </w:r>
                </w:p>
              </w:tc>
              <w:tc>
                <w:tcPr>
                  <w:tcW w:w="419" w:type="pct"/>
                  <w:tcBorders>
                    <w:tl2br w:val="nil"/>
                    <w:tr2bl w:val="nil"/>
                  </w:tcBorders>
                  <w:vAlign w:val="center"/>
                </w:tcPr>
                <w:p w14:paraId="1C4933C6">
                  <w:pPr>
                    <w:jc w:val="center"/>
                    <w:rPr>
                      <w:rFonts w:hint="default"/>
                      <w:color w:val="auto"/>
                      <w:sz w:val="18"/>
                      <w:szCs w:val="18"/>
                      <w:lang w:val="en-US" w:eastAsia="zh-CN"/>
                    </w:rPr>
                  </w:pPr>
                  <w:r>
                    <w:rPr>
                      <w:rFonts w:hint="eastAsia"/>
                      <w:color w:val="auto"/>
                      <w:sz w:val="18"/>
                      <w:szCs w:val="18"/>
                      <w:lang w:val="en-US" w:eastAsia="zh-CN"/>
                    </w:rPr>
                    <w:t>新建</w:t>
                  </w:r>
                </w:p>
              </w:tc>
            </w:tr>
            <w:tr w14:paraId="1EC7ED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333" w:type="pct"/>
                  <w:vMerge w:val="continue"/>
                  <w:tcBorders>
                    <w:tl2br w:val="nil"/>
                    <w:tr2bl w:val="nil"/>
                  </w:tcBorders>
                  <w:vAlign w:val="center"/>
                </w:tcPr>
                <w:p w14:paraId="37184419">
                  <w:pPr>
                    <w:rPr>
                      <w:color w:val="auto"/>
                      <w:sz w:val="18"/>
                      <w:szCs w:val="18"/>
                    </w:rPr>
                  </w:pPr>
                </w:p>
              </w:tc>
              <w:tc>
                <w:tcPr>
                  <w:tcW w:w="501" w:type="pct"/>
                  <w:gridSpan w:val="2"/>
                  <w:vMerge w:val="continue"/>
                  <w:tcBorders>
                    <w:tl2br w:val="nil"/>
                    <w:tr2bl w:val="nil"/>
                  </w:tcBorders>
                  <w:vAlign w:val="center"/>
                </w:tcPr>
                <w:p w14:paraId="7463BFA9">
                  <w:pPr>
                    <w:jc w:val="center"/>
                    <w:rPr>
                      <w:rFonts w:hint="eastAsia"/>
                      <w:color w:val="auto"/>
                      <w:sz w:val="18"/>
                      <w:szCs w:val="18"/>
                      <w:lang w:val="en-US" w:eastAsia="zh-CN"/>
                    </w:rPr>
                  </w:pPr>
                </w:p>
              </w:tc>
              <w:tc>
                <w:tcPr>
                  <w:tcW w:w="604" w:type="pct"/>
                  <w:tcBorders>
                    <w:tl2br w:val="nil"/>
                    <w:tr2bl w:val="nil"/>
                  </w:tcBorders>
                  <w:vAlign w:val="center"/>
                </w:tcPr>
                <w:p w14:paraId="7F4F0ECD">
                  <w:pPr>
                    <w:jc w:val="center"/>
                    <w:rPr>
                      <w:rFonts w:hint="default"/>
                      <w:color w:val="auto"/>
                      <w:sz w:val="18"/>
                      <w:szCs w:val="18"/>
                      <w:lang w:val="en-US" w:eastAsia="zh-CN"/>
                    </w:rPr>
                  </w:pPr>
                  <w:r>
                    <w:rPr>
                      <w:rFonts w:hint="eastAsia"/>
                      <w:color w:val="auto"/>
                      <w:sz w:val="18"/>
                      <w:szCs w:val="18"/>
                      <w:lang w:val="en-US" w:eastAsia="zh-CN"/>
                    </w:rPr>
                    <w:t>初期雨水</w:t>
                  </w:r>
                </w:p>
              </w:tc>
              <w:tc>
                <w:tcPr>
                  <w:tcW w:w="3141" w:type="pct"/>
                  <w:tcBorders>
                    <w:tl2br w:val="nil"/>
                    <w:tr2bl w:val="nil"/>
                  </w:tcBorders>
                  <w:vAlign w:val="center"/>
                </w:tcPr>
                <w:p w14:paraId="328BE0C8">
                  <w:pPr>
                    <w:keepNext w:val="0"/>
                    <w:keepLines w:val="0"/>
                    <w:widowControl/>
                    <w:suppressLineNumbers w:val="0"/>
                    <w:jc w:val="left"/>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在厂区</w:t>
                  </w:r>
                  <w:r>
                    <w:rPr>
                      <w:rFonts w:hint="eastAsia"/>
                      <w:color w:val="auto"/>
                      <w:sz w:val="18"/>
                      <w:szCs w:val="18"/>
                      <w:lang w:val="en-US" w:eastAsia="zh-CN"/>
                    </w:rPr>
                    <w:t>地势最低处设置一座初期雨水收集池（100m</w:t>
                  </w:r>
                  <w:r>
                    <w:rPr>
                      <w:rFonts w:hint="eastAsia"/>
                      <w:color w:val="auto"/>
                      <w:sz w:val="18"/>
                      <w:szCs w:val="18"/>
                      <w:vertAlign w:val="superscript"/>
                      <w:lang w:val="en-US" w:eastAsia="zh-CN"/>
                    </w:rPr>
                    <w:t>3</w:t>
                  </w:r>
                  <w:r>
                    <w:rPr>
                      <w:rFonts w:hint="eastAsia"/>
                      <w:color w:val="auto"/>
                      <w:sz w:val="18"/>
                      <w:szCs w:val="18"/>
                      <w:lang w:val="en-US" w:eastAsia="zh-CN"/>
                    </w:rPr>
                    <w:t>），初期雨水经沉淀后回用于混凝土生产线，不外排</w:t>
                  </w:r>
                  <w:r>
                    <w:rPr>
                      <w:rFonts w:hint="eastAsia"/>
                      <w:color w:val="auto"/>
                      <w:sz w:val="18"/>
                      <w:szCs w:val="18"/>
                      <w:vertAlign w:val="baseline"/>
                      <w:lang w:val="en-US" w:eastAsia="zh-CN"/>
                    </w:rPr>
                    <w:t>。</w:t>
                  </w:r>
                </w:p>
              </w:tc>
              <w:tc>
                <w:tcPr>
                  <w:tcW w:w="419" w:type="pct"/>
                  <w:tcBorders>
                    <w:tl2br w:val="nil"/>
                    <w:tr2bl w:val="nil"/>
                  </w:tcBorders>
                  <w:vAlign w:val="center"/>
                </w:tcPr>
                <w:p w14:paraId="7E78DE98">
                  <w:pPr>
                    <w:jc w:val="center"/>
                    <w:rPr>
                      <w:rFonts w:hint="default"/>
                      <w:color w:val="auto"/>
                      <w:sz w:val="18"/>
                      <w:szCs w:val="18"/>
                      <w:lang w:val="en-US" w:eastAsia="zh-CN"/>
                    </w:rPr>
                  </w:pPr>
                  <w:r>
                    <w:rPr>
                      <w:rFonts w:hint="eastAsia"/>
                      <w:color w:val="auto"/>
                      <w:sz w:val="18"/>
                      <w:szCs w:val="18"/>
                      <w:lang w:val="en-US" w:eastAsia="zh-CN"/>
                    </w:rPr>
                    <w:t>新建</w:t>
                  </w:r>
                </w:p>
              </w:tc>
            </w:tr>
            <w:tr w14:paraId="459B07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10" w:hRule="atLeast"/>
                <w:jc w:val="center"/>
              </w:trPr>
              <w:tc>
                <w:tcPr>
                  <w:tcW w:w="333" w:type="pct"/>
                  <w:vMerge w:val="continue"/>
                  <w:tcBorders>
                    <w:tl2br w:val="nil"/>
                    <w:tr2bl w:val="nil"/>
                  </w:tcBorders>
                  <w:vAlign w:val="center"/>
                </w:tcPr>
                <w:p w14:paraId="31DA13E2">
                  <w:pPr>
                    <w:rPr>
                      <w:color w:val="auto"/>
                      <w:sz w:val="18"/>
                      <w:szCs w:val="18"/>
                    </w:rPr>
                  </w:pPr>
                </w:p>
              </w:tc>
              <w:tc>
                <w:tcPr>
                  <w:tcW w:w="1106" w:type="pct"/>
                  <w:gridSpan w:val="3"/>
                  <w:tcBorders>
                    <w:tl2br w:val="nil"/>
                    <w:tr2bl w:val="nil"/>
                  </w:tcBorders>
                  <w:vAlign w:val="center"/>
                </w:tcPr>
                <w:p w14:paraId="7C9190D4">
                  <w:pPr>
                    <w:jc w:val="center"/>
                    <w:rPr>
                      <w:rFonts w:hint="default"/>
                      <w:color w:val="auto"/>
                      <w:sz w:val="18"/>
                      <w:szCs w:val="18"/>
                      <w:lang w:val="en-US" w:eastAsia="zh-CN"/>
                    </w:rPr>
                  </w:pPr>
                  <w:r>
                    <w:rPr>
                      <w:rFonts w:hint="eastAsia"/>
                      <w:color w:val="auto"/>
                      <w:sz w:val="18"/>
                      <w:szCs w:val="18"/>
                      <w:lang w:val="en-US" w:eastAsia="zh-CN"/>
                    </w:rPr>
                    <w:t>噪声</w:t>
                  </w:r>
                </w:p>
              </w:tc>
              <w:tc>
                <w:tcPr>
                  <w:tcW w:w="3141" w:type="pct"/>
                  <w:tcBorders>
                    <w:tl2br w:val="nil"/>
                    <w:tr2bl w:val="nil"/>
                  </w:tcBorders>
                  <w:vAlign w:val="center"/>
                </w:tcPr>
                <w:p w14:paraId="6D9B6AF9">
                  <w:pPr>
                    <w:rPr>
                      <w:rFonts w:hint="eastAsia" w:eastAsia="宋体"/>
                      <w:color w:val="auto"/>
                      <w:sz w:val="18"/>
                      <w:szCs w:val="18"/>
                      <w:lang w:val="en-US" w:eastAsia="zh-CN"/>
                    </w:rPr>
                  </w:pPr>
                  <w:r>
                    <w:rPr>
                      <w:color w:val="auto"/>
                      <w:sz w:val="18"/>
                      <w:szCs w:val="18"/>
                    </w:rPr>
                    <w:t>选用低噪声设备、室内安装、减振基础</w:t>
                  </w:r>
                  <w:r>
                    <w:rPr>
                      <w:rFonts w:hint="eastAsia"/>
                      <w:color w:val="auto"/>
                      <w:sz w:val="18"/>
                      <w:szCs w:val="18"/>
                    </w:rPr>
                    <w:t>，柔性连接，</w:t>
                  </w:r>
                  <w:r>
                    <w:rPr>
                      <w:color w:val="auto"/>
                      <w:sz w:val="18"/>
                      <w:szCs w:val="18"/>
                    </w:rPr>
                    <w:t>利用建筑物、绿化植被等对</w:t>
                  </w:r>
                  <w:r>
                    <w:rPr>
                      <w:rFonts w:hint="eastAsia"/>
                      <w:color w:val="auto"/>
                      <w:sz w:val="18"/>
                      <w:szCs w:val="18"/>
                      <w:lang w:val="en-US" w:eastAsia="zh-CN"/>
                    </w:rPr>
                    <w:t>措施降噪</w:t>
                  </w:r>
                  <w:r>
                    <w:rPr>
                      <w:rFonts w:hint="eastAsia"/>
                      <w:color w:val="auto"/>
                      <w:sz w:val="18"/>
                      <w:szCs w:val="18"/>
                    </w:rPr>
                    <w:t>。</w:t>
                  </w:r>
                </w:p>
              </w:tc>
              <w:tc>
                <w:tcPr>
                  <w:tcW w:w="419" w:type="pct"/>
                  <w:tcBorders>
                    <w:tl2br w:val="nil"/>
                    <w:tr2bl w:val="nil"/>
                  </w:tcBorders>
                  <w:vAlign w:val="center"/>
                </w:tcPr>
                <w:p w14:paraId="1C5F2E55">
                  <w:pPr>
                    <w:jc w:val="center"/>
                    <w:rPr>
                      <w:rFonts w:hint="eastAsia" w:eastAsia="宋体"/>
                      <w:color w:val="auto"/>
                      <w:sz w:val="18"/>
                      <w:szCs w:val="18"/>
                      <w:lang w:eastAsia="zh-CN"/>
                    </w:rPr>
                  </w:pPr>
                  <w:r>
                    <w:rPr>
                      <w:rFonts w:hint="eastAsia"/>
                      <w:color w:val="auto"/>
                      <w:sz w:val="18"/>
                      <w:szCs w:val="18"/>
                      <w:lang w:val="en-US" w:eastAsia="zh-CN"/>
                    </w:rPr>
                    <w:t>新建</w:t>
                  </w:r>
                </w:p>
              </w:tc>
            </w:tr>
            <w:tr w14:paraId="056E79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18" w:hRule="atLeast"/>
                <w:jc w:val="center"/>
              </w:trPr>
              <w:tc>
                <w:tcPr>
                  <w:tcW w:w="333" w:type="pct"/>
                  <w:vMerge w:val="continue"/>
                  <w:tcBorders>
                    <w:tl2br w:val="nil"/>
                    <w:tr2bl w:val="nil"/>
                  </w:tcBorders>
                  <w:vAlign w:val="center"/>
                </w:tcPr>
                <w:p w14:paraId="4C39242C">
                  <w:pPr>
                    <w:rPr>
                      <w:color w:val="auto"/>
                      <w:sz w:val="18"/>
                      <w:szCs w:val="18"/>
                    </w:rPr>
                  </w:pPr>
                </w:p>
              </w:tc>
              <w:tc>
                <w:tcPr>
                  <w:tcW w:w="341" w:type="pct"/>
                  <w:vMerge w:val="restart"/>
                  <w:tcBorders>
                    <w:tl2br w:val="nil"/>
                    <w:tr2bl w:val="nil"/>
                  </w:tcBorders>
                  <w:vAlign w:val="center"/>
                </w:tcPr>
                <w:p w14:paraId="3393EB88">
                  <w:pPr>
                    <w:rPr>
                      <w:rFonts w:hint="eastAsia" w:eastAsia="宋体"/>
                      <w:color w:val="auto"/>
                      <w:sz w:val="18"/>
                      <w:szCs w:val="18"/>
                      <w:lang w:val="en-US" w:eastAsia="zh-CN"/>
                    </w:rPr>
                  </w:pPr>
                  <w:r>
                    <w:rPr>
                      <w:color w:val="auto"/>
                      <w:sz w:val="18"/>
                      <w:szCs w:val="18"/>
                    </w:rPr>
                    <w:t>固</w:t>
                  </w:r>
                  <w:r>
                    <w:rPr>
                      <w:rFonts w:hint="eastAsia"/>
                      <w:color w:val="auto"/>
                      <w:sz w:val="18"/>
                      <w:szCs w:val="18"/>
                      <w:lang w:val="en-US" w:eastAsia="zh-CN"/>
                    </w:rPr>
                    <w:t>体</w:t>
                  </w:r>
                  <w:r>
                    <w:rPr>
                      <w:color w:val="auto"/>
                      <w:sz w:val="18"/>
                      <w:szCs w:val="18"/>
                    </w:rPr>
                    <w:t>废</w:t>
                  </w:r>
                  <w:r>
                    <w:rPr>
                      <w:rFonts w:hint="eastAsia"/>
                      <w:color w:val="auto"/>
                      <w:sz w:val="18"/>
                      <w:szCs w:val="18"/>
                      <w:lang w:val="en-US" w:eastAsia="zh-CN"/>
                    </w:rPr>
                    <w:t>物</w:t>
                  </w:r>
                </w:p>
              </w:tc>
              <w:tc>
                <w:tcPr>
                  <w:tcW w:w="765" w:type="pct"/>
                  <w:gridSpan w:val="2"/>
                  <w:tcBorders>
                    <w:tl2br w:val="nil"/>
                    <w:tr2bl w:val="nil"/>
                  </w:tcBorders>
                  <w:vAlign w:val="center"/>
                </w:tcPr>
                <w:p w14:paraId="2DD0CD54">
                  <w:pPr>
                    <w:jc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一般工业</w:t>
                  </w:r>
                </w:p>
                <w:p w14:paraId="04196FE2">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固体废物</w:t>
                  </w:r>
                </w:p>
              </w:tc>
              <w:tc>
                <w:tcPr>
                  <w:tcW w:w="3141" w:type="pct"/>
                  <w:tcBorders>
                    <w:tl2br w:val="nil"/>
                    <w:tr2bl w:val="nil"/>
                  </w:tcBorders>
                  <w:vAlign w:val="center"/>
                </w:tcPr>
                <w:p w14:paraId="0EE83918">
                  <w:pPr>
                    <w:rPr>
                      <w:rFonts w:hint="default"/>
                      <w:color w:val="auto"/>
                      <w:sz w:val="18"/>
                      <w:szCs w:val="18"/>
                      <w:lang w:val="en-US" w:eastAsia="zh-CN"/>
                    </w:rPr>
                  </w:pPr>
                  <w:r>
                    <w:rPr>
                      <w:rFonts w:hint="eastAsia" w:cs="Times New Roman"/>
                      <w:color w:val="auto"/>
                      <w:kern w:val="2"/>
                      <w:sz w:val="18"/>
                      <w:szCs w:val="18"/>
                      <w:lang w:val="en-US" w:eastAsia="zh-CN" w:bidi="ar-SA"/>
                    </w:rPr>
                    <w:t>除尘器捕集的除尘灰、骨料筛分后的废石料、滴漏沥青及拌合残渣、沉淀池内定期清理的废渣、洗车平台配套循环水池定期清理的沉渣，均可作为原料返回生产；布袋除尘器替换下来的废滤袋由厂家回收再利用。</w:t>
                  </w:r>
                </w:p>
              </w:tc>
              <w:tc>
                <w:tcPr>
                  <w:tcW w:w="419" w:type="pct"/>
                  <w:tcBorders>
                    <w:tl2br w:val="nil"/>
                    <w:tr2bl w:val="nil"/>
                  </w:tcBorders>
                  <w:vAlign w:val="center"/>
                </w:tcPr>
                <w:p w14:paraId="76AB6A3C">
                  <w:pPr>
                    <w:jc w:val="center"/>
                    <w:rPr>
                      <w:rFonts w:hint="default" w:eastAsia="宋体"/>
                      <w:color w:val="auto"/>
                      <w:sz w:val="18"/>
                      <w:szCs w:val="18"/>
                      <w:lang w:val="en-US" w:eastAsia="zh-CN"/>
                    </w:rPr>
                  </w:pPr>
                  <w:r>
                    <w:rPr>
                      <w:rFonts w:hint="eastAsia"/>
                      <w:color w:val="auto"/>
                      <w:sz w:val="18"/>
                      <w:szCs w:val="18"/>
                      <w:lang w:val="en-US" w:eastAsia="zh-CN"/>
                    </w:rPr>
                    <w:t>-</w:t>
                  </w:r>
                </w:p>
              </w:tc>
            </w:tr>
            <w:tr w14:paraId="7997F4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20" w:hRule="atLeast"/>
                <w:jc w:val="center"/>
              </w:trPr>
              <w:tc>
                <w:tcPr>
                  <w:tcW w:w="333" w:type="pct"/>
                  <w:vMerge w:val="continue"/>
                  <w:tcBorders>
                    <w:tl2br w:val="nil"/>
                    <w:tr2bl w:val="nil"/>
                  </w:tcBorders>
                  <w:vAlign w:val="center"/>
                </w:tcPr>
                <w:p w14:paraId="5F51D4B4">
                  <w:pPr>
                    <w:rPr>
                      <w:color w:val="auto"/>
                      <w:sz w:val="18"/>
                      <w:szCs w:val="18"/>
                    </w:rPr>
                  </w:pPr>
                </w:p>
              </w:tc>
              <w:tc>
                <w:tcPr>
                  <w:tcW w:w="341" w:type="pct"/>
                  <w:vMerge w:val="continue"/>
                  <w:tcBorders>
                    <w:tl2br w:val="nil"/>
                    <w:tr2bl w:val="nil"/>
                  </w:tcBorders>
                  <w:vAlign w:val="center"/>
                </w:tcPr>
                <w:p w14:paraId="178E483D">
                  <w:pPr>
                    <w:rPr>
                      <w:color w:val="auto"/>
                      <w:sz w:val="18"/>
                      <w:szCs w:val="18"/>
                    </w:rPr>
                  </w:pPr>
                </w:p>
              </w:tc>
              <w:tc>
                <w:tcPr>
                  <w:tcW w:w="765" w:type="pct"/>
                  <w:gridSpan w:val="2"/>
                  <w:tcBorders>
                    <w:tl2br w:val="nil"/>
                    <w:tr2bl w:val="nil"/>
                  </w:tcBorders>
                  <w:shd w:val="clear" w:color="auto" w:fill="auto"/>
                  <w:vAlign w:val="center"/>
                </w:tcPr>
                <w:p w14:paraId="2110D1C2">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eastAsia="zh-CN"/>
                    </w:rPr>
                    <w:t>危</w:t>
                  </w:r>
                  <w:r>
                    <w:rPr>
                      <w:rFonts w:hint="eastAsia"/>
                      <w:color w:val="auto"/>
                      <w:sz w:val="18"/>
                      <w:szCs w:val="18"/>
                      <w:lang w:val="en-US" w:eastAsia="zh-CN"/>
                    </w:rPr>
                    <w:t>险废物</w:t>
                  </w:r>
                </w:p>
              </w:tc>
              <w:tc>
                <w:tcPr>
                  <w:tcW w:w="3141" w:type="pct"/>
                  <w:tcBorders>
                    <w:tl2br w:val="nil"/>
                    <w:tr2bl w:val="nil"/>
                  </w:tcBorders>
                  <w:shd w:val="clear" w:color="auto" w:fill="auto"/>
                  <w:vAlign w:val="center"/>
                </w:tcPr>
                <w:p w14:paraId="779E6061">
                  <w:pPr>
                    <w:rPr>
                      <w:rFonts w:hint="default" w:ascii="Times New Roman" w:hAnsi="Times New Roman" w:eastAsia="宋体" w:cs="Times New Roman"/>
                      <w:color w:val="auto"/>
                      <w:kern w:val="2"/>
                      <w:sz w:val="18"/>
                      <w:szCs w:val="18"/>
                      <w:lang w:val="en-US" w:eastAsia="zh-CN" w:bidi="ar-SA"/>
                    </w:rPr>
                  </w:pPr>
                  <w:r>
                    <w:rPr>
                      <w:rFonts w:hint="eastAsia"/>
                      <w:color w:val="auto"/>
                      <w:sz w:val="18"/>
                      <w:szCs w:val="18"/>
                    </w:rPr>
                    <w:t>在</w:t>
                  </w:r>
                  <w:r>
                    <w:rPr>
                      <w:rFonts w:hint="eastAsia"/>
                      <w:color w:val="auto"/>
                      <w:sz w:val="18"/>
                      <w:szCs w:val="18"/>
                      <w:lang w:val="en-US" w:eastAsia="zh-CN"/>
                    </w:rPr>
                    <w:t>储料库内东南角处设置</w:t>
                  </w:r>
                  <w:r>
                    <w:rPr>
                      <w:rFonts w:hint="eastAsia"/>
                      <w:color w:val="auto"/>
                      <w:sz w:val="18"/>
                      <w:szCs w:val="18"/>
                    </w:rPr>
                    <w:t>一座</w:t>
                  </w:r>
                  <w:r>
                    <w:rPr>
                      <w:rFonts w:hint="eastAsia"/>
                      <w:color w:val="auto"/>
                      <w:sz w:val="18"/>
                      <w:szCs w:val="18"/>
                      <w:lang w:val="en-US" w:eastAsia="zh-CN"/>
                    </w:rPr>
                    <w:t>危险废物贮存库</w:t>
                  </w:r>
                  <w:r>
                    <w:rPr>
                      <w:rFonts w:hint="eastAsia"/>
                      <w:color w:val="auto"/>
                      <w:sz w:val="18"/>
                      <w:szCs w:val="18"/>
                    </w:rPr>
                    <w:t>，占地面积</w:t>
                  </w:r>
                  <w:r>
                    <w:rPr>
                      <w:rFonts w:hint="eastAsia"/>
                      <w:color w:val="auto"/>
                      <w:sz w:val="18"/>
                      <w:szCs w:val="18"/>
                      <w:lang w:val="en-US" w:eastAsia="zh-CN"/>
                    </w:rPr>
                    <w:t>1</w:t>
                  </w:r>
                  <w:r>
                    <w:rPr>
                      <w:rFonts w:hint="eastAsia"/>
                      <w:color w:val="auto"/>
                      <w:sz w:val="18"/>
                      <w:szCs w:val="18"/>
                    </w:rPr>
                    <w:t>0m</w:t>
                  </w:r>
                  <w:r>
                    <w:rPr>
                      <w:rFonts w:hint="eastAsia"/>
                      <w:color w:val="auto"/>
                      <w:sz w:val="18"/>
                      <w:szCs w:val="18"/>
                      <w:vertAlign w:val="superscript"/>
                    </w:rPr>
                    <w:t>2</w:t>
                  </w:r>
                  <w:r>
                    <w:rPr>
                      <w:rFonts w:hint="eastAsia"/>
                      <w:color w:val="auto"/>
                      <w:sz w:val="18"/>
                      <w:szCs w:val="18"/>
                    </w:rPr>
                    <w:t>，用于收集暂存，并定期委托有资质单位清运处置。</w:t>
                  </w:r>
                  <w:r>
                    <w:rPr>
                      <w:rFonts w:hint="eastAsia"/>
                      <w:color w:val="auto"/>
                      <w:sz w:val="18"/>
                      <w:szCs w:val="18"/>
                      <w:lang w:val="en-US" w:eastAsia="zh-CN"/>
                    </w:rPr>
                    <w:t>危废贮存库严格按照执行《危险废物贮存污染控制标准》（GB18597-2023）中相关要求建设。废导热油由供货厂家运出厂区，并委托有资质单位处置。</w:t>
                  </w:r>
                </w:p>
              </w:tc>
              <w:tc>
                <w:tcPr>
                  <w:tcW w:w="419" w:type="pct"/>
                  <w:tcBorders>
                    <w:tl2br w:val="nil"/>
                    <w:tr2bl w:val="nil"/>
                  </w:tcBorders>
                  <w:shd w:val="clear" w:color="auto" w:fill="auto"/>
                  <w:vAlign w:val="center"/>
                </w:tcPr>
                <w:p w14:paraId="15FE470F">
                  <w:pPr>
                    <w:jc w:val="center"/>
                    <w:rPr>
                      <w:rFonts w:hint="eastAsia" w:ascii="Times New Roman" w:hAnsi="Times New Roman" w:eastAsia="宋体" w:cs="Times New Roman"/>
                      <w:color w:val="auto"/>
                      <w:kern w:val="2"/>
                      <w:sz w:val="18"/>
                      <w:szCs w:val="18"/>
                      <w:lang w:val="en-US" w:eastAsia="zh-CN" w:bidi="ar-SA"/>
                    </w:rPr>
                  </w:pPr>
                  <w:r>
                    <w:rPr>
                      <w:color w:val="auto"/>
                      <w:sz w:val="18"/>
                      <w:szCs w:val="18"/>
                    </w:rPr>
                    <w:t>新建</w:t>
                  </w:r>
                </w:p>
              </w:tc>
            </w:tr>
            <w:tr w14:paraId="799134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3" w:type="pct"/>
                  <w:vMerge w:val="continue"/>
                  <w:tcBorders>
                    <w:tl2br w:val="nil"/>
                    <w:tr2bl w:val="nil"/>
                  </w:tcBorders>
                  <w:vAlign w:val="center"/>
                </w:tcPr>
                <w:p w14:paraId="27BD95DB">
                  <w:pPr>
                    <w:rPr>
                      <w:color w:val="auto"/>
                      <w:sz w:val="18"/>
                      <w:szCs w:val="18"/>
                    </w:rPr>
                  </w:pPr>
                </w:p>
              </w:tc>
              <w:tc>
                <w:tcPr>
                  <w:tcW w:w="341" w:type="pct"/>
                  <w:vMerge w:val="continue"/>
                  <w:tcBorders>
                    <w:tl2br w:val="nil"/>
                    <w:tr2bl w:val="nil"/>
                  </w:tcBorders>
                  <w:vAlign w:val="center"/>
                </w:tcPr>
                <w:p w14:paraId="3E0AD9BC">
                  <w:pPr>
                    <w:rPr>
                      <w:color w:val="auto"/>
                      <w:sz w:val="18"/>
                      <w:szCs w:val="18"/>
                    </w:rPr>
                  </w:pPr>
                </w:p>
              </w:tc>
              <w:tc>
                <w:tcPr>
                  <w:tcW w:w="765" w:type="pct"/>
                  <w:gridSpan w:val="2"/>
                  <w:tcBorders>
                    <w:tl2br w:val="nil"/>
                    <w:tr2bl w:val="nil"/>
                  </w:tcBorders>
                  <w:vAlign w:val="center"/>
                </w:tcPr>
                <w:p w14:paraId="6854D36B">
                  <w:pPr>
                    <w:jc w:val="center"/>
                    <w:rPr>
                      <w:rFonts w:hint="default" w:ascii="Times New Roman" w:hAnsi="Times New Roman" w:eastAsia="宋体" w:cs="Times New Roman"/>
                      <w:color w:val="auto"/>
                      <w:kern w:val="2"/>
                      <w:sz w:val="18"/>
                      <w:szCs w:val="18"/>
                      <w:lang w:val="en-US" w:eastAsia="zh-CN" w:bidi="ar-SA"/>
                    </w:rPr>
                  </w:pPr>
                  <w:r>
                    <w:rPr>
                      <w:color w:val="auto"/>
                      <w:sz w:val="18"/>
                      <w:szCs w:val="18"/>
                    </w:rPr>
                    <w:t>生活垃圾</w:t>
                  </w:r>
                </w:p>
              </w:tc>
              <w:tc>
                <w:tcPr>
                  <w:tcW w:w="3141" w:type="pct"/>
                  <w:tcBorders>
                    <w:tl2br w:val="nil"/>
                    <w:tr2bl w:val="nil"/>
                  </w:tcBorders>
                  <w:vAlign w:val="center"/>
                </w:tcPr>
                <w:p w14:paraId="4532785C">
                  <w:pPr>
                    <w:keepNext w:val="0"/>
                    <w:keepLines w:val="0"/>
                    <w:widowControl/>
                    <w:suppressLineNumbers w:val="0"/>
                    <w:jc w:val="left"/>
                    <w:rPr>
                      <w:rFonts w:hint="default" w:ascii="Times New Roman" w:hAnsi="Times New Roman" w:eastAsia="宋体" w:cs="Times New Roman"/>
                      <w:color w:val="auto"/>
                      <w:kern w:val="2"/>
                      <w:sz w:val="18"/>
                      <w:szCs w:val="18"/>
                      <w:lang w:val="en-US" w:eastAsia="zh-CN" w:bidi="ar-SA"/>
                    </w:rPr>
                  </w:pPr>
                  <w:r>
                    <w:rPr>
                      <w:rFonts w:hint="eastAsia" w:ascii="宋体" w:hAnsi="宋体" w:cs="宋体"/>
                      <w:color w:val="auto"/>
                      <w:kern w:val="0"/>
                      <w:sz w:val="18"/>
                      <w:szCs w:val="18"/>
                      <w:lang w:val="en-US" w:eastAsia="zh-CN" w:bidi="ar"/>
                    </w:rPr>
                    <w:t>厂区</w:t>
                  </w:r>
                  <w:r>
                    <w:rPr>
                      <w:rFonts w:hint="eastAsia" w:ascii="宋体" w:hAnsi="宋体" w:eastAsia="宋体" w:cs="宋体"/>
                      <w:color w:val="auto"/>
                      <w:kern w:val="0"/>
                      <w:sz w:val="18"/>
                      <w:szCs w:val="18"/>
                      <w:lang w:val="en-US" w:eastAsia="zh-CN" w:bidi="ar"/>
                    </w:rPr>
                    <w:t>设置封闭式垃圾桶，收集后由环卫部门处置。</w:t>
                  </w:r>
                </w:p>
              </w:tc>
              <w:tc>
                <w:tcPr>
                  <w:tcW w:w="419" w:type="pct"/>
                  <w:tcBorders>
                    <w:tl2br w:val="nil"/>
                    <w:tr2bl w:val="nil"/>
                  </w:tcBorders>
                  <w:vAlign w:val="center"/>
                </w:tcPr>
                <w:p w14:paraId="33301610">
                  <w:pPr>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新建</w:t>
                  </w:r>
                </w:p>
              </w:tc>
            </w:tr>
            <w:tr w14:paraId="3E9A9D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95" w:hRule="atLeast"/>
                <w:jc w:val="center"/>
              </w:trPr>
              <w:tc>
                <w:tcPr>
                  <w:tcW w:w="333" w:type="pct"/>
                  <w:vMerge w:val="continue"/>
                  <w:tcBorders>
                    <w:tl2br w:val="nil"/>
                    <w:tr2bl w:val="nil"/>
                  </w:tcBorders>
                  <w:vAlign w:val="center"/>
                </w:tcPr>
                <w:p w14:paraId="10247BE0">
                  <w:pPr>
                    <w:rPr>
                      <w:color w:val="auto"/>
                      <w:sz w:val="18"/>
                      <w:szCs w:val="18"/>
                    </w:rPr>
                  </w:pPr>
                </w:p>
              </w:tc>
              <w:tc>
                <w:tcPr>
                  <w:tcW w:w="1106" w:type="pct"/>
                  <w:gridSpan w:val="3"/>
                  <w:tcBorders>
                    <w:tl2br w:val="nil"/>
                    <w:tr2bl w:val="nil"/>
                  </w:tcBorders>
                  <w:vAlign w:val="center"/>
                </w:tcPr>
                <w:p w14:paraId="751DD444">
                  <w:pPr>
                    <w:jc w:val="center"/>
                    <w:rPr>
                      <w:rFonts w:hint="default" w:eastAsia="宋体"/>
                      <w:color w:val="auto"/>
                      <w:sz w:val="18"/>
                      <w:szCs w:val="18"/>
                      <w:lang w:val="en-US" w:eastAsia="zh-CN"/>
                    </w:rPr>
                  </w:pPr>
                  <w:r>
                    <w:rPr>
                      <w:rFonts w:hint="eastAsia"/>
                      <w:color w:val="auto"/>
                      <w:sz w:val="18"/>
                      <w:szCs w:val="18"/>
                      <w:lang w:val="en-US" w:eastAsia="zh-CN"/>
                    </w:rPr>
                    <w:t>环境风险</w:t>
                  </w:r>
                </w:p>
              </w:tc>
              <w:tc>
                <w:tcPr>
                  <w:tcW w:w="3141" w:type="pct"/>
                  <w:tcBorders>
                    <w:tl2br w:val="nil"/>
                    <w:tr2bl w:val="nil"/>
                  </w:tcBorders>
                  <w:vAlign w:val="center"/>
                </w:tcPr>
                <w:p w14:paraId="1804C1C1">
                  <w:pPr>
                    <w:keepNext w:val="0"/>
                    <w:keepLines w:val="0"/>
                    <w:widowControl/>
                    <w:suppressLineNumbers w:val="0"/>
                    <w:jc w:val="left"/>
                    <w:rPr>
                      <w:rFonts w:hint="default" w:ascii="宋体" w:hAnsi="宋体" w:cs="宋体"/>
                      <w:color w:val="auto"/>
                      <w:kern w:val="0"/>
                      <w:sz w:val="18"/>
                      <w:szCs w:val="18"/>
                      <w:lang w:val="en-US" w:eastAsia="zh-CN" w:bidi="ar"/>
                    </w:rPr>
                  </w:pPr>
                  <w:r>
                    <w:rPr>
                      <w:rFonts w:hint="eastAsia"/>
                      <w:color w:val="auto"/>
                      <w:sz w:val="18"/>
                      <w:szCs w:val="18"/>
                      <w:lang w:val="en-US" w:eastAsia="zh-CN"/>
                    </w:rPr>
                    <w:t>危险废物贮存库、各储罐区（柴油储罐及围堰、沥青储罐及围堰、导热油储罐）、事故应急池设为重点防渗区；沉淀池、化粪池、洗车平台以及相应管道区域等设置为一般防渗区；其他区域（储料库、场地、停车场、道路及其他）区设为简单防渗区。设置一座事故应急水池，容积60m</w:t>
                  </w:r>
                  <w:r>
                    <w:rPr>
                      <w:rFonts w:hint="eastAsia"/>
                      <w:color w:val="auto"/>
                      <w:sz w:val="18"/>
                      <w:szCs w:val="18"/>
                      <w:vertAlign w:val="superscript"/>
                      <w:lang w:val="en-US" w:eastAsia="zh-CN"/>
                    </w:rPr>
                    <w:t>3</w:t>
                  </w:r>
                  <w:r>
                    <w:rPr>
                      <w:rFonts w:hint="eastAsia"/>
                      <w:color w:val="auto"/>
                      <w:sz w:val="18"/>
                      <w:szCs w:val="18"/>
                      <w:lang w:val="en-US" w:eastAsia="zh-CN"/>
                    </w:rPr>
                    <w:t>，用于事故状态下暂存泄漏物。</w:t>
                  </w:r>
                </w:p>
              </w:tc>
              <w:tc>
                <w:tcPr>
                  <w:tcW w:w="419" w:type="pct"/>
                  <w:tcBorders>
                    <w:tl2br w:val="nil"/>
                    <w:tr2bl w:val="nil"/>
                  </w:tcBorders>
                  <w:vAlign w:val="center"/>
                </w:tcPr>
                <w:p w14:paraId="090AA7CA">
                  <w:pPr>
                    <w:jc w:val="center"/>
                    <w:rPr>
                      <w:rFonts w:hint="default"/>
                      <w:color w:val="auto"/>
                      <w:sz w:val="18"/>
                      <w:szCs w:val="18"/>
                      <w:lang w:val="en-US" w:eastAsia="zh-CN"/>
                    </w:rPr>
                  </w:pPr>
                  <w:r>
                    <w:rPr>
                      <w:rFonts w:hint="eastAsia"/>
                      <w:color w:val="auto"/>
                      <w:sz w:val="18"/>
                      <w:szCs w:val="18"/>
                      <w:lang w:val="en-US" w:eastAsia="zh-CN"/>
                    </w:rPr>
                    <w:t>新建</w:t>
                  </w:r>
                </w:p>
              </w:tc>
            </w:tr>
          </w:tbl>
          <w:p w14:paraId="7E1D8B1E">
            <w:pPr>
              <w:spacing w:line="360" w:lineRule="auto"/>
              <w:ind w:firstLine="422" w:firstLineChars="200"/>
              <w:rPr>
                <w:rFonts w:hint="eastAsia"/>
                <w:b/>
                <w:bCs/>
                <w:color w:val="auto"/>
                <w:szCs w:val="21"/>
                <w:lang w:val="en-US" w:eastAsia="zh-CN"/>
              </w:rPr>
            </w:pPr>
            <w:r>
              <w:rPr>
                <w:rFonts w:hint="eastAsia"/>
                <w:b/>
                <w:bCs/>
                <w:color w:val="auto"/>
                <w:szCs w:val="21"/>
                <w:lang w:val="en-US" w:eastAsia="zh-CN"/>
              </w:rPr>
              <w:t>2.2主要产品方案及产能</w:t>
            </w:r>
          </w:p>
          <w:p w14:paraId="701FF19E">
            <w:pPr>
              <w:pStyle w:val="77"/>
              <w:snapToGrid/>
              <w:spacing w:line="240" w:lineRule="exact"/>
              <w:ind w:firstLine="361"/>
              <w:jc w:val="center"/>
              <w:rPr>
                <w:rFonts w:hint="default" w:ascii="Times New Roman" w:hAnsi="Times New Roman" w:eastAsia="宋体"/>
                <w:color w:val="auto"/>
                <w:sz w:val="18"/>
                <w:szCs w:val="18"/>
                <w:lang w:val="en-US" w:eastAsia="zh-CN"/>
              </w:rPr>
            </w:pPr>
            <w:r>
              <w:rPr>
                <w:rFonts w:ascii="Times New Roman" w:hAnsi="Times New Roman"/>
                <w:color w:val="auto"/>
                <w:sz w:val="18"/>
                <w:szCs w:val="18"/>
              </w:rPr>
              <w:t>表2</w:t>
            </w:r>
            <w:r>
              <w:rPr>
                <w:rFonts w:hint="eastAsia" w:ascii="Times New Roman" w:hAnsi="Times New Roman"/>
                <w:color w:val="auto"/>
                <w:sz w:val="18"/>
                <w:szCs w:val="18"/>
                <w:lang w:val="en-US" w:eastAsia="zh-CN"/>
              </w:rPr>
              <w:t>.2</w:t>
            </w:r>
            <w:r>
              <w:rPr>
                <w:rFonts w:ascii="Times New Roman" w:hAnsi="Times New Roman"/>
                <w:color w:val="auto"/>
                <w:sz w:val="18"/>
                <w:szCs w:val="18"/>
              </w:rPr>
              <w:t>-</w:t>
            </w:r>
            <w:r>
              <w:rPr>
                <w:rFonts w:hint="eastAsia" w:ascii="Times New Roman" w:hAnsi="Times New Roman"/>
                <w:color w:val="auto"/>
                <w:sz w:val="18"/>
                <w:szCs w:val="18"/>
                <w:lang w:val="en-US" w:eastAsia="zh-CN"/>
              </w:rPr>
              <w:t>1</w:t>
            </w:r>
            <w:r>
              <w:rPr>
                <w:rFonts w:ascii="Times New Roman" w:hAnsi="Times New Roman"/>
                <w:color w:val="auto"/>
                <w:sz w:val="18"/>
                <w:szCs w:val="18"/>
              </w:rPr>
              <w:t xml:space="preserve">    </w:t>
            </w:r>
            <w:r>
              <w:rPr>
                <w:rFonts w:hint="eastAsia" w:ascii="Times New Roman" w:hAnsi="Times New Roman"/>
                <w:color w:val="auto"/>
                <w:sz w:val="18"/>
                <w:szCs w:val="18"/>
                <w:lang w:val="en-US" w:eastAsia="zh-CN"/>
              </w:rPr>
              <w:t>主要产品方案及产能一览表</w:t>
            </w:r>
          </w:p>
          <w:tbl>
            <w:tblPr>
              <w:tblStyle w:val="47"/>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459"/>
              <w:gridCol w:w="805"/>
              <w:gridCol w:w="1037"/>
              <w:gridCol w:w="1744"/>
              <w:gridCol w:w="2195"/>
              <w:gridCol w:w="1778"/>
            </w:tblGrid>
            <w:tr w14:paraId="12A126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52" w:hRule="atLeast"/>
                <w:jc w:val="center"/>
              </w:trPr>
              <w:tc>
                <w:tcPr>
                  <w:tcW w:w="459" w:type="dxa"/>
                  <w:tcBorders>
                    <w:tl2br w:val="nil"/>
                    <w:tr2bl w:val="nil"/>
                  </w:tcBorders>
                  <w:vAlign w:val="center"/>
                </w:tcPr>
                <w:p w14:paraId="1457ED60">
                  <w:pPr>
                    <w:jc w:val="center"/>
                    <w:rPr>
                      <w:rFonts w:hint="default" w:eastAsia="宋体"/>
                      <w:color w:val="auto"/>
                      <w:sz w:val="18"/>
                      <w:szCs w:val="18"/>
                      <w:lang w:val="en-US" w:eastAsia="zh-CN"/>
                    </w:rPr>
                  </w:pPr>
                  <w:r>
                    <w:rPr>
                      <w:rFonts w:hint="eastAsia"/>
                      <w:color w:val="auto"/>
                      <w:sz w:val="18"/>
                      <w:szCs w:val="18"/>
                      <w:lang w:val="en-US" w:eastAsia="zh-CN"/>
                    </w:rPr>
                    <w:t>序号</w:t>
                  </w:r>
                </w:p>
              </w:tc>
              <w:tc>
                <w:tcPr>
                  <w:tcW w:w="805" w:type="dxa"/>
                  <w:tcBorders>
                    <w:tl2br w:val="nil"/>
                    <w:tr2bl w:val="nil"/>
                  </w:tcBorders>
                  <w:vAlign w:val="center"/>
                </w:tcPr>
                <w:p w14:paraId="7B0762B5">
                  <w:pPr>
                    <w:jc w:val="center"/>
                    <w:rPr>
                      <w:rFonts w:hint="default"/>
                      <w:color w:val="auto"/>
                      <w:sz w:val="18"/>
                      <w:szCs w:val="18"/>
                      <w:lang w:val="en-US" w:eastAsia="zh-CN"/>
                    </w:rPr>
                  </w:pPr>
                  <w:r>
                    <w:rPr>
                      <w:rFonts w:hint="eastAsia"/>
                      <w:color w:val="auto"/>
                      <w:sz w:val="18"/>
                      <w:szCs w:val="18"/>
                      <w:lang w:val="en-US" w:eastAsia="zh-CN"/>
                    </w:rPr>
                    <w:t>产品名称</w:t>
                  </w:r>
                </w:p>
              </w:tc>
              <w:tc>
                <w:tcPr>
                  <w:tcW w:w="1037" w:type="dxa"/>
                  <w:tcBorders>
                    <w:tl2br w:val="nil"/>
                    <w:tr2bl w:val="nil"/>
                  </w:tcBorders>
                  <w:vAlign w:val="center"/>
                </w:tcPr>
                <w:p w14:paraId="264B2751">
                  <w:pPr>
                    <w:jc w:val="center"/>
                    <w:rPr>
                      <w:rFonts w:hint="default"/>
                      <w:color w:val="auto"/>
                      <w:sz w:val="18"/>
                      <w:szCs w:val="18"/>
                      <w:lang w:val="en-US" w:eastAsia="zh-CN"/>
                    </w:rPr>
                  </w:pPr>
                  <w:r>
                    <w:rPr>
                      <w:rFonts w:hint="eastAsia"/>
                      <w:color w:val="auto"/>
                      <w:sz w:val="18"/>
                      <w:szCs w:val="18"/>
                      <w:lang w:val="en-US" w:eastAsia="zh-CN"/>
                    </w:rPr>
                    <w:t>产能</w:t>
                  </w:r>
                </w:p>
              </w:tc>
              <w:tc>
                <w:tcPr>
                  <w:tcW w:w="1744" w:type="dxa"/>
                  <w:tcBorders>
                    <w:tl2br w:val="nil"/>
                    <w:tr2bl w:val="nil"/>
                  </w:tcBorders>
                  <w:vAlign w:val="center"/>
                </w:tcPr>
                <w:p w14:paraId="58ED9BF4">
                  <w:pPr>
                    <w:jc w:val="center"/>
                    <w:rPr>
                      <w:rFonts w:hint="default"/>
                      <w:color w:val="auto"/>
                      <w:sz w:val="18"/>
                      <w:szCs w:val="18"/>
                      <w:lang w:val="en-US" w:eastAsia="zh-CN"/>
                    </w:rPr>
                  </w:pPr>
                  <w:r>
                    <w:rPr>
                      <w:rFonts w:hint="eastAsia"/>
                      <w:color w:val="auto"/>
                      <w:sz w:val="18"/>
                      <w:szCs w:val="18"/>
                      <w:lang w:val="en-US" w:eastAsia="zh-CN"/>
                    </w:rPr>
                    <w:t>规格</w:t>
                  </w:r>
                </w:p>
              </w:tc>
              <w:tc>
                <w:tcPr>
                  <w:tcW w:w="2195" w:type="dxa"/>
                  <w:tcBorders>
                    <w:tl2br w:val="nil"/>
                    <w:tr2bl w:val="nil"/>
                  </w:tcBorders>
                  <w:vAlign w:val="center"/>
                </w:tcPr>
                <w:p w14:paraId="14CB7606">
                  <w:pPr>
                    <w:jc w:val="center"/>
                    <w:rPr>
                      <w:rFonts w:hint="default" w:eastAsia="宋体"/>
                      <w:color w:val="auto"/>
                      <w:sz w:val="18"/>
                      <w:szCs w:val="18"/>
                      <w:lang w:val="en-US" w:eastAsia="zh-CN"/>
                    </w:rPr>
                  </w:pPr>
                  <w:r>
                    <w:rPr>
                      <w:rFonts w:hint="eastAsia"/>
                      <w:color w:val="auto"/>
                      <w:sz w:val="18"/>
                      <w:szCs w:val="18"/>
                      <w:lang w:val="en-US" w:eastAsia="zh-CN"/>
                    </w:rPr>
                    <w:t>备注</w:t>
                  </w:r>
                </w:p>
              </w:tc>
              <w:tc>
                <w:tcPr>
                  <w:tcW w:w="1778" w:type="dxa"/>
                  <w:tcBorders>
                    <w:tl2br w:val="nil"/>
                    <w:tr2bl w:val="nil"/>
                  </w:tcBorders>
                  <w:vAlign w:val="center"/>
                </w:tcPr>
                <w:p w14:paraId="620FFEE0">
                  <w:pPr>
                    <w:jc w:val="center"/>
                    <w:rPr>
                      <w:rFonts w:hint="default"/>
                      <w:color w:val="auto"/>
                      <w:sz w:val="18"/>
                      <w:szCs w:val="18"/>
                      <w:lang w:val="en-US" w:eastAsia="zh-CN"/>
                    </w:rPr>
                  </w:pPr>
                  <w:r>
                    <w:rPr>
                      <w:rFonts w:hint="eastAsia"/>
                      <w:color w:val="auto"/>
                      <w:sz w:val="18"/>
                      <w:szCs w:val="18"/>
                      <w:lang w:val="en-US" w:eastAsia="zh-CN"/>
                    </w:rPr>
                    <w:t>执行标准</w:t>
                  </w:r>
                </w:p>
              </w:tc>
            </w:tr>
            <w:tr w14:paraId="4E9E40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31" w:hRule="atLeast"/>
                <w:jc w:val="center"/>
              </w:trPr>
              <w:tc>
                <w:tcPr>
                  <w:tcW w:w="459" w:type="dxa"/>
                  <w:tcBorders>
                    <w:tl2br w:val="nil"/>
                    <w:tr2bl w:val="nil"/>
                  </w:tcBorders>
                  <w:vAlign w:val="center"/>
                </w:tcPr>
                <w:p w14:paraId="50AE70DB">
                  <w:pPr>
                    <w:jc w:val="center"/>
                    <w:rPr>
                      <w:rFonts w:hint="default"/>
                      <w:color w:val="auto"/>
                      <w:sz w:val="18"/>
                      <w:szCs w:val="18"/>
                      <w:lang w:val="en-US" w:eastAsia="zh-CN"/>
                    </w:rPr>
                  </w:pPr>
                  <w:r>
                    <w:rPr>
                      <w:rFonts w:hint="eastAsia"/>
                      <w:color w:val="auto"/>
                      <w:sz w:val="18"/>
                      <w:szCs w:val="18"/>
                      <w:lang w:val="en-US" w:eastAsia="zh-CN"/>
                    </w:rPr>
                    <w:t>1</w:t>
                  </w:r>
                </w:p>
              </w:tc>
              <w:tc>
                <w:tcPr>
                  <w:tcW w:w="805" w:type="dxa"/>
                  <w:tcBorders>
                    <w:tl2br w:val="nil"/>
                    <w:tr2bl w:val="nil"/>
                  </w:tcBorders>
                  <w:vAlign w:val="center"/>
                </w:tcPr>
                <w:p w14:paraId="2A60E071">
                  <w:pPr>
                    <w:jc w:val="center"/>
                    <w:rPr>
                      <w:rFonts w:hint="eastAsia"/>
                      <w:color w:val="auto"/>
                      <w:sz w:val="18"/>
                      <w:szCs w:val="18"/>
                      <w:lang w:val="en-US" w:eastAsia="zh-CN"/>
                    </w:rPr>
                  </w:pPr>
                  <w:r>
                    <w:rPr>
                      <w:rFonts w:hint="eastAsia"/>
                      <w:color w:val="auto"/>
                      <w:sz w:val="18"/>
                      <w:szCs w:val="18"/>
                      <w:lang w:val="en-US" w:eastAsia="zh-CN"/>
                    </w:rPr>
                    <w:t>沥青</w:t>
                  </w:r>
                </w:p>
                <w:p w14:paraId="01BA71AA">
                  <w:pPr>
                    <w:jc w:val="center"/>
                    <w:rPr>
                      <w:rFonts w:hint="default"/>
                      <w:color w:val="auto"/>
                      <w:sz w:val="18"/>
                      <w:szCs w:val="18"/>
                      <w:lang w:val="en-US" w:eastAsia="zh-CN"/>
                    </w:rPr>
                  </w:pPr>
                  <w:r>
                    <w:rPr>
                      <w:rFonts w:hint="eastAsia"/>
                      <w:color w:val="auto"/>
                      <w:sz w:val="18"/>
                      <w:szCs w:val="18"/>
                      <w:lang w:val="en-US" w:eastAsia="zh-CN"/>
                    </w:rPr>
                    <w:t>混凝土</w:t>
                  </w:r>
                </w:p>
              </w:tc>
              <w:tc>
                <w:tcPr>
                  <w:tcW w:w="1037" w:type="dxa"/>
                  <w:tcBorders>
                    <w:tl2br w:val="nil"/>
                    <w:tr2bl w:val="nil"/>
                  </w:tcBorders>
                  <w:vAlign w:val="center"/>
                </w:tcPr>
                <w:p w14:paraId="5E32C305">
                  <w:pPr>
                    <w:jc w:val="center"/>
                    <w:rPr>
                      <w:rFonts w:hint="default"/>
                      <w:color w:val="auto"/>
                      <w:sz w:val="18"/>
                      <w:szCs w:val="18"/>
                      <w:lang w:val="en-US" w:eastAsia="zh-CN"/>
                    </w:rPr>
                  </w:pPr>
                  <w:r>
                    <w:rPr>
                      <w:rFonts w:hint="eastAsia"/>
                      <w:color w:val="auto"/>
                      <w:sz w:val="18"/>
                      <w:szCs w:val="18"/>
                      <w:lang w:val="en-US" w:eastAsia="zh-CN"/>
                    </w:rPr>
                    <w:t>3万t/a</w:t>
                  </w:r>
                </w:p>
              </w:tc>
              <w:tc>
                <w:tcPr>
                  <w:tcW w:w="1744" w:type="dxa"/>
                  <w:tcBorders>
                    <w:tl2br w:val="nil"/>
                    <w:tr2bl w:val="nil"/>
                  </w:tcBorders>
                  <w:vAlign w:val="center"/>
                </w:tcPr>
                <w:p w14:paraId="0F0C5A58">
                  <w:pPr>
                    <w:jc w:val="center"/>
                    <w:rPr>
                      <w:rFonts w:hint="eastAsia"/>
                      <w:color w:val="auto"/>
                      <w:sz w:val="18"/>
                      <w:szCs w:val="18"/>
                      <w:lang w:val="en-US" w:eastAsia="zh-CN"/>
                    </w:rPr>
                  </w:pPr>
                  <w:r>
                    <w:rPr>
                      <w:rFonts w:hint="eastAsia"/>
                      <w:color w:val="auto"/>
                      <w:sz w:val="18"/>
                      <w:szCs w:val="18"/>
                      <w:lang w:val="en-US" w:eastAsia="zh-CN"/>
                    </w:rPr>
                    <w:t>AC13、AC16、AC10、ATB20、ATTB225等</w:t>
                  </w:r>
                </w:p>
                <w:p w14:paraId="79D60684">
                  <w:pPr>
                    <w:jc w:val="center"/>
                    <w:rPr>
                      <w:rFonts w:hint="default"/>
                      <w:color w:val="auto"/>
                      <w:sz w:val="18"/>
                      <w:szCs w:val="18"/>
                      <w:lang w:val="en-US" w:eastAsia="zh-CN"/>
                    </w:rPr>
                  </w:pPr>
                  <w:r>
                    <w:rPr>
                      <w:rFonts w:hint="eastAsia"/>
                      <w:color w:val="auto"/>
                      <w:sz w:val="18"/>
                      <w:szCs w:val="18"/>
                      <w:lang w:val="en-US" w:eastAsia="zh-CN"/>
                    </w:rPr>
                    <w:t>（根据市场订单生产）</w:t>
                  </w:r>
                </w:p>
              </w:tc>
              <w:tc>
                <w:tcPr>
                  <w:tcW w:w="2195" w:type="dxa"/>
                  <w:tcBorders>
                    <w:tl2br w:val="nil"/>
                    <w:tr2bl w:val="nil"/>
                  </w:tcBorders>
                  <w:vAlign w:val="center"/>
                </w:tcPr>
                <w:p w14:paraId="15A229B2">
                  <w:pPr>
                    <w:jc w:val="center"/>
                    <w:rPr>
                      <w:rFonts w:hint="default" w:eastAsia="宋体"/>
                      <w:color w:val="auto"/>
                      <w:sz w:val="18"/>
                      <w:szCs w:val="18"/>
                      <w:lang w:val="en-US" w:eastAsia="zh-CN"/>
                    </w:rPr>
                  </w:pPr>
                  <w:r>
                    <w:rPr>
                      <w:rFonts w:hint="eastAsia"/>
                      <w:color w:val="auto"/>
                      <w:sz w:val="18"/>
                      <w:szCs w:val="18"/>
                      <w:lang w:val="en-US" w:eastAsia="zh-CN"/>
                    </w:rPr>
                    <w:t>外售，用于公路施工企业</w:t>
                  </w:r>
                </w:p>
              </w:tc>
              <w:tc>
                <w:tcPr>
                  <w:tcW w:w="1778" w:type="dxa"/>
                  <w:tcBorders>
                    <w:tl2br w:val="nil"/>
                    <w:tr2bl w:val="nil"/>
                  </w:tcBorders>
                  <w:vAlign w:val="center"/>
                </w:tcPr>
                <w:p w14:paraId="0AAFC6AA">
                  <w:pPr>
                    <w:jc w:val="center"/>
                    <w:rPr>
                      <w:rFonts w:hint="eastAsia"/>
                      <w:color w:val="auto"/>
                      <w:sz w:val="18"/>
                      <w:szCs w:val="18"/>
                      <w:lang w:val="en-US" w:eastAsia="zh-CN"/>
                    </w:rPr>
                  </w:pPr>
                  <w:r>
                    <w:rPr>
                      <w:rFonts w:hint="eastAsia"/>
                      <w:color w:val="auto"/>
                      <w:sz w:val="18"/>
                      <w:szCs w:val="18"/>
                      <w:lang w:val="en-US" w:eastAsia="zh-CN"/>
                    </w:rPr>
                    <w:t>产品质量执行《城镇道路工程施工与质量验收规范》（CJJ1-2008）和《公路沥青路面施工技术规范》（JTG F40-2004）</w:t>
                  </w:r>
                </w:p>
              </w:tc>
            </w:tr>
            <w:tr w14:paraId="51F607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13" w:hRule="atLeast"/>
                <w:jc w:val="center"/>
              </w:trPr>
              <w:tc>
                <w:tcPr>
                  <w:tcW w:w="459" w:type="dxa"/>
                  <w:tcBorders>
                    <w:tl2br w:val="nil"/>
                    <w:tr2bl w:val="nil"/>
                  </w:tcBorders>
                  <w:vAlign w:val="center"/>
                </w:tcPr>
                <w:p w14:paraId="16708E11">
                  <w:pPr>
                    <w:jc w:val="center"/>
                    <w:rPr>
                      <w:rFonts w:hint="default"/>
                      <w:color w:val="auto"/>
                      <w:sz w:val="18"/>
                      <w:szCs w:val="18"/>
                      <w:lang w:val="en-US" w:eastAsia="zh-CN"/>
                    </w:rPr>
                  </w:pPr>
                  <w:r>
                    <w:rPr>
                      <w:rFonts w:hint="eastAsia"/>
                      <w:color w:val="auto"/>
                      <w:sz w:val="18"/>
                      <w:szCs w:val="18"/>
                      <w:lang w:val="en-US" w:eastAsia="zh-CN"/>
                    </w:rPr>
                    <w:t>2</w:t>
                  </w:r>
                </w:p>
              </w:tc>
              <w:tc>
                <w:tcPr>
                  <w:tcW w:w="805" w:type="dxa"/>
                  <w:tcBorders>
                    <w:tl2br w:val="nil"/>
                    <w:tr2bl w:val="nil"/>
                  </w:tcBorders>
                  <w:vAlign w:val="center"/>
                </w:tcPr>
                <w:p w14:paraId="620EA14C">
                  <w:pPr>
                    <w:jc w:val="center"/>
                    <w:rPr>
                      <w:rFonts w:hint="default"/>
                      <w:color w:val="auto"/>
                      <w:sz w:val="18"/>
                      <w:szCs w:val="18"/>
                      <w:lang w:val="en-US" w:eastAsia="zh-CN"/>
                    </w:rPr>
                  </w:pPr>
                  <w:r>
                    <w:rPr>
                      <w:rFonts w:hint="eastAsia"/>
                      <w:color w:val="auto"/>
                      <w:sz w:val="18"/>
                      <w:szCs w:val="18"/>
                      <w:lang w:val="en-US" w:eastAsia="zh-CN"/>
                    </w:rPr>
                    <w:t>混凝土</w:t>
                  </w:r>
                </w:p>
              </w:tc>
              <w:tc>
                <w:tcPr>
                  <w:tcW w:w="1037" w:type="dxa"/>
                  <w:tcBorders>
                    <w:tl2br w:val="nil"/>
                    <w:tr2bl w:val="nil"/>
                  </w:tcBorders>
                  <w:vAlign w:val="center"/>
                </w:tcPr>
                <w:p w14:paraId="34D42347">
                  <w:pPr>
                    <w:jc w:val="center"/>
                    <w:rPr>
                      <w:rFonts w:hint="default"/>
                      <w:color w:val="auto"/>
                      <w:sz w:val="18"/>
                      <w:szCs w:val="18"/>
                      <w:lang w:val="en-US" w:eastAsia="zh-CN"/>
                    </w:rPr>
                  </w:pPr>
                  <w:r>
                    <w:rPr>
                      <w:rFonts w:hint="eastAsia"/>
                      <w:color w:val="auto"/>
                      <w:sz w:val="18"/>
                      <w:szCs w:val="18"/>
                      <w:lang w:val="en-US" w:eastAsia="zh-CN"/>
                    </w:rPr>
                    <w:t>20万m</w:t>
                  </w:r>
                  <w:r>
                    <w:rPr>
                      <w:rFonts w:hint="eastAsia"/>
                      <w:color w:val="auto"/>
                      <w:sz w:val="18"/>
                      <w:szCs w:val="18"/>
                      <w:vertAlign w:val="superscript"/>
                      <w:lang w:val="en-US" w:eastAsia="zh-CN"/>
                    </w:rPr>
                    <w:t>3</w:t>
                  </w:r>
                  <w:r>
                    <w:rPr>
                      <w:rFonts w:hint="eastAsia"/>
                      <w:color w:val="auto"/>
                      <w:sz w:val="18"/>
                      <w:szCs w:val="18"/>
                      <w:lang w:val="en-US" w:eastAsia="zh-CN"/>
                    </w:rPr>
                    <w:t>/a</w:t>
                  </w:r>
                </w:p>
              </w:tc>
              <w:tc>
                <w:tcPr>
                  <w:tcW w:w="1744" w:type="dxa"/>
                  <w:tcBorders>
                    <w:tl2br w:val="nil"/>
                    <w:tr2bl w:val="nil"/>
                  </w:tcBorders>
                  <w:vAlign w:val="center"/>
                </w:tcPr>
                <w:p w14:paraId="3205F601">
                  <w:pPr>
                    <w:jc w:val="center"/>
                    <w:rPr>
                      <w:rFonts w:hint="default"/>
                      <w:color w:val="auto"/>
                      <w:sz w:val="18"/>
                      <w:szCs w:val="18"/>
                      <w:lang w:val="en-US" w:eastAsia="zh-CN"/>
                    </w:rPr>
                  </w:pPr>
                  <w:r>
                    <w:rPr>
                      <w:rFonts w:hint="eastAsia"/>
                      <w:color w:val="auto"/>
                      <w:sz w:val="18"/>
                      <w:szCs w:val="18"/>
                      <w:lang w:val="en-US" w:eastAsia="zh-CN"/>
                    </w:rPr>
                    <w:t>C10、C15、C20 、C25、C30、C35、C40、C45、C50、C55、C60（根据市场订单生产）</w:t>
                  </w:r>
                </w:p>
              </w:tc>
              <w:tc>
                <w:tcPr>
                  <w:tcW w:w="2195" w:type="dxa"/>
                  <w:tcBorders>
                    <w:tl2br w:val="nil"/>
                    <w:tr2bl w:val="nil"/>
                  </w:tcBorders>
                  <w:vAlign w:val="center"/>
                </w:tcPr>
                <w:p w14:paraId="3F71725F">
                  <w:pPr>
                    <w:jc w:val="center"/>
                    <w:rPr>
                      <w:rFonts w:hint="default" w:eastAsia="宋体"/>
                      <w:color w:val="auto"/>
                      <w:sz w:val="18"/>
                      <w:szCs w:val="18"/>
                      <w:lang w:val="en-US" w:eastAsia="zh-CN"/>
                    </w:rPr>
                  </w:pPr>
                  <w:r>
                    <w:rPr>
                      <w:rFonts w:hint="eastAsia"/>
                      <w:color w:val="auto"/>
                      <w:sz w:val="18"/>
                      <w:szCs w:val="18"/>
                      <w:lang w:val="en-US" w:eastAsia="zh-CN"/>
                    </w:rPr>
                    <w:t>外售，用于施工企业</w:t>
                  </w:r>
                </w:p>
              </w:tc>
              <w:tc>
                <w:tcPr>
                  <w:tcW w:w="1778" w:type="dxa"/>
                  <w:tcBorders>
                    <w:tl2br w:val="nil"/>
                    <w:tr2bl w:val="nil"/>
                  </w:tcBorders>
                  <w:vAlign w:val="center"/>
                </w:tcPr>
                <w:p w14:paraId="44ABABA8">
                  <w:pPr>
                    <w:jc w:val="center"/>
                    <w:rPr>
                      <w:rFonts w:hint="eastAsia"/>
                      <w:color w:val="auto"/>
                      <w:sz w:val="18"/>
                      <w:szCs w:val="18"/>
                      <w:lang w:val="en-US" w:eastAsia="zh-CN"/>
                    </w:rPr>
                  </w:pPr>
                  <w:r>
                    <w:rPr>
                      <w:rFonts w:hint="eastAsia"/>
                      <w:color w:val="auto"/>
                      <w:sz w:val="18"/>
                      <w:szCs w:val="18"/>
                      <w:lang w:val="en-US" w:eastAsia="zh-CN"/>
                    </w:rPr>
                    <w:t>《混凝土质量控制标准》（GB50164-2011）</w:t>
                  </w:r>
                </w:p>
              </w:tc>
            </w:tr>
            <w:tr w14:paraId="2951C0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13" w:hRule="atLeast"/>
                <w:jc w:val="center"/>
              </w:trPr>
              <w:tc>
                <w:tcPr>
                  <w:tcW w:w="459" w:type="dxa"/>
                  <w:tcBorders>
                    <w:tl2br w:val="nil"/>
                    <w:tr2bl w:val="nil"/>
                  </w:tcBorders>
                  <w:vAlign w:val="center"/>
                </w:tcPr>
                <w:p w14:paraId="17FC30B1">
                  <w:pPr>
                    <w:jc w:val="center"/>
                    <w:rPr>
                      <w:rFonts w:hint="default"/>
                      <w:color w:val="auto"/>
                      <w:sz w:val="18"/>
                      <w:szCs w:val="18"/>
                      <w:lang w:val="en-US" w:eastAsia="zh-CN"/>
                    </w:rPr>
                  </w:pPr>
                  <w:r>
                    <w:rPr>
                      <w:rFonts w:hint="eastAsia"/>
                      <w:color w:val="auto"/>
                      <w:sz w:val="18"/>
                      <w:szCs w:val="18"/>
                      <w:lang w:val="en-US" w:eastAsia="zh-CN"/>
                    </w:rPr>
                    <w:t>3</w:t>
                  </w:r>
                </w:p>
              </w:tc>
              <w:tc>
                <w:tcPr>
                  <w:tcW w:w="805" w:type="dxa"/>
                  <w:tcBorders>
                    <w:tl2br w:val="nil"/>
                    <w:tr2bl w:val="nil"/>
                  </w:tcBorders>
                  <w:vAlign w:val="center"/>
                </w:tcPr>
                <w:p w14:paraId="4F702AC3">
                  <w:pPr>
                    <w:jc w:val="center"/>
                    <w:rPr>
                      <w:rFonts w:hint="eastAsia"/>
                      <w:color w:val="auto"/>
                      <w:sz w:val="18"/>
                      <w:szCs w:val="18"/>
                      <w:lang w:val="en-US" w:eastAsia="zh-CN"/>
                    </w:rPr>
                  </w:pPr>
                  <w:r>
                    <w:rPr>
                      <w:rFonts w:hint="eastAsia"/>
                      <w:color w:val="auto"/>
                      <w:sz w:val="18"/>
                      <w:szCs w:val="18"/>
                      <w:lang w:val="en-US" w:eastAsia="zh-CN"/>
                    </w:rPr>
                    <w:t>水稳土</w:t>
                  </w:r>
                </w:p>
              </w:tc>
              <w:tc>
                <w:tcPr>
                  <w:tcW w:w="1037" w:type="dxa"/>
                  <w:tcBorders>
                    <w:tl2br w:val="nil"/>
                    <w:tr2bl w:val="nil"/>
                  </w:tcBorders>
                  <w:vAlign w:val="center"/>
                </w:tcPr>
                <w:p w14:paraId="45D3D469">
                  <w:pPr>
                    <w:jc w:val="center"/>
                    <w:rPr>
                      <w:rFonts w:hint="eastAsia"/>
                      <w:color w:val="auto"/>
                      <w:sz w:val="18"/>
                      <w:szCs w:val="18"/>
                      <w:lang w:val="en-US" w:eastAsia="zh-CN"/>
                    </w:rPr>
                  </w:pPr>
                  <w:r>
                    <w:rPr>
                      <w:rFonts w:hint="eastAsia"/>
                      <w:color w:val="auto"/>
                      <w:sz w:val="18"/>
                      <w:szCs w:val="18"/>
                      <w:lang w:val="en-US" w:eastAsia="zh-CN"/>
                    </w:rPr>
                    <w:t>5万m</w:t>
                  </w:r>
                  <w:r>
                    <w:rPr>
                      <w:rFonts w:hint="eastAsia"/>
                      <w:color w:val="auto"/>
                      <w:sz w:val="18"/>
                      <w:szCs w:val="18"/>
                      <w:vertAlign w:val="superscript"/>
                      <w:lang w:val="en-US" w:eastAsia="zh-CN"/>
                    </w:rPr>
                    <w:t>3</w:t>
                  </w:r>
                  <w:r>
                    <w:rPr>
                      <w:rFonts w:hint="eastAsia"/>
                      <w:color w:val="auto"/>
                      <w:sz w:val="18"/>
                      <w:szCs w:val="18"/>
                      <w:lang w:val="en-US" w:eastAsia="zh-CN"/>
                    </w:rPr>
                    <w:t>/a</w:t>
                  </w:r>
                </w:p>
              </w:tc>
              <w:tc>
                <w:tcPr>
                  <w:tcW w:w="1744" w:type="dxa"/>
                  <w:tcBorders>
                    <w:tl2br w:val="nil"/>
                    <w:tr2bl w:val="nil"/>
                  </w:tcBorders>
                  <w:vAlign w:val="center"/>
                </w:tcPr>
                <w:p w14:paraId="3B4DCA0E">
                  <w:pPr>
                    <w:jc w:val="center"/>
                    <w:rPr>
                      <w:rFonts w:hint="default"/>
                      <w:color w:val="auto"/>
                      <w:sz w:val="18"/>
                      <w:szCs w:val="18"/>
                      <w:lang w:val="en-US" w:eastAsia="zh-CN"/>
                    </w:rPr>
                  </w:pPr>
                  <w:r>
                    <w:rPr>
                      <w:rFonts w:hint="eastAsia"/>
                      <w:color w:val="auto"/>
                      <w:sz w:val="18"/>
                      <w:szCs w:val="18"/>
                      <w:lang w:val="en-US" w:eastAsia="zh-CN"/>
                    </w:rPr>
                    <w:t>-</w:t>
                  </w:r>
                </w:p>
              </w:tc>
              <w:tc>
                <w:tcPr>
                  <w:tcW w:w="2195" w:type="dxa"/>
                  <w:tcBorders>
                    <w:tl2br w:val="nil"/>
                    <w:tr2bl w:val="nil"/>
                  </w:tcBorders>
                  <w:vAlign w:val="center"/>
                </w:tcPr>
                <w:p w14:paraId="5A0E1FCD">
                  <w:pPr>
                    <w:jc w:val="center"/>
                    <w:rPr>
                      <w:rFonts w:hint="eastAsia"/>
                      <w:color w:val="auto"/>
                      <w:sz w:val="18"/>
                      <w:szCs w:val="18"/>
                      <w:lang w:val="en-US" w:eastAsia="zh-CN"/>
                    </w:rPr>
                  </w:pPr>
                  <w:r>
                    <w:rPr>
                      <w:rFonts w:hint="eastAsia"/>
                      <w:color w:val="auto"/>
                      <w:sz w:val="18"/>
                      <w:szCs w:val="18"/>
                      <w:lang w:val="en-US" w:eastAsia="zh-CN"/>
                    </w:rPr>
                    <w:t>外售，用于施工企业</w:t>
                  </w:r>
                </w:p>
              </w:tc>
              <w:tc>
                <w:tcPr>
                  <w:tcW w:w="1778" w:type="dxa"/>
                  <w:tcBorders>
                    <w:tl2br w:val="nil"/>
                    <w:tr2bl w:val="nil"/>
                  </w:tcBorders>
                  <w:vAlign w:val="center"/>
                </w:tcPr>
                <w:p w14:paraId="108777E3">
                  <w:pPr>
                    <w:jc w:val="center"/>
                    <w:rPr>
                      <w:rFonts w:hint="default"/>
                      <w:color w:val="auto"/>
                      <w:sz w:val="18"/>
                      <w:szCs w:val="18"/>
                      <w:lang w:val="en-US" w:eastAsia="zh-CN"/>
                    </w:rPr>
                  </w:pPr>
                  <w:r>
                    <w:rPr>
                      <w:rFonts w:hint="eastAsia"/>
                      <w:color w:val="auto"/>
                      <w:sz w:val="18"/>
                      <w:szCs w:val="18"/>
                      <w:lang w:val="en-US" w:eastAsia="zh-CN"/>
                    </w:rPr>
                    <w:t>-</w:t>
                  </w:r>
                </w:p>
              </w:tc>
            </w:tr>
          </w:tbl>
          <w:p w14:paraId="4B83416E">
            <w:pPr>
              <w:spacing w:line="360" w:lineRule="auto"/>
              <w:ind w:firstLine="422" w:firstLineChars="200"/>
              <w:rPr>
                <w:rFonts w:hint="default"/>
                <w:b/>
                <w:bCs/>
                <w:color w:val="auto"/>
                <w:szCs w:val="21"/>
                <w:lang w:val="en-US" w:eastAsia="zh-CN"/>
              </w:rPr>
            </w:pPr>
            <w:r>
              <w:rPr>
                <w:rFonts w:hint="eastAsia"/>
                <w:b/>
                <w:bCs/>
                <w:color w:val="auto"/>
                <w:szCs w:val="21"/>
                <w:lang w:val="en-US" w:eastAsia="zh-CN"/>
              </w:rPr>
              <w:t>2.3主要生产设施及参数</w:t>
            </w:r>
          </w:p>
          <w:p w14:paraId="304E7E3F">
            <w:pPr>
              <w:pStyle w:val="77"/>
              <w:snapToGrid/>
              <w:spacing w:line="240" w:lineRule="exact"/>
              <w:ind w:firstLine="361"/>
              <w:jc w:val="center"/>
              <w:rPr>
                <w:rFonts w:ascii="Times New Roman" w:hAnsi="Times New Roman"/>
                <w:color w:val="auto"/>
                <w:sz w:val="18"/>
                <w:szCs w:val="18"/>
              </w:rPr>
            </w:pPr>
            <w:r>
              <w:rPr>
                <w:rFonts w:ascii="Times New Roman" w:hAnsi="Times New Roman"/>
                <w:color w:val="auto"/>
                <w:sz w:val="18"/>
                <w:szCs w:val="18"/>
              </w:rPr>
              <w:t>表2</w:t>
            </w:r>
            <w:r>
              <w:rPr>
                <w:rFonts w:hint="eastAsia" w:ascii="Times New Roman" w:hAnsi="Times New Roman"/>
                <w:color w:val="auto"/>
                <w:sz w:val="18"/>
                <w:szCs w:val="18"/>
                <w:lang w:val="en-US" w:eastAsia="zh-CN"/>
              </w:rPr>
              <w:t>.3</w:t>
            </w:r>
            <w:r>
              <w:rPr>
                <w:rFonts w:ascii="Times New Roman" w:hAnsi="Times New Roman"/>
                <w:color w:val="auto"/>
                <w:sz w:val="18"/>
                <w:szCs w:val="18"/>
              </w:rPr>
              <w:t>-</w:t>
            </w:r>
            <w:r>
              <w:rPr>
                <w:rFonts w:hint="eastAsia" w:ascii="Times New Roman" w:hAnsi="Times New Roman"/>
                <w:color w:val="auto"/>
                <w:sz w:val="18"/>
                <w:szCs w:val="18"/>
                <w:lang w:val="en-US" w:eastAsia="zh-CN"/>
              </w:rPr>
              <w:t>1</w:t>
            </w:r>
            <w:r>
              <w:rPr>
                <w:rFonts w:ascii="Times New Roman" w:hAnsi="Times New Roman"/>
                <w:color w:val="auto"/>
                <w:sz w:val="18"/>
                <w:szCs w:val="18"/>
              </w:rPr>
              <w:t xml:space="preserve">    主要</w:t>
            </w:r>
            <w:r>
              <w:rPr>
                <w:rFonts w:hint="eastAsia" w:ascii="Times New Roman" w:hAnsi="Times New Roman"/>
                <w:color w:val="auto"/>
                <w:sz w:val="18"/>
                <w:szCs w:val="18"/>
                <w:lang w:val="en-US" w:eastAsia="zh-CN"/>
              </w:rPr>
              <w:t>生产设施</w:t>
            </w:r>
            <w:r>
              <w:rPr>
                <w:rFonts w:ascii="Times New Roman" w:hAnsi="Times New Roman"/>
                <w:color w:val="auto"/>
                <w:sz w:val="18"/>
                <w:szCs w:val="18"/>
              </w:rPr>
              <w:t>表</w:t>
            </w:r>
          </w:p>
          <w:tbl>
            <w:tblPr>
              <w:tblStyle w:val="47"/>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326"/>
              <w:gridCol w:w="370"/>
              <w:gridCol w:w="882"/>
              <w:gridCol w:w="1246"/>
              <w:gridCol w:w="4145"/>
              <w:gridCol w:w="703"/>
              <w:gridCol w:w="346"/>
            </w:tblGrid>
            <w:tr w14:paraId="5B8E29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0" w:type="auto"/>
                  <w:tcBorders>
                    <w:tl2br w:val="nil"/>
                    <w:tr2bl w:val="nil"/>
                  </w:tcBorders>
                  <w:vAlign w:val="center"/>
                </w:tcPr>
                <w:p w14:paraId="6443CC94">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序号</w:t>
                  </w:r>
                </w:p>
              </w:tc>
              <w:tc>
                <w:tcPr>
                  <w:tcW w:w="0" w:type="auto"/>
                  <w:gridSpan w:val="3"/>
                  <w:tcBorders>
                    <w:tl2br w:val="nil"/>
                    <w:tr2bl w:val="nil"/>
                  </w:tcBorders>
                  <w:vAlign w:val="center"/>
                </w:tcPr>
                <w:p w14:paraId="60217722">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名称</w:t>
                  </w:r>
                </w:p>
              </w:tc>
              <w:tc>
                <w:tcPr>
                  <w:tcW w:w="0" w:type="auto"/>
                  <w:tcBorders>
                    <w:tl2br w:val="nil"/>
                    <w:tr2bl w:val="nil"/>
                  </w:tcBorders>
                  <w:vAlign w:val="center"/>
                </w:tcPr>
                <w:p w14:paraId="358800E7">
                  <w:pPr>
                    <w:jc w:val="center"/>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技术参数</w:t>
                  </w:r>
                </w:p>
              </w:tc>
              <w:tc>
                <w:tcPr>
                  <w:tcW w:w="0" w:type="auto"/>
                  <w:tcBorders>
                    <w:tl2br w:val="nil"/>
                    <w:tr2bl w:val="nil"/>
                  </w:tcBorders>
                  <w:vAlign w:val="center"/>
                </w:tcPr>
                <w:p w14:paraId="1622C44D">
                  <w:pPr>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数量</w:t>
                  </w:r>
                </w:p>
                <w:p w14:paraId="5DC0297D">
                  <w:pPr>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（台/套）</w:t>
                  </w:r>
                </w:p>
              </w:tc>
              <w:tc>
                <w:tcPr>
                  <w:tcW w:w="0" w:type="auto"/>
                  <w:tcBorders>
                    <w:tl2br w:val="nil"/>
                    <w:tr2bl w:val="nil"/>
                  </w:tcBorders>
                  <w:vAlign w:val="center"/>
                </w:tcPr>
                <w:p w14:paraId="0337E855">
                  <w:pPr>
                    <w:jc w:val="center"/>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备注</w:t>
                  </w:r>
                </w:p>
              </w:tc>
            </w:tr>
            <w:tr w14:paraId="5958F9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0" w:type="auto"/>
                  <w:tcBorders>
                    <w:tl2br w:val="nil"/>
                    <w:tr2bl w:val="nil"/>
                  </w:tcBorders>
                  <w:vAlign w:val="center"/>
                </w:tcPr>
                <w:p w14:paraId="7C888EA0">
                  <w:pPr>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rPr>
                    <w:t>1</w:t>
                  </w:r>
                </w:p>
              </w:tc>
              <w:tc>
                <w:tcPr>
                  <w:tcW w:w="0" w:type="auto"/>
                  <w:vMerge w:val="restart"/>
                  <w:tcBorders>
                    <w:tl2br w:val="nil"/>
                    <w:tr2bl w:val="nil"/>
                  </w:tcBorders>
                  <w:vAlign w:val="center"/>
                </w:tcPr>
                <w:p w14:paraId="38C1BB5A">
                  <w:pPr>
                    <w:keepNext w:val="0"/>
                    <w:keepLines w:val="0"/>
                    <w:widowControl/>
                    <w:suppressLineNumbers w:val="0"/>
                    <w:jc w:val="center"/>
                    <w:textAlignment w:val="center"/>
                    <w:rPr>
                      <w:rFonts w:hint="eastAsia" w:cs="Times New Roman"/>
                      <w:color w:val="auto"/>
                      <w:sz w:val="18"/>
                      <w:szCs w:val="18"/>
                      <w:lang w:val="en-US" w:eastAsia="zh-CN"/>
                    </w:rPr>
                  </w:pPr>
                  <w:r>
                    <w:rPr>
                      <w:rFonts w:hint="eastAsia" w:cs="Times New Roman"/>
                      <w:color w:val="auto"/>
                      <w:sz w:val="18"/>
                      <w:szCs w:val="18"/>
                      <w:lang w:val="en-US" w:eastAsia="zh-CN"/>
                    </w:rPr>
                    <w:t>石料</w:t>
                  </w:r>
                </w:p>
                <w:p w14:paraId="74BAD45F">
                  <w:pPr>
                    <w:keepNext w:val="0"/>
                    <w:keepLines w:val="0"/>
                    <w:widowControl/>
                    <w:suppressLineNumbers w:val="0"/>
                    <w:jc w:val="center"/>
                    <w:textAlignment w:val="center"/>
                    <w:rPr>
                      <w:rFonts w:hint="eastAsia" w:cs="Times New Roman"/>
                      <w:color w:val="auto"/>
                      <w:sz w:val="18"/>
                      <w:szCs w:val="18"/>
                      <w:lang w:val="en-US" w:eastAsia="zh-CN"/>
                    </w:rPr>
                  </w:pPr>
                  <w:r>
                    <w:rPr>
                      <w:rFonts w:hint="eastAsia" w:cs="Times New Roman"/>
                      <w:color w:val="auto"/>
                      <w:sz w:val="18"/>
                      <w:szCs w:val="18"/>
                      <w:lang w:val="en-US" w:eastAsia="zh-CN"/>
                    </w:rPr>
                    <w:t>储运</w:t>
                  </w:r>
                </w:p>
                <w:p w14:paraId="7BC5E890">
                  <w:pPr>
                    <w:keepNext w:val="0"/>
                    <w:keepLines w:val="0"/>
                    <w:widowControl/>
                    <w:suppressLineNumbers w:val="0"/>
                    <w:jc w:val="center"/>
                    <w:textAlignment w:val="center"/>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单元</w:t>
                  </w:r>
                </w:p>
              </w:tc>
              <w:tc>
                <w:tcPr>
                  <w:tcW w:w="0" w:type="auto"/>
                  <w:tcBorders>
                    <w:tl2br w:val="nil"/>
                    <w:tr2bl w:val="nil"/>
                  </w:tcBorders>
                  <w:vAlign w:val="center"/>
                </w:tcPr>
                <w:p w14:paraId="476E5C5A">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储运</w:t>
                  </w:r>
                </w:p>
              </w:tc>
              <w:tc>
                <w:tcPr>
                  <w:tcW w:w="0" w:type="auto"/>
                  <w:tcBorders>
                    <w:tl2br w:val="nil"/>
                    <w:tr2bl w:val="nil"/>
                  </w:tcBorders>
                  <w:vAlign w:val="center"/>
                </w:tcPr>
                <w:p w14:paraId="186E0CC4">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砂石料储库</w:t>
                  </w:r>
                </w:p>
              </w:tc>
              <w:tc>
                <w:tcPr>
                  <w:tcW w:w="0" w:type="auto"/>
                  <w:tcBorders>
                    <w:tl2br w:val="nil"/>
                    <w:tr2bl w:val="nil"/>
                  </w:tcBorders>
                  <w:vAlign w:val="center"/>
                </w:tcPr>
                <w:p w14:paraId="5EAFADD2">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封闭式储料库，占地面积5000m</w:t>
                  </w:r>
                  <w:r>
                    <w:rPr>
                      <w:rFonts w:hint="eastAsia" w:cs="Times New Roman"/>
                      <w:color w:val="auto"/>
                      <w:sz w:val="18"/>
                      <w:szCs w:val="18"/>
                      <w:vertAlign w:val="superscript"/>
                      <w:lang w:val="en-US" w:eastAsia="zh-CN"/>
                    </w:rPr>
                    <w:t>2</w:t>
                  </w:r>
                </w:p>
              </w:tc>
              <w:tc>
                <w:tcPr>
                  <w:tcW w:w="0" w:type="auto"/>
                  <w:tcBorders>
                    <w:tl2br w:val="nil"/>
                    <w:tr2bl w:val="nil"/>
                  </w:tcBorders>
                  <w:vAlign w:val="center"/>
                </w:tcPr>
                <w:p w14:paraId="77A24244">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1</w:t>
                  </w:r>
                </w:p>
              </w:tc>
              <w:tc>
                <w:tcPr>
                  <w:tcW w:w="0" w:type="auto"/>
                  <w:tcBorders>
                    <w:tl2br w:val="nil"/>
                    <w:tr2bl w:val="nil"/>
                  </w:tcBorders>
                  <w:vAlign w:val="center"/>
                </w:tcPr>
                <w:p w14:paraId="6F60107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052256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5" w:hRule="atLeast"/>
                <w:jc w:val="center"/>
              </w:trPr>
              <w:tc>
                <w:tcPr>
                  <w:tcW w:w="0" w:type="auto"/>
                  <w:tcBorders>
                    <w:tl2br w:val="nil"/>
                    <w:tr2bl w:val="nil"/>
                  </w:tcBorders>
                  <w:shd w:val="clear" w:color="auto" w:fill="auto"/>
                  <w:vAlign w:val="center"/>
                </w:tcPr>
                <w:p w14:paraId="560C7F86">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sz w:val="18"/>
                      <w:szCs w:val="18"/>
                      <w:lang w:val="en-US" w:eastAsia="zh-CN"/>
                    </w:rPr>
                    <w:t>2</w:t>
                  </w:r>
                </w:p>
              </w:tc>
              <w:tc>
                <w:tcPr>
                  <w:tcW w:w="0" w:type="auto"/>
                  <w:vMerge w:val="continue"/>
                  <w:tcBorders>
                    <w:tl2br w:val="nil"/>
                    <w:tr2bl w:val="nil"/>
                  </w:tcBorders>
                  <w:vAlign w:val="center"/>
                </w:tcPr>
                <w:p w14:paraId="789012D0">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p>
              </w:tc>
              <w:tc>
                <w:tcPr>
                  <w:tcW w:w="0" w:type="auto"/>
                  <w:tcBorders>
                    <w:tl2br w:val="nil"/>
                    <w:tr2bl w:val="nil"/>
                  </w:tcBorders>
                  <w:vAlign w:val="center"/>
                </w:tcPr>
                <w:p w14:paraId="74DAA3A7">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输送</w:t>
                  </w:r>
                </w:p>
                <w:p w14:paraId="04045A17">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系统</w:t>
                  </w:r>
                </w:p>
              </w:tc>
              <w:tc>
                <w:tcPr>
                  <w:tcW w:w="0" w:type="auto"/>
                  <w:tcBorders>
                    <w:tl2br w:val="nil"/>
                    <w:tr2bl w:val="nil"/>
                  </w:tcBorders>
                  <w:vAlign w:val="center"/>
                </w:tcPr>
                <w:p w14:paraId="66D57DD2">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皮带输送机</w:t>
                  </w:r>
                </w:p>
              </w:tc>
              <w:tc>
                <w:tcPr>
                  <w:tcW w:w="0" w:type="auto"/>
                  <w:tcBorders>
                    <w:tl2br w:val="nil"/>
                    <w:tr2bl w:val="nil"/>
                  </w:tcBorders>
                  <w:vAlign w:val="center"/>
                </w:tcPr>
                <w:p w14:paraId="6C546A0B">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皮带输送机，L20m×B800mm</w:t>
                  </w:r>
                </w:p>
              </w:tc>
              <w:tc>
                <w:tcPr>
                  <w:tcW w:w="0" w:type="auto"/>
                  <w:tcBorders>
                    <w:tl2br w:val="nil"/>
                    <w:tr2bl w:val="nil"/>
                  </w:tcBorders>
                  <w:vAlign w:val="center"/>
                </w:tcPr>
                <w:p w14:paraId="378B50A6">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1</w:t>
                  </w:r>
                </w:p>
              </w:tc>
              <w:tc>
                <w:tcPr>
                  <w:tcW w:w="0" w:type="auto"/>
                  <w:tcBorders>
                    <w:tl2br w:val="nil"/>
                    <w:tr2bl w:val="nil"/>
                  </w:tcBorders>
                  <w:vAlign w:val="center"/>
                </w:tcPr>
                <w:p w14:paraId="586C6EE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0860D5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0" w:type="auto"/>
                  <w:tcBorders>
                    <w:tl2br w:val="nil"/>
                    <w:tr2bl w:val="nil"/>
                  </w:tcBorders>
                  <w:shd w:val="clear" w:color="auto" w:fill="auto"/>
                  <w:vAlign w:val="center"/>
                </w:tcPr>
                <w:p w14:paraId="7B213AA2">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3</w:t>
                  </w:r>
                </w:p>
              </w:tc>
              <w:tc>
                <w:tcPr>
                  <w:tcW w:w="0" w:type="auto"/>
                  <w:vMerge w:val="restart"/>
                  <w:tcBorders>
                    <w:tl2br w:val="nil"/>
                    <w:tr2bl w:val="nil"/>
                  </w:tcBorders>
                  <w:vAlign w:val="center"/>
                </w:tcPr>
                <w:p w14:paraId="4C788AC3">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沥青</w:t>
                  </w:r>
                </w:p>
                <w:p w14:paraId="5488B65F">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混凝</w:t>
                  </w:r>
                </w:p>
                <w:p w14:paraId="702BCE7D">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土生</w:t>
                  </w:r>
                </w:p>
                <w:p w14:paraId="4F690805">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产单</w:t>
                  </w:r>
                </w:p>
                <w:p w14:paraId="32A48FDA">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元</w:t>
                  </w:r>
                </w:p>
              </w:tc>
              <w:tc>
                <w:tcPr>
                  <w:tcW w:w="0" w:type="auto"/>
                  <w:vMerge w:val="restart"/>
                  <w:tcBorders>
                    <w:tl2br w:val="nil"/>
                    <w:tr2bl w:val="nil"/>
                  </w:tcBorders>
                  <w:vAlign w:val="center"/>
                </w:tcPr>
                <w:p w14:paraId="7F3F610A">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骨料供给系统</w:t>
                  </w:r>
                </w:p>
              </w:tc>
              <w:tc>
                <w:tcPr>
                  <w:tcW w:w="0" w:type="auto"/>
                  <w:tcBorders>
                    <w:tl2br w:val="nil"/>
                    <w:tr2bl w:val="nil"/>
                  </w:tcBorders>
                  <w:vAlign w:val="center"/>
                </w:tcPr>
                <w:p w14:paraId="5C8DE40B">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冷骨料仓</w:t>
                  </w:r>
                </w:p>
              </w:tc>
              <w:tc>
                <w:tcPr>
                  <w:tcW w:w="0" w:type="auto"/>
                  <w:tcBorders>
                    <w:tl2br w:val="nil"/>
                    <w:tr2bl w:val="nil"/>
                  </w:tcBorders>
                  <w:vAlign w:val="center"/>
                </w:tcPr>
                <w:p w14:paraId="49D3FCB5">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60m</w:t>
                  </w:r>
                  <w:r>
                    <w:rPr>
                      <w:rFonts w:hint="eastAsia" w:cs="Times New Roman"/>
                      <w:color w:val="auto"/>
                      <w:sz w:val="18"/>
                      <w:szCs w:val="18"/>
                      <w:vertAlign w:val="superscript"/>
                      <w:lang w:val="en-US" w:eastAsia="zh-CN"/>
                    </w:rPr>
                    <w:t>3</w:t>
                  </w:r>
                  <w:r>
                    <w:rPr>
                      <w:rFonts w:hint="eastAsia" w:cs="Times New Roman"/>
                      <w:color w:val="auto"/>
                      <w:sz w:val="18"/>
                      <w:szCs w:val="18"/>
                      <w:lang w:val="en-US" w:eastAsia="zh-CN"/>
                    </w:rPr>
                    <w:t>，上料高度4.0m，装载宽度3.0m，放料口骨料防堵设计</w:t>
                  </w:r>
                </w:p>
              </w:tc>
              <w:tc>
                <w:tcPr>
                  <w:tcW w:w="0" w:type="auto"/>
                  <w:tcBorders>
                    <w:tl2br w:val="nil"/>
                    <w:tr2bl w:val="nil"/>
                  </w:tcBorders>
                  <w:vAlign w:val="center"/>
                </w:tcPr>
                <w:p w14:paraId="1152E241">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1</w:t>
                  </w:r>
                </w:p>
              </w:tc>
              <w:tc>
                <w:tcPr>
                  <w:tcW w:w="0" w:type="auto"/>
                  <w:tcBorders>
                    <w:tl2br w:val="nil"/>
                    <w:tr2bl w:val="nil"/>
                  </w:tcBorders>
                  <w:vAlign w:val="center"/>
                </w:tcPr>
                <w:p w14:paraId="7638306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35B3D3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0" w:type="auto"/>
                  <w:tcBorders>
                    <w:tl2br w:val="nil"/>
                    <w:tr2bl w:val="nil"/>
                  </w:tcBorders>
                  <w:shd w:val="clear" w:color="auto" w:fill="auto"/>
                  <w:vAlign w:val="center"/>
                </w:tcPr>
                <w:p w14:paraId="3AAB0E4D">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4</w:t>
                  </w:r>
                </w:p>
              </w:tc>
              <w:tc>
                <w:tcPr>
                  <w:tcW w:w="0" w:type="auto"/>
                  <w:vMerge w:val="continue"/>
                  <w:tcBorders>
                    <w:tl2br w:val="nil"/>
                    <w:tr2bl w:val="nil"/>
                  </w:tcBorders>
                  <w:vAlign w:val="center"/>
                </w:tcPr>
                <w:p w14:paraId="35A6F79E">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p>
              </w:tc>
              <w:tc>
                <w:tcPr>
                  <w:tcW w:w="0" w:type="auto"/>
                  <w:vMerge w:val="continue"/>
                  <w:tcBorders>
                    <w:tl2br w:val="nil"/>
                    <w:tr2bl w:val="nil"/>
                  </w:tcBorders>
                  <w:vAlign w:val="center"/>
                </w:tcPr>
                <w:p w14:paraId="1CA67A20">
                  <w:pPr>
                    <w:keepNext w:val="0"/>
                    <w:keepLines w:val="0"/>
                    <w:widowControl/>
                    <w:suppressLineNumbers w:val="0"/>
                    <w:jc w:val="center"/>
                    <w:textAlignment w:val="center"/>
                    <w:rPr>
                      <w:rFonts w:hint="eastAsia" w:cs="Times New Roman"/>
                      <w:color w:val="auto"/>
                      <w:kern w:val="2"/>
                      <w:sz w:val="18"/>
                      <w:szCs w:val="18"/>
                      <w:lang w:val="en-US" w:eastAsia="zh-CN" w:bidi="ar-SA"/>
                    </w:rPr>
                  </w:pPr>
                </w:p>
              </w:tc>
              <w:tc>
                <w:tcPr>
                  <w:tcW w:w="0" w:type="auto"/>
                  <w:tcBorders>
                    <w:tl2br w:val="nil"/>
                    <w:tr2bl w:val="nil"/>
                  </w:tcBorders>
                  <w:vAlign w:val="center"/>
                </w:tcPr>
                <w:p w14:paraId="78F8FCE1">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振动器</w:t>
                  </w:r>
                </w:p>
              </w:tc>
              <w:tc>
                <w:tcPr>
                  <w:tcW w:w="0" w:type="auto"/>
                  <w:tcBorders>
                    <w:tl2br w:val="nil"/>
                    <w:tr2bl w:val="nil"/>
                  </w:tcBorders>
                  <w:vAlign w:val="center"/>
                </w:tcPr>
                <w:p w14:paraId="2FE6A2A8">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0.25kW</w:t>
                  </w:r>
                </w:p>
              </w:tc>
              <w:tc>
                <w:tcPr>
                  <w:tcW w:w="0" w:type="auto"/>
                  <w:tcBorders>
                    <w:tl2br w:val="nil"/>
                    <w:tr2bl w:val="nil"/>
                  </w:tcBorders>
                  <w:vAlign w:val="center"/>
                </w:tcPr>
                <w:p w14:paraId="43CBD651">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6</w:t>
                  </w:r>
                </w:p>
              </w:tc>
              <w:tc>
                <w:tcPr>
                  <w:tcW w:w="0" w:type="auto"/>
                  <w:tcBorders>
                    <w:tl2br w:val="nil"/>
                    <w:tr2bl w:val="nil"/>
                  </w:tcBorders>
                  <w:vAlign w:val="center"/>
                </w:tcPr>
                <w:p w14:paraId="7AA0B70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43C5F0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0" w:type="auto"/>
                  <w:tcBorders>
                    <w:tl2br w:val="nil"/>
                    <w:tr2bl w:val="nil"/>
                  </w:tcBorders>
                  <w:shd w:val="clear" w:color="auto" w:fill="auto"/>
                  <w:vAlign w:val="center"/>
                </w:tcPr>
                <w:p w14:paraId="46F91503">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5</w:t>
                  </w:r>
                </w:p>
              </w:tc>
              <w:tc>
                <w:tcPr>
                  <w:tcW w:w="0" w:type="auto"/>
                  <w:vMerge w:val="continue"/>
                  <w:tcBorders>
                    <w:tl2br w:val="nil"/>
                    <w:tr2bl w:val="nil"/>
                  </w:tcBorders>
                  <w:vAlign w:val="center"/>
                </w:tcPr>
                <w:p w14:paraId="0F8D086A">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p>
              </w:tc>
              <w:tc>
                <w:tcPr>
                  <w:tcW w:w="0" w:type="auto"/>
                  <w:vMerge w:val="continue"/>
                  <w:tcBorders>
                    <w:tl2br w:val="nil"/>
                    <w:tr2bl w:val="nil"/>
                  </w:tcBorders>
                  <w:vAlign w:val="center"/>
                </w:tcPr>
                <w:p w14:paraId="23B178A1">
                  <w:pPr>
                    <w:keepNext w:val="0"/>
                    <w:keepLines w:val="0"/>
                    <w:widowControl/>
                    <w:suppressLineNumbers w:val="0"/>
                    <w:jc w:val="center"/>
                    <w:textAlignment w:val="center"/>
                    <w:rPr>
                      <w:rFonts w:hint="eastAsia" w:cs="Times New Roman"/>
                      <w:color w:val="auto"/>
                      <w:kern w:val="2"/>
                      <w:sz w:val="18"/>
                      <w:szCs w:val="18"/>
                      <w:lang w:val="en-US" w:eastAsia="zh-CN" w:bidi="ar-SA"/>
                    </w:rPr>
                  </w:pPr>
                </w:p>
              </w:tc>
              <w:tc>
                <w:tcPr>
                  <w:tcW w:w="0" w:type="auto"/>
                  <w:tcBorders>
                    <w:tl2br w:val="nil"/>
                    <w:tr2bl w:val="nil"/>
                  </w:tcBorders>
                  <w:vAlign w:val="center"/>
                </w:tcPr>
                <w:p w14:paraId="1099AD66">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给料机</w:t>
                  </w:r>
                </w:p>
              </w:tc>
              <w:tc>
                <w:tcPr>
                  <w:tcW w:w="0" w:type="auto"/>
                  <w:tcBorders>
                    <w:tl2br w:val="nil"/>
                    <w:tr2bl w:val="nil"/>
                  </w:tcBorders>
                  <w:vAlign w:val="center"/>
                </w:tcPr>
                <w:p w14:paraId="28627D1C">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输送范围8~20t/h</w:t>
                  </w:r>
                </w:p>
              </w:tc>
              <w:tc>
                <w:tcPr>
                  <w:tcW w:w="0" w:type="auto"/>
                  <w:tcBorders>
                    <w:tl2br w:val="nil"/>
                    <w:tr2bl w:val="nil"/>
                  </w:tcBorders>
                  <w:vAlign w:val="center"/>
                </w:tcPr>
                <w:p w14:paraId="0C63AE49">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1</w:t>
                  </w:r>
                </w:p>
              </w:tc>
              <w:tc>
                <w:tcPr>
                  <w:tcW w:w="0" w:type="auto"/>
                  <w:tcBorders>
                    <w:tl2br w:val="nil"/>
                    <w:tr2bl w:val="nil"/>
                  </w:tcBorders>
                  <w:vAlign w:val="center"/>
                </w:tcPr>
                <w:p w14:paraId="6EA00FA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4E8C71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0" w:type="auto"/>
                  <w:tcBorders>
                    <w:tl2br w:val="nil"/>
                    <w:tr2bl w:val="nil"/>
                  </w:tcBorders>
                  <w:shd w:val="clear" w:color="auto" w:fill="auto"/>
                  <w:vAlign w:val="center"/>
                </w:tcPr>
                <w:p w14:paraId="2C1FF20B">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6</w:t>
                  </w:r>
                </w:p>
              </w:tc>
              <w:tc>
                <w:tcPr>
                  <w:tcW w:w="0" w:type="auto"/>
                  <w:vMerge w:val="continue"/>
                  <w:tcBorders>
                    <w:tl2br w:val="nil"/>
                    <w:tr2bl w:val="nil"/>
                  </w:tcBorders>
                  <w:vAlign w:val="center"/>
                </w:tcPr>
                <w:p w14:paraId="04859161">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p>
              </w:tc>
              <w:tc>
                <w:tcPr>
                  <w:tcW w:w="0" w:type="auto"/>
                  <w:vMerge w:val="continue"/>
                  <w:tcBorders>
                    <w:tl2br w:val="nil"/>
                    <w:tr2bl w:val="nil"/>
                  </w:tcBorders>
                  <w:vAlign w:val="center"/>
                </w:tcPr>
                <w:p w14:paraId="3B9F956F">
                  <w:pPr>
                    <w:keepNext w:val="0"/>
                    <w:keepLines w:val="0"/>
                    <w:widowControl/>
                    <w:suppressLineNumbers w:val="0"/>
                    <w:jc w:val="center"/>
                    <w:textAlignment w:val="center"/>
                    <w:rPr>
                      <w:rFonts w:hint="eastAsia" w:cs="Times New Roman"/>
                      <w:color w:val="auto"/>
                      <w:kern w:val="2"/>
                      <w:sz w:val="18"/>
                      <w:szCs w:val="18"/>
                      <w:lang w:val="en-US" w:eastAsia="zh-CN" w:bidi="ar-SA"/>
                    </w:rPr>
                  </w:pPr>
                </w:p>
              </w:tc>
              <w:tc>
                <w:tcPr>
                  <w:tcW w:w="0" w:type="auto"/>
                  <w:tcBorders>
                    <w:tl2br w:val="nil"/>
                    <w:tr2bl w:val="nil"/>
                  </w:tcBorders>
                  <w:vAlign w:val="center"/>
                </w:tcPr>
                <w:p w14:paraId="079E50B7">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皮带输送机</w:t>
                  </w:r>
                </w:p>
              </w:tc>
              <w:tc>
                <w:tcPr>
                  <w:tcW w:w="0" w:type="auto"/>
                  <w:tcBorders>
                    <w:tl2br w:val="nil"/>
                    <w:tr2bl w:val="nil"/>
                  </w:tcBorders>
                  <w:vAlign w:val="center"/>
                </w:tcPr>
                <w:p w14:paraId="603651DA">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长20m，宽800mm，厚10mm，封闭式</w:t>
                  </w:r>
                </w:p>
              </w:tc>
              <w:tc>
                <w:tcPr>
                  <w:tcW w:w="0" w:type="auto"/>
                  <w:tcBorders>
                    <w:tl2br w:val="nil"/>
                    <w:tr2bl w:val="nil"/>
                  </w:tcBorders>
                  <w:vAlign w:val="center"/>
                </w:tcPr>
                <w:p w14:paraId="2664EA93">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1</w:t>
                  </w:r>
                </w:p>
              </w:tc>
              <w:tc>
                <w:tcPr>
                  <w:tcW w:w="0" w:type="auto"/>
                  <w:tcBorders>
                    <w:tl2br w:val="nil"/>
                    <w:tr2bl w:val="nil"/>
                  </w:tcBorders>
                  <w:vAlign w:val="center"/>
                </w:tcPr>
                <w:p w14:paraId="181A9F5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57EEE6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0" w:type="auto"/>
                  <w:tcBorders>
                    <w:tl2br w:val="nil"/>
                    <w:tr2bl w:val="nil"/>
                  </w:tcBorders>
                  <w:shd w:val="clear" w:color="auto" w:fill="auto"/>
                  <w:vAlign w:val="center"/>
                </w:tcPr>
                <w:p w14:paraId="72B256FE">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7</w:t>
                  </w:r>
                </w:p>
              </w:tc>
              <w:tc>
                <w:tcPr>
                  <w:tcW w:w="0" w:type="auto"/>
                  <w:vMerge w:val="continue"/>
                  <w:tcBorders>
                    <w:tl2br w:val="nil"/>
                    <w:tr2bl w:val="nil"/>
                  </w:tcBorders>
                  <w:vAlign w:val="center"/>
                </w:tcPr>
                <w:p w14:paraId="7BB7D961">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p>
              </w:tc>
              <w:tc>
                <w:tcPr>
                  <w:tcW w:w="0" w:type="auto"/>
                  <w:vMerge w:val="continue"/>
                  <w:tcBorders>
                    <w:tl2br w:val="nil"/>
                    <w:tr2bl w:val="nil"/>
                  </w:tcBorders>
                  <w:vAlign w:val="center"/>
                </w:tcPr>
                <w:p w14:paraId="699C66CA">
                  <w:pPr>
                    <w:keepNext w:val="0"/>
                    <w:keepLines w:val="0"/>
                    <w:widowControl/>
                    <w:suppressLineNumbers w:val="0"/>
                    <w:jc w:val="center"/>
                    <w:textAlignment w:val="center"/>
                    <w:rPr>
                      <w:rFonts w:hint="eastAsia" w:cs="Times New Roman"/>
                      <w:color w:val="auto"/>
                      <w:kern w:val="2"/>
                      <w:sz w:val="18"/>
                      <w:szCs w:val="18"/>
                      <w:lang w:val="en-US" w:eastAsia="zh-CN" w:bidi="ar-SA"/>
                    </w:rPr>
                  </w:pPr>
                </w:p>
              </w:tc>
              <w:tc>
                <w:tcPr>
                  <w:tcW w:w="0" w:type="auto"/>
                  <w:tcBorders>
                    <w:tl2br w:val="nil"/>
                    <w:tr2bl w:val="nil"/>
                  </w:tcBorders>
                  <w:vAlign w:val="center"/>
                </w:tcPr>
                <w:p w14:paraId="14C12A9D">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冷振筛</w:t>
                  </w:r>
                </w:p>
              </w:tc>
              <w:tc>
                <w:tcPr>
                  <w:tcW w:w="0" w:type="auto"/>
                  <w:tcBorders>
                    <w:tl2br w:val="nil"/>
                    <w:tr2bl w:val="nil"/>
                  </w:tcBorders>
                  <w:vAlign w:val="center"/>
                </w:tcPr>
                <w:p w14:paraId="36681CF3">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振动筛筛分面积1m</w:t>
                  </w:r>
                  <w:r>
                    <w:rPr>
                      <w:rFonts w:hint="eastAsia" w:cs="Times New Roman"/>
                      <w:color w:val="auto"/>
                      <w:sz w:val="18"/>
                      <w:szCs w:val="18"/>
                      <w:vertAlign w:val="superscript"/>
                      <w:lang w:val="en-US" w:eastAsia="zh-CN"/>
                    </w:rPr>
                    <w:t>2</w:t>
                  </w:r>
                  <w:r>
                    <w:rPr>
                      <w:rFonts w:hint="eastAsia" w:cs="Times New Roman"/>
                      <w:color w:val="auto"/>
                      <w:sz w:val="18"/>
                      <w:szCs w:val="18"/>
                      <w:lang w:val="en-US" w:eastAsia="zh-CN"/>
                    </w:rPr>
                    <w:t>，筛分效率大于90%，生产能力260t/h</w:t>
                  </w:r>
                </w:p>
              </w:tc>
              <w:tc>
                <w:tcPr>
                  <w:tcW w:w="0" w:type="auto"/>
                  <w:tcBorders>
                    <w:tl2br w:val="nil"/>
                    <w:tr2bl w:val="nil"/>
                  </w:tcBorders>
                  <w:vAlign w:val="center"/>
                </w:tcPr>
                <w:p w14:paraId="03A73424">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1</w:t>
                  </w:r>
                </w:p>
              </w:tc>
              <w:tc>
                <w:tcPr>
                  <w:tcW w:w="0" w:type="auto"/>
                  <w:tcBorders>
                    <w:tl2br w:val="nil"/>
                    <w:tr2bl w:val="nil"/>
                  </w:tcBorders>
                  <w:vAlign w:val="center"/>
                </w:tcPr>
                <w:p w14:paraId="6C4D1BC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2D445D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0" w:type="auto"/>
                  <w:tcBorders>
                    <w:tl2br w:val="nil"/>
                    <w:tr2bl w:val="nil"/>
                  </w:tcBorders>
                  <w:shd w:val="clear" w:color="auto" w:fill="auto"/>
                  <w:vAlign w:val="center"/>
                </w:tcPr>
                <w:p w14:paraId="14B2B450">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8</w:t>
                  </w:r>
                </w:p>
              </w:tc>
              <w:tc>
                <w:tcPr>
                  <w:tcW w:w="0" w:type="auto"/>
                  <w:vMerge w:val="continue"/>
                  <w:tcBorders>
                    <w:tl2br w:val="nil"/>
                    <w:tr2bl w:val="nil"/>
                  </w:tcBorders>
                  <w:vAlign w:val="center"/>
                </w:tcPr>
                <w:p w14:paraId="0B293FF4">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p>
              </w:tc>
              <w:tc>
                <w:tcPr>
                  <w:tcW w:w="0" w:type="auto"/>
                  <w:vMerge w:val="continue"/>
                  <w:tcBorders>
                    <w:tl2br w:val="nil"/>
                    <w:tr2bl w:val="nil"/>
                  </w:tcBorders>
                  <w:vAlign w:val="center"/>
                </w:tcPr>
                <w:p w14:paraId="2D613405">
                  <w:pPr>
                    <w:keepNext w:val="0"/>
                    <w:keepLines w:val="0"/>
                    <w:widowControl/>
                    <w:suppressLineNumbers w:val="0"/>
                    <w:jc w:val="center"/>
                    <w:textAlignment w:val="center"/>
                    <w:rPr>
                      <w:rFonts w:hint="eastAsia" w:cs="Times New Roman"/>
                      <w:color w:val="auto"/>
                      <w:kern w:val="2"/>
                      <w:sz w:val="18"/>
                      <w:szCs w:val="18"/>
                      <w:lang w:val="en-US" w:eastAsia="zh-CN" w:bidi="ar-SA"/>
                    </w:rPr>
                  </w:pPr>
                </w:p>
              </w:tc>
              <w:tc>
                <w:tcPr>
                  <w:tcW w:w="0" w:type="auto"/>
                  <w:tcBorders>
                    <w:tl2br w:val="nil"/>
                    <w:tr2bl w:val="nil"/>
                  </w:tcBorders>
                  <w:vAlign w:val="center"/>
                </w:tcPr>
                <w:p w14:paraId="205DB212">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斜皮带输送机</w:t>
                  </w:r>
                </w:p>
              </w:tc>
              <w:tc>
                <w:tcPr>
                  <w:tcW w:w="0" w:type="auto"/>
                  <w:tcBorders>
                    <w:tl2br w:val="nil"/>
                    <w:tr2bl w:val="nil"/>
                  </w:tcBorders>
                  <w:vAlign w:val="center"/>
                </w:tcPr>
                <w:p w14:paraId="1ECE71A1">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长7.5m，宽800mm，厚10mm，封闭式</w:t>
                  </w:r>
                </w:p>
              </w:tc>
              <w:tc>
                <w:tcPr>
                  <w:tcW w:w="0" w:type="auto"/>
                  <w:tcBorders>
                    <w:tl2br w:val="nil"/>
                    <w:tr2bl w:val="nil"/>
                  </w:tcBorders>
                  <w:vAlign w:val="center"/>
                </w:tcPr>
                <w:p w14:paraId="5AD79BFA">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1</w:t>
                  </w:r>
                </w:p>
              </w:tc>
              <w:tc>
                <w:tcPr>
                  <w:tcW w:w="0" w:type="auto"/>
                  <w:tcBorders>
                    <w:tl2br w:val="nil"/>
                    <w:tr2bl w:val="nil"/>
                  </w:tcBorders>
                  <w:vAlign w:val="center"/>
                </w:tcPr>
                <w:p w14:paraId="06DF6BC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411B95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0" w:type="auto"/>
                  <w:tcBorders>
                    <w:tl2br w:val="nil"/>
                    <w:tr2bl w:val="nil"/>
                  </w:tcBorders>
                  <w:shd w:val="clear" w:color="auto" w:fill="auto"/>
                  <w:vAlign w:val="center"/>
                </w:tcPr>
                <w:p w14:paraId="5841C9AD">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9</w:t>
                  </w:r>
                </w:p>
              </w:tc>
              <w:tc>
                <w:tcPr>
                  <w:tcW w:w="0" w:type="auto"/>
                  <w:vMerge w:val="continue"/>
                  <w:tcBorders>
                    <w:tl2br w:val="nil"/>
                    <w:tr2bl w:val="nil"/>
                  </w:tcBorders>
                  <w:vAlign w:val="center"/>
                </w:tcPr>
                <w:p w14:paraId="0A1DDB9C">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p>
              </w:tc>
              <w:tc>
                <w:tcPr>
                  <w:tcW w:w="0" w:type="auto"/>
                  <w:vMerge w:val="restart"/>
                  <w:tcBorders>
                    <w:tl2br w:val="nil"/>
                    <w:tr2bl w:val="nil"/>
                  </w:tcBorders>
                  <w:vAlign w:val="center"/>
                </w:tcPr>
                <w:p w14:paraId="14AFB4C3">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干燥</w:t>
                  </w:r>
                </w:p>
                <w:p w14:paraId="40E4D0E0">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系统</w:t>
                  </w:r>
                </w:p>
              </w:tc>
              <w:tc>
                <w:tcPr>
                  <w:tcW w:w="0" w:type="auto"/>
                  <w:tcBorders>
                    <w:tl2br w:val="nil"/>
                    <w:tr2bl w:val="nil"/>
                  </w:tcBorders>
                  <w:vAlign w:val="center"/>
                </w:tcPr>
                <w:p w14:paraId="2A21E500">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燃油燃烧器</w:t>
                  </w:r>
                </w:p>
              </w:tc>
              <w:tc>
                <w:tcPr>
                  <w:tcW w:w="0" w:type="auto"/>
                  <w:tcBorders>
                    <w:tl2br w:val="nil"/>
                    <w:tr2bl w:val="nil"/>
                  </w:tcBorders>
                  <w:vAlign w:val="center"/>
                </w:tcPr>
                <w:p w14:paraId="10E8DF85">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型号TTB-1000，燃料轻质柴油</w:t>
                  </w:r>
                </w:p>
              </w:tc>
              <w:tc>
                <w:tcPr>
                  <w:tcW w:w="0" w:type="auto"/>
                  <w:tcBorders>
                    <w:tl2br w:val="nil"/>
                    <w:tr2bl w:val="nil"/>
                  </w:tcBorders>
                  <w:vAlign w:val="center"/>
                </w:tcPr>
                <w:p w14:paraId="4DAF95F8">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1</w:t>
                  </w:r>
                </w:p>
              </w:tc>
              <w:tc>
                <w:tcPr>
                  <w:tcW w:w="0" w:type="auto"/>
                  <w:tcBorders>
                    <w:tl2br w:val="nil"/>
                    <w:tr2bl w:val="nil"/>
                  </w:tcBorders>
                  <w:vAlign w:val="center"/>
                </w:tcPr>
                <w:p w14:paraId="012A4FF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21E846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0" w:type="auto"/>
                  <w:tcBorders>
                    <w:tl2br w:val="nil"/>
                    <w:tr2bl w:val="nil"/>
                  </w:tcBorders>
                  <w:shd w:val="clear" w:color="auto" w:fill="auto"/>
                  <w:vAlign w:val="center"/>
                </w:tcPr>
                <w:p w14:paraId="19CA1027">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10</w:t>
                  </w:r>
                </w:p>
              </w:tc>
              <w:tc>
                <w:tcPr>
                  <w:tcW w:w="0" w:type="auto"/>
                  <w:vMerge w:val="continue"/>
                  <w:tcBorders>
                    <w:tl2br w:val="nil"/>
                    <w:tr2bl w:val="nil"/>
                  </w:tcBorders>
                  <w:vAlign w:val="center"/>
                </w:tcPr>
                <w:p w14:paraId="106CEA65">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p>
              </w:tc>
              <w:tc>
                <w:tcPr>
                  <w:tcW w:w="0" w:type="auto"/>
                  <w:vMerge w:val="continue"/>
                  <w:tcBorders>
                    <w:tl2br w:val="nil"/>
                    <w:tr2bl w:val="nil"/>
                  </w:tcBorders>
                  <w:vAlign w:val="center"/>
                </w:tcPr>
                <w:p w14:paraId="5C8AA9B9">
                  <w:pPr>
                    <w:keepNext w:val="0"/>
                    <w:keepLines w:val="0"/>
                    <w:widowControl/>
                    <w:suppressLineNumbers w:val="0"/>
                    <w:jc w:val="center"/>
                    <w:textAlignment w:val="center"/>
                    <w:rPr>
                      <w:rFonts w:hint="eastAsia" w:cs="Times New Roman"/>
                      <w:color w:val="auto"/>
                      <w:kern w:val="2"/>
                      <w:sz w:val="18"/>
                      <w:szCs w:val="18"/>
                      <w:lang w:val="en-US" w:eastAsia="zh-CN" w:bidi="ar-SA"/>
                    </w:rPr>
                  </w:pPr>
                </w:p>
              </w:tc>
              <w:tc>
                <w:tcPr>
                  <w:tcW w:w="0" w:type="auto"/>
                  <w:tcBorders>
                    <w:tl2br w:val="nil"/>
                    <w:tr2bl w:val="nil"/>
                  </w:tcBorders>
                  <w:vAlign w:val="center"/>
                </w:tcPr>
                <w:p w14:paraId="2CE59DEF">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柴油储罐</w:t>
                  </w:r>
                </w:p>
              </w:tc>
              <w:tc>
                <w:tcPr>
                  <w:tcW w:w="0" w:type="auto"/>
                  <w:tcBorders>
                    <w:tl2br w:val="nil"/>
                    <w:tr2bl w:val="nil"/>
                  </w:tcBorders>
                  <w:vAlign w:val="center"/>
                </w:tcPr>
                <w:p w14:paraId="56B4B64A">
                  <w:pPr>
                    <w:keepNext w:val="0"/>
                    <w:keepLines w:val="0"/>
                    <w:widowControl/>
                    <w:suppressLineNumbers w:val="0"/>
                    <w:jc w:val="center"/>
                    <w:textAlignment w:val="center"/>
                    <w:rPr>
                      <w:rFonts w:hint="eastAsia" w:cs="Times New Roman"/>
                      <w:color w:val="auto"/>
                      <w:sz w:val="18"/>
                      <w:szCs w:val="18"/>
                      <w:lang w:val="en-US" w:eastAsia="zh-CN"/>
                    </w:rPr>
                  </w:pPr>
                  <w:r>
                    <w:rPr>
                      <w:rFonts w:hint="eastAsia" w:cs="Times New Roman"/>
                      <w:color w:val="auto"/>
                      <w:sz w:val="18"/>
                      <w:szCs w:val="18"/>
                      <w:lang w:val="en-US" w:eastAsia="zh-CN"/>
                    </w:rPr>
                    <w:t>50t，φ2.7×11m，</w:t>
                  </w:r>
                </w:p>
                <w:p w14:paraId="72D4F546">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卧式储罐，含液位指示器及温度显示器</w:t>
                  </w:r>
                </w:p>
              </w:tc>
              <w:tc>
                <w:tcPr>
                  <w:tcW w:w="0" w:type="auto"/>
                  <w:tcBorders>
                    <w:tl2br w:val="nil"/>
                    <w:tr2bl w:val="nil"/>
                  </w:tcBorders>
                  <w:vAlign w:val="center"/>
                </w:tcPr>
                <w:p w14:paraId="6015BB62">
                  <w:pPr>
                    <w:keepNext w:val="0"/>
                    <w:keepLines w:val="0"/>
                    <w:widowControl/>
                    <w:suppressLineNumbers w:val="0"/>
                    <w:jc w:val="center"/>
                    <w:textAlignment w:val="center"/>
                    <w:rPr>
                      <w:rFonts w:hint="default" w:cs="Times New Roman"/>
                      <w:color w:val="0070C0"/>
                      <w:sz w:val="18"/>
                      <w:szCs w:val="18"/>
                      <w:lang w:val="en-US" w:eastAsia="zh-CN"/>
                    </w:rPr>
                  </w:pPr>
                  <w:r>
                    <w:rPr>
                      <w:rFonts w:hint="eastAsia" w:cs="Times New Roman"/>
                      <w:color w:val="0070C0"/>
                      <w:sz w:val="18"/>
                      <w:szCs w:val="18"/>
                      <w:lang w:val="en-US" w:eastAsia="zh-CN"/>
                    </w:rPr>
                    <w:t>1</w:t>
                  </w:r>
                </w:p>
              </w:tc>
              <w:tc>
                <w:tcPr>
                  <w:tcW w:w="0" w:type="auto"/>
                  <w:tcBorders>
                    <w:tl2br w:val="nil"/>
                    <w:tr2bl w:val="nil"/>
                  </w:tcBorders>
                  <w:vAlign w:val="center"/>
                </w:tcPr>
                <w:p w14:paraId="5F41276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645849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0" w:type="auto"/>
                  <w:tcBorders>
                    <w:tl2br w:val="nil"/>
                    <w:tr2bl w:val="nil"/>
                  </w:tcBorders>
                  <w:shd w:val="clear" w:color="auto" w:fill="auto"/>
                  <w:vAlign w:val="center"/>
                </w:tcPr>
                <w:p w14:paraId="2A120EBC">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11</w:t>
                  </w:r>
                </w:p>
              </w:tc>
              <w:tc>
                <w:tcPr>
                  <w:tcW w:w="0" w:type="auto"/>
                  <w:vMerge w:val="continue"/>
                  <w:tcBorders>
                    <w:tl2br w:val="nil"/>
                    <w:tr2bl w:val="nil"/>
                  </w:tcBorders>
                  <w:vAlign w:val="center"/>
                </w:tcPr>
                <w:p w14:paraId="2ADD468C">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p>
              </w:tc>
              <w:tc>
                <w:tcPr>
                  <w:tcW w:w="0" w:type="auto"/>
                  <w:vMerge w:val="continue"/>
                  <w:tcBorders>
                    <w:tl2br w:val="nil"/>
                    <w:tr2bl w:val="nil"/>
                  </w:tcBorders>
                  <w:vAlign w:val="center"/>
                </w:tcPr>
                <w:p w14:paraId="4F08AADC">
                  <w:pPr>
                    <w:keepNext w:val="0"/>
                    <w:keepLines w:val="0"/>
                    <w:widowControl/>
                    <w:suppressLineNumbers w:val="0"/>
                    <w:jc w:val="center"/>
                    <w:textAlignment w:val="center"/>
                    <w:rPr>
                      <w:rFonts w:hint="eastAsia" w:cs="Times New Roman"/>
                      <w:color w:val="auto"/>
                      <w:kern w:val="2"/>
                      <w:sz w:val="18"/>
                      <w:szCs w:val="18"/>
                      <w:lang w:val="en-US" w:eastAsia="zh-CN" w:bidi="ar-SA"/>
                    </w:rPr>
                  </w:pPr>
                </w:p>
              </w:tc>
              <w:tc>
                <w:tcPr>
                  <w:tcW w:w="0" w:type="auto"/>
                  <w:tcBorders>
                    <w:tl2br w:val="nil"/>
                    <w:tr2bl w:val="nil"/>
                  </w:tcBorders>
                  <w:vAlign w:val="center"/>
                </w:tcPr>
                <w:p w14:paraId="1AE33443">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烘干滚筒</w:t>
                  </w:r>
                </w:p>
              </w:tc>
              <w:tc>
                <w:tcPr>
                  <w:tcW w:w="0" w:type="auto"/>
                  <w:tcBorders>
                    <w:tl2br w:val="nil"/>
                    <w:tr2bl w:val="nil"/>
                  </w:tcBorders>
                  <w:vAlign w:val="center"/>
                </w:tcPr>
                <w:p w14:paraId="5F7252C3">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封闭、卧式，型号GT100型，尺寸φ1.75m×7m</w:t>
                  </w:r>
                </w:p>
              </w:tc>
              <w:tc>
                <w:tcPr>
                  <w:tcW w:w="0" w:type="auto"/>
                  <w:tcBorders>
                    <w:tl2br w:val="nil"/>
                    <w:tr2bl w:val="nil"/>
                  </w:tcBorders>
                  <w:vAlign w:val="center"/>
                </w:tcPr>
                <w:p w14:paraId="68B92C77">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1</w:t>
                  </w:r>
                </w:p>
              </w:tc>
              <w:tc>
                <w:tcPr>
                  <w:tcW w:w="0" w:type="auto"/>
                  <w:tcBorders>
                    <w:tl2br w:val="nil"/>
                    <w:tr2bl w:val="nil"/>
                  </w:tcBorders>
                  <w:vAlign w:val="center"/>
                </w:tcPr>
                <w:p w14:paraId="1BB983B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46F747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0" w:type="auto"/>
                  <w:tcBorders>
                    <w:tl2br w:val="nil"/>
                    <w:tr2bl w:val="nil"/>
                  </w:tcBorders>
                  <w:shd w:val="clear" w:color="auto" w:fill="auto"/>
                  <w:vAlign w:val="center"/>
                </w:tcPr>
                <w:p w14:paraId="2FE162B8">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12</w:t>
                  </w:r>
                </w:p>
              </w:tc>
              <w:tc>
                <w:tcPr>
                  <w:tcW w:w="0" w:type="auto"/>
                  <w:vMerge w:val="continue"/>
                  <w:tcBorders>
                    <w:tl2br w:val="nil"/>
                    <w:tr2bl w:val="nil"/>
                  </w:tcBorders>
                  <w:vAlign w:val="center"/>
                </w:tcPr>
                <w:p w14:paraId="6FD5E3AF">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p>
              </w:tc>
              <w:tc>
                <w:tcPr>
                  <w:tcW w:w="0" w:type="auto"/>
                  <w:vMerge w:val="continue"/>
                  <w:tcBorders>
                    <w:tl2br w:val="nil"/>
                    <w:tr2bl w:val="nil"/>
                  </w:tcBorders>
                  <w:vAlign w:val="center"/>
                </w:tcPr>
                <w:p w14:paraId="6FDF6149">
                  <w:pPr>
                    <w:keepNext w:val="0"/>
                    <w:keepLines w:val="0"/>
                    <w:widowControl/>
                    <w:suppressLineNumbers w:val="0"/>
                    <w:jc w:val="center"/>
                    <w:textAlignment w:val="center"/>
                    <w:rPr>
                      <w:rFonts w:hint="eastAsia" w:cs="Times New Roman"/>
                      <w:color w:val="auto"/>
                      <w:kern w:val="2"/>
                      <w:sz w:val="18"/>
                      <w:szCs w:val="18"/>
                      <w:lang w:val="en-US" w:eastAsia="zh-CN" w:bidi="ar-SA"/>
                    </w:rPr>
                  </w:pPr>
                </w:p>
              </w:tc>
              <w:tc>
                <w:tcPr>
                  <w:tcW w:w="0" w:type="auto"/>
                  <w:tcBorders>
                    <w:tl2br w:val="nil"/>
                    <w:tr2bl w:val="nil"/>
                  </w:tcBorders>
                  <w:vAlign w:val="center"/>
                </w:tcPr>
                <w:p w14:paraId="62996AB9">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热料仓</w:t>
                  </w:r>
                </w:p>
              </w:tc>
              <w:tc>
                <w:tcPr>
                  <w:tcW w:w="0" w:type="auto"/>
                  <w:tcBorders>
                    <w:tl2br w:val="nil"/>
                    <w:tr2bl w:val="nil"/>
                  </w:tcBorders>
                  <w:vAlign w:val="center"/>
                </w:tcPr>
                <w:p w14:paraId="26CAA2E7">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单座5m</w:t>
                  </w:r>
                  <w:r>
                    <w:rPr>
                      <w:rFonts w:hint="eastAsia" w:cs="Times New Roman"/>
                      <w:color w:val="auto"/>
                      <w:sz w:val="18"/>
                      <w:szCs w:val="18"/>
                      <w:vertAlign w:val="superscript"/>
                      <w:lang w:val="en-US" w:eastAsia="zh-CN"/>
                    </w:rPr>
                    <w:t>3</w:t>
                  </w:r>
                  <w:r>
                    <w:rPr>
                      <w:rFonts w:hint="eastAsia" w:cs="Times New Roman"/>
                      <w:color w:val="auto"/>
                      <w:sz w:val="18"/>
                      <w:szCs w:val="18"/>
                      <w:lang w:val="en-US" w:eastAsia="zh-CN"/>
                    </w:rPr>
                    <w:t>，总容积30m</w:t>
                  </w:r>
                  <w:r>
                    <w:rPr>
                      <w:rFonts w:hint="eastAsia" w:cs="Times New Roman"/>
                      <w:color w:val="auto"/>
                      <w:sz w:val="18"/>
                      <w:szCs w:val="18"/>
                      <w:vertAlign w:val="superscript"/>
                      <w:lang w:val="en-US" w:eastAsia="zh-CN"/>
                    </w:rPr>
                    <w:t>3</w:t>
                  </w:r>
                </w:p>
              </w:tc>
              <w:tc>
                <w:tcPr>
                  <w:tcW w:w="0" w:type="auto"/>
                  <w:tcBorders>
                    <w:tl2br w:val="nil"/>
                    <w:tr2bl w:val="nil"/>
                  </w:tcBorders>
                  <w:vAlign w:val="center"/>
                </w:tcPr>
                <w:p w14:paraId="28C303D9">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6</w:t>
                  </w:r>
                </w:p>
              </w:tc>
              <w:tc>
                <w:tcPr>
                  <w:tcW w:w="0" w:type="auto"/>
                  <w:tcBorders>
                    <w:tl2br w:val="nil"/>
                    <w:tr2bl w:val="nil"/>
                  </w:tcBorders>
                  <w:vAlign w:val="center"/>
                </w:tcPr>
                <w:p w14:paraId="097A8A1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6FD9B6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0" w:type="auto"/>
                  <w:tcBorders>
                    <w:tl2br w:val="nil"/>
                    <w:tr2bl w:val="nil"/>
                  </w:tcBorders>
                  <w:shd w:val="clear" w:color="auto" w:fill="auto"/>
                  <w:vAlign w:val="center"/>
                </w:tcPr>
                <w:p w14:paraId="125AFB7C">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13</w:t>
                  </w:r>
                </w:p>
              </w:tc>
              <w:tc>
                <w:tcPr>
                  <w:tcW w:w="0" w:type="auto"/>
                  <w:vMerge w:val="continue"/>
                  <w:tcBorders>
                    <w:tl2br w:val="nil"/>
                    <w:tr2bl w:val="nil"/>
                  </w:tcBorders>
                  <w:vAlign w:val="center"/>
                </w:tcPr>
                <w:p w14:paraId="4551E76B">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p>
              </w:tc>
              <w:tc>
                <w:tcPr>
                  <w:tcW w:w="0" w:type="auto"/>
                  <w:vMerge w:val="restart"/>
                  <w:tcBorders>
                    <w:tl2br w:val="nil"/>
                    <w:tr2bl w:val="nil"/>
                  </w:tcBorders>
                  <w:vAlign w:val="center"/>
                </w:tcPr>
                <w:p w14:paraId="2291CFD3">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搅拌</w:t>
                  </w:r>
                </w:p>
                <w:p w14:paraId="24AE9588">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系统</w:t>
                  </w:r>
                </w:p>
              </w:tc>
              <w:tc>
                <w:tcPr>
                  <w:tcW w:w="0" w:type="auto"/>
                  <w:tcBorders>
                    <w:tl2br w:val="nil"/>
                    <w:tr2bl w:val="nil"/>
                  </w:tcBorders>
                  <w:vAlign w:val="center"/>
                </w:tcPr>
                <w:p w14:paraId="0351DDD5">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称量计重系统</w:t>
                  </w:r>
                </w:p>
              </w:tc>
              <w:tc>
                <w:tcPr>
                  <w:tcW w:w="0" w:type="auto"/>
                  <w:tcBorders>
                    <w:tl2br w:val="nil"/>
                    <w:tr2bl w:val="nil"/>
                  </w:tcBorders>
                  <w:vAlign w:val="center"/>
                </w:tcPr>
                <w:p w14:paraId="6DCB467A">
                  <w:pPr>
                    <w:keepNext w:val="0"/>
                    <w:keepLines w:val="0"/>
                    <w:widowControl/>
                    <w:suppressLineNumbers w:val="0"/>
                    <w:jc w:val="center"/>
                    <w:textAlignment w:val="center"/>
                    <w:rPr>
                      <w:rFonts w:hint="default" w:cs="Times New Roman"/>
                      <w:color w:val="auto"/>
                      <w:sz w:val="18"/>
                      <w:szCs w:val="18"/>
                      <w:lang w:val="en-US" w:eastAsia="zh-CN"/>
                    </w:rPr>
                  </w:pPr>
                </w:p>
              </w:tc>
              <w:tc>
                <w:tcPr>
                  <w:tcW w:w="0" w:type="auto"/>
                  <w:tcBorders>
                    <w:tl2br w:val="nil"/>
                    <w:tr2bl w:val="nil"/>
                  </w:tcBorders>
                  <w:vAlign w:val="center"/>
                </w:tcPr>
                <w:p w14:paraId="21ABD358">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1</w:t>
                  </w:r>
                </w:p>
              </w:tc>
              <w:tc>
                <w:tcPr>
                  <w:tcW w:w="0" w:type="auto"/>
                  <w:tcBorders>
                    <w:tl2br w:val="nil"/>
                    <w:tr2bl w:val="nil"/>
                  </w:tcBorders>
                  <w:vAlign w:val="center"/>
                </w:tcPr>
                <w:p w14:paraId="27AD07D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3A486C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0" w:type="auto"/>
                  <w:tcBorders>
                    <w:tl2br w:val="nil"/>
                    <w:tr2bl w:val="nil"/>
                  </w:tcBorders>
                  <w:shd w:val="clear" w:color="auto" w:fill="auto"/>
                  <w:vAlign w:val="center"/>
                </w:tcPr>
                <w:p w14:paraId="44B95AF1">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14</w:t>
                  </w:r>
                </w:p>
              </w:tc>
              <w:tc>
                <w:tcPr>
                  <w:tcW w:w="0" w:type="auto"/>
                  <w:vMerge w:val="continue"/>
                  <w:tcBorders>
                    <w:tl2br w:val="nil"/>
                    <w:tr2bl w:val="nil"/>
                  </w:tcBorders>
                  <w:vAlign w:val="center"/>
                </w:tcPr>
                <w:p w14:paraId="5EB91490">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p>
              </w:tc>
              <w:tc>
                <w:tcPr>
                  <w:tcW w:w="0" w:type="auto"/>
                  <w:vMerge w:val="continue"/>
                  <w:tcBorders>
                    <w:tl2br w:val="nil"/>
                    <w:tr2bl w:val="nil"/>
                  </w:tcBorders>
                  <w:vAlign w:val="center"/>
                </w:tcPr>
                <w:p w14:paraId="7AA5840C">
                  <w:pPr>
                    <w:keepNext w:val="0"/>
                    <w:keepLines w:val="0"/>
                    <w:widowControl/>
                    <w:suppressLineNumbers w:val="0"/>
                    <w:jc w:val="center"/>
                    <w:textAlignment w:val="center"/>
                    <w:rPr>
                      <w:rFonts w:hint="eastAsia" w:cs="Times New Roman"/>
                      <w:color w:val="auto"/>
                      <w:kern w:val="2"/>
                      <w:sz w:val="18"/>
                      <w:szCs w:val="18"/>
                      <w:lang w:val="en-US" w:eastAsia="zh-CN" w:bidi="ar-SA"/>
                    </w:rPr>
                  </w:pPr>
                </w:p>
              </w:tc>
              <w:tc>
                <w:tcPr>
                  <w:tcW w:w="0" w:type="auto"/>
                  <w:tcBorders>
                    <w:tl2br w:val="nil"/>
                    <w:tr2bl w:val="nil"/>
                  </w:tcBorders>
                  <w:vAlign w:val="center"/>
                </w:tcPr>
                <w:p w14:paraId="12DB5DFF">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热料搅拌机组</w:t>
                  </w:r>
                </w:p>
              </w:tc>
              <w:tc>
                <w:tcPr>
                  <w:tcW w:w="0" w:type="auto"/>
                  <w:tcBorders>
                    <w:tl2br w:val="nil"/>
                    <w:tr2bl w:val="nil"/>
                  </w:tcBorders>
                  <w:vAlign w:val="center"/>
                </w:tcPr>
                <w:p w14:paraId="2B9F24AA">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LQC320A型，生产能力50-320t/h</w:t>
                  </w:r>
                </w:p>
              </w:tc>
              <w:tc>
                <w:tcPr>
                  <w:tcW w:w="0" w:type="auto"/>
                  <w:tcBorders>
                    <w:tl2br w:val="nil"/>
                    <w:tr2bl w:val="nil"/>
                  </w:tcBorders>
                  <w:vAlign w:val="center"/>
                </w:tcPr>
                <w:p w14:paraId="3C25D364">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1</w:t>
                  </w:r>
                </w:p>
              </w:tc>
              <w:tc>
                <w:tcPr>
                  <w:tcW w:w="0" w:type="auto"/>
                  <w:tcBorders>
                    <w:tl2br w:val="nil"/>
                    <w:tr2bl w:val="nil"/>
                  </w:tcBorders>
                  <w:vAlign w:val="center"/>
                </w:tcPr>
                <w:p w14:paraId="4068B48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757231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0" w:type="auto"/>
                  <w:tcBorders>
                    <w:tl2br w:val="nil"/>
                    <w:tr2bl w:val="nil"/>
                  </w:tcBorders>
                  <w:shd w:val="clear" w:color="auto" w:fill="auto"/>
                  <w:vAlign w:val="center"/>
                </w:tcPr>
                <w:p w14:paraId="4DF90A0A">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15</w:t>
                  </w:r>
                </w:p>
              </w:tc>
              <w:tc>
                <w:tcPr>
                  <w:tcW w:w="0" w:type="auto"/>
                  <w:vMerge w:val="continue"/>
                  <w:tcBorders>
                    <w:tl2br w:val="nil"/>
                    <w:tr2bl w:val="nil"/>
                  </w:tcBorders>
                  <w:vAlign w:val="center"/>
                </w:tcPr>
                <w:p w14:paraId="7E3AC7CA">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p>
              </w:tc>
              <w:tc>
                <w:tcPr>
                  <w:tcW w:w="0" w:type="auto"/>
                  <w:vMerge w:val="restart"/>
                  <w:tcBorders>
                    <w:tl2br w:val="nil"/>
                    <w:tr2bl w:val="nil"/>
                  </w:tcBorders>
                  <w:vAlign w:val="center"/>
                </w:tcPr>
                <w:p w14:paraId="1F34C171">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沥青供应系统</w:t>
                  </w:r>
                </w:p>
              </w:tc>
              <w:tc>
                <w:tcPr>
                  <w:tcW w:w="0" w:type="auto"/>
                  <w:tcBorders>
                    <w:tl2br w:val="nil"/>
                    <w:tr2bl w:val="nil"/>
                  </w:tcBorders>
                  <w:vAlign w:val="center"/>
                </w:tcPr>
                <w:p w14:paraId="08F312CE">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燃油导热油炉</w:t>
                  </w:r>
                </w:p>
              </w:tc>
              <w:tc>
                <w:tcPr>
                  <w:tcW w:w="0" w:type="auto"/>
                  <w:tcBorders>
                    <w:tl2br w:val="nil"/>
                    <w:tr2bl w:val="nil"/>
                  </w:tcBorders>
                  <w:vAlign w:val="center"/>
                </w:tcPr>
                <w:p w14:paraId="65531FBB">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燃料轻质柴油，燃料消耗量48kg/h</w:t>
                  </w:r>
                </w:p>
              </w:tc>
              <w:tc>
                <w:tcPr>
                  <w:tcW w:w="0" w:type="auto"/>
                  <w:tcBorders>
                    <w:tl2br w:val="nil"/>
                    <w:tr2bl w:val="nil"/>
                  </w:tcBorders>
                  <w:vAlign w:val="center"/>
                </w:tcPr>
                <w:p w14:paraId="1DF25C75">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1</w:t>
                  </w:r>
                </w:p>
              </w:tc>
              <w:tc>
                <w:tcPr>
                  <w:tcW w:w="0" w:type="auto"/>
                  <w:tcBorders>
                    <w:tl2br w:val="nil"/>
                    <w:tr2bl w:val="nil"/>
                  </w:tcBorders>
                  <w:vAlign w:val="center"/>
                </w:tcPr>
                <w:p w14:paraId="164F865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7D046A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0" w:type="auto"/>
                  <w:tcBorders>
                    <w:tl2br w:val="nil"/>
                    <w:tr2bl w:val="nil"/>
                  </w:tcBorders>
                  <w:shd w:val="clear" w:color="auto" w:fill="auto"/>
                  <w:vAlign w:val="center"/>
                </w:tcPr>
                <w:p w14:paraId="3A3D791A">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16</w:t>
                  </w:r>
                </w:p>
              </w:tc>
              <w:tc>
                <w:tcPr>
                  <w:tcW w:w="0" w:type="auto"/>
                  <w:vMerge w:val="continue"/>
                  <w:tcBorders>
                    <w:tl2br w:val="nil"/>
                    <w:tr2bl w:val="nil"/>
                  </w:tcBorders>
                  <w:vAlign w:val="center"/>
                </w:tcPr>
                <w:p w14:paraId="158D79A5">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p>
              </w:tc>
              <w:tc>
                <w:tcPr>
                  <w:tcW w:w="0" w:type="auto"/>
                  <w:vMerge w:val="continue"/>
                  <w:tcBorders>
                    <w:tl2br w:val="nil"/>
                    <w:tr2bl w:val="nil"/>
                  </w:tcBorders>
                  <w:vAlign w:val="center"/>
                </w:tcPr>
                <w:p w14:paraId="6AEA566D">
                  <w:pPr>
                    <w:keepNext w:val="0"/>
                    <w:keepLines w:val="0"/>
                    <w:widowControl/>
                    <w:suppressLineNumbers w:val="0"/>
                    <w:jc w:val="center"/>
                    <w:textAlignment w:val="center"/>
                    <w:rPr>
                      <w:rFonts w:hint="eastAsia" w:cs="Times New Roman"/>
                      <w:color w:val="auto"/>
                      <w:kern w:val="2"/>
                      <w:sz w:val="18"/>
                      <w:szCs w:val="18"/>
                      <w:lang w:val="en-US" w:eastAsia="zh-CN" w:bidi="ar-SA"/>
                    </w:rPr>
                  </w:pPr>
                </w:p>
              </w:tc>
              <w:tc>
                <w:tcPr>
                  <w:tcW w:w="0" w:type="auto"/>
                  <w:tcBorders>
                    <w:tl2br w:val="nil"/>
                    <w:tr2bl w:val="nil"/>
                  </w:tcBorders>
                  <w:vAlign w:val="center"/>
                </w:tcPr>
                <w:p w14:paraId="033D7807">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导热油循环泵</w:t>
                  </w:r>
                </w:p>
              </w:tc>
              <w:tc>
                <w:tcPr>
                  <w:tcW w:w="0" w:type="auto"/>
                  <w:tcBorders>
                    <w:tl2br w:val="nil"/>
                    <w:tr2bl w:val="nil"/>
                  </w:tcBorders>
                  <w:vAlign w:val="center"/>
                </w:tcPr>
                <w:p w14:paraId="28996CA6">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20kW</w:t>
                  </w:r>
                </w:p>
              </w:tc>
              <w:tc>
                <w:tcPr>
                  <w:tcW w:w="0" w:type="auto"/>
                  <w:tcBorders>
                    <w:tl2br w:val="nil"/>
                    <w:tr2bl w:val="nil"/>
                  </w:tcBorders>
                  <w:vAlign w:val="center"/>
                </w:tcPr>
                <w:p w14:paraId="624316A8">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1</w:t>
                  </w:r>
                </w:p>
              </w:tc>
              <w:tc>
                <w:tcPr>
                  <w:tcW w:w="0" w:type="auto"/>
                  <w:tcBorders>
                    <w:tl2br w:val="nil"/>
                    <w:tr2bl w:val="nil"/>
                  </w:tcBorders>
                  <w:vAlign w:val="center"/>
                </w:tcPr>
                <w:p w14:paraId="405B57E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7405B5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0" w:type="auto"/>
                  <w:tcBorders>
                    <w:tl2br w:val="nil"/>
                    <w:tr2bl w:val="nil"/>
                  </w:tcBorders>
                  <w:shd w:val="clear" w:color="auto" w:fill="auto"/>
                  <w:vAlign w:val="center"/>
                </w:tcPr>
                <w:p w14:paraId="497E0F6A">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17</w:t>
                  </w:r>
                </w:p>
              </w:tc>
              <w:tc>
                <w:tcPr>
                  <w:tcW w:w="0" w:type="auto"/>
                  <w:vMerge w:val="continue"/>
                  <w:tcBorders>
                    <w:tl2br w:val="nil"/>
                    <w:tr2bl w:val="nil"/>
                  </w:tcBorders>
                  <w:vAlign w:val="center"/>
                </w:tcPr>
                <w:p w14:paraId="2E3961F2">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p>
              </w:tc>
              <w:tc>
                <w:tcPr>
                  <w:tcW w:w="0" w:type="auto"/>
                  <w:vMerge w:val="continue"/>
                  <w:tcBorders>
                    <w:tl2br w:val="nil"/>
                    <w:tr2bl w:val="nil"/>
                  </w:tcBorders>
                  <w:vAlign w:val="center"/>
                </w:tcPr>
                <w:p w14:paraId="63FDD543">
                  <w:pPr>
                    <w:keepNext w:val="0"/>
                    <w:keepLines w:val="0"/>
                    <w:widowControl/>
                    <w:suppressLineNumbers w:val="0"/>
                    <w:jc w:val="center"/>
                    <w:textAlignment w:val="center"/>
                    <w:rPr>
                      <w:rFonts w:hint="eastAsia" w:cs="Times New Roman"/>
                      <w:color w:val="auto"/>
                      <w:kern w:val="2"/>
                      <w:sz w:val="18"/>
                      <w:szCs w:val="18"/>
                      <w:lang w:val="en-US" w:eastAsia="zh-CN" w:bidi="ar-SA"/>
                    </w:rPr>
                  </w:pPr>
                </w:p>
              </w:tc>
              <w:tc>
                <w:tcPr>
                  <w:tcW w:w="0" w:type="auto"/>
                  <w:tcBorders>
                    <w:tl2br w:val="nil"/>
                    <w:tr2bl w:val="nil"/>
                  </w:tcBorders>
                  <w:vAlign w:val="center"/>
                </w:tcPr>
                <w:p w14:paraId="603764ED">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沥青加热</w:t>
                  </w:r>
                </w:p>
                <w:p w14:paraId="17FFA32C">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储存罐</w:t>
                  </w:r>
                </w:p>
              </w:tc>
              <w:tc>
                <w:tcPr>
                  <w:tcW w:w="0" w:type="auto"/>
                  <w:tcBorders>
                    <w:tl2br w:val="nil"/>
                    <w:tr2bl w:val="nil"/>
                  </w:tcBorders>
                  <w:vAlign w:val="center"/>
                </w:tcPr>
                <w:p w14:paraId="232B464F">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卧式，容积50t，φ2.7×11m</w:t>
                  </w:r>
                </w:p>
              </w:tc>
              <w:tc>
                <w:tcPr>
                  <w:tcW w:w="0" w:type="auto"/>
                  <w:tcBorders>
                    <w:tl2br w:val="nil"/>
                    <w:tr2bl w:val="nil"/>
                  </w:tcBorders>
                  <w:vAlign w:val="center"/>
                </w:tcPr>
                <w:p w14:paraId="7EAF0449">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3</w:t>
                  </w:r>
                </w:p>
              </w:tc>
              <w:tc>
                <w:tcPr>
                  <w:tcW w:w="0" w:type="auto"/>
                  <w:tcBorders>
                    <w:tl2br w:val="nil"/>
                    <w:tr2bl w:val="nil"/>
                  </w:tcBorders>
                  <w:vAlign w:val="center"/>
                </w:tcPr>
                <w:p w14:paraId="584B937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161E18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0" w:type="auto"/>
                  <w:tcBorders>
                    <w:tl2br w:val="nil"/>
                    <w:tr2bl w:val="nil"/>
                  </w:tcBorders>
                  <w:shd w:val="clear" w:color="auto" w:fill="auto"/>
                  <w:vAlign w:val="center"/>
                </w:tcPr>
                <w:p w14:paraId="6829882B">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18</w:t>
                  </w:r>
                </w:p>
              </w:tc>
              <w:tc>
                <w:tcPr>
                  <w:tcW w:w="0" w:type="auto"/>
                  <w:vMerge w:val="continue"/>
                  <w:tcBorders>
                    <w:tl2br w:val="nil"/>
                    <w:tr2bl w:val="nil"/>
                  </w:tcBorders>
                  <w:vAlign w:val="center"/>
                </w:tcPr>
                <w:p w14:paraId="489994EA">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p>
              </w:tc>
              <w:tc>
                <w:tcPr>
                  <w:tcW w:w="0" w:type="auto"/>
                  <w:vMerge w:val="continue"/>
                  <w:tcBorders>
                    <w:tl2br w:val="nil"/>
                    <w:tr2bl w:val="nil"/>
                  </w:tcBorders>
                  <w:vAlign w:val="center"/>
                </w:tcPr>
                <w:p w14:paraId="1C83A2F2">
                  <w:pPr>
                    <w:keepNext w:val="0"/>
                    <w:keepLines w:val="0"/>
                    <w:widowControl/>
                    <w:suppressLineNumbers w:val="0"/>
                    <w:jc w:val="center"/>
                    <w:textAlignment w:val="center"/>
                    <w:rPr>
                      <w:rFonts w:hint="eastAsia" w:cs="Times New Roman"/>
                      <w:color w:val="auto"/>
                      <w:kern w:val="2"/>
                      <w:sz w:val="18"/>
                      <w:szCs w:val="18"/>
                      <w:lang w:val="en-US" w:eastAsia="zh-CN" w:bidi="ar-SA"/>
                    </w:rPr>
                  </w:pPr>
                </w:p>
              </w:tc>
              <w:tc>
                <w:tcPr>
                  <w:tcW w:w="0" w:type="auto"/>
                  <w:tcBorders>
                    <w:tl2br w:val="nil"/>
                    <w:tr2bl w:val="nil"/>
                  </w:tcBorders>
                  <w:vAlign w:val="center"/>
                </w:tcPr>
                <w:p w14:paraId="0973FE71">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柴油储罐</w:t>
                  </w:r>
                </w:p>
              </w:tc>
              <w:tc>
                <w:tcPr>
                  <w:tcW w:w="0" w:type="auto"/>
                  <w:tcBorders>
                    <w:tl2br w:val="nil"/>
                    <w:tr2bl w:val="nil"/>
                  </w:tcBorders>
                  <w:vAlign w:val="center"/>
                </w:tcPr>
                <w:p w14:paraId="798392AD">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卧式，容积8t，φ1.5×4m</w:t>
                  </w:r>
                </w:p>
              </w:tc>
              <w:tc>
                <w:tcPr>
                  <w:tcW w:w="0" w:type="auto"/>
                  <w:tcBorders>
                    <w:tl2br w:val="nil"/>
                    <w:tr2bl w:val="nil"/>
                  </w:tcBorders>
                  <w:vAlign w:val="center"/>
                </w:tcPr>
                <w:p w14:paraId="2608A927">
                  <w:pPr>
                    <w:keepNext w:val="0"/>
                    <w:keepLines w:val="0"/>
                    <w:widowControl/>
                    <w:suppressLineNumbers w:val="0"/>
                    <w:jc w:val="center"/>
                    <w:textAlignment w:val="center"/>
                    <w:rPr>
                      <w:rFonts w:hint="default" w:cs="Times New Roman"/>
                      <w:color w:val="0070C0"/>
                      <w:sz w:val="18"/>
                      <w:szCs w:val="18"/>
                      <w:lang w:val="en-US" w:eastAsia="zh-CN"/>
                    </w:rPr>
                  </w:pPr>
                  <w:r>
                    <w:rPr>
                      <w:rFonts w:hint="eastAsia" w:cs="Times New Roman"/>
                      <w:color w:val="auto"/>
                      <w:sz w:val="18"/>
                      <w:szCs w:val="18"/>
                      <w:lang w:val="en-US" w:eastAsia="zh-CN"/>
                    </w:rPr>
                    <w:t>1</w:t>
                  </w:r>
                </w:p>
              </w:tc>
              <w:tc>
                <w:tcPr>
                  <w:tcW w:w="0" w:type="auto"/>
                  <w:tcBorders>
                    <w:tl2br w:val="nil"/>
                    <w:tr2bl w:val="nil"/>
                  </w:tcBorders>
                  <w:vAlign w:val="center"/>
                </w:tcPr>
                <w:p w14:paraId="731C088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74B001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0" w:type="auto"/>
                  <w:tcBorders>
                    <w:tl2br w:val="nil"/>
                    <w:tr2bl w:val="nil"/>
                  </w:tcBorders>
                  <w:shd w:val="clear" w:color="auto" w:fill="auto"/>
                  <w:vAlign w:val="center"/>
                </w:tcPr>
                <w:p w14:paraId="4FC4ACBA">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19</w:t>
                  </w:r>
                </w:p>
              </w:tc>
              <w:tc>
                <w:tcPr>
                  <w:tcW w:w="0" w:type="auto"/>
                  <w:vMerge w:val="continue"/>
                  <w:tcBorders>
                    <w:tl2br w:val="nil"/>
                    <w:tr2bl w:val="nil"/>
                  </w:tcBorders>
                  <w:vAlign w:val="center"/>
                </w:tcPr>
                <w:p w14:paraId="011A0E22">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p>
              </w:tc>
              <w:tc>
                <w:tcPr>
                  <w:tcW w:w="0" w:type="auto"/>
                  <w:vMerge w:val="continue"/>
                  <w:tcBorders>
                    <w:tl2br w:val="nil"/>
                    <w:tr2bl w:val="nil"/>
                  </w:tcBorders>
                  <w:vAlign w:val="center"/>
                </w:tcPr>
                <w:p w14:paraId="314479E8">
                  <w:pPr>
                    <w:keepNext w:val="0"/>
                    <w:keepLines w:val="0"/>
                    <w:widowControl/>
                    <w:suppressLineNumbers w:val="0"/>
                    <w:jc w:val="center"/>
                    <w:textAlignment w:val="center"/>
                    <w:rPr>
                      <w:rFonts w:hint="eastAsia" w:cs="Times New Roman"/>
                      <w:color w:val="auto"/>
                      <w:kern w:val="2"/>
                      <w:sz w:val="18"/>
                      <w:szCs w:val="18"/>
                      <w:lang w:val="en-US" w:eastAsia="zh-CN" w:bidi="ar-SA"/>
                    </w:rPr>
                  </w:pPr>
                </w:p>
              </w:tc>
              <w:tc>
                <w:tcPr>
                  <w:tcW w:w="0" w:type="auto"/>
                  <w:tcBorders>
                    <w:tl2br w:val="nil"/>
                    <w:tr2bl w:val="nil"/>
                  </w:tcBorders>
                  <w:vAlign w:val="center"/>
                </w:tcPr>
                <w:p w14:paraId="3ED2326A">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沥青泵送系统</w:t>
                  </w:r>
                </w:p>
              </w:tc>
              <w:tc>
                <w:tcPr>
                  <w:tcW w:w="0" w:type="auto"/>
                  <w:tcBorders>
                    <w:tl2br w:val="nil"/>
                    <w:tr2bl w:val="nil"/>
                  </w:tcBorders>
                  <w:vAlign w:val="center"/>
                </w:tcPr>
                <w:p w14:paraId="6D5954FF">
                  <w:pPr>
                    <w:keepNext w:val="0"/>
                    <w:keepLines w:val="0"/>
                    <w:widowControl/>
                    <w:suppressLineNumbers w:val="0"/>
                    <w:jc w:val="center"/>
                    <w:textAlignment w:val="center"/>
                    <w:rPr>
                      <w:rFonts w:hint="default" w:cs="Times New Roman"/>
                      <w:color w:val="auto"/>
                      <w:sz w:val="18"/>
                      <w:szCs w:val="18"/>
                      <w:lang w:val="en-US" w:eastAsia="zh-CN"/>
                    </w:rPr>
                  </w:pPr>
                </w:p>
              </w:tc>
              <w:tc>
                <w:tcPr>
                  <w:tcW w:w="0" w:type="auto"/>
                  <w:tcBorders>
                    <w:tl2br w:val="nil"/>
                    <w:tr2bl w:val="nil"/>
                  </w:tcBorders>
                  <w:vAlign w:val="center"/>
                </w:tcPr>
                <w:p w14:paraId="174D4AC5">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1</w:t>
                  </w:r>
                </w:p>
              </w:tc>
              <w:tc>
                <w:tcPr>
                  <w:tcW w:w="0" w:type="auto"/>
                  <w:tcBorders>
                    <w:tl2br w:val="nil"/>
                    <w:tr2bl w:val="nil"/>
                  </w:tcBorders>
                  <w:vAlign w:val="center"/>
                </w:tcPr>
                <w:p w14:paraId="15B68AD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0D0744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0" w:type="auto"/>
                  <w:tcBorders>
                    <w:tl2br w:val="nil"/>
                    <w:tr2bl w:val="nil"/>
                  </w:tcBorders>
                  <w:shd w:val="clear" w:color="auto" w:fill="auto"/>
                  <w:vAlign w:val="center"/>
                </w:tcPr>
                <w:p w14:paraId="10D9E330">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20</w:t>
                  </w:r>
                </w:p>
              </w:tc>
              <w:tc>
                <w:tcPr>
                  <w:tcW w:w="0" w:type="auto"/>
                  <w:vMerge w:val="continue"/>
                  <w:tcBorders>
                    <w:tl2br w:val="nil"/>
                    <w:tr2bl w:val="nil"/>
                  </w:tcBorders>
                  <w:vAlign w:val="center"/>
                </w:tcPr>
                <w:p w14:paraId="6F4B097D">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p>
              </w:tc>
              <w:tc>
                <w:tcPr>
                  <w:tcW w:w="0" w:type="auto"/>
                  <w:tcBorders>
                    <w:tl2br w:val="nil"/>
                    <w:tr2bl w:val="nil"/>
                  </w:tcBorders>
                  <w:vAlign w:val="center"/>
                </w:tcPr>
                <w:p w14:paraId="21068317">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电气</w:t>
                  </w:r>
                </w:p>
                <w:p w14:paraId="016973B9">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控制</w:t>
                  </w:r>
                </w:p>
                <w:p w14:paraId="2650329D">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系统</w:t>
                  </w:r>
                </w:p>
              </w:tc>
              <w:tc>
                <w:tcPr>
                  <w:tcW w:w="0" w:type="auto"/>
                  <w:tcBorders>
                    <w:tl2br w:val="nil"/>
                    <w:tr2bl w:val="nil"/>
                  </w:tcBorders>
                  <w:vAlign w:val="center"/>
                </w:tcPr>
                <w:p w14:paraId="757A5178">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气动及电气</w:t>
                  </w:r>
                </w:p>
                <w:p w14:paraId="7860E8DA">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控制系统</w:t>
                  </w:r>
                </w:p>
              </w:tc>
              <w:tc>
                <w:tcPr>
                  <w:tcW w:w="0" w:type="auto"/>
                  <w:tcBorders>
                    <w:tl2br w:val="nil"/>
                    <w:tr2bl w:val="nil"/>
                  </w:tcBorders>
                  <w:vAlign w:val="center"/>
                </w:tcPr>
                <w:p w14:paraId="08590079">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1台空气压缩机，30kW，6m</w:t>
                  </w:r>
                  <w:r>
                    <w:rPr>
                      <w:rFonts w:hint="eastAsia" w:cs="Times New Roman"/>
                      <w:color w:val="auto"/>
                      <w:sz w:val="18"/>
                      <w:szCs w:val="18"/>
                      <w:vertAlign w:val="superscript"/>
                      <w:lang w:val="en-US" w:eastAsia="zh-CN"/>
                    </w:rPr>
                    <w:t>3</w:t>
                  </w:r>
                  <w:r>
                    <w:rPr>
                      <w:rFonts w:hint="eastAsia" w:cs="Times New Roman"/>
                      <w:color w:val="auto"/>
                      <w:sz w:val="18"/>
                      <w:szCs w:val="18"/>
                      <w:lang w:val="en-US" w:eastAsia="zh-CN"/>
                    </w:rPr>
                    <w:t>/min</w:t>
                  </w:r>
                </w:p>
              </w:tc>
              <w:tc>
                <w:tcPr>
                  <w:tcW w:w="0" w:type="auto"/>
                  <w:tcBorders>
                    <w:tl2br w:val="nil"/>
                    <w:tr2bl w:val="nil"/>
                  </w:tcBorders>
                  <w:vAlign w:val="center"/>
                </w:tcPr>
                <w:p w14:paraId="6A1EE6E1">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1</w:t>
                  </w:r>
                </w:p>
              </w:tc>
              <w:tc>
                <w:tcPr>
                  <w:tcW w:w="0" w:type="auto"/>
                  <w:tcBorders>
                    <w:tl2br w:val="nil"/>
                    <w:tr2bl w:val="nil"/>
                  </w:tcBorders>
                  <w:vAlign w:val="center"/>
                </w:tcPr>
                <w:p w14:paraId="7717C0D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054662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0" w:type="auto"/>
                  <w:tcBorders>
                    <w:tl2br w:val="nil"/>
                    <w:tr2bl w:val="nil"/>
                  </w:tcBorders>
                  <w:shd w:val="clear" w:color="auto" w:fill="auto"/>
                  <w:vAlign w:val="center"/>
                </w:tcPr>
                <w:p w14:paraId="1CB08657">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21</w:t>
                  </w:r>
                </w:p>
              </w:tc>
              <w:tc>
                <w:tcPr>
                  <w:tcW w:w="0" w:type="auto"/>
                  <w:vMerge w:val="continue"/>
                  <w:tcBorders>
                    <w:tl2br w:val="nil"/>
                    <w:tr2bl w:val="nil"/>
                  </w:tcBorders>
                  <w:vAlign w:val="center"/>
                </w:tcPr>
                <w:p w14:paraId="40F79181">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p>
              </w:tc>
              <w:tc>
                <w:tcPr>
                  <w:tcW w:w="0" w:type="auto"/>
                  <w:vMerge w:val="restart"/>
                  <w:tcBorders>
                    <w:tl2br w:val="nil"/>
                    <w:tr2bl w:val="nil"/>
                  </w:tcBorders>
                  <w:vAlign w:val="center"/>
                </w:tcPr>
                <w:p w14:paraId="49F51A7B">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粉料供应系统</w:t>
                  </w:r>
                </w:p>
              </w:tc>
              <w:tc>
                <w:tcPr>
                  <w:tcW w:w="0" w:type="auto"/>
                  <w:tcBorders>
                    <w:tl2br w:val="nil"/>
                    <w:tr2bl w:val="nil"/>
                  </w:tcBorders>
                  <w:vAlign w:val="center"/>
                </w:tcPr>
                <w:p w14:paraId="387CD710">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矿粉筒仓</w:t>
                  </w:r>
                </w:p>
              </w:tc>
              <w:tc>
                <w:tcPr>
                  <w:tcW w:w="0" w:type="auto"/>
                  <w:tcBorders>
                    <w:tl2br w:val="nil"/>
                    <w:tr2bl w:val="nil"/>
                  </w:tcBorders>
                  <w:vAlign w:val="center"/>
                </w:tcPr>
                <w:p w14:paraId="6FAA36E3">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100m</w:t>
                  </w:r>
                  <w:r>
                    <w:rPr>
                      <w:rFonts w:hint="eastAsia" w:cs="Times New Roman"/>
                      <w:color w:val="auto"/>
                      <w:sz w:val="18"/>
                      <w:szCs w:val="18"/>
                      <w:vertAlign w:val="superscript"/>
                      <w:lang w:val="en-US" w:eastAsia="zh-CN"/>
                    </w:rPr>
                    <w:t>3</w:t>
                  </w:r>
                </w:p>
              </w:tc>
              <w:tc>
                <w:tcPr>
                  <w:tcW w:w="0" w:type="auto"/>
                  <w:tcBorders>
                    <w:tl2br w:val="nil"/>
                    <w:tr2bl w:val="nil"/>
                  </w:tcBorders>
                  <w:vAlign w:val="center"/>
                </w:tcPr>
                <w:p w14:paraId="1F0CD67D">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2</w:t>
                  </w:r>
                </w:p>
              </w:tc>
              <w:tc>
                <w:tcPr>
                  <w:tcW w:w="0" w:type="auto"/>
                  <w:tcBorders>
                    <w:tl2br w:val="nil"/>
                    <w:tr2bl w:val="nil"/>
                  </w:tcBorders>
                  <w:vAlign w:val="center"/>
                </w:tcPr>
                <w:p w14:paraId="0226252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039815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0" w:type="auto"/>
                  <w:tcBorders>
                    <w:tl2br w:val="nil"/>
                    <w:tr2bl w:val="nil"/>
                  </w:tcBorders>
                  <w:shd w:val="clear" w:color="auto" w:fill="auto"/>
                  <w:vAlign w:val="center"/>
                </w:tcPr>
                <w:p w14:paraId="036075A1">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22</w:t>
                  </w:r>
                </w:p>
              </w:tc>
              <w:tc>
                <w:tcPr>
                  <w:tcW w:w="0" w:type="auto"/>
                  <w:vMerge w:val="continue"/>
                  <w:tcBorders>
                    <w:tl2br w:val="nil"/>
                    <w:tr2bl w:val="nil"/>
                  </w:tcBorders>
                  <w:vAlign w:val="center"/>
                </w:tcPr>
                <w:p w14:paraId="21C35660">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p>
              </w:tc>
              <w:tc>
                <w:tcPr>
                  <w:tcW w:w="0" w:type="auto"/>
                  <w:vMerge w:val="continue"/>
                  <w:tcBorders>
                    <w:tl2br w:val="nil"/>
                    <w:tr2bl w:val="nil"/>
                  </w:tcBorders>
                  <w:vAlign w:val="center"/>
                </w:tcPr>
                <w:p w14:paraId="69322E1F">
                  <w:pPr>
                    <w:keepNext w:val="0"/>
                    <w:keepLines w:val="0"/>
                    <w:widowControl/>
                    <w:suppressLineNumbers w:val="0"/>
                    <w:jc w:val="center"/>
                    <w:textAlignment w:val="center"/>
                    <w:rPr>
                      <w:rFonts w:hint="eastAsia" w:cs="Times New Roman"/>
                      <w:color w:val="auto"/>
                      <w:kern w:val="2"/>
                      <w:sz w:val="18"/>
                      <w:szCs w:val="18"/>
                      <w:lang w:val="en-US" w:eastAsia="zh-CN" w:bidi="ar-SA"/>
                    </w:rPr>
                  </w:pPr>
                </w:p>
              </w:tc>
              <w:tc>
                <w:tcPr>
                  <w:tcW w:w="0" w:type="auto"/>
                  <w:tcBorders>
                    <w:tl2br w:val="nil"/>
                    <w:tr2bl w:val="nil"/>
                  </w:tcBorders>
                  <w:vAlign w:val="center"/>
                </w:tcPr>
                <w:p w14:paraId="7D382941">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螺旋输送机</w:t>
                  </w:r>
                </w:p>
              </w:tc>
              <w:tc>
                <w:tcPr>
                  <w:tcW w:w="0" w:type="auto"/>
                  <w:tcBorders>
                    <w:tl2br w:val="nil"/>
                    <w:tr2bl w:val="nil"/>
                  </w:tcBorders>
                  <w:vAlign w:val="center"/>
                </w:tcPr>
                <w:p w14:paraId="60B5CEB9">
                  <w:pPr>
                    <w:keepNext w:val="0"/>
                    <w:keepLines w:val="0"/>
                    <w:widowControl/>
                    <w:suppressLineNumbers w:val="0"/>
                    <w:jc w:val="center"/>
                    <w:textAlignment w:val="center"/>
                    <w:rPr>
                      <w:rFonts w:hint="default" w:cs="Times New Roman"/>
                      <w:color w:val="auto"/>
                      <w:sz w:val="18"/>
                      <w:szCs w:val="18"/>
                      <w:lang w:val="en-US" w:eastAsia="zh-CN"/>
                    </w:rPr>
                  </w:pPr>
                </w:p>
              </w:tc>
              <w:tc>
                <w:tcPr>
                  <w:tcW w:w="0" w:type="auto"/>
                  <w:tcBorders>
                    <w:tl2br w:val="nil"/>
                    <w:tr2bl w:val="nil"/>
                  </w:tcBorders>
                  <w:vAlign w:val="center"/>
                </w:tcPr>
                <w:p w14:paraId="03441AA5">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1</w:t>
                  </w:r>
                </w:p>
              </w:tc>
              <w:tc>
                <w:tcPr>
                  <w:tcW w:w="0" w:type="auto"/>
                  <w:tcBorders>
                    <w:tl2br w:val="nil"/>
                    <w:tr2bl w:val="nil"/>
                  </w:tcBorders>
                  <w:vAlign w:val="center"/>
                </w:tcPr>
                <w:p w14:paraId="48F6313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7D7571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0" w:type="auto"/>
                  <w:tcBorders>
                    <w:tl2br w:val="nil"/>
                    <w:tr2bl w:val="nil"/>
                  </w:tcBorders>
                  <w:shd w:val="clear" w:color="auto" w:fill="auto"/>
                  <w:vAlign w:val="center"/>
                </w:tcPr>
                <w:p w14:paraId="70E1673F">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23</w:t>
                  </w:r>
                </w:p>
              </w:tc>
              <w:tc>
                <w:tcPr>
                  <w:tcW w:w="0" w:type="auto"/>
                  <w:vMerge w:val="continue"/>
                  <w:tcBorders>
                    <w:tl2br w:val="nil"/>
                    <w:tr2bl w:val="nil"/>
                  </w:tcBorders>
                  <w:vAlign w:val="center"/>
                </w:tcPr>
                <w:p w14:paraId="6FF9750F">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p>
              </w:tc>
              <w:tc>
                <w:tcPr>
                  <w:tcW w:w="0" w:type="auto"/>
                  <w:vMerge w:val="restart"/>
                  <w:tcBorders>
                    <w:tl2br w:val="nil"/>
                    <w:tr2bl w:val="nil"/>
                  </w:tcBorders>
                  <w:shd w:val="clear" w:color="auto" w:fill="auto"/>
                  <w:vAlign w:val="center"/>
                </w:tcPr>
                <w:p w14:paraId="5B85C687">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环保</w:t>
                  </w:r>
                </w:p>
                <w:p w14:paraId="7FAEE1B4">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设施</w:t>
                  </w:r>
                </w:p>
              </w:tc>
              <w:tc>
                <w:tcPr>
                  <w:tcW w:w="0" w:type="auto"/>
                  <w:tcBorders>
                    <w:tl2br w:val="nil"/>
                    <w:tr2bl w:val="nil"/>
                  </w:tcBorders>
                  <w:shd w:val="clear" w:color="auto" w:fill="auto"/>
                  <w:vAlign w:val="center"/>
                </w:tcPr>
                <w:p w14:paraId="52120D07">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袋式除尘器</w:t>
                  </w:r>
                </w:p>
              </w:tc>
              <w:tc>
                <w:tcPr>
                  <w:tcW w:w="0" w:type="auto"/>
                  <w:tcBorders>
                    <w:tl2br w:val="nil"/>
                    <w:tr2bl w:val="nil"/>
                  </w:tcBorders>
                  <w:shd w:val="clear" w:color="auto" w:fill="auto"/>
                  <w:vAlign w:val="center"/>
                </w:tcPr>
                <w:p w14:paraId="2AC4D679">
                  <w:pPr>
                    <w:keepNext w:val="0"/>
                    <w:keepLines w:val="0"/>
                    <w:widowControl/>
                    <w:suppressLineNumbers w:val="0"/>
                    <w:jc w:val="center"/>
                    <w:textAlignment w:val="center"/>
                    <w:rPr>
                      <w:rFonts w:hint="eastAsia" w:cs="Times New Roman"/>
                      <w:color w:val="auto"/>
                      <w:sz w:val="18"/>
                      <w:szCs w:val="18"/>
                      <w:lang w:val="en-US" w:eastAsia="zh-CN"/>
                    </w:rPr>
                  </w:pPr>
                  <w:r>
                    <w:rPr>
                      <w:rFonts w:hint="eastAsia" w:cs="Times New Roman"/>
                      <w:color w:val="auto"/>
                      <w:sz w:val="18"/>
                      <w:szCs w:val="18"/>
                      <w:lang w:val="en-US" w:eastAsia="zh-CN"/>
                    </w:rPr>
                    <w:t>搅拌机组配套布袋除尘器，过滤面积3056m</w:t>
                  </w:r>
                  <w:r>
                    <w:rPr>
                      <w:rFonts w:hint="eastAsia" w:cs="Times New Roman"/>
                      <w:color w:val="auto"/>
                      <w:sz w:val="18"/>
                      <w:szCs w:val="18"/>
                      <w:vertAlign w:val="superscript"/>
                      <w:lang w:val="en-US" w:eastAsia="zh-CN"/>
                    </w:rPr>
                    <w:t>2</w:t>
                  </w:r>
                  <w:r>
                    <w:rPr>
                      <w:rFonts w:hint="eastAsia" w:cs="Times New Roman"/>
                      <w:color w:val="auto"/>
                      <w:sz w:val="18"/>
                      <w:szCs w:val="18"/>
                      <w:lang w:val="en-US" w:eastAsia="zh-CN"/>
                    </w:rPr>
                    <w:t>，648袋</w:t>
                  </w:r>
                </w:p>
              </w:tc>
              <w:tc>
                <w:tcPr>
                  <w:tcW w:w="0" w:type="auto"/>
                  <w:tcBorders>
                    <w:tl2br w:val="nil"/>
                    <w:tr2bl w:val="nil"/>
                  </w:tcBorders>
                  <w:shd w:val="clear" w:color="auto" w:fill="auto"/>
                  <w:vAlign w:val="center"/>
                </w:tcPr>
                <w:p w14:paraId="01FEAC56">
                  <w:pPr>
                    <w:keepNext w:val="0"/>
                    <w:keepLines w:val="0"/>
                    <w:widowControl/>
                    <w:suppressLineNumbers w:val="0"/>
                    <w:jc w:val="center"/>
                    <w:textAlignment w:val="center"/>
                    <w:rPr>
                      <w:rFonts w:hint="eastAsia" w:cs="Times New Roman"/>
                      <w:color w:val="auto"/>
                      <w:sz w:val="18"/>
                      <w:szCs w:val="18"/>
                      <w:lang w:val="en-US" w:eastAsia="zh-CN"/>
                    </w:rPr>
                  </w:pPr>
                  <w:r>
                    <w:rPr>
                      <w:rFonts w:hint="eastAsia" w:cs="Times New Roman"/>
                      <w:color w:val="auto"/>
                      <w:sz w:val="18"/>
                      <w:szCs w:val="18"/>
                      <w:lang w:val="en-US" w:eastAsia="zh-CN"/>
                    </w:rPr>
                    <w:t>1</w:t>
                  </w:r>
                </w:p>
              </w:tc>
              <w:tc>
                <w:tcPr>
                  <w:tcW w:w="0" w:type="auto"/>
                  <w:tcBorders>
                    <w:tl2br w:val="nil"/>
                    <w:tr2bl w:val="nil"/>
                  </w:tcBorders>
                  <w:vAlign w:val="center"/>
                </w:tcPr>
                <w:p w14:paraId="61F9445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635E90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26" w:type="dxa"/>
                  <w:tcBorders>
                    <w:tl2br w:val="nil"/>
                    <w:tr2bl w:val="nil"/>
                  </w:tcBorders>
                  <w:shd w:val="clear" w:color="auto" w:fill="auto"/>
                  <w:vAlign w:val="center"/>
                </w:tcPr>
                <w:p w14:paraId="677577D9">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24</w:t>
                  </w:r>
                </w:p>
              </w:tc>
              <w:tc>
                <w:tcPr>
                  <w:tcW w:w="0" w:type="auto"/>
                  <w:vMerge w:val="continue"/>
                  <w:tcBorders>
                    <w:tl2br w:val="nil"/>
                    <w:tr2bl w:val="nil"/>
                  </w:tcBorders>
                  <w:vAlign w:val="center"/>
                </w:tcPr>
                <w:p w14:paraId="5169816D">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p>
              </w:tc>
              <w:tc>
                <w:tcPr>
                  <w:tcW w:w="0" w:type="auto"/>
                  <w:vMerge w:val="continue"/>
                  <w:tcBorders>
                    <w:tl2br w:val="nil"/>
                    <w:tr2bl w:val="nil"/>
                  </w:tcBorders>
                  <w:shd w:val="clear" w:color="auto" w:fill="auto"/>
                  <w:vAlign w:val="center"/>
                </w:tcPr>
                <w:p w14:paraId="4C8869F8">
                  <w:pPr>
                    <w:keepNext w:val="0"/>
                    <w:keepLines w:val="0"/>
                    <w:widowControl/>
                    <w:suppressLineNumbers w:val="0"/>
                    <w:jc w:val="center"/>
                    <w:textAlignment w:val="center"/>
                    <w:rPr>
                      <w:rFonts w:hint="eastAsia" w:cs="Times New Roman"/>
                      <w:color w:val="auto"/>
                      <w:kern w:val="2"/>
                      <w:sz w:val="18"/>
                      <w:szCs w:val="18"/>
                      <w:lang w:val="en-US" w:eastAsia="zh-CN" w:bidi="ar-SA"/>
                    </w:rPr>
                  </w:pPr>
                </w:p>
              </w:tc>
              <w:tc>
                <w:tcPr>
                  <w:tcW w:w="0" w:type="auto"/>
                  <w:tcBorders>
                    <w:tl2br w:val="nil"/>
                    <w:tr2bl w:val="nil"/>
                  </w:tcBorders>
                  <w:shd w:val="clear" w:color="auto" w:fill="auto"/>
                  <w:vAlign w:val="center"/>
                </w:tcPr>
                <w:p w14:paraId="5C6B4E38">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除尘器风机</w:t>
                  </w:r>
                </w:p>
              </w:tc>
              <w:tc>
                <w:tcPr>
                  <w:tcW w:w="0" w:type="auto"/>
                  <w:tcBorders>
                    <w:tl2br w:val="nil"/>
                    <w:tr2bl w:val="nil"/>
                  </w:tcBorders>
                  <w:shd w:val="clear" w:color="auto" w:fill="auto"/>
                  <w:vAlign w:val="center"/>
                </w:tcPr>
                <w:p w14:paraId="347F1630">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风机风量110000m</w:t>
                  </w:r>
                  <w:r>
                    <w:rPr>
                      <w:rFonts w:hint="eastAsia" w:cs="Times New Roman"/>
                      <w:color w:val="auto"/>
                      <w:sz w:val="18"/>
                      <w:szCs w:val="18"/>
                      <w:vertAlign w:val="superscript"/>
                      <w:lang w:val="en-US" w:eastAsia="zh-CN"/>
                    </w:rPr>
                    <w:t>3</w:t>
                  </w:r>
                  <w:r>
                    <w:rPr>
                      <w:rFonts w:hint="eastAsia" w:cs="Times New Roman"/>
                      <w:color w:val="auto"/>
                      <w:sz w:val="18"/>
                      <w:szCs w:val="18"/>
                      <w:lang w:val="en-US" w:eastAsia="zh-CN"/>
                    </w:rPr>
                    <w:t>/h</w:t>
                  </w:r>
                </w:p>
              </w:tc>
              <w:tc>
                <w:tcPr>
                  <w:tcW w:w="0" w:type="auto"/>
                  <w:tcBorders>
                    <w:tl2br w:val="nil"/>
                    <w:tr2bl w:val="nil"/>
                  </w:tcBorders>
                  <w:shd w:val="clear" w:color="auto" w:fill="auto"/>
                  <w:vAlign w:val="center"/>
                </w:tcPr>
                <w:p w14:paraId="1617B94B">
                  <w:pPr>
                    <w:keepNext w:val="0"/>
                    <w:keepLines w:val="0"/>
                    <w:widowControl/>
                    <w:suppressLineNumbers w:val="0"/>
                    <w:jc w:val="center"/>
                    <w:textAlignment w:val="center"/>
                    <w:rPr>
                      <w:rFonts w:hint="eastAsia" w:cs="Times New Roman"/>
                      <w:color w:val="auto"/>
                      <w:sz w:val="18"/>
                      <w:szCs w:val="18"/>
                      <w:lang w:val="en-US" w:eastAsia="zh-CN"/>
                    </w:rPr>
                  </w:pPr>
                  <w:r>
                    <w:rPr>
                      <w:rFonts w:hint="eastAsia" w:cs="Times New Roman"/>
                      <w:color w:val="auto"/>
                      <w:sz w:val="18"/>
                      <w:szCs w:val="18"/>
                      <w:lang w:val="en-US" w:eastAsia="zh-CN"/>
                    </w:rPr>
                    <w:t>1</w:t>
                  </w:r>
                </w:p>
              </w:tc>
              <w:tc>
                <w:tcPr>
                  <w:tcW w:w="0" w:type="auto"/>
                  <w:tcBorders>
                    <w:tl2br w:val="nil"/>
                    <w:tr2bl w:val="nil"/>
                  </w:tcBorders>
                  <w:vAlign w:val="center"/>
                </w:tcPr>
                <w:p w14:paraId="7FA5F45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1841DC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26" w:type="dxa"/>
                  <w:tcBorders>
                    <w:tl2br w:val="nil"/>
                    <w:tr2bl w:val="nil"/>
                  </w:tcBorders>
                  <w:shd w:val="clear" w:color="auto" w:fill="auto"/>
                  <w:vAlign w:val="center"/>
                </w:tcPr>
                <w:p w14:paraId="08EE1543">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25</w:t>
                  </w:r>
                </w:p>
              </w:tc>
              <w:tc>
                <w:tcPr>
                  <w:tcW w:w="0" w:type="auto"/>
                  <w:vMerge w:val="continue"/>
                  <w:tcBorders>
                    <w:tl2br w:val="nil"/>
                    <w:tr2bl w:val="nil"/>
                  </w:tcBorders>
                  <w:vAlign w:val="center"/>
                </w:tcPr>
                <w:p w14:paraId="79632549">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p>
              </w:tc>
              <w:tc>
                <w:tcPr>
                  <w:tcW w:w="0" w:type="auto"/>
                  <w:vMerge w:val="continue"/>
                  <w:tcBorders>
                    <w:tl2br w:val="nil"/>
                    <w:tr2bl w:val="nil"/>
                  </w:tcBorders>
                  <w:shd w:val="clear" w:color="auto" w:fill="auto"/>
                  <w:vAlign w:val="center"/>
                </w:tcPr>
                <w:p w14:paraId="2AD2B180">
                  <w:pPr>
                    <w:keepNext w:val="0"/>
                    <w:keepLines w:val="0"/>
                    <w:widowControl/>
                    <w:suppressLineNumbers w:val="0"/>
                    <w:jc w:val="center"/>
                    <w:textAlignment w:val="center"/>
                    <w:rPr>
                      <w:rFonts w:hint="eastAsia" w:cs="Times New Roman"/>
                      <w:color w:val="auto"/>
                      <w:kern w:val="2"/>
                      <w:sz w:val="18"/>
                      <w:szCs w:val="18"/>
                      <w:lang w:val="en-US" w:eastAsia="zh-CN" w:bidi="ar-SA"/>
                    </w:rPr>
                  </w:pPr>
                </w:p>
              </w:tc>
              <w:tc>
                <w:tcPr>
                  <w:tcW w:w="0" w:type="auto"/>
                  <w:tcBorders>
                    <w:tl2br w:val="nil"/>
                    <w:tr2bl w:val="nil"/>
                  </w:tcBorders>
                  <w:shd w:val="clear" w:color="auto" w:fill="auto"/>
                  <w:vAlign w:val="center"/>
                </w:tcPr>
                <w:p w14:paraId="34C3F4D3">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仓顶除尘器</w:t>
                  </w:r>
                </w:p>
              </w:tc>
              <w:tc>
                <w:tcPr>
                  <w:tcW w:w="0" w:type="auto"/>
                  <w:tcBorders>
                    <w:tl2br w:val="nil"/>
                    <w:tr2bl w:val="nil"/>
                  </w:tcBorders>
                  <w:shd w:val="clear" w:color="auto" w:fill="auto"/>
                  <w:vAlign w:val="center"/>
                </w:tcPr>
                <w:p w14:paraId="5677FD1A">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lang w:val="en-US" w:eastAsia="zh-CN" w:bidi="ar-SA"/>
                    </w:rPr>
                  </w:pPr>
                  <w:r>
                    <w:rPr>
                      <w:rFonts w:hint="eastAsia" w:cs="Times New Roman"/>
                      <w:color w:val="auto"/>
                      <w:sz w:val="18"/>
                      <w:szCs w:val="18"/>
                      <w:lang w:val="en-US" w:eastAsia="zh-CN"/>
                    </w:rPr>
                    <w:t>矿粉筒仓配套仓顶脉冲除尘器</w:t>
                  </w:r>
                </w:p>
              </w:tc>
              <w:tc>
                <w:tcPr>
                  <w:tcW w:w="0" w:type="auto"/>
                  <w:tcBorders>
                    <w:tl2br w:val="nil"/>
                    <w:tr2bl w:val="nil"/>
                  </w:tcBorders>
                  <w:shd w:val="clear" w:color="auto" w:fill="auto"/>
                  <w:vAlign w:val="center"/>
                </w:tcPr>
                <w:p w14:paraId="0747617F">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lang w:val="en-US" w:eastAsia="zh-CN" w:bidi="ar-SA"/>
                    </w:rPr>
                  </w:pPr>
                  <w:r>
                    <w:rPr>
                      <w:rFonts w:hint="eastAsia" w:cs="Times New Roman"/>
                      <w:color w:val="auto"/>
                      <w:sz w:val="18"/>
                      <w:szCs w:val="18"/>
                      <w:lang w:val="en-US" w:eastAsia="zh-CN"/>
                    </w:rPr>
                    <w:t>2</w:t>
                  </w:r>
                </w:p>
              </w:tc>
              <w:tc>
                <w:tcPr>
                  <w:tcW w:w="0" w:type="auto"/>
                  <w:tcBorders>
                    <w:tl2br w:val="nil"/>
                    <w:tr2bl w:val="nil"/>
                  </w:tcBorders>
                  <w:vAlign w:val="center"/>
                </w:tcPr>
                <w:p w14:paraId="4CAC994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57C2DC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26" w:type="dxa"/>
                  <w:tcBorders>
                    <w:tl2br w:val="nil"/>
                    <w:tr2bl w:val="nil"/>
                  </w:tcBorders>
                  <w:shd w:val="clear" w:color="auto" w:fill="auto"/>
                  <w:vAlign w:val="center"/>
                </w:tcPr>
                <w:p w14:paraId="59EE7A22">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26</w:t>
                  </w:r>
                </w:p>
              </w:tc>
              <w:tc>
                <w:tcPr>
                  <w:tcW w:w="0" w:type="auto"/>
                  <w:vMerge w:val="continue"/>
                  <w:tcBorders>
                    <w:tl2br w:val="nil"/>
                    <w:tr2bl w:val="nil"/>
                  </w:tcBorders>
                  <w:vAlign w:val="center"/>
                </w:tcPr>
                <w:p w14:paraId="135B366E">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p>
              </w:tc>
              <w:tc>
                <w:tcPr>
                  <w:tcW w:w="0" w:type="auto"/>
                  <w:vMerge w:val="continue"/>
                  <w:tcBorders>
                    <w:tl2br w:val="nil"/>
                    <w:tr2bl w:val="nil"/>
                  </w:tcBorders>
                  <w:shd w:val="clear" w:color="auto" w:fill="auto"/>
                  <w:vAlign w:val="center"/>
                </w:tcPr>
                <w:p w14:paraId="44E18D9D">
                  <w:pPr>
                    <w:keepNext w:val="0"/>
                    <w:keepLines w:val="0"/>
                    <w:widowControl/>
                    <w:suppressLineNumbers w:val="0"/>
                    <w:jc w:val="center"/>
                    <w:textAlignment w:val="center"/>
                    <w:rPr>
                      <w:rFonts w:hint="eastAsia" w:cs="Times New Roman"/>
                      <w:color w:val="auto"/>
                      <w:kern w:val="2"/>
                      <w:sz w:val="18"/>
                      <w:szCs w:val="18"/>
                      <w:lang w:val="en-US" w:eastAsia="zh-CN" w:bidi="ar-SA"/>
                    </w:rPr>
                  </w:pPr>
                </w:p>
              </w:tc>
              <w:tc>
                <w:tcPr>
                  <w:tcW w:w="0" w:type="auto"/>
                  <w:tcBorders>
                    <w:tl2br w:val="nil"/>
                    <w:tr2bl w:val="nil"/>
                  </w:tcBorders>
                  <w:shd w:val="clear" w:color="auto" w:fill="auto"/>
                  <w:vAlign w:val="center"/>
                </w:tcPr>
                <w:p w14:paraId="3611C07F">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沥青烟处理系统</w:t>
                  </w:r>
                </w:p>
              </w:tc>
              <w:tc>
                <w:tcPr>
                  <w:tcW w:w="0" w:type="auto"/>
                  <w:tcBorders>
                    <w:tl2br w:val="nil"/>
                    <w:tr2bl w:val="nil"/>
                  </w:tcBorders>
                  <w:shd w:val="clear" w:color="auto" w:fill="auto"/>
                  <w:vAlign w:val="center"/>
                </w:tcPr>
                <w:p w14:paraId="083C7A82">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冷凝器+活性炭吸附装置</w:t>
                  </w:r>
                </w:p>
              </w:tc>
              <w:tc>
                <w:tcPr>
                  <w:tcW w:w="0" w:type="auto"/>
                  <w:tcBorders>
                    <w:tl2br w:val="nil"/>
                    <w:tr2bl w:val="nil"/>
                  </w:tcBorders>
                  <w:shd w:val="clear" w:color="auto" w:fill="auto"/>
                  <w:vAlign w:val="center"/>
                </w:tcPr>
                <w:p w14:paraId="0D460F4E">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1</w:t>
                  </w:r>
                </w:p>
              </w:tc>
              <w:tc>
                <w:tcPr>
                  <w:tcW w:w="0" w:type="auto"/>
                  <w:tcBorders>
                    <w:tl2br w:val="nil"/>
                    <w:tr2bl w:val="nil"/>
                  </w:tcBorders>
                  <w:vAlign w:val="center"/>
                </w:tcPr>
                <w:p w14:paraId="3344796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632860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26" w:type="dxa"/>
                  <w:tcBorders>
                    <w:tl2br w:val="nil"/>
                    <w:tr2bl w:val="nil"/>
                  </w:tcBorders>
                  <w:shd w:val="clear" w:color="auto" w:fill="auto"/>
                  <w:vAlign w:val="center"/>
                </w:tcPr>
                <w:p w14:paraId="7941BD1E">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27</w:t>
                  </w:r>
                </w:p>
              </w:tc>
              <w:tc>
                <w:tcPr>
                  <w:tcW w:w="0" w:type="auto"/>
                  <w:vMerge w:val="continue"/>
                  <w:tcBorders>
                    <w:tl2br w:val="nil"/>
                    <w:tr2bl w:val="nil"/>
                  </w:tcBorders>
                  <w:vAlign w:val="center"/>
                </w:tcPr>
                <w:p w14:paraId="052EC698">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p>
              </w:tc>
              <w:tc>
                <w:tcPr>
                  <w:tcW w:w="0" w:type="auto"/>
                  <w:vMerge w:val="continue"/>
                  <w:tcBorders>
                    <w:tl2br w:val="nil"/>
                    <w:tr2bl w:val="nil"/>
                  </w:tcBorders>
                  <w:shd w:val="clear" w:color="auto" w:fill="auto"/>
                  <w:vAlign w:val="center"/>
                </w:tcPr>
                <w:p w14:paraId="75F9AAA5">
                  <w:pPr>
                    <w:keepNext w:val="0"/>
                    <w:keepLines w:val="0"/>
                    <w:widowControl/>
                    <w:suppressLineNumbers w:val="0"/>
                    <w:jc w:val="center"/>
                    <w:textAlignment w:val="center"/>
                    <w:rPr>
                      <w:rFonts w:hint="eastAsia" w:cs="Times New Roman"/>
                      <w:color w:val="auto"/>
                      <w:kern w:val="2"/>
                      <w:sz w:val="18"/>
                      <w:szCs w:val="18"/>
                      <w:lang w:val="en-US" w:eastAsia="zh-CN" w:bidi="ar-SA"/>
                    </w:rPr>
                  </w:pPr>
                </w:p>
              </w:tc>
              <w:tc>
                <w:tcPr>
                  <w:tcW w:w="0" w:type="auto"/>
                  <w:tcBorders>
                    <w:tl2br w:val="nil"/>
                    <w:tr2bl w:val="nil"/>
                  </w:tcBorders>
                  <w:shd w:val="clear" w:color="auto" w:fill="auto"/>
                  <w:vAlign w:val="center"/>
                </w:tcPr>
                <w:p w14:paraId="5E252C49">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沥青烟处理</w:t>
                  </w:r>
                </w:p>
                <w:p w14:paraId="3D594CE9">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系统风机</w:t>
                  </w:r>
                </w:p>
              </w:tc>
              <w:tc>
                <w:tcPr>
                  <w:tcW w:w="0" w:type="auto"/>
                  <w:tcBorders>
                    <w:tl2br w:val="nil"/>
                    <w:tr2bl w:val="nil"/>
                  </w:tcBorders>
                  <w:shd w:val="clear" w:color="auto" w:fill="auto"/>
                  <w:vAlign w:val="center"/>
                </w:tcPr>
                <w:p w14:paraId="0DEA0461">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风机风量5500m</w:t>
                  </w:r>
                  <w:r>
                    <w:rPr>
                      <w:rFonts w:hint="eastAsia" w:cs="Times New Roman"/>
                      <w:color w:val="auto"/>
                      <w:sz w:val="18"/>
                      <w:szCs w:val="18"/>
                      <w:vertAlign w:val="superscript"/>
                      <w:lang w:val="en-US" w:eastAsia="zh-CN"/>
                    </w:rPr>
                    <w:t>3</w:t>
                  </w:r>
                  <w:r>
                    <w:rPr>
                      <w:rFonts w:hint="eastAsia" w:cs="Times New Roman"/>
                      <w:color w:val="auto"/>
                      <w:sz w:val="18"/>
                      <w:szCs w:val="18"/>
                      <w:lang w:val="en-US" w:eastAsia="zh-CN"/>
                    </w:rPr>
                    <w:t>/h</w:t>
                  </w:r>
                </w:p>
              </w:tc>
              <w:tc>
                <w:tcPr>
                  <w:tcW w:w="0" w:type="auto"/>
                  <w:tcBorders>
                    <w:tl2br w:val="nil"/>
                    <w:tr2bl w:val="nil"/>
                  </w:tcBorders>
                  <w:shd w:val="clear" w:color="auto" w:fill="auto"/>
                  <w:vAlign w:val="center"/>
                </w:tcPr>
                <w:p w14:paraId="65D667E3">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1</w:t>
                  </w:r>
                </w:p>
              </w:tc>
              <w:tc>
                <w:tcPr>
                  <w:tcW w:w="0" w:type="auto"/>
                  <w:tcBorders>
                    <w:tl2br w:val="nil"/>
                    <w:tr2bl w:val="nil"/>
                  </w:tcBorders>
                  <w:vAlign w:val="center"/>
                </w:tcPr>
                <w:p w14:paraId="6A61564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071E1F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26" w:type="dxa"/>
                  <w:tcBorders>
                    <w:tl2br w:val="nil"/>
                    <w:tr2bl w:val="nil"/>
                  </w:tcBorders>
                  <w:shd w:val="clear" w:color="auto" w:fill="auto"/>
                  <w:vAlign w:val="center"/>
                </w:tcPr>
                <w:p w14:paraId="68F48ECB">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28</w:t>
                  </w:r>
                </w:p>
              </w:tc>
              <w:tc>
                <w:tcPr>
                  <w:tcW w:w="0" w:type="auto"/>
                  <w:vMerge w:val="continue"/>
                  <w:tcBorders>
                    <w:tl2br w:val="nil"/>
                    <w:tr2bl w:val="nil"/>
                  </w:tcBorders>
                  <w:vAlign w:val="center"/>
                </w:tcPr>
                <w:p w14:paraId="3817DE60">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p>
              </w:tc>
              <w:tc>
                <w:tcPr>
                  <w:tcW w:w="0" w:type="auto"/>
                  <w:vMerge w:val="continue"/>
                  <w:tcBorders>
                    <w:tl2br w:val="nil"/>
                    <w:tr2bl w:val="nil"/>
                  </w:tcBorders>
                  <w:shd w:val="clear" w:color="auto" w:fill="auto"/>
                  <w:vAlign w:val="center"/>
                </w:tcPr>
                <w:p w14:paraId="30110FDD">
                  <w:pPr>
                    <w:keepNext w:val="0"/>
                    <w:keepLines w:val="0"/>
                    <w:widowControl/>
                    <w:suppressLineNumbers w:val="0"/>
                    <w:jc w:val="center"/>
                    <w:textAlignment w:val="center"/>
                    <w:rPr>
                      <w:rFonts w:hint="eastAsia" w:cs="Times New Roman"/>
                      <w:color w:val="auto"/>
                      <w:kern w:val="2"/>
                      <w:sz w:val="18"/>
                      <w:szCs w:val="18"/>
                      <w:lang w:val="en-US" w:eastAsia="zh-CN" w:bidi="ar-SA"/>
                    </w:rPr>
                  </w:pPr>
                </w:p>
              </w:tc>
              <w:tc>
                <w:tcPr>
                  <w:tcW w:w="0" w:type="auto"/>
                  <w:tcBorders>
                    <w:tl2br w:val="nil"/>
                    <w:tr2bl w:val="nil"/>
                  </w:tcBorders>
                  <w:shd w:val="clear" w:color="auto" w:fill="auto"/>
                  <w:vAlign w:val="center"/>
                </w:tcPr>
                <w:p w14:paraId="68FDC55B">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导热油炉烟气</w:t>
                  </w:r>
                </w:p>
                <w:p w14:paraId="14BEB663">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处理系统</w:t>
                  </w:r>
                </w:p>
              </w:tc>
              <w:tc>
                <w:tcPr>
                  <w:tcW w:w="0" w:type="auto"/>
                  <w:tcBorders>
                    <w:tl2br w:val="nil"/>
                    <w:tr2bl w:val="nil"/>
                  </w:tcBorders>
                  <w:shd w:val="clear" w:color="auto" w:fill="auto"/>
                  <w:vAlign w:val="center"/>
                </w:tcPr>
                <w:p w14:paraId="0DF4E168">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低氮燃烧技术，布袋除尘器</w:t>
                  </w:r>
                </w:p>
              </w:tc>
              <w:tc>
                <w:tcPr>
                  <w:tcW w:w="0" w:type="auto"/>
                  <w:tcBorders>
                    <w:tl2br w:val="nil"/>
                    <w:tr2bl w:val="nil"/>
                  </w:tcBorders>
                  <w:shd w:val="clear" w:color="auto" w:fill="auto"/>
                  <w:vAlign w:val="center"/>
                </w:tcPr>
                <w:p w14:paraId="056F56C2">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1</w:t>
                  </w:r>
                </w:p>
              </w:tc>
              <w:tc>
                <w:tcPr>
                  <w:tcW w:w="0" w:type="auto"/>
                  <w:tcBorders>
                    <w:tl2br w:val="nil"/>
                    <w:tr2bl w:val="nil"/>
                  </w:tcBorders>
                  <w:vAlign w:val="center"/>
                </w:tcPr>
                <w:p w14:paraId="1876937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0DA61E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26" w:type="dxa"/>
                  <w:tcBorders>
                    <w:tl2br w:val="nil"/>
                    <w:tr2bl w:val="nil"/>
                  </w:tcBorders>
                  <w:shd w:val="clear" w:color="auto" w:fill="auto"/>
                  <w:vAlign w:val="center"/>
                </w:tcPr>
                <w:p w14:paraId="310BCDDA">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29</w:t>
                  </w:r>
                </w:p>
              </w:tc>
              <w:tc>
                <w:tcPr>
                  <w:tcW w:w="0" w:type="auto"/>
                  <w:vMerge w:val="continue"/>
                  <w:tcBorders>
                    <w:tl2br w:val="nil"/>
                    <w:tr2bl w:val="nil"/>
                  </w:tcBorders>
                  <w:vAlign w:val="center"/>
                </w:tcPr>
                <w:p w14:paraId="489D233B">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p>
              </w:tc>
              <w:tc>
                <w:tcPr>
                  <w:tcW w:w="0" w:type="auto"/>
                  <w:vMerge w:val="continue"/>
                  <w:tcBorders>
                    <w:tl2br w:val="nil"/>
                    <w:tr2bl w:val="nil"/>
                  </w:tcBorders>
                  <w:shd w:val="clear" w:color="auto" w:fill="auto"/>
                  <w:vAlign w:val="center"/>
                </w:tcPr>
                <w:p w14:paraId="2C95BA02">
                  <w:pPr>
                    <w:keepNext w:val="0"/>
                    <w:keepLines w:val="0"/>
                    <w:widowControl/>
                    <w:suppressLineNumbers w:val="0"/>
                    <w:jc w:val="center"/>
                    <w:textAlignment w:val="center"/>
                    <w:rPr>
                      <w:rFonts w:hint="eastAsia" w:cs="Times New Roman"/>
                      <w:color w:val="auto"/>
                      <w:kern w:val="2"/>
                      <w:sz w:val="18"/>
                      <w:szCs w:val="18"/>
                      <w:lang w:val="en-US" w:eastAsia="zh-CN" w:bidi="ar-SA"/>
                    </w:rPr>
                  </w:pPr>
                </w:p>
              </w:tc>
              <w:tc>
                <w:tcPr>
                  <w:tcW w:w="0" w:type="auto"/>
                  <w:tcBorders>
                    <w:tl2br w:val="nil"/>
                    <w:tr2bl w:val="nil"/>
                  </w:tcBorders>
                  <w:shd w:val="clear" w:color="auto" w:fill="auto"/>
                  <w:vAlign w:val="center"/>
                </w:tcPr>
                <w:p w14:paraId="17489827">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仓顶除尘</w:t>
                  </w:r>
                </w:p>
                <w:p w14:paraId="11A33CBB">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器风机</w:t>
                  </w:r>
                </w:p>
              </w:tc>
              <w:tc>
                <w:tcPr>
                  <w:tcW w:w="0" w:type="auto"/>
                  <w:tcBorders>
                    <w:tl2br w:val="nil"/>
                    <w:tr2bl w:val="nil"/>
                  </w:tcBorders>
                  <w:shd w:val="clear" w:color="auto" w:fill="auto"/>
                  <w:vAlign w:val="center"/>
                </w:tcPr>
                <w:p w14:paraId="35C9521A">
                  <w:pPr>
                    <w:keepNext w:val="0"/>
                    <w:keepLines w:val="0"/>
                    <w:widowControl/>
                    <w:suppressLineNumbers w:val="0"/>
                    <w:jc w:val="center"/>
                    <w:textAlignment w:val="center"/>
                    <w:rPr>
                      <w:rFonts w:hint="eastAsia" w:cs="Times New Roman"/>
                      <w:color w:val="auto"/>
                      <w:sz w:val="18"/>
                      <w:szCs w:val="18"/>
                      <w:lang w:val="en-US" w:eastAsia="zh-CN"/>
                    </w:rPr>
                  </w:pPr>
                  <w:r>
                    <w:rPr>
                      <w:rFonts w:hint="eastAsia" w:cs="Times New Roman"/>
                      <w:color w:val="auto"/>
                      <w:sz w:val="18"/>
                      <w:szCs w:val="18"/>
                      <w:lang w:val="en-US" w:eastAsia="zh-CN"/>
                    </w:rPr>
                    <w:t>1500m</w:t>
                  </w:r>
                  <w:r>
                    <w:rPr>
                      <w:rFonts w:hint="eastAsia" w:cs="Times New Roman"/>
                      <w:color w:val="auto"/>
                      <w:sz w:val="18"/>
                      <w:szCs w:val="18"/>
                      <w:vertAlign w:val="superscript"/>
                      <w:lang w:val="en-US" w:eastAsia="zh-CN"/>
                    </w:rPr>
                    <w:t>3</w:t>
                  </w:r>
                  <w:r>
                    <w:rPr>
                      <w:rFonts w:hint="eastAsia" w:cs="Times New Roman"/>
                      <w:color w:val="auto"/>
                      <w:sz w:val="18"/>
                      <w:szCs w:val="18"/>
                      <w:lang w:val="en-US" w:eastAsia="zh-CN"/>
                    </w:rPr>
                    <w:t>/h</w:t>
                  </w:r>
                </w:p>
              </w:tc>
              <w:tc>
                <w:tcPr>
                  <w:tcW w:w="0" w:type="auto"/>
                  <w:tcBorders>
                    <w:tl2br w:val="nil"/>
                    <w:tr2bl w:val="nil"/>
                  </w:tcBorders>
                  <w:shd w:val="clear" w:color="auto" w:fill="auto"/>
                  <w:vAlign w:val="center"/>
                </w:tcPr>
                <w:p w14:paraId="3D3D5251">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2</w:t>
                  </w:r>
                </w:p>
              </w:tc>
              <w:tc>
                <w:tcPr>
                  <w:tcW w:w="0" w:type="auto"/>
                  <w:tcBorders>
                    <w:tl2br w:val="nil"/>
                    <w:tr2bl w:val="nil"/>
                  </w:tcBorders>
                  <w:vAlign w:val="center"/>
                </w:tcPr>
                <w:p w14:paraId="19EEC5D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35614F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26" w:type="dxa"/>
                  <w:tcBorders>
                    <w:tl2br w:val="nil"/>
                    <w:tr2bl w:val="nil"/>
                  </w:tcBorders>
                  <w:shd w:val="clear" w:color="auto" w:fill="auto"/>
                  <w:vAlign w:val="center"/>
                </w:tcPr>
                <w:p w14:paraId="53B67871">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30</w:t>
                  </w:r>
                </w:p>
              </w:tc>
              <w:tc>
                <w:tcPr>
                  <w:tcW w:w="0" w:type="auto"/>
                  <w:vMerge w:val="restart"/>
                  <w:tcBorders>
                    <w:tl2br w:val="nil"/>
                    <w:tr2bl w:val="nil"/>
                  </w:tcBorders>
                  <w:vAlign w:val="center"/>
                </w:tcPr>
                <w:p w14:paraId="542C3C11">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混凝</w:t>
                  </w:r>
                </w:p>
                <w:p w14:paraId="1D74DE7D">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土生</w:t>
                  </w:r>
                </w:p>
                <w:p w14:paraId="2423DABF">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产单</w:t>
                  </w:r>
                </w:p>
                <w:p w14:paraId="25E890FF">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元</w:t>
                  </w:r>
                </w:p>
              </w:tc>
              <w:tc>
                <w:tcPr>
                  <w:tcW w:w="882" w:type="dxa"/>
                  <w:vMerge w:val="restart"/>
                  <w:tcBorders>
                    <w:tl2br w:val="nil"/>
                    <w:tr2bl w:val="nil"/>
                  </w:tcBorders>
                  <w:vAlign w:val="center"/>
                </w:tcPr>
                <w:p w14:paraId="53B4FB36">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计量系统</w:t>
                  </w:r>
                </w:p>
              </w:tc>
              <w:tc>
                <w:tcPr>
                  <w:tcW w:w="0" w:type="auto"/>
                  <w:tcBorders>
                    <w:tl2br w:val="nil"/>
                    <w:tr2bl w:val="nil"/>
                  </w:tcBorders>
                  <w:vAlign w:val="center"/>
                </w:tcPr>
                <w:p w14:paraId="3B2D9ABD">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砂石计量秤</w:t>
                  </w:r>
                </w:p>
              </w:tc>
              <w:tc>
                <w:tcPr>
                  <w:tcW w:w="0" w:type="auto"/>
                  <w:tcBorders>
                    <w:tl2br w:val="nil"/>
                    <w:tr2bl w:val="nil"/>
                  </w:tcBorders>
                  <w:vAlign w:val="center"/>
                </w:tcPr>
                <w:p w14:paraId="0768BF27">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JL-3000G</w:t>
                  </w:r>
                </w:p>
              </w:tc>
              <w:tc>
                <w:tcPr>
                  <w:tcW w:w="0" w:type="auto"/>
                  <w:tcBorders>
                    <w:tl2br w:val="nil"/>
                    <w:tr2bl w:val="nil"/>
                  </w:tcBorders>
                  <w:vAlign w:val="center"/>
                </w:tcPr>
                <w:p w14:paraId="062BD9CA">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1</w:t>
                  </w:r>
                </w:p>
              </w:tc>
              <w:tc>
                <w:tcPr>
                  <w:tcW w:w="0" w:type="auto"/>
                  <w:tcBorders>
                    <w:tl2br w:val="nil"/>
                    <w:tr2bl w:val="nil"/>
                  </w:tcBorders>
                  <w:vAlign w:val="center"/>
                </w:tcPr>
                <w:p w14:paraId="6FEEF0E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6782D4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26" w:type="dxa"/>
                  <w:tcBorders>
                    <w:tl2br w:val="nil"/>
                    <w:tr2bl w:val="nil"/>
                  </w:tcBorders>
                  <w:shd w:val="clear" w:color="auto" w:fill="auto"/>
                  <w:vAlign w:val="center"/>
                </w:tcPr>
                <w:p w14:paraId="4CE57B3C">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31</w:t>
                  </w:r>
                </w:p>
              </w:tc>
              <w:tc>
                <w:tcPr>
                  <w:tcW w:w="0" w:type="auto"/>
                  <w:vMerge w:val="continue"/>
                  <w:tcBorders>
                    <w:tl2br w:val="nil"/>
                    <w:tr2bl w:val="nil"/>
                  </w:tcBorders>
                  <w:vAlign w:val="center"/>
                </w:tcPr>
                <w:p w14:paraId="530ACBA3">
                  <w:pPr>
                    <w:keepNext w:val="0"/>
                    <w:keepLines w:val="0"/>
                    <w:widowControl/>
                    <w:suppressLineNumbers w:val="0"/>
                    <w:jc w:val="center"/>
                    <w:textAlignment w:val="center"/>
                    <w:rPr>
                      <w:rFonts w:hint="eastAsia" w:cs="Times New Roman"/>
                      <w:color w:val="auto"/>
                      <w:kern w:val="2"/>
                      <w:sz w:val="18"/>
                      <w:szCs w:val="18"/>
                      <w:lang w:val="en-US" w:eastAsia="zh-CN" w:bidi="ar-SA"/>
                    </w:rPr>
                  </w:pPr>
                </w:p>
              </w:tc>
              <w:tc>
                <w:tcPr>
                  <w:tcW w:w="882" w:type="dxa"/>
                  <w:vMerge w:val="continue"/>
                  <w:tcBorders>
                    <w:tl2br w:val="nil"/>
                    <w:tr2bl w:val="nil"/>
                  </w:tcBorders>
                  <w:vAlign w:val="center"/>
                </w:tcPr>
                <w:p w14:paraId="2C40891F">
                  <w:pPr>
                    <w:keepNext w:val="0"/>
                    <w:keepLines w:val="0"/>
                    <w:widowControl/>
                    <w:suppressLineNumbers w:val="0"/>
                    <w:jc w:val="center"/>
                    <w:textAlignment w:val="center"/>
                    <w:rPr>
                      <w:rFonts w:hint="eastAsia" w:cs="Times New Roman"/>
                      <w:color w:val="auto"/>
                      <w:kern w:val="2"/>
                      <w:sz w:val="18"/>
                      <w:szCs w:val="18"/>
                      <w:lang w:val="en-US" w:eastAsia="zh-CN" w:bidi="ar-SA"/>
                    </w:rPr>
                  </w:pPr>
                </w:p>
              </w:tc>
              <w:tc>
                <w:tcPr>
                  <w:tcW w:w="0" w:type="auto"/>
                  <w:tcBorders>
                    <w:tl2br w:val="nil"/>
                    <w:tr2bl w:val="nil"/>
                  </w:tcBorders>
                  <w:vAlign w:val="center"/>
                </w:tcPr>
                <w:p w14:paraId="13E94562">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水计量秤</w:t>
                  </w:r>
                </w:p>
              </w:tc>
              <w:tc>
                <w:tcPr>
                  <w:tcW w:w="0" w:type="auto"/>
                  <w:tcBorders>
                    <w:tl2br w:val="nil"/>
                    <w:tr2bl w:val="nil"/>
                  </w:tcBorders>
                  <w:vAlign w:val="center"/>
                </w:tcPr>
                <w:p w14:paraId="0A411C46">
                  <w:pPr>
                    <w:keepNext w:val="0"/>
                    <w:keepLines w:val="0"/>
                    <w:widowControl/>
                    <w:suppressLineNumbers w:val="0"/>
                    <w:jc w:val="center"/>
                    <w:textAlignment w:val="center"/>
                    <w:rPr>
                      <w:rFonts w:hint="eastAsia" w:cs="Times New Roman"/>
                      <w:color w:val="auto"/>
                      <w:sz w:val="18"/>
                      <w:szCs w:val="18"/>
                      <w:lang w:val="en-US" w:eastAsia="zh-CN"/>
                    </w:rPr>
                  </w:pPr>
                  <w:r>
                    <w:rPr>
                      <w:rFonts w:hint="eastAsia" w:cs="Times New Roman"/>
                      <w:color w:val="auto"/>
                      <w:sz w:val="18"/>
                      <w:szCs w:val="18"/>
                      <w:lang w:val="en-US" w:eastAsia="zh-CN"/>
                    </w:rPr>
                    <w:t>CBHC-350</w:t>
                  </w:r>
                </w:p>
              </w:tc>
              <w:tc>
                <w:tcPr>
                  <w:tcW w:w="0" w:type="auto"/>
                  <w:tcBorders>
                    <w:tl2br w:val="nil"/>
                    <w:tr2bl w:val="nil"/>
                  </w:tcBorders>
                  <w:vAlign w:val="center"/>
                </w:tcPr>
                <w:p w14:paraId="362D54E0">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2</w:t>
                  </w:r>
                </w:p>
              </w:tc>
              <w:tc>
                <w:tcPr>
                  <w:tcW w:w="0" w:type="auto"/>
                  <w:tcBorders>
                    <w:tl2br w:val="nil"/>
                    <w:tr2bl w:val="nil"/>
                  </w:tcBorders>
                  <w:vAlign w:val="center"/>
                </w:tcPr>
                <w:p w14:paraId="64A8F9B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3FE8C4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26" w:type="dxa"/>
                  <w:tcBorders>
                    <w:tl2br w:val="nil"/>
                    <w:tr2bl w:val="nil"/>
                  </w:tcBorders>
                  <w:shd w:val="clear" w:color="auto" w:fill="auto"/>
                  <w:vAlign w:val="center"/>
                </w:tcPr>
                <w:p w14:paraId="6F89E06D">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32</w:t>
                  </w:r>
                </w:p>
              </w:tc>
              <w:tc>
                <w:tcPr>
                  <w:tcW w:w="0" w:type="auto"/>
                  <w:vMerge w:val="continue"/>
                  <w:tcBorders>
                    <w:tl2br w:val="nil"/>
                    <w:tr2bl w:val="nil"/>
                  </w:tcBorders>
                  <w:vAlign w:val="center"/>
                </w:tcPr>
                <w:p w14:paraId="3339BC66">
                  <w:pPr>
                    <w:keepNext w:val="0"/>
                    <w:keepLines w:val="0"/>
                    <w:widowControl/>
                    <w:suppressLineNumbers w:val="0"/>
                    <w:jc w:val="center"/>
                    <w:textAlignment w:val="center"/>
                    <w:rPr>
                      <w:rFonts w:hint="eastAsia" w:cs="Times New Roman"/>
                      <w:color w:val="auto"/>
                      <w:kern w:val="2"/>
                      <w:sz w:val="18"/>
                      <w:szCs w:val="18"/>
                      <w:lang w:val="en-US" w:eastAsia="zh-CN" w:bidi="ar-SA"/>
                    </w:rPr>
                  </w:pPr>
                </w:p>
              </w:tc>
              <w:tc>
                <w:tcPr>
                  <w:tcW w:w="882" w:type="dxa"/>
                  <w:vMerge w:val="restart"/>
                  <w:tcBorders>
                    <w:tl2br w:val="nil"/>
                    <w:tr2bl w:val="nil"/>
                  </w:tcBorders>
                  <w:shd w:val="clear" w:color="auto" w:fill="auto"/>
                  <w:vAlign w:val="center"/>
                </w:tcPr>
                <w:p w14:paraId="3552A04B">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粉料供应系统</w:t>
                  </w:r>
                </w:p>
              </w:tc>
              <w:tc>
                <w:tcPr>
                  <w:tcW w:w="0" w:type="auto"/>
                  <w:tcBorders>
                    <w:tl2br w:val="nil"/>
                    <w:tr2bl w:val="nil"/>
                  </w:tcBorders>
                  <w:shd w:val="clear" w:color="auto" w:fill="auto"/>
                  <w:vAlign w:val="center"/>
                </w:tcPr>
                <w:p w14:paraId="61D41A63">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水泥筒仓</w:t>
                  </w:r>
                </w:p>
              </w:tc>
              <w:tc>
                <w:tcPr>
                  <w:tcW w:w="0" w:type="auto"/>
                  <w:tcBorders>
                    <w:tl2br w:val="nil"/>
                    <w:tr2bl w:val="nil"/>
                  </w:tcBorders>
                  <w:shd w:val="clear" w:color="auto" w:fill="auto"/>
                  <w:vAlign w:val="center"/>
                </w:tcPr>
                <w:p w14:paraId="22A45EDE">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lang w:val="en-US" w:eastAsia="zh-CN" w:bidi="ar-SA"/>
                    </w:rPr>
                  </w:pPr>
                  <w:r>
                    <w:rPr>
                      <w:sz w:val="18"/>
                      <w:szCs w:val="18"/>
                    </w:rPr>
                    <w:t>Φ</w:t>
                  </w:r>
                  <w:r>
                    <w:rPr>
                      <w:rFonts w:hint="eastAsia" w:cs="Times New Roman"/>
                      <w:color w:val="auto"/>
                      <w:sz w:val="18"/>
                      <w:szCs w:val="18"/>
                      <w:lang w:val="en-US" w:eastAsia="zh-CN"/>
                    </w:rPr>
                    <w:t>4000mm，200m</w:t>
                  </w:r>
                  <w:r>
                    <w:rPr>
                      <w:rFonts w:hint="eastAsia" w:cs="Times New Roman"/>
                      <w:color w:val="auto"/>
                      <w:sz w:val="18"/>
                      <w:szCs w:val="18"/>
                      <w:vertAlign w:val="superscript"/>
                      <w:lang w:val="en-US" w:eastAsia="zh-CN"/>
                    </w:rPr>
                    <w:t>3</w:t>
                  </w:r>
                </w:p>
              </w:tc>
              <w:tc>
                <w:tcPr>
                  <w:tcW w:w="0" w:type="auto"/>
                  <w:tcBorders>
                    <w:tl2br w:val="nil"/>
                    <w:tr2bl w:val="nil"/>
                  </w:tcBorders>
                  <w:shd w:val="clear" w:color="auto" w:fill="auto"/>
                  <w:vAlign w:val="center"/>
                </w:tcPr>
                <w:p w14:paraId="09B24F55">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lang w:val="en-US" w:eastAsia="zh-CN" w:bidi="ar-SA"/>
                    </w:rPr>
                  </w:pPr>
                  <w:r>
                    <w:rPr>
                      <w:rFonts w:hint="eastAsia" w:cs="Times New Roman"/>
                      <w:color w:val="auto"/>
                      <w:sz w:val="18"/>
                      <w:szCs w:val="18"/>
                      <w:lang w:val="en-US" w:eastAsia="zh-CN"/>
                    </w:rPr>
                    <w:t>2</w:t>
                  </w:r>
                </w:p>
              </w:tc>
              <w:tc>
                <w:tcPr>
                  <w:tcW w:w="0" w:type="auto"/>
                  <w:tcBorders>
                    <w:tl2br w:val="nil"/>
                    <w:tr2bl w:val="nil"/>
                  </w:tcBorders>
                  <w:vAlign w:val="center"/>
                </w:tcPr>
                <w:p w14:paraId="7B99CC0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12BE4D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26" w:type="dxa"/>
                  <w:tcBorders>
                    <w:tl2br w:val="nil"/>
                    <w:tr2bl w:val="nil"/>
                  </w:tcBorders>
                  <w:shd w:val="clear" w:color="auto" w:fill="auto"/>
                  <w:vAlign w:val="center"/>
                </w:tcPr>
                <w:p w14:paraId="68CC4A59">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33</w:t>
                  </w:r>
                </w:p>
              </w:tc>
              <w:tc>
                <w:tcPr>
                  <w:tcW w:w="0" w:type="auto"/>
                  <w:vMerge w:val="continue"/>
                  <w:tcBorders>
                    <w:tl2br w:val="nil"/>
                    <w:tr2bl w:val="nil"/>
                  </w:tcBorders>
                  <w:vAlign w:val="center"/>
                </w:tcPr>
                <w:p w14:paraId="173EC769">
                  <w:pPr>
                    <w:keepNext w:val="0"/>
                    <w:keepLines w:val="0"/>
                    <w:widowControl/>
                    <w:suppressLineNumbers w:val="0"/>
                    <w:jc w:val="center"/>
                    <w:textAlignment w:val="center"/>
                    <w:rPr>
                      <w:rFonts w:hint="eastAsia" w:cs="Times New Roman"/>
                      <w:color w:val="auto"/>
                      <w:kern w:val="2"/>
                      <w:sz w:val="18"/>
                      <w:szCs w:val="18"/>
                      <w:lang w:val="en-US" w:eastAsia="zh-CN" w:bidi="ar-SA"/>
                    </w:rPr>
                  </w:pPr>
                </w:p>
              </w:tc>
              <w:tc>
                <w:tcPr>
                  <w:tcW w:w="882" w:type="dxa"/>
                  <w:vMerge w:val="continue"/>
                  <w:tcBorders>
                    <w:tl2br w:val="nil"/>
                    <w:tr2bl w:val="nil"/>
                  </w:tcBorders>
                  <w:shd w:val="clear" w:color="auto" w:fill="auto"/>
                  <w:vAlign w:val="center"/>
                </w:tcPr>
                <w:p w14:paraId="542B7882">
                  <w:pPr>
                    <w:keepNext w:val="0"/>
                    <w:keepLines w:val="0"/>
                    <w:widowControl/>
                    <w:suppressLineNumbers w:val="0"/>
                    <w:jc w:val="center"/>
                    <w:textAlignment w:val="center"/>
                    <w:rPr>
                      <w:rFonts w:hint="eastAsia" w:cs="Times New Roman"/>
                      <w:color w:val="auto"/>
                      <w:kern w:val="2"/>
                      <w:sz w:val="18"/>
                      <w:szCs w:val="18"/>
                      <w:lang w:val="en-US" w:eastAsia="zh-CN" w:bidi="ar-SA"/>
                    </w:rPr>
                  </w:pPr>
                </w:p>
              </w:tc>
              <w:tc>
                <w:tcPr>
                  <w:tcW w:w="0" w:type="auto"/>
                  <w:tcBorders>
                    <w:tl2br w:val="nil"/>
                    <w:tr2bl w:val="nil"/>
                  </w:tcBorders>
                  <w:shd w:val="clear" w:color="auto" w:fill="auto"/>
                  <w:vAlign w:val="center"/>
                </w:tcPr>
                <w:p w14:paraId="0F652FC7">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粉煤灰筒仓</w:t>
                  </w:r>
                </w:p>
              </w:tc>
              <w:tc>
                <w:tcPr>
                  <w:tcW w:w="0" w:type="auto"/>
                  <w:tcBorders>
                    <w:tl2br w:val="nil"/>
                    <w:tr2bl w:val="nil"/>
                  </w:tcBorders>
                  <w:shd w:val="clear" w:color="auto" w:fill="auto"/>
                  <w:vAlign w:val="center"/>
                </w:tcPr>
                <w:p w14:paraId="556FCC45">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lang w:val="en-US" w:eastAsia="zh-CN" w:bidi="ar-SA"/>
                    </w:rPr>
                  </w:pPr>
                  <w:r>
                    <w:rPr>
                      <w:sz w:val="18"/>
                      <w:szCs w:val="18"/>
                    </w:rPr>
                    <w:t>Φ</w:t>
                  </w:r>
                  <w:r>
                    <w:rPr>
                      <w:rFonts w:hint="eastAsia" w:cs="Times New Roman"/>
                      <w:color w:val="auto"/>
                      <w:sz w:val="18"/>
                      <w:szCs w:val="18"/>
                      <w:lang w:val="en-US" w:eastAsia="zh-CN"/>
                    </w:rPr>
                    <w:t>4000mm，200m</w:t>
                  </w:r>
                  <w:r>
                    <w:rPr>
                      <w:rFonts w:hint="eastAsia" w:cs="Times New Roman"/>
                      <w:color w:val="auto"/>
                      <w:sz w:val="18"/>
                      <w:szCs w:val="18"/>
                      <w:vertAlign w:val="superscript"/>
                      <w:lang w:val="en-US" w:eastAsia="zh-CN"/>
                    </w:rPr>
                    <w:t>3</w:t>
                  </w:r>
                </w:p>
              </w:tc>
              <w:tc>
                <w:tcPr>
                  <w:tcW w:w="0" w:type="auto"/>
                  <w:tcBorders>
                    <w:tl2br w:val="nil"/>
                    <w:tr2bl w:val="nil"/>
                  </w:tcBorders>
                  <w:shd w:val="clear" w:color="auto" w:fill="auto"/>
                  <w:vAlign w:val="center"/>
                </w:tcPr>
                <w:p w14:paraId="12DBE488">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lang w:val="en-US" w:eastAsia="zh-CN" w:bidi="ar-SA"/>
                    </w:rPr>
                  </w:pPr>
                  <w:r>
                    <w:rPr>
                      <w:rFonts w:hint="eastAsia" w:cs="Times New Roman"/>
                      <w:color w:val="auto"/>
                      <w:sz w:val="18"/>
                      <w:szCs w:val="18"/>
                      <w:lang w:val="en-US" w:eastAsia="zh-CN"/>
                    </w:rPr>
                    <w:t>1</w:t>
                  </w:r>
                </w:p>
              </w:tc>
              <w:tc>
                <w:tcPr>
                  <w:tcW w:w="0" w:type="auto"/>
                  <w:tcBorders>
                    <w:tl2br w:val="nil"/>
                    <w:tr2bl w:val="nil"/>
                  </w:tcBorders>
                  <w:vAlign w:val="center"/>
                </w:tcPr>
                <w:p w14:paraId="62691AC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65EB64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26" w:type="dxa"/>
                  <w:tcBorders>
                    <w:tl2br w:val="nil"/>
                    <w:tr2bl w:val="nil"/>
                  </w:tcBorders>
                  <w:shd w:val="clear" w:color="auto" w:fill="auto"/>
                  <w:vAlign w:val="center"/>
                </w:tcPr>
                <w:p w14:paraId="3ACA1773">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34</w:t>
                  </w:r>
                </w:p>
              </w:tc>
              <w:tc>
                <w:tcPr>
                  <w:tcW w:w="0" w:type="auto"/>
                  <w:vMerge w:val="continue"/>
                  <w:tcBorders>
                    <w:tl2br w:val="nil"/>
                    <w:tr2bl w:val="nil"/>
                  </w:tcBorders>
                  <w:vAlign w:val="center"/>
                </w:tcPr>
                <w:p w14:paraId="27D9F9F8">
                  <w:pPr>
                    <w:keepNext w:val="0"/>
                    <w:keepLines w:val="0"/>
                    <w:widowControl/>
                    <w:suppressLineNumbers w:val="0"/>
                    <w:jc w:val="center"/>
                    <w:textAlignment w:val="center"/>
                    <w:rPr>
                      <w:rFonts w:hint="eastAsia" w:cs="Times New Roman"/>
                      <w:color w:val="auto"/>
                      <w:kern w:val="2"/>
                      <w:sz w:val="18"/>
                      <w:szCs w:val="18"/>
                      <w:lang w:val="en-US" w:eastAsia="zh-CN" w:bidi="ar-SA"/>
                    </w:rPr>
                  </w:pPr>
                </w:p>
              </w:tc>
              <w:tc>
                <w:tcPr>
                  <w:tcW w:w="882" w:type="dxa"/>
                  <w:vMerge w:val="continue"/>
                  <w:tcBorders>
                    <w:tl2br w:val="nil"/>
                    <w:tr2bl w:val="nil"/>
                  </w:tcBorders>
                  <w:shd w:val="clear" w:color="auto" w:fill="auto"/>
                  <w:vAlign w:val="center"/>
                </w:tcPr>
                <w:p w14:paraId="1B0AA5E2">
                  <w:pPr>
                    <w:keepNext w:val="0"/>
                    <w:keepLines w:val="0"/>
                    <w:widowControl/>
                    <w:suppressLineNumbers w:val="0"/>
                    <w:jc w:val="center"/>
                    <w:textAlignment w:val="center"/>
                    <w:rPr>
                      <w:rFonts w:hint="eastAsia" w:cs="Times New Roman"/>
                      <w:color w:val="auto"/>
                      <w:kern w:val="2"/>
                      <w:sz w:val="18"/>
                      <w:szCs w:val="18"/>
                      <w:lang w:val="en-US" w:eastAsia="zh-CN" w:bidi="ar-SA"/>
                    </w:rPr>
                  </w:pPr>
                </w:p>
              </w:tc>
              <w:tc>
                <w:tcPr>
                  <w:tcW w:w="0" w:type="auto"/>
                  <w:tcBorders>
                    <w:tl2br w:val="nil"/>
                    <w:tr2bl w:val="nil"/>
                  </w:tcBorders>
                  <w:shd w:val="clear" w:color="auto" w:fill="auto"/>
                  <w:vAlign w:val="center"/>
                </w:tcPr>
                <w:p w14:paraId="2208F24F">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矿粉筒仓</w:t>
                  </w:r>
                </w:p>
              </w:tc>
              <w:tc>
                <w:tcPr>
                  <w:tcW w:w="0" w:type="auto"/>
                  <w:tcBorders>
                    <w:tl2br w:val="nil"/>
                    <w:tr2bl w:val="nil"/>
                  </w:tcBorders>
                  <w:shd w:val="clear" w:color="auto" w:fill="auto"/>
                  <w:vAlign w:val="center"/>
                </w:tcPr>
                <w:p w14:paraId="0941DF49">
                  <w:pPr>
                    <w:keepNext w:val="0"/>
                    <w:keepLines w:val="0"/>
                    <w:widowControl/>
                    <w:suppressLineNumbers w:val="0"/>
                    <w:jc w:val="center"/>
                    <w:textAlignment w:val="center"/>
                    <w:rPr>
                      <w:rFonts w:hint="eastAsia" w:cs="Times New Roman"/>
                      <w:color w:val="auto"/>
                      <w:sz w:val="18"/>
                      <w:szCs w:val="18"/>
                      <w:lang w:val="en-US" w:eastAsia="zh-CN"/>
                    </w:rPr>
                  </w:pPr>
                  <w:r>
                    <w:rPr>
                      <w:sz w:val="18"/>
                      <w:szCs w:val="18"/>
                    </w:rPr>
                    <w:t>Φ</w:t>
                  </w:r>
                  <w:r>
                    <w:rPr>
                      <w:rFonts w:hint="eastAsia" w:cs="Times New Roman"/>
                      <w:color w:val="auto"/>
                      <w:sz w:val="18"/>
                      <w:szCs w:val="18"/>
                      <w:lang w:val="en-US" w:eastAsia="zh-CN"/>
                    </w:rPr>
                    <w:t>4000mm，200m</w:t>
                  </w:r>
                  <w:r>
                    <w:rPr>
                      <w:rFonts w:hint="eastAsia" w:cs="Times New Roman"/>
                      <w:color w:val="auto"/>
                      <w:sz w:val="18"/>
                      <w:szCs w:val="18"/>
                      <w:vertAlign w:val="superscript"/>
                      <w:lang w:val="en-US" w:eastAsia="zh-CN"/>
                    </w:rPr>
                    <w:t>3</w:t>
                  </w:r>
                </w:p>
              </w:tc>
              <w:tc>
                <w:tcPr>
                  <w:tcW w:w="0" w:type="auto"/>
                  <w:tcBorders>
                    <w:tl2br w:val="nil"/>
                    <w:tr2bl w:val="nil"/>
                  </w:tcBorders>
                  <w:shd w:val="clear" w:color="auto" w:fill="auto"/>
                  <w:vAlign w:val="center"/>
                </w:tcPr>
                <w:p w14:paraId="63A4B379">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1</w:t>
                  </w:r>
                </w:p>
              </w:tc>
              <w:tc>
                <w:tcPr>
                  <w:tcW w:w="0" w:type="auto"/>
                  <w:tcBorders>
                    <w:tl2br w:val="nil"/>
                    <w:tr2bl w:val="nil"/>
                  </w:tcBorders>
                  <w:vAlign w:val="center"/>
                </w:tcPr>
                <w:p w14:paraId="28D70DD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15F775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26" w:type="dxa"/>
                  <w:tcBorders>
                    <w:tl2br w:val="nil"/>
                    <w:tr2bl w:val="nil"/>
                  </w:tcBorders>
                  <w:shd w:val="clear" w:color="auto" w:fill="auto"/>
                  <w:vAlign w:val="center"/>
                </w:tcPr>
                <w:p w14:paraId="450199D6">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35</w:t>
                  </w:r>
                </w:p>
              </w:tc>
              <w:tc>
                <w:tcPr>
                  <w:tcW w:w="0" w:type="auto"/>
                  <w:vMerge w:val="continue"/>
                  <w:tcBorders>
                    <w:tl2br w:val="nil"/>
                    <w:tr2bl w:val="nil"/>
                  </w:tcBorders>
                  <w:vAlign w:val="center"/>
                </w:tcPr>
                <w:p w14:paraId="1F7F798C">
                  <w:pPr>
                    <w:keepNext w:val="0"/>
                    <w:keepLines w:val="0"/>
                    <w:widowControl/>
                    <w:suppressLineNumbers w:val="0"/>
                    <w:jc w:val="center"/>
                    <w:textAlignment w:val="center"/>
                    <w:rPr>
                      <w:rFonts w:hint="eastAsia" w:cs="Times New Roman"/>
                      <w:color w:val="auto"/>
                      <w:kern w:val="2"/>
                      <w:sz w:val="18"/>
                      <w:szCs w:val="18"/>
                      <w:lang w:val="en-US" w:eastAsia="zh-CN" w:bidi="ar-SA"/>
                    </w:rPr>
                  </w:pPr>
                </w:p>
              </w:tc>
              <w:tc>
                <w:tcPr>
                  <w:tcW w:w="0" w:type="auto"/>
                  <w:tcBorders>
                    <w:tl2br w:val="nil"/>
                    <w:tr2bl w:val="nil"/>
                  </w:tcBorders>
                  <w:shd w:val="clear" w:color="auto" w:fill="auto"/>
                  <w:vAlign w:val="center"/>
                </w:tcPr>
                <w:p w14:paraId="09EAF198">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外加剂</w:t>
                  </w:r>
                </w:p>
              </w:tc>
              <w:tc>
                <w:tcPr>
                  <w:tcW w:w="0" w:type="auto"/>
                  <w:tcBorders>
                    <w:tl2br w:val="nil"/>
                    <w:tr2bl w:val="nil"/>
                  </w:tcBorders>
                  <w:shd w:val="clear" w:color="auto" w:fill="auto"/>
                  <w:vAlign w:val="center"/>
                </w:tcPr>
                <w:p w14:paraId="66047B3B">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外加剂储罐</w:t>
                  </w:r>
                </w:p>
              </w:tc>
              <w:tc>
                <w:tcPr>
                  <w:tcW w:w="0" w:type="auto"/>
                  <w:tcBorders>
                    <w:tl2br w:val="nil"/>
                    <w:tr2bl w:val="nil"/>
                  </w:tcBorders>
                  <w:shd w:val="clear" w:color="auto" w:fill="auto"/>
                  <w:vAlign w:val="center"/>
                </w:tcPr>
                <w:p w14:paraId="77CFB9E3">
                  <w:pPr>
                    <w:keepNext w:val="0"/>
                    <w:keepLines w:val="0"/>
                    <w:widowControl/>
                    <w:suppressLineNumbers w:val="0"/>
                    <w:jc w:val="center"/>
                    <w:textAlignment w:val="center"/>
                    <w:rPr>
                      <w:rFonts w:hint="eastAsia" w:cs="Times New Roman"/>
                      <w:color w:val="auto"/>
                      <w:sz w:val="18"/>
                      <w:szCs w:val="18"/>
                      <w:lang w:val="en-US" w:eastAsia="zh-CN"/>
                    </w:rPr>
                  </w:pPr>
                  <w:r>
                    <w:rPr>
                      <w:sz w:val="18"/>
                      <w:szCs w:val="18"/>
                    </w:rPr>
                    <w:t>Φ1500mm，容量20m</w:t>
                  </w:r>
                  <w:r>
                    <w:rPr>
                      <w:sz w:val="18"/>
                      <w:szCs w:val="18"/>
                      <w:vertAlign w:val="superscript"/>
                    </w:rPr>
                    <w:t>3</w:t>
                  </w:r>
                </w:p>
              </w:tc>
              <w:tc>
                <w:tcPr>
                  <w:tcW w:w="0" w:type="auto"/>
                  <w:tcBorders>
                    <w:tl2br w:val="nil"/>
                    <w:tr2bl w:val="nil"/>
                  </w:tcBorders>
                  <w:shd w:val="clear" w:color="auto" w:fill="auto"/>
                  <w:vAlign w:val="center"/>
                </w:tcPr>
                <w:p w14:paraId="457AD302">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2</w:t>
                  </w:r>
                </w:p>
              </w:tc>
              <w:tc>
                <w:tcPr>
                  <w:tcW w:w="0" w:type="auto"/>
                  <w:tcBorders>
                    <w:tl2br w:val="nil"/>
                    <w:tr2bl w:val="nil"/>
                  </w:tcBorders>
                  <w:vAlign w:val="center"/>
                </w:tcPr>
                <w:p w14:paraId="0371A55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08B64E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26" w:type="dxa"/>
                  <w:tcBorders>
                    <w:tl2br w:val="nil"/>
                    <w:tr2bl w:val="nil"/>
                  </w:tcBorders>
                  <w:shd w:val="clear" w:color="auto" w:fill="auto"/>
                  <w:vAlign w:val="center"/>
                </w:tcPr>
                <w:p w14:paraId="2A078530">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36</w:t>
                  </w:r>
                </w:p>
              </w:tc>
              <w:tc>
                <w:tcPr>
                  <w:tcW w:w="0" w:type="auto"/>
                  <w:vMerge w:val="continue"/>
                  <w:tcBorders>
                    <w:tl2br w:val="nil"/>
                    <w:tr2bl w:val="nil"/>
                  </w:tcBorders>
                  <w:vAlign w:val="center"/>
                </w:tcPr>
                <w:p w14:paraId="647D0E1D">
                  <w:pPr>
                    <w:keepNext w:val="0"/>
                    <w:keepLines w:val="0"/>
                    <w:widowControl/>
                    <w:suppressLineNumbers w:val="0"/>
                    <w:jc w:val="center"/>
                    <w:textAlignment w:val="center"/>
                    <w:rPr>
                      <w:rFonts w:hint="eastAsia" w:cs="Times New Roman"/>
                      <w:color w:val="auto"/>
                      <w:kern w:val="2"/>
                      <w:sz w:val="18"/>
                      <w:szCs w:val="18"/>
                      <w:lang w:val="en-US" w:eastAsia="zh-CN" w:bidi="ar-SA"/>
                    </w:rPr>
                  </w:pPr>
                </w:p>
              </w:tc>
              <w:tc>
                <w:tcPr>
                  <w:tcW w:w="0" w:type="auto"/>
                  <w:tcBorders>
                    <w:tl2br w:val="nil"/>
                    <w:tr2bl w:val="nil"/>
                  </w:tcBorders>
                  <w:vAlign w:val="center"/>
                </w:tcPr>
                <w:p w14:paraId="31A91B8F">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石料仓</w:t>
                  </w:r>
                </w:p>
              </w:tc>
              <w:tc>
                <w:tcPr>
                  <w:tcW w:w="0" w:type="auto"/>
                  <w:tcBorders>
                    <w:tl2br w:val="nil"/>
                    <w:tr2bl w:val="nil"/>
                  </w:tcBorders>
                  <w:vAlign w:val="center"/>
                </w:tcPr>
                <w:p w14:paraId="577D98B0">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碎石料仓</w:t>
                  </w:r>
                </w:p>
              </w:tc>
              <w:tc>
                <w:tcPr>
                  <w:tcW w:w="0" w:type="auto"/>
                  <w:tcBorders>
                    <w:tl2br w:val="nil"/>
                    <w:tr2bl w:val="nil"/>
                  </w:tcBorders>
                  <w:vAlign w:val="center"/>
                </w:tcPr>
                <w:p w14:paraId="34D8B335">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单座15m</w:t>
                  </w:r>
                  <w:r>
                    <w:rPr>
                      <w:rFonts w:hint="eastAsia" w:cs="Times New Roman"/>
                      <w:color w:val="auto"/>
                      <w:sz w:val="18"/>
                      <w:szCs w:val="18"/>
                      <w:vertAlign w:val="superscript"/>
                      <w:lang w:val="en-US" w:eastAsia="zh-CN"/>
                    </w:rPr>
                    <w:t>3</w:t>
                  </w:r>
                </w:p>
              </w:tc>
              <w:tc>
                <w:tcPr>
                  <w:tcW w:w="0" w:type="auto"/>
                  <w:tcBorders>
                    <w:tl2br w:val="nil"/>
                    <w:tr2bl w:val="nil"/>
                  </w:tcBorders>
                  <w:vAlign w:val="center"/>
                </w:tcPr>
                <w:p w14:paraId="4D143DA4">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2</w:t>
                  </w:r>
                </w:p>
              </w:tc>
              <w:tc>
                <w:tcPr>
                  <w:tcW w:w="0" w:type="auto"/>
                  <w:tcBorders>
                    <w:tl2br w:val="nil"/>
                    <w:tr2bl w:val="nil"/>
                  </w:tcBorders>
                  <w:vAlign w:val="center"/>
                </w:tcPr>
                <w:p w14:paraId="073431F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0BC7AE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26" w:type="dxa"/>
                  <w:tcBorders>
                    <w:tl2br w:val="nil"/>
                    <w:tr2bl w:val="nil"/>
                  </w:tcBorders>
                  <w:shd w:val="clear" w:color="auto" w:fill="auto"/>
                  <w:vAlign w:val="center"/>
                </w:tcPr>
                <w:p w14:paraId="1ED5F1CB">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37</w:t>
                  </w:r>
                </w:p>
              </w:tc>
              <w:tc>
                <w:tcPr>
                  <w:tcW w:w="0" w:type="auto"/>
                  <w:vMerge w:val="continue"/>
                  <w:tcBorders>
                    <w:tl2br w:val="nil"/>
                    <w:tr2bl w:val="nil"/>
                  </w:tcBorders>
                  <w:vAlign w:val="center"/>
                </w:tcPr>
                <w:p w14:paraId="79DCC268">
                  <w:pPr>
                    <w:keepNext w:val="0"/>
                    <w:keepLines w:val="0"/>
                    <w:widowControl/>
                    <w:suppressLineNumbers w:val="0"/>
                    <w:jc w:val="center"/>
                    <w:textAlignment w:val="center"/>
                    <w:rPr>
                      <w:rFonts w:hint="eastAsia" w:cs="Times New Roman"/>
                      <w:color w:val="auto"/>
                      <w:kern w:val="2"/>
                      <w:sz w:val="18"/>
                      <w:szCs w:val="18"/>
                      <w:lang w:val="en-US" w:eastAsia="zh-CN" w:bidi="ar-SA"/>
                    </w:rPr>
                  </w:pPr>
                </w:p>
              </w:tc>
              <w:tc>
                <w:tcPr>
                  <w:tcW w:w="0" w:type="auto"/>
                  <w:tcBorders>
                    <w:tl2br w:val="nil"/>
                    <w:tr2bl w:val="nil"/>
                  </w:tcBorders>
                  <w:vAlign w:val="center"/>
                </w:tcPr>
                <w:p w14:paraId="0F511151">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搅拌</w:t>
                  </w:r>
                </w:p>
                <w:p w14:paraId="0780FA30">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机组</w:t>
                  </w:r>
                </w:p>
              </w:tc>
              <w:tc>
                <w:tcPr>
                  <w:tcW w:w="0" w:type="auto"/>
                  <w:tcBorders>
                    <w:tl2br w:val="nil"/>
                    <w:tr2bl w:val="nil"/>
                  </w:tcBorders>
                  <w:vAlign w:val="center"/>
                </w:tcPr>
                <w:p w14:paraId="6B4586AA">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混凝土土搅拌机组</w:t>
                  </w:r>
                </w:p>
              </w:tc>
              <w:tc>
                <w:tcPr>
                  <w:tcW w:w="0" w:type="auto"/>
                  <w:tcBorders>
                    <w:tl2br w:val="nil"/>
                    <w:tr2bl w:val="nil"/>
                  </w:tcBorders>
                  <w:vAlign w:val="center"/>
                </w:tcPr>
                <w:p w14:paraId="662C3B92">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HZS180型，生产能力100-180t/h</w:t>
                  </w:r>
                </w:p>
              </w:tc>
              <w:tc>
                <w:tcPr>
                  <w:tcW w:w="0" w:type="auto"/>
                  <w:tcBorders>
                    <w:tl2br w:val="nil"/>
                    <w:tr2bl w:val="nil"/>
                  </w:tcBorders>
                  <w:vAlign w:val="center"/>
                </w:tcPr>
                <w:p w14:paraId="0F371099">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1</w:t>
                  </w:r>
                </w:p>
              </w:tc>
              <w:tc>
                <w:tcPr>
                  <w:tcW w:w="0" w:type="auto"/>
                  <w:tcBorders>
                    <w:tl2br w:val="nil"/>
                    <w:tr2bl w:val="nil"/>
                  </w:tcBorders>
                  <w:vAlign w:val="center"/>
                </w:tcPr>
                <w:p w14:paraId="7AC3D6A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58644B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26" w:type="dxa"/>
                  <w:tcBorders>
                    <w:tl2br w:val="nil"/>
                    <w:tr2bl w:val="nil"/>
                  </w:tcBorders>
                  <w:shd w:val="clear" w:color="auto" w:fill="auto"/>
                  <w:vAlign w:val="center"/>
                </w:tcPr>
                <w:p w14:paraId="6E5E52E4">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38</w:t>
                  </w:r>
                </w:p>
              </w:tc>
              <w:tc>
                <w:tcPr>
                  <w:tcW w:w="0" w:type="auto"/>
                  <w:vMerge w:val="continue"/>
                  <w:tcBorders>
                    <w:tl2br w:val="nil"/>
                    <w:tr2bl w:val="nil"/>
                  </w:tcBorders>
                  <w:vAlign w:val="center"/>
                </w:tcPr>
                <w:p w14:paraId="6FAE4857">
                  <w:pPr>
                    <w:keepNext w:val="0"/>
                    <w:keepLines w:val="0"/>
                    <w:widowControl/>
                    <w:suppressLineNumbers w:val="0"/>
                    <w:jc w:val="center"/>
                    <w:textAlignment w:val="center"/>
                    <w:rPr>
                      <w:rFonts w:hint="eastAsia" w:cs="Times New Roman"/>
                      <w:color w:val="auto"/>
                      <w:kern w:val="2"/>
                      <w:sz w:val="18"/>
                      <w:szCs w:val="18"/>
                      <w:lang w:val="en-US" w:eastAsia="zh-CN" w:bidi="ar-SA"/>
                    </w:rPr>
                  </w:pPr>
                </w:p>
              </w:tc>
              <w:tc>
                <w:tcPr>
                  <w:tcW w:w="0" w:type="auto"/>
                  <w:vMerge w:val="restart"/>
                  <w:tcBorders>
                    <w:tl2br w:val="nil"/>
                    <w:tr2bl w:val="nil"/>
                  </w:tcBorders>
                  <w:vAlign w:val="center"/>
                </w:tcPr>
                <w:p w14:paraId="1BA60093">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输送</w:t>
                  </w:r>
                </w:p>
                <w:p w14:paraId="05C80A48">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系统</w:t>
                  </w:r>
                </w:p>
              </w:tc>
              <w:tc>
                <w:tcPr>
                  <w:tcW w:w="0" w:type="auto"/>
                  <w:tcBorders>
                    <w:tl2br w:val="nil"/>
                    <w:tr2bl w:val="nil"/>
                  </w:tcBorders>
                  <w:vAlign w:val="center"/>
                </w:tcPr>
                <w:p w14:paraId="3F9BFD11">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皮带输送机</w:t>
                  </w:r>
                </w:p>
              </w:tc>
              <w:tc>
                <w:tcPr>
                  <w:tcW w:w="0" w:type="auto"/>
                  <w:tcBorders>
                    <w:tl2br w:val="nil"/>
                    <w:tr2bl w:val="nil"/>
                  </w:tcBorders>
                  <w:vAlign w:val="center"/>
                </w:tcPr>
                <w:p w14:paraId="6662DE5A">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长25m，宽800mm，厚10mm，封闭式</w:t>
                  </w:r>
                </w:p>
              </w:tc>
              <w:tc>
                <w:tcPr>
                  <w:tcW w:w="0" w:type="auto"/>
                  <w:tcBorders>
                    <w:tl2br w:val="nil"/>
                    <w:tr2bl w:val="nil"/>
                  </w:tcBorders>
                  <w:vAlign w:val="center"/>
                </w:tcPr>
                <w:p w14:paraId="7FAF4B7D">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1</w:t>
                  </w:r>
                </w:p>
              </w:tc>
              <w:tc>
                <w:tcPr>
                  <w:tcW w:w="0" w:type="auto"/>
                  <w:tcBorders>
                    <w:tl2br w:val="nil"/>
                    <w:tr2bl w:val="nil"/>
                  </w:tcBorders>
                  <w:vAlign w:val="center"/>
                </w:tcPr>
                <w:p w14:paraId="4E657E6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6763D1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26" w:type="dxa"/>
                  <w:tcBorders>
                    <w:tl2br w:val="nil"/>
                    <w:tr2bl w:val="nil"/>
                  </w:tcBorders>
                  <w:shd w:val="clear" w:color="auto" w:fill="auto"/>
                  <w:vAlign w:val="center"/>
                </w:tcPr>
                <w:p w14:paraId="2FD1AF00">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39</w:t>
                  </w:r>
                </w:p>
              </w:tc>
              <w:tc>
                <w:tcPr>
                  <w:tcW w:w="0" w:type="auto"/>
                  <w:vMerge w:val="continue"/>
                  <w:tcBorders>
                    <w:tl2br w:val="nil"/>
                    <w:tr2bl w:val="nil"/>
                  </w:tcBorders>
                  <w:vAlign w:val="center"/>
                </w:tcPr>
                <w:p w14:paraId="7B4D69B3">
                  <w:pPr>
                    <w:keepNext w:val="0"/>
                    <w:keepLines w:val="0"/>
                    <w:widowControl/>
                    <w:suppressLineNumbers w:val="0"/>
                    <w:jc w:val="center"/>
                    <w:textAlignment w:val="center"/>
                    <w:rPr>
                      <w:rFonts w:hint="eastAsia" w:cs="Times New Roman"/>
                      <w:color w:val="auto"/>
                      <w:kern w:val="2"/>
                      <w:sz w:val="18"/>
                      <w:szCs w:val="18"/>
                      <w:lang w:val="en-US" w:eastAsia="zh-CN" w:bidi="ar-SA"/>
                    </w:rPr>
                  </w:pPr>
                </w:p>
              </w:tc>
              <w:tc>
                <w:tcPr>
                  <w:tcW w:w="0" w:type="auto"/>
                  <w:vMerge w:val="continue"/>
                  <w:tcBorders>
                    <w:tl2br w:val="nil"/>
                    <w:tr2bl w:val="nil"/>
                  </w:tcBorders>
                  <w:vAlign w:val="center"/>
                </w:tcPr>
                <w:p w14:paraId="0D2CF348">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p>
              </w:tc>
              <w:tc>
                <w:tcPr>
                  <w:tcW w:w="0" w:type="auto"/>
                  <w:tcBorders>
                    <w:tl2br w:val="nil"/>
                    <w:tr2bl w:val="nil"/>
                  </w:tcBorders>
                  <w:vAlign w:val="center"/>
                </w:tcPr>
                <w:p w14:paraId="4A416C67">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螺旋输送机</w:t>
                  </w:r>
                </w:p>
              </w:tc>
              <w:tc>
                <w:tcPr>
                  <w:tcW w:w="0" w:type="auto"/>
                  <w:tcBorders>
                    <w:tl2br w:val="nil"/>
                    <w:tr2bl w:val="nil"/>
                  </w:tcBorders>
                  <w:vAlign w:val="center"/>
                </w:tcPr>
                <w:p w14:paraId="783E82FD">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323</w:t>
                  </w:r>
                </w:p>
              </w:tc>
              <w:tc>
                <w:tcPr>
                  <w:tcW w:w="0" w:type="auto"/>
                  <w:tcBorders>
                    <w:tl2br w:val="nil"/>
                    <w:tr2bl w:val="nil"/>
                  </w:tcBorders>
                  <w:vAlign w:val="center"/>
                </w:tcPr>
                <w:p w14:paraId="2D1A3426">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4</w:t>
                  </w:r>
                </w:p>
              </w:tc>
              <w:tc>
                <w:tcPr>
                  <w:tcW w:w="0" w:type="auto"/>
                  <w:tcBorders>
                    <w:tl2br w:val="nil"/>
                    <w:tr2bl w:val="nil"/>
                  </w:tcBorders>
                  <w:vAlign w:val="center"/>
                </w:tcPr>
                <w:p w14:paraId="705C31E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34CAC4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26" w:type="dxa"/>
                  <w:tcBorders>
                    <w:tl2br w:val="nil"/>
                    <w:tr2bl w:val="nil"/>
                  </w:tcBorders>
                  <w:shd w:val="clear" w:color="auto" w:fill="auto"/>
                  <w:vAlign w:val="center"/>
                </w:tcPr>
                <w:p w14:paraId="0334A007">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40</w:t>
                  </w:r>
                </w:p>
              </w:tc>
              <w:tc>
                <w:tcPr>
                  <w:tcW w:w="0" w:type="auto"/>
                  <w:vMerge w:val="continue"/>
                  <w:tcBorders>
                    <w:tl2br w:val="nil"/>
                    <w:tr2bl w:val="nil"/>
                  </w:tcBorders>
                  <w:vAlign w:val="center"/>
                </w:tcPr>
                <w:p w14:paraId="541CB8EE">
                  <w:pPr>
                    <w:keepNext w:val="0"/>
                    <w:keepLines w:val="0"/>
                    <w:widowControl/>
                    <w:suppressLineNumbers w:val="0"/>
                    <w:jc w:val="center"/>
                    <w:textAlignment w:val="center"/>
                    <w:rPr>
                      <w:rFonts w:hint="eastAsia" w:cs="Times New Roman"/>
                      <w:color w:val="auto"/>
                      <w:kern w:val="2"/>
                      <w:sz w:val="18"/>
                      <w:szCs w:val="18"/>
                      <w:lang w:val="en-US" w:eastAsia="zh-CN" w:bidi="ar-SA"/>
                    </w:rPr>
                  </w:pPr>
                </w:p>
              </w:tc>
              <w:tc>
                <w:tcPr>
                  <w:tcW w:w="0" w:type="auto"/>
                  <w:tcBorders>
                    <w:tl2br w:val="nil"/>
                    <w:tr2bl w:val="nil"/>
                  </w:tcBorders>
                  <w:vAlign w:val="center"/>
                </w:tcPr>
                <w:p w14:paraId="5C8E6443">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成品</w:t>
                  </w:r>
                </w:p>
              </w:tc>
              <w:tc>
                <w:tcPr>
                  <w:tcW w:w="0" w:type="auto"/>
                  <w:tcBorders>
                    <w:tl2br w:val="nil"/>
                    <w:tr2bl w:val="nil"/>
                  </w:tcBorders>
                  <w:vAlign w:val="center"/>
                </w:tcPr>
                <w:p w14:paraId="2881CCED">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罐车、泵车</w:t>
                  </w:r>
                </w:p>
              </w:tc>
              <w:tc>
                <w:tcPr>
                  <w:tcW w:w="0" w:type="auto"/>
                  <w:tcBorders>
                    <w:tl2br w:val="nil"/>
                    <w:tr2bl w:val="nil"/>
                  </w:tcBorders>
                  <w:vAlign w:val="center"/>
                </w:tcPr>
                <w:p w14:paraId="0BC5272F">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成品直接装入罐车或泵车</w:t>
                  </w:r>
                </w:p>
              </w:tc>
              <w:tc>
                <w:tcPr>
                  <w:tcW w:w="0" w:type="auto"/>
                  <w:tcBorders>
                    <w:tl2br w:val="nil"/>
                    <w:tr2bl w:val="nil"/>
                  </w:tcBorders>
                  <w:vAlign w:val="center"/>
                </w:tcPr>
                <w:p w14:paraId="326AD2B7">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w:t>
                  </w:r>
                </w:p>
              </w:tc>
              <w:tc>
                <w:tcPr>
                  <w:tcW w:w="0" w:type="auto"/>
                  <w:tcBorders>
                    <w:tl2br w:val="nil"/>
                    <w:tr2bl w:val="nil"/>
                  </w:tcBorders>
                  <w:vAlign w:val="center"/>
                </w:tcPr>
                <w:p w14:paraId="4FC810D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5C9282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26" w:type="dxa"/>
                  <w:tcBorders>
                    <w:tl2br w:val="nil"/>
                    <w:tr2bl w:val="nil"/>
                  </w:tcBorders>
                  <w:shd w:val="clear" w:color="auto" w:fill="auto"/>
                  <w:vAlign w:val="center"/>
                </w:tcPr>
                <w:p w14:paraId="7177B103">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41</w:t>
                  </w:r>
                </w:p>
              </w:tc>
              <w:tc>
                <w:tcPr>
                  <w:tcW w:w="0" w:type="auto"/>
                  <w:vMerge w:val="continue"/>
                  <w:tcBorders>
                    <w:tl2br w:val="nil"/>
                    <w:tr2bl w:val="nil"/>
                  </w:tcBorders>
                  <w:vAlign w:val="center"/>
                </w:tcPr>
                <w:p w14:paraId="3B6FC6B6">
                  <w:pPr>
                    <w:keepNext w:val="0"/>
                    <w:keepLines w:val="0"/>
                    <w:widowControl/>
                    <w:suppressLineNumbers w:val="0"/>
                    <w:jc w:val="center"/>
                    <w:textAlignment w:val="center"/>
                    <w:rPr>
                      <w:rFonts w:hint="eastAsia" w:cs="Times New Roman"/>
                      <w:color w:val="auto"/>
                      <w:kern w:val="2"/>
                      <w:sz w:val="18"/>
                      <w:szCs w:val="18"/>
                      <w:lang w:val="en-US" w:eastAsia="zh-CN" w:bidi="ar-SA"/>
                    </w:rPr>
                  </w:pPr>
                </w:p>
              </w:tc>
              <w:tc>
                <w:tcPr>
                  <w:tcW w:w="0" w:type="auto"/>
                  <w:vMerge w:val="restart"/>
                  <w:tcBorders>
                    <w:tl2br w:val="nil"/>
                    <w:tr2bl w:val="nil"/>
                  </w:tcBorders>
                  <w:vAlign w:val="center"/>
                </w:tcPr>
                <w:p w14:paraId="7ABAD69E">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环保</w:t>
                  </w:r>
                </w:p>
                <w:p w14:paraId="1CD7A7D4">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设施</w:t>
                  </w:r>
                </w:p>
              </w:tc>
              <w:tc>
                <w:tcPr>
                  <w:tcW w:w="0" w:type="auto"/>
                  <w:tcBorders>
                    <w:tl2br w:val="nil"/>
                    <w:tr2bl w:val="nil"/>
                  </w:tcBorders>
                  <w:vAlign w:val="center"/>
                </w:tcPr>
                <w:p w14:paraId="30CA97F3">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袋式除尘器</w:t>
                  </w:r>
                </w:p>
              </w:tc>
              <w:tc>
                <w:tcPr>
                  <w:tcW w:w="0" w:type="auto"/>
                  <w:tcBorders>
                    <w:tl2br w:val="nil"/>
                    <w:tr2bl w:val="nil"/>
                  </w:tcBorders>
                  <w:vAlign w:val="center"/>
                </w:tcPr>
                <w:p w14:paraId="72D58FFC">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搅拌机组配套布袋除尘器，324袋</w:t>
                  </w:r>
                </w:p>
              </w:tc>
              <w:tc>
                <w:tcPr>
                  <w:tcW w:w="0" w:type="auto"/>
                  <w:tcBorders>
                    <w:tl2br w:val="nil"/>
                    <w:tr2bl w:val="nil"/>
                  </w:tcBorders>
                  <w:vAlign w:val="center"/>
                </w:tcPr>
                <w:p w14:paraId="06F96212">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1</w:t>
                  </w:r>
                </w:p>
              </w:tc>
              <w:tc>
                <w:tcPr>
                  <w:tcW w:w="0" w:type="auto"/>
                  <w:tcBorders>
                    <w:tl2br w:val="nil"/>
                    <w:tr2bl w:val="nil"/>
                  </w:tcBorders>
                  <w:vAlign w:val="center"/>
                </w:tcPr>
                <w:p w14:paraId="2A24216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065CE9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26" w:type="dxa"/>
                  <w:tcBorders>
                    <w:tl2br w:val="nil"/>
                    <w:tr2bl w:val="nil"/>
                  </w:tcBorders>
                  <w:shd w:val="clear" w:color="auto" w:fill="auto"/>
                  <w:vAlign w:val="center"/>
                </w:tcPr>
                <w:p w14:paraId="1169DAD9">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42</w:t>
                  </w:r>
                </w:p>
              </w:tc>
              <w:tc>
                <w:tcPr>
                  <w:tcW w:w="0" w:type="auto"/>
                  <w:vMerge w:val="continue"/>
                  <w:tcBorders>
                    <w:tl2br w:val="nil"/>
                    <w:tr2bl w:val="nil"/>
                  </w:tcBorders>
                  <w:vAlign w:val="center"/>
                </w:tcPr>
                <w:p w14:paraId="1974DFED">
                  <w:pPr>
                    <w:keepNext w:val="0"/>
                    <w:keepLines w:val="0"/>
                    <w:widowControl/>
                    <w:suppressLineNumbers w:val="0"/>
                    <w:jc w:val="center"/>
                    <w:textAlignment w:val="center"/>
                    <w:rPr>
                      <w:rFonts w:hint="eastAsia" w:cs="Times New Roman"/>
                      <w:color w:val="auto"/>
                      <w:kern w:val="2"/>
                      <w:sz w:val="18"/>
                      <w:szCs w:val="18"/>
                      <w:lang w:val="en-US" w:eastAsia="zh-CN" w:bidi="ar-SA"/>
                    </w:rPr>
                  </w:pPr>
                </w:p>
              </w:tc>
              <w:tc>
                <w:tcPr>
                  <w:tcW w:w="0" w:type="auto"/>
                  <w:vMerge w:val="continue"/>
                  <w:tcBorders>
                    <w:tl2br w:val="nil"/>
                    <w:tr2bl w:val="nil"/>
                  </w:tcBorders>
                  <w:vAlign w:val="center"/>
                </w:tcPr>
                <w:p w14:paraId="24AB5F8F">
                  <w:pPr>
                    <w:keepNext w:val="0"/>
                    <w:keepLines w:val="0"/>
                    <w:widowControl/>
                    <w:suppressLineNumbers w:val="0"/>
                    <w:jc w:val="center"/>
                    <w:textAlignment w:val="center"/>
                    <w:rPr>
                      <w:rFonts w:hint="eastAsia" w:cs="Times New Roman"/>
                      <w:color w:val="auto"/>
                      <w:kern w:val="2"/>
                      <w:sz w:val="18"/>
                      <w:szCs w:val="18"/>
                      <w:lang w:val="en-US" w:eastAsia="zh-CN" w:bidi="ar-SA"/>
                    </w:rPr>
                  </w:pPr>
                </w:p>
              </w:tc>
              <w:tc>
                <w:tcPr>
                  <w:tcW w:w="0" w:type="auto"/>
                  <w:tcBorders>
                    <w:tl2br w:val="nil"/>
                    <w:tr2bl w:val="nil"/>
                  </w:tcBorders>
                  <w:vAlign w:val="center"/>
                </w:tcPr>
                <w:p w14:paraId="6D299C15">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布袋除尘</w:t>
                  </w:r>
                </w:p>
                <w:p w14:paraId="0DCECEB8">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器风机</w:t>
                  </w:r>
                </w:p>
              </w:tc>
              <w:tc>
                <w:tcPr>
                  <w:tcW w:w="0" w:type="auto"/>
                  <w:tcBorders>
                    <w:tl2br w:val="nil"/>
                    <w:tr2bl w:val="nil"/>
                  </w:tcBorders>
                  <w:vAlign w:val="center"/>
                </w:tcPr>
                <w:p w14:paraId="286F9937">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50000m</w:t>
                  </w:r>
                  <w:r>
                    <w:rPr>
                      <w:rFonts w:hint="eastAsia" w:cs="Times New Roman"/>
                      <w:color w:val="auto"/>
                      <w:sz w:val="18"/>
                      <w:szCs w:val="18"/>
                      <w:vertAlign w:val="superscript"/>
                      <w:lang w:val="en-US" w:eastAsia="zh-CN"/>
                    </w:rPr>
                    <w:t>3</w:t>
                  </w:r>
                  <w:r>
                    <w:rPr>
                      <w:rFonts w:hint="eastAsia" w:cs="Times New Roman"/>
                      <w:color w:val="auto"/>
                      <w:sz w:val="18"/>
                      <w:szCs w:val="18"/>
                      <w:lang w:val="en-US" w:eastAsia="zh-CN"/>
                    </w:rPr>
                    <w:t>/h</w:t>
                  </w:r>
                </w:p>
              </w:tc>
              <w:tc>
                <w:tcPr>
                  <w:tcW w:w="0" w:type="auto"/>
                  <w:tcBorders>
                    <w:tl2br w:val="nil"/>
                    <w:tr2bl w:val="nil"/>
                  </w:tcBorders>
                  <w:vAlign w:val="center"/>
                </w:tcPr>
                <w:p w14:paraId="00B2D473">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1</w:t>
                  </w:r>
                </w:p>
              </w:tc>
              <w:tc>
                <w:tcPr>
                  <w:tcW w:w="0" w:type="auto"/>
                  <w:tcBorders>
                    <w:tl2br w:val="nil"/>
                    <w:tr2bl w:val="nil"/>
                  </w:tcBorders>
                  <w:vAlign w:val="center"/>
                </w:tcPr>
                <w:p w14:paraId="3F69400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221BB0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26" w:type="dxa"/>
                  <w:tcBorders>
                    <w:tl2br w:val="nil"/>
                    <w:tr2bl w:val="nil"/>
                  </w:tcBorders>
                  <w:shd w:val="clear" w:color="auto" w:fill="auto"/>
                  <w:vAlign w:val="center"/>
                </w:tcPr>
                <w:p w14:paraId="7DB74808">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43</w:t>
                  </w:r>
                </w:p>
              </w:tc>
              <w:tc>
                <w:tcPr>
                  <w:tcW w:w="0" w:type="auto"/>
                  <w:vMerge w:val="continue"/>
                  <w:tcBorders>
                    <w:tl2br w:val="nil"/>
                    <w:tr2bl w:val="nil"/>
                  </w:tcBorders>
                  <w:vAlign w:val="center"/>
                </w:tcPr>
                <w:p w14:paraId="4D65D98B">
                  <w:pPr>
                    <w:keepNext w:val="0"/>
                    <w:keepLines w:val="0"/>
                    <w:widowControl/>
                    <w:suppressLineNumbers w:val="0"/>
                    <w:jc w:val="center"/>
                    <w:textAlignment w:val="center"/>
                    <w:rPr>
                      <w:rFonts w:hint="eastAsia" w:cs="Times New Roman"/>
                      <w:color w:val="auto"/>
                      <w:kern w:val="2"/>
                      <w:sz w:val="18"/>
                      <w:szCs w:val="18"/>
                      <w:lang w:val="en-US" w:eastAsia="zh-CN" w:bidi="ar-SA"/>
                    </w:rPr>
                  </w:pPr>
                </w:p>
              </w:tc>
              <w:tc>
                <w:tcPr>
                  <w:tcW w:w="0" w:type="auto"/>
                  <w:vMerge w:val="continue"/>
                  <w:tcBorders>
                    <w:tl2br w:val="nil"/>
                    <w:tr2bl w:val="nil"/>
                  </w:tcBorders>
                  <w:vAlign w:val="center"/>
                </w:tcPr>
                <w:p w14:paraId="5BBE3248">
                  <w:pPr>
                    <w:keepNext w:val="0"/>
                    <w:keepLines w:val="0"/>
                    <w:widowControl/>
                    <w:suppressLineNumbers w:val="0"/>
                    <w:jc w:val="center"/>
                    <w:textAlignment w:val="center"/>
                    <w:rPr>
                      <w:rFonts w:hint="eastAsia" w:cs="Times New Roman"/>
                      <w:color w:val="auto"/>
                      <w:kern w:val="2"/>
                      <w:sz w:val="18"/>
                      <w:szCs w:val="18"/>
                      <w:lang w:val="en-US" w:eastAsia="zh-CN" w:bidi="ar-SA"/>
                    </w:rPr>
                  </w:pPr>
                </w:p>
              </w:tc>
              <w:tc>
                <w:tcPr>
                  <w:tcW w:w="0" w:type="auto"/>
                  <w:tcBorders>
                    <w:tl2br w:val="nil"/>
                    <w:tr2bl w:val="nil"/>
                  </w:tcBorders>
                  <w:vAlign w:val="center"/>
                </w:tcPr>
                <w:p w14:paraId="0ADCD365">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仓顶除尘</w:t>
                  </w:r>
                </w:p>
                <w:p w14:paraId="501FB963">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器风机</w:t>
                  </w:r>
                </w:p>
              </w:tc>
              <w:tc>
                <w:tcPr>
                  <w:tcW w:w="0" w:type="auto"/>
                  <w:tcBorders>
                    <w:tl2br w:val="nil"/>
                    <w:tr2bl w:val="nil"/>
                  </w:tcBorders>
                  <w:vAlign w:val="center"/>
                </w:tcPr>
                <w:p w14:paraId="049C899D">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1500m</w:t>
                  </w:r>
                  <w:r>
                    <w:rPr>
                      <w:rFonts w:hint="eastAsia" w:cs="Times New Roman"/>
                      <w:color w:val="auto"/>
                      <w:sz w:val="18"/>
                      <w:szCs w:val="18"/>
                      <w:vertAlign w:val="superscript"/>
                      <w:lang w:val="en-US" w:eastAsia="zh-CN"/>
                    </w:rPr>
                    <w:t>3</w:t>
                  </w:r>
                  <w:r>
                    <w:rPr>
                      <w:rFonts w:hint="eastAsia" w:cs="Times New Roman"/>
                      <w:color w:val="auto"/>
                      <w:sz w:val="18"/>
                      <w:szCs w:val="18"/>
                      <w:lang w:val="en-US" w:eastAsia="zh-CN"/>
                    </w:rPr>
                    <w:t>/h</w:t>
                  </w:r>
                </w:p>
              </w:tc>
              <w:tc>
                <w:tcPr>
                  <w:tcW w:w="0" w:type="auto"/>
                  <w:tcBorders>
                    <w:tl2br w:val="nil"/>
                    <w:tr2bl w:val="nil"/>
                  </w:tcBorders>
                  <w:vAlign w:val="center"/>
                </w:tcPr>
                <w:p w14:paraId="48911D0F">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2</w:t>
                  </w:r>
                </w:p>
              </w:tc>
              <w:tc>
                <w:tcPr>
                  <w:tcW w:w="0" w:type="auto"/>
                  <w:tcBorders>
                    <w:tl2br w:val="nil"/>
                    <w:tr2bl w:val="nil"/>
                  </w:tcBorders>
                  <w:vAlign w:val="center"/>
                </w:tcPr>
                <w:p w14:paraId="0DC64DA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741AAF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26" w:type="dxa"/>
                  <w:tcBorders>
                    <w:tl2br w:val="nil"/>
                    <w:tr2bl w:val="nil"/>
                  </w:tcBorders>
                  <w:shd w:val="clear" w:color="auto" w:fill="auto"/>
                  <w:vAlign w:val="center"/>
                </w:tcPr>
                <w:p w14:paraId="3B050612">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44</w:t>
                  </w:r>
                </w:p>
              </w:tc>
              <w:tc>
                <w:tcPr>
                  <w:tcW w:w="0" w:type="auto"/>
                  <w:vMerge w:val="continue"/>
                  <w:tcBorders>
                    <w:tl2br w:val="nil"/>
                    <w:tr2bl w:val="nil"/>
                  </w:tcBorders>
                  <w:vAlign w:val="center"/>
                </w:tcPr>
                <w:p w14:paraId="7EC7809D">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p>
              </w:tc>
              <w:tc>
                <w:tcPr>
                  <w:tcW w:w="0" w:type="auto"/>
                  <w:vMerge w:val="continue"/>
                  <w:tcBorders>
                    <w:tl2br w:val="nil"/>
                    <w:tr2bl w:val="nil"/>
                  </w:tcBorders>
                  <w:vAlign w:val="center"/>
                </w:tcPr>
                <w:p w14:paraId="747F0D8D">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p>
              </w:tc>
              <w:tc>
                <w:tcPr>
                  <w:tcW w:w="0" w:type="auto"/>
                  <w:tcBorders>
                    <w:tl2br w:val="nil"/>
                    <w:tr2bl w:val="nil"/>
                  </w:tcBorders>
                  <w:vAlign w:val="center"/>
                </w:tcPr>
                <w:p w14:paraId="129FD22E">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仓顶除尘器</w:t>
                  </w:r>
                </w:p>
              </w:tc>
              <w:tc>
                <w:tcPr>
                  <w:tcW w:w="0" w:type="auto"/>
                  <w:tcBorders>
                    <w:tl2br w:val="nil"/>
                    <w:tr2bl w:val="nil"/>
                  </w:tcBorders>
                  <w:vAlign w:val="center"/>
                </w:tcPr>
                <w:p w14:paraId="48477CB7">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仓顶脉冲除尘器BMC80</w:t>
                  </w:r>
                </w:p>
              </w:tc>
              <w:tc>
                <w:tcPr>
                  <w:tcW w:w="0" w:type="auto"/>
                  <w:tcBorders>
                    <w:tl2br w:val="nil"/>
                    <w:tr2bl w:val="nil"/>
                  </w:tcBorders>
                  <w:vAlign w:val="center"/>
                </w:tcPr>
                <w:p w14:paraId="3DC63684">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4</w:t>
                  </w:r>
                </w:p>
              </w:tc>
              <w:tc>
                <w:tcPr>
                  <w:tcW w:w="0" w:type="auto"/>
                  <w:tcBorders>
                    <w:tl2br w:val="nil"/>
                    <w:tr2bl w:val="nil"/>
                  </w:tcBorders>
                  <w:vAlign w:val="center"/>
                </w:tcPr>
                <w:p w14:paraId="1848A76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1A2A7E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26" w:type="dxa"/>
                  <w:tcBorders>
                    <w:tl2br w:val="nil"/>
                    <w:tr2bl w:val="nil"/>
                  </w:tcBorders>
                  <w:shd w:val="clear" w:color="auto" w:fill="auto"/>
                  <w:vAlign w:val="center"/>
                </w:tcPr>
                <w:p w14:paraId="34E06809">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45</w:t>
                  </w:r>
                </w:p>
              </w:tc>
              <w:tc>
                <w:tcPr>
                  <w:tcW w:w="370" w:type="dxa"/>
                  <w:vMerge w:val="restart"/>
                  <w:tcBorders>
                    <w:tl2br w:val="nil"/>
                    <w:tr2bl w:val="nil"/>
                  </w:tcBorders>
                  <w:vAlign w:val="center"/>
                </w:tcPr>
                <w:p w14:paraId="52A28A53">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水稳土生产单元</w:t>
                  </w:r>
                </w:p>
              </w:tc>
              <w:tc>
                <w:tcPr>
                  <w:tcW w:w="882" w:type="dxa"/>
                  <w:tcBorders>
                    <w:tl2br w:val="nil"/>
                    <w:tr2bl w:val="nil"/>
                  </w:tcBorders>
                  <w:vAlign w:val="center"/>
                </w:tcPr>
                <w:p w14:paraId="4121A693">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粉料供应系统</w:t>
                  </w:r>
                </w:p>
              </w:tc>
              <w:tc>
                <w:tcPr>
                  <w:tcW w:w="1246" w:type="dxa"/>
                  <w:tcBorders>
                    <w:tl2br w:val="nil"/>
                    <w:tr2bl w:val="nil"/>
                  </w:tcBorders>
                  <w:vAlign w:val="center"/>
                </w:tcPr>
                <w:p w14:paraId="7F0F6890">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水泥筒仓</w:t>
                  </w:r>
                </w:p>
              </w:tc>
              <w:tc>
                <w:tcPr>
                  <w:tcW w:w="4145" w:type="dxa"/>
                  <w:tcBorders>
                    <w:tl2br w:val="nil"/>
                    <w:tr2bl w:val="nil"/>
                  </w:tcBorders>
                  <w:vAlign w:val="center"/>
                </w:tcPr>
                <w:p w14:paraId="62B4F1F2">
                  <w:pPr>
                    <w:keepNext w:val="0"/>
                    <w:keepLines w:val="0"/>
                    <w:widowControl/>
                    <w:suppressLineNumbers w:val="0"/>
                    <w:jc w:val="center"/>
                    <w:textAlignment w:val="center"/>
                    <w:rPr>
                      <w:rFonts w:hint="eastAsia" w:cs="Times New Roman"/>
                      <w:color w:val="auto"/>
                      <w:sz w:val="18"/>
                      <w:szCs w:val="18"/>
                      <w:lang w:val="en-US" w:eastAsia="zh-CN"/>
                    </w:rPr>
                  </w:pPr>
                  <w:r>
                    <w:rPr>
                      <w:rFonts w:hint="eastAsia" w:cs="Times New Roman"/>
                      <w:color w:val="auto"/>
                      <w:sz w:val="18"/>
                      <w:szCs w:val="18"/>
                      <w:lang w:val="en-US" w:eastAsia="zh-CN"/>
                    </w:rPr>
                    <w:t>100m</w:t>
                  </w:r>
                  <w:r>
                    <w:rPr>
                      <w:rFonts w:hint="eastAsia" w:cs="Times New Roman"/>
                      <w:color w:val="auto"/>
                      <w:sz w:val="18"/>
                      <w:szCs w:val="18"/>
                      <w:vertAlign w:val="superscript"/>
                      <w:lang w:val="en-US" w:eastAsia="zh-CN"/>
                    </w:rPr>
                    <w:t>3</w:t>
                  </w:r>
                </w:p>
              </w:tc>
              <w:tc>
                <w:tcPr>
                  <w:tcW w:w="703" w:type="dxa"/>
                  <w:tcBorders>
                    <w:tl2br w:val="nil"/>
                    <w:tr2bl w:val="nil"/>
                  </w:tcBorders>
                  <w:vAlign w:val="center"/>
                </w:tcPr>
                <w:p w14:paraId="6807724D">
                  <w:pPr>
                    <w:keepNext w:val="0"/>
                    <w:keepLines w:val="0"/>
                    <w:widowControl/>
                    <w:suppressLineNumbers w:val="0"/>
                    <w:jc w:val="center"/>
                    <w:textAlignment w:val="center"/>
                    <w:rPr>
                      <w:rFonts w:hint="eastAsia" w:cs="Times New Roman"/>
                      <w:color w:val="auto"/>
                      <w:sz w:val="18"/>
                      <w:szCs w:val="18"/>
                      <w:lang w:val="en-US" w:eastAsia="zh-CN"/>
                    </w:rPr>
                  </w:pPr>
                  <w:r>
                    <w:rPr>
                      <w:rFonts w:hint="eastAsia" w:cs="Times New Roman"/>
                      <w:color w:val="auto"/>
                      <w:sz w:val="18"/>
                      <w:szCs w:val="18"/>
                      <w:lang w:val="en-US" w:eastAsia="zh-CN"/>
                    </w:rPr>
                    <w:t>1</w:t>
                  </w:r>
                </w:p>
              </w:tc>
              <w:tc>
                <w:tcPr>
                  <w:tcW w:w="0" w:type="auto"/>
                  <w:tcBorders>
                    <w:tl2br w:val="nil"/>
                    <w:tr2bl w:val="nil"/>
                  </w:tcBorders>
                  <w:vAlign w:val="center"/>
                </w:tcPr>
                <w:p w14:paraId="4923837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7950F7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26" w:type="dxa"/>
                  <w:tcBorders>
                    <w:tl2br w:val="nil"/>
                    <w:tr2bl w:val="nil"/>
                  </w:tcBorders>
                  <w:shd w:val="clear" w:color="auto" w:fill="auto"/>
                  <w:vAlign w:val="center"/>
                </w:tcPr>
                <w:p w14:paraId="05BF1E60">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46</w:t>
                  </w:r>
                </w:p>
              </w:tc>
              <w:tc>
                <w:tcPr>
                  <w:tcW w:w="370" w:type="dxa"/>
                  <w:vMerge w:val="continue"/>
                  <w:tcBorders>
                    <w:tl2br w:val="nil"/>
                    <w:tr2bl w:val="nil"/>
                  </w:tcBorders>
                  <w:vAlign w:val="center"/>
                </w:tcPr>
                <w:p w14:paraId="27DDE744">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p>
              </w:tc>
              <w:tc>
                <w:tcPr>
                  <w:tcW w:w="882" w:type="dxa"/>
                  <w:tcBorders>
                    <w:tl2br w:val="nil"/>
                    <w:tr2bl w:val="nil"/>
                  </w:tcBorders>
                  <w:vAlign w:val="center"/>
                </w:tcPr>
                <w:p w14:paraId="76757AD6">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石料仓</w:t>
                  </w:r>
                </w:p>
              </w:tc>
              <w:tc>
                <w:tcPr>
                  <w:tcW w:w="1246" w:type="dxa"/>
                  <w:tcBorders>
                    <w:tl2br w:val="nil"/>
                    <w:tr2bl w:val="nil"/>
                  </w:tcBorders>
                  <w:vAlign w:val="center"/>
                </w:tcPr>
                <w:p w14:paraId="572327D6">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碎石料仓</w:t>
                  </w:r>
                </w:p>
              </w:tc>
              <w:tc>
                <w:tcPr>
                  <w:tcW w:w="4145" w:type="dxa"/>
                  <w:tcBorders>
                    <w:tl2br w:val="nil"/>
                    <w:tr2bl w:val="nil"/>
                  </w:tcBorders>
                  <w:vAlign w:val="center"/>
                </w:tcPr>
                <w:p w14:paraId="634B0040">
                  <w:pPr>
                    <w:keepNext w:val="0"/>
                    <w:keepLines w:val="0"/>
                    <w:widowControl/>
                    <w:suppressLineNumbers w:val="0"/>
                    <w:jc w:val="center"/>
                    <w:textAlignment w:val="center"/>
                    <w:rPr>
                      <w:rFonts w:hint="eastAsia" w:cs="Times New Roman"/>
                      <w:color w:val="auto"/>
                      <w:sz w:val="18"/>
                      <w:szCs w:val="18"/>
                      <w:lang w:val="en-US" w:eastAsia="zh-CN"/>
                    </w:rPr>
                  </w:pPr>
                  <w:r>
                    <w:rPr>
                      <w:rFonts w:hint="eastAsia" w:cs="Times New Roman"/>
                      <w:color w:val="auto"/>
                      <w:sz w:val="18"/>
                      <w:szCs w:val="18"/>
                      <w:lang w:val="en-US" w:eastAsia="zh-CN"/>
                    </w:rPr>
                    <w:t>单座15m</w:t>
                  </w:r>
                  <w:r>
                    <w:rPr>
                      <w:rFonts w:hint="eastAsia" w:cs="Times New Roman"/>
                      <w:color w:val="auto"/>
                      <w:sz w:val="18"/>
                      <w:szCs w:val="18"/>
                      <w:vertAlign w:val="superscript"/>
                      <w:lang w:val="en-US" w:eastAsia="zh-CN"/>
                    </w:rPr>
                    <w:t>3</w:t>
                  </w:r>
                </w:p>
              </w:tc>
              <w:tc>
                <w:tcPr>
                  <w:tcW w:w="703" w:type="dxa"/>
                  <w:tcBorders>
                    <w:tl2br w:val="nil"/>
                    <w:tr2bl w:val="nil"/>
                  </w:tcBorders>
                  <w:vAlign w:val="center"/>
                </w:tcPr>
                <w:p w14:paraId="2B7BA380">
                  <w:pPr>
                    <w:keepNext w:val="0"/>
                    <w:keepLines w:val="0"/>
                    <w:widowControl/>
                    <w:suppressLineNumbers w:val="0"/>
                    <w:jc w:val="center"/>
                    <w:textAlignment w:val="center"/>
                    <w:rPr>
                      <w:rFonts w:hint="eastAsia" w:cs="Times New Roman"/>
                      <w:color w:val="auto"/>
                      <w:sz w:val="18"/>
                      <w:szCs w:val="18"/>
                      <w:lang w:val="en-US" w:eastAsia="zh-CN"/>
                    </w:rPr>
                  </w:pPr>
                  <w:r>
                    <w:rPr>
                      <w:rFonts w:hint="eastAsia" w:cs="Times New Roman"/>
                      <w:color w:val="auto"/>
                      <w:sz w:val="18"/>
                      <w:szCs w:val="18"/>
                      <w:lang w:val="en-US" w:eastAsia="zh-CN"/>
                    </w:rPr>
                    <w:t>4</w:t>
                  </w:r>
                </w:p>
              </w:tc>
              <w:tc>
                <w:tcPr>
                  <w:tcW w:w="0" w:type="auto"/>
                  <w:tcBorders>
                    <w:tl2br w:val="nil"/>
                    <w:tr2bl w:val="nil"/>
                  </w:tcBorders>
                  <w:vAlign w:val="center"/>
                </w:tcPr>
                <w:p w14:paraId="2579E16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4D8985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26" w:type="dxa"/>
                  <w:tcBorders>
                    <w:tl2br w:val="nil"/>
                    <w:tr2bl w:val="nil"/>
                  </w:tcBorders>
                  <w:shd w:val="clear" w:color="auto" w:fill="auto"/>
                  <w:vAlign w:val="center"/>
                </w:tcPr>
                <w:p w14:paraId="7B1D97F6">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47</w:t>
                  </w:r>
                </w:p>
              </w:tc>
              <w:tc>
                <w:tcPr>
                  <w:tcW w:w="370" w:type="dxa"/>
                  <w:vMerge w:val="continue"/>
                  <w:tcBorders>
                    <w:tl2br w:val="nil"/>
                    <w:tr2bl w:val="nil"/>
                  </w:tcBorders>
                  <w:vAlign w:val="center"/>
                </w:tcPr>
                <w:p w14:paraId="579C2285">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p>
              </w:tc>
              <w:tc>
                <w:tcPr>
                  <w:tcW w:w="882" w:type="dxa"/>
                  <w:tcBorders>
                    <w:tl2br w:val="nil"/>
                    <w:tr2bl w:val="nil"/>
                  </w:tcBorders>
                  <w:vAlign w:val="center"/>
                </w:tcPr>
                <w:p w14:paraId="61AB1AEC">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搅拌</w:t>
                  </w:r>
                </w:p>
                <w:p w14:paraId="2F7C157D">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机组</w:t>
                  </w:r>
                </w:p>
              </w:tc>
              <w:tc>
                <w:tcPr>
                  <w:tcW w:w="1246" w:type="dxa"/>
                  <w:tcBorders>
                    <w:tl2br w:val="nil"/>
                    <w:tr2bl w:val="nil"/>
                  </w:tcBorders>
                  <w:vAlign w:val="center"/>
                </w:tcPr>
                <w:p w14:paraId="44D76434">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水稳土搅拌机组</w:t>
                  </w:r>
                </w:p>
              </w:tc>
              <w:tc>
                <w:tcPr>
                  <w:tcW w:w="4145" w:type="dxa"/>
                  <w:tcBorders>
                    <w:tl2br w:val="nil"/>
                    <w:tr2bl w:val="nil"/>
                  </w:tcBorders>
                  <w:vAlign w:val="center"/>
                </w:tcPr>
                <w:p w14:paraId="617D0A5A">
                  <w:pPr>
                    <w:keepNext w:val="0"/>
                    <w:keepLines w:val="0"/>
                    <w:widowControl/>
                    <w:suppressLineNumbers w:val="0"/>
                    <w:jc w:val="center"/>
                    <w:textAlignment w:val="center"/>
                    <w:rPr>
                      <w:rFonts w:hint="eastAsia"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WBZ600型</w:t>
                  </w:r>
                  <w:r>
                    <w:rPr>
                      <w:rFonts w:hint="eastAsia" w:cs="Times New Roman"/>
                      <w:color w:val="auto"/>
                      <w:sz w:val="18"/>
                      <w:szCs w:val="18"/>
                      <w:lang w:val="en-US" w:eastAsia="zh-CN"/>
                    </w:rPr>
                    <w:t>，生产能力100-150t/h</w:t>
                  </w:r>
                </w:p>
              </w:tc>
              <w:tc>
                <w:tcPr>
                  <w:tcW w:w="703" w:type="dxa"/>
                  <w:tcBorders>
                    <w:tl2br w:val="nil"/>
                    <w:tr2bl w:val="nil"/>
                  </w:tcBorders>
                  <w:vAlign w:val="center"/>
                </w:tcPr>
                <w:p w14:paraId="11ADD8C1">
                  <w:pPr>
                    <w:keepNext w:val="0"/>
                    <w:keepLines w:val="0"/>
                    <w:widowControl/>
                    <w:suppressLineNumbers w:val="0"/>
                    <w:jc w:val="center"/>
                    <w:textAlignment w:val="center"/>
                    <w:rPr>
                      <w:rFonts w:hint="eastAsia" w:cs="Times New Roman"/>
                      <w:color w:val="auto"/>
                      <w:sz w:val="18"/>
                      <w:szCs w:val="18"/>
                      <w:lang w:val="en-US" w:eastAsia="zh-CN"/>
                    </w:rPr>
                  </w:pPr>
                  <w:r>
                    <w:rPr>
                      <w:rFonts w:hint="eastAsia" w:cs="Times New Roman"/>
                      <w:color w:val="auto"/>
                      <w:sz w:val="18"/>
                      <w:szCs w:val="18"/>
                      <w:lang w:val="en-US" w:eastAsia="zh-CN"/>
                    </w:rPr>
                    <w:t>1</w:t>
                  </w:r>
                </w:p>
              </w:tc>
              <w:tc>
                <w:tcPr>
                  <w:tcW w:w="0" w:type="auto"/>
                  <w:tcBorders>
                    <w:tl2br w:val="nil"/>
                    <w:tr2bl w:val="nil"/>
                  </w:tcBorders>
                  <w:vAlign w:val="center"/>
                </w:tcPr>
                <w:p w14:paraId="346DADF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364E7E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26" w:type="dxa"/>
                  <w:tcBorders>
                    <w:tl2br w:val="nil"/>
                    <w:tr2bl w:val="nil"/>
                  </w:tcBorders>
                  <w:shd w:val="clear" w:color="auto" w:fill="auto"/>
                  <w:vAlign w:val="center"/>
                </w:tcPr>
                <w:p w14:paraId="7A4ADD54">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48</w:t>
                  </w:r>
                </w:p>
              </w:tc>
              <w:tc>
                <w:tcPr>
                  <w:tcW w:w="370" w:type="dxa"/>
                  <w:vMerge w:val="continue"/>
                  <w:tcBorders>
                    <w:tl2br w:val="nil"/>
                    <w:tr2bl w:val="nil"/>
                  </w:tcBorders>
                  <w:vAlign w:val="center"/>
                </w:tcPr>
                <w:p w14:paraId="04D39A18">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p>
              </w:tc>
              <w:tc>
                <w:tcPr>
                  <w:tcW w:w="882" w:type="dxa"/>
                  <w:vMerge w:val="restart"/>
                  <w:tcBorders>
                    <w:tl2br w:val="nil"/>
                    <w:tr2bl w:val="nil"/>
                  </w:tcBorders>
                  <w:vAlign w:val="center"/>
                </w:tcPr>
                <w:p w14:paraId="51C19E27">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输送</w:t>
                  </w:r>
                </w:p>
                <w:p w14:paraId="4DDBE1A5">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系统</w:t>
                  </w:r>
                </w:p>
              </w:tc>
              <w:tc>
                <w:tcPr>
                  <w:tcW w:w="1246" w:type="dxa"/>
                  <w:tcBorders>
                    <w:tl2br w:val="nil"/>
                    <w:tr2bl w:val="nil"/>
                  </w:tcBorders>
                  <w:vAlign w:val="center"/>
                </w:tcPr>
                <w:p w14:paraId="39A6342C">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皮带输送机</w:t>
                  </w:r>
                </w:p>
              </w:tc>
              <w:tc>
                <w:tcPr>
                  <w:tcW w:w="4145" w:type="dxa"/>
                  <w:tcBorders>
                    <w:tl2br w:val="nil"/>
                    <w:tr2bl w:val="nil"/>
                  </w:tcBorders>
                  <w:vAlign w:val="center"/>
                </w:tcPr>
                <w:p w14:paraId="1891A359">
                  <w:pPr>
                    <w:keepNext w:val="0"/>
                    <w:keepLines w:val="0"/>
                    <w:widowControl/>
                    <w:suppressLineNumbers w:val="0"/>
                    <w:jc w:val="center"/>
                    <w:textAlignment w:val="center"/>
                    <w:rPr>
                      <w:rFonts w:hint="eastAsia" w:cs="Times New Roman"/>
                      <w:color w:val="auto"/>
                      <w:sz w:val="18"/>
                      <w:szCs w:val="18"/>
                      <w:lang w:val="en-US" w:eastAsia="zh-CN"/>
                    </w:rPr>
                  </w:pPr>
                  <w:r>
                    <w:rPr>
                      <w:rFonts w:hint="eastAsia" w:cs="Times New Roman"/>
                      <w:color w:val="auto"/>
                      <w:sz w:val="18"/>
                      <w:szCs w:val="18"/>
                      <w:lang w:val="en-US" w:eastAsia="zh-CN"/>
                    </w:rPr>
                    <w:t>长25m，宽800mm，厚10mm，封闭式</w:t>
                  </w:r>
                </w:p>
              </w:tc>
              <w:tc>
                <w:tcPr>
                  <w:tcW w:w="703" w:type="dxa"/>
                  <w:tcBorders>
                    <w:tl2br w:val="nil"/>
                    <w:tr2bl w:val="nil"/>
                  </w:tcBorders>
                  <w:vAlign w:val="center"/>
                </w:tcPr>
                <w:p w14:paraId="13639DBF">
                  <w:pPr>
                    <w:keepNext w:val="0"/>
                    <w:keepLines w:val="0"/>
                    <w:widowControl/>
                    <w:suppressLineNumbers w:val="0"/>
                    <w:jc w:val="center"/>
                    <w:textAlignment w:val="center"/>
                    <w:rPr>
                      <w:rFonts w:hint="eastAsia" w:cs="Times New Roman"/>
                      <w:color w:val="auto"/>
                      <w:sz w:val="18"/>
                      <w:szCs w:val="18"/>
                      <w:lang w:val="en-US" w:eastAsia="zh-CN"/>
                    </w:rPr>
                  </w:pPr>
                  <w:r>
                    <w:rPr>
                      <w:rFonts w:hint="eastAsia" w:cs="Times New Roman"/>
                      <w:color w:val="auto"/>
                      <w:sz w:val="18"/>
                      <w:szCs w:val="18"/>
                      <w:lang w:val="en-US" w:eastAsia="zh-CN"/>
                    </w:rPr>
                    <w:t>1</w:t>
                  </w:r>
                </w:p>
              </w:tc>
              <w:tc>
                <w:tcPr>
                  <w:tcW w:w="0" w:type="auto"/>
                  <w:tcBorders>
                    <w:tl2br w:val="nil"/>
                    <w:tr2bl w:val="nil"/>
                  </w:tcBorders>
                  <w:vAlign w:val="center"/>
                </w:tcPr>
                <w:p w14:paraId="4079B53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152F0D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26" w:type="dxa"/>
                  <w:tcBorders>
                    <w:tl2br w:val="nil"/>
                    <w:tr2bl w:val="nil"/>
                  </w:tcBorders>
                  <w:shd w:val="clear" w:color="auto" w:fill="auto"/>
                  <w:vAlign w:val="center"/>
                </w:tcPr>
                <w:p w14:paraId="6751F5A1">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49</w:t>
                  </w:r>
                </w:p>
              </w:tc>
              <w:tc>
                <w:tcPr>
                  <w:tcW w:w="370" w:type="dxa"/>
                  <w:vMerge w:val="continue"/>
                  <w:tcBorders>
                    <w:tl2br w:val="nil"/>
                    <w:tr2bl w:val="nil"/>
                  </w:tcBorders>
                  <w:vAlign w:val="center"/>
                </w:tcPr>
                <w:p w14:paraId="4917DF2D">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p>
              </w:tc>
              <w:tc>
                <w:tcPr>
                  <w:tcW w:w="882" w:type="dxa"/>
                  <w:vMerge w:val="continue"/>
                  <w:tcBorders>
                    <w:tl2br w:val="nil"/>
                    <w:tr2bl w:val="nil"/>
                  </w:tcBorders>
                  <w:vAlign w:val="center"/>
                </w:tcPr>
                <w:p w14:paraId="1B92268D">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p>
              </w:tc>
              <w:tc>
                <w:tcPr>
                  <w:tcW w:w="1246" w:type="dxa"/>
                  <w:tcBorders>
                    <w:tl2br w:val="nil"/>
                    <w:tr2bl w:val="nil"/>
                  </w:tcBorders>
                  <w:vAlign w:val="center"/>
                </w:tcPr>
                <w:p w14:paraId="0549DE42">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螺旋输送机</w:t>
                  </w:r>
                </w:p>
              </w:tc>
              <w:tc>
                <w:tcPr>
                  <w:tcW w:w="4145" w:type="dxa"/>
                  <w:tcBorders>
                    <w:tl2br w:val="nil"/>
                    <w:tr2bl w:val="nil"/>
                  </w:tcBorders>
                  <w:vAlign w:val="center"/>
                </w:tcPr>
                <w:p w14:paraId="5A1CAF35">
                  <w:pPr>
                    <w:keepNext w:val="0"/>
                    <w:keepLines w:val="0"/>
                    <w:widowControl/>
                    <w:suppressLineNumbers w:val="0"/>
                    <w:jc w:val="center"/>
                    <w:textAlignment w:val="center"/>
                    <w:rPr>
                      <w:rFonts w:hint="eastAsia" w:cs="Times New Roman"/>
                      <w:color w:val="auto"/>
                      <w:sz w:val="18"/>
                      <w:szCs w:val="18"/>
                      <w:lang w:val="en-US" w:eastAsia="zh-CN"/>
                    </w:rPr>
                  </w:pPr>
                </w:p>
              </w:tc>
              <w:tc>
                <w:tcPr>
                  <w:tcW w:w="703" w:type="dxa"/>
                  <w:tcBorders>
                    <w:tl2br w:val="nil"/>
                    <w:tr2bl w:val="nil"/>
                  </w:tcBorders>
                  <w:vAlign w:val="center"/>
                </w:tcPr>
                <w:p w14:paraId="2D85CA6A">
                  <w:pPr>
                    <w:keepNext w:val="0"/>
                    <w:keepLines w:val="0"/>
                    <w:widowControl/>
                    <w:suppressLineNumbers w:val="0"/>
                    <w:jc w:val="center"/>
                    <w:textAlignment w:val="center"/>
                    <w:rPr>
                      <w:rFonts w:hint="eastAsia" w:cs="Times New Roman"/>
                      <w:color w:val="auto"/>
                      <w:sz w:val="18"/>
                      <w:szCs w:val="18"/>
                      <w:lang w:val="en-US" w:eastAsia="zh-CN"/>
                    </w:rPr>
                  </w:pPr>
                  <w:r>
                    <w:rPr>
                      <w:rFonts w:hint="eastAsia" w:cs="Times New Roman"/>
                      <w:color w:val="auto"/>
                      <w:sz w:val="18"/>
                      <w:szCs w:val="18"/>
                      <w:lang w:val="en-US" w:eastAsia="zh-CN"/>
                    </w:rPr>
                    <w:t>2</w:t>
                  </w:r>
                </w:p>
              </w:tc>
              <w:tc>
                <w:tcPr>
                  <w:tcW w:w="0" w:type="auto"/>
                  <w:tcBorders>
                    <w:tl2br w:val="nil"/>
                    <w:tr2bl w:val="nil"/>
                  </w:tcBorders>
                  <w:vAlign w:val="center"/>
                </w:tcPr>
                <w:p w14:paraId="7936067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1B2138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26" w:type="dxa"/>
                  <w:tcBorders>
                    <w:tl2br w:val="nil"/>
                    <w:tr2bl w:val="nil"/>
                  </w:tcBorders>
                  <w:shd w:val="clear" w:color="auto" w:fill="auto"/>
                  <w:vAlign w:val="center"/>
                </w:tcPr>
                <w:p w14:paraId="32ED3158">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50</w:t>
                  </w:r>
                </w:p>
              </w:tc>
              <w:tc>
                <w:tcPr>
                  <w:tcW w:w="370" w:type="dxa"/>
                  <w:vMerge w:val="continue"/>
                  <w:tcBorders>
                    <w:tl2br w:val="nil"/>
                    <w:tr2bl w:val="nil"/>
                  </w:tcBorders>
                  <w:vAlign w:val="center"/>
                </w:tcPr>
                <w:p w14:paraId="5345C163">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p>
              </w:tc>
              <w:tc>
                <w:tcPr>
                  <w:tcW w:w="882" w:type="dxa"/>
                  <w:tcBorders>
                    <w:tl2br w:val="nil"/>
                    <w:tr2bl w:val="nil"/>
                  </w:tcBorders>
                  <w:vAlign w:val="center"/>
                </w:tcPr>
                <w:p w14:paraId="2A99E598">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成品</w:t>
                  </w:r>
                </w:p>
              </w:tc>
              <w:tc>
                <w:tcPr>
                  <w:tcW w:w="1246" w:type="dxa"/>
                  <w:tcBorders>
                    <w:tl2br w:val="nil"/>
                    <w:tr2bl w:val="nil"/>
                  </w:tcBorders>
                  <w:vAlign w:val="center"/>
                </w:tcPr>
                <w:p w14:paraId="7616F756">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罐车、泵车</w:t>
                  </w:r>
                </w:p>
              </w:tc>
              <w:tc>
                <w:tcPr>
                  <w:tcW w:w="4145" w:type="dxa"/>
                  <w:tcBorders>
                    <w:tl2br w:val="nil"/>
                    <w:tr2bl w:val="nil"/>
                  </w:tcBorders>
                  <w:vAlign w:val="center"/>
                </w:tcPr>
                <w:p w14:paraId="49A0CA6B">
                  <w:pPr>
                    <w:keepNext w:val="0"/>
                    <w:keepLines w:val="0"/>
                    <w:widowControl/>
                    <w:suppressLineNumbers w:val="0"/>
                    <w:jc w:val="center"/>
                    <w:textAlignment w:val="center"/>
                    <w:rPr>
                      <w:rFonts w:hint="eastAsia" w:cs="Times New Roman"/>
                      <w:color w:val="auto"/>
                      <w:sz w:val="18"/>
                      <w:szCs w:val="18"/>
                      <w:lang w:val="en-US" w:eastAsia="zh-CN"/>
                    </w:rPr>
                  </w:pPr>
                  <w:r>
                    <w:rPr>
                      <w:rFonts w:hint="eastAsia" w:cs="Times New Roman"/>
                      <w:color w:val="auto"/>
                      <w:sz w:val="18"/>
                      <w:szCs w:val="18"/>
                      <w:lang w:val="en-US" w:eastAsia="zh-CN"/>
                    </w:rPr>
                    <w:t>成品直接装入罐车或泵车</w:t>
                  </w:r>
                </w:p>
              </w:tc>
              <w:tc>
                <w:tcPr>
                  <w:tcW w:w="703" w:type="dxa"/>
                  <w:tcBorders>
                    <w:tl2br w:val="nil"/>
                    <w:tr2bl w:val="nil"/>
                  </w:tcBorders>
                  <w:vAlign w:val="center"/>
                </w:tcPr>
                <w:p w14:paraId="54B5189C">
                  <w:pPr>
                    <w:keepNext w:val="0"/>
                    <w:keepLines w:val="0"/>
                    <w:widowControl/>
                    <w:suppressLineNumbers w:val="0"/>
                    <w:jc w:val="center"/>
                    <w:textAlignment w:val="center"/>
                    <w:rPr>
                      <w:rFonts w:hint="eastAsia" w:cs="Times New Roman"/>
                      <w:color w:val="auto"/>
                      <w:sz w:val="18"/>
                      <w:szCs w:val="18"/>
                      <w:lang w:val="en-US" w:eastAsia="zh-CN"/>
                    </w:rPr>
                  </w:pPr>
                  <w:r>
                    <w:rPr>
                      <w:rFonts w:hint="eastAsia" w:cs="Times New Roman"/>
                      <w:color w:val="auto"/>
                      <w:sz w:val="18"/>
                      <w:szCs w:val="18"/>
                      <w:lang w:val="en-US" w:eastAsia="zh-CN"/>
                    </w:rPr>
                    <w:t>//</w:t>
                  </w:r>
                </w:p>
              </w:tc>
              <w:tc>
                <w:tcPr>
                  <w:tcW w:w="0" w:type="auto"/>
                  <w:tcBorders>
                    <w:tl2br w:val="nil"/>
                    <w:tr2bl w:val="nil"/>
                  </w:tcBorders>
                  <w:vAlign w:val="center"/>
                </w:tcPr>
                <w:p w14:paraId="150C930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69841E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26" w:type="dxa"/>
                  <w:tcBorders>
                    <w:tl2br w:val="nil"/>
                    <w:tr2bl w:val="nil"/>
                  </w:tcBorders>
                  <w:shd w:val="clear" w:color="auto" w:fill="auto"/>
                  <w:vAlign w:val="center"/>
                </w:tcPr>
                <w:p w14:paraId="448556C0">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51</w:t>
                  </w:r>
                </w:p>
              </w:tc>
              <w:tc>
                <w:tcPr>
                  <w:tcW w:w="370" w:type="dxa"/>
                  <w:vMerge w:val="continue"/>
                  <w:tcBorders>
                    <w:tl2br w:val="nil"/>
                    <w:tr2bl w:val="nil"/>
                  </w:tcBorders>
                  <w:vAlign w:val="center"/>
                </w:tcPr>
                <w:p w14:paraId="6EEE0BD9">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p>
              </w:tc>
              <w:tc>
                <w:tcPr>
                  <w:tcW w:w="882" w:type="dxa"/>
                  <w:vMerge w:val="restart"/>
                  <w:tcBorders>
                    <w:tl2br w:val="nil"/>
                    <w:tr2bl w:val="nil"/>
                  </w:tcBorders>
                  <w:vAlign w:val="center"/>
                </w:tcPr>
                <w:p w14:paraId="21497C9B">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环保</w:t>
                  </w:r>
                </w:p>
                <w:p w14:paraId="1F9D65D5">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设施</w:t>
                  </w:r>
                </w:p>
              </w:tc>
              <w:tc>
                <w:tcPr>
                  <w:tcW w:w="1246" w:type="dxa"/>
                  <w:tcBorders>
                    <w:tl2br w:val="nil"/>
                    <w:tr2bl w:val="nil"/>
                  </w:tcBorders>
                  <w:vAlign w:val="center"/>
                </w:tcPr>
                <w:p w14:paraId="5187A0DA">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袋式除尘器</w:t>
                  </w:r>
                </w:p>
              </w:tc>
              <w:tc>
                <w:tcPr>
                  <w:tcW w:w="4145" w:type="dxa"/>
                  <w:tcBorders>
                    <w:tl2br w:val="nil"/>
                    <w:tr2bl w:val="nil"/>
                  </w:tcBorders>
                  <w:vAlign w:val="center"/>
                </w:tcPr>
                <w:p w14:paraId="612BE7F7">
                  <w:pPr>
                    <w:keepNext w:val="0"/>
                    <w:keepLines w:val="0"/>
                    <w:widowControl/>
                    <w:suppressLineNumbers w:val="0"/>
                    <w:jc w:val="center"/>
                    <w:textAlignment w:val="center"/>
                    <w:rPr>
                      <w:rFonts w:hint="eastAsia" w:cs="Times New Roman"/>
                      <w:color w:val="auto"/>
                      <w:sz w:val="18"/>
                      <w:szCs w:val="18"/>
                      <w:lang w:val="en-US" w:eastAsia="zh-CN"/>
                    </w:rPr>
                  </w:pPr>
                  <w:r>
                    <w:rPr>
                      <w:rFonts w:hint="eastAsia" w:cs="Times New Roman"/>
                      <w:color w:val="auto"/>
                      <w:sz w:val="18"/>
                      <w:szCs w:val="18"/>
                      <w:lang w:val="en-US" w:eastAsia="zh-CN"/>
                    </w:rPr>
                    <w:t>搅拌机组配套布袋除尘器，108袋</w:t>
                  </w:r>
                </w:p>
              </w:tc>
              <w:tc>
                <w:tcPr>
                  <w:tcW w:w="703" w:type="dxa"/>
                  <w:tcBorders>
                    <w:tl2br w:val="nil"/>
                    <w:tr2bl w:val="nil"/>
                  </w:tcBorders>
                  <w:vAlign w:val="center"/>
                </w:tcPr>
                <w:p w14:paraId="1D50D883">
                  <w:pPr>
                    <w:keepNext w:val="0"/>
                    <w:keepLines w:val="0"/>
                    <w:widowControl/>
                    <w:suppressLineNumbers w:val="0"/>
                    <w:jc w:val="center"/>
                    <w:textAlignment w:val="center"/>
                    <w:rPr>
                      <w:rFonts w:hint="eastAsia" w:cs="Times New Roman"/>
                      <w:color w:val="auto"/>
                      <w:sz w:val="18"/>
                      <w:szCs w:val="18"/>
                      <w:lang w:val="en-US" w:eastAsia="zh-CN"/>
                    </w:rPr>
                  </w:pPr>
                  <w:r>
                    <w:rPr>
                      <w:rFonts w:hint="eastAsia" w:cs="Times New Roman"/>
                      <w:color w:val="auto"/>
                      <w:sz w:val="18"/>
                      <w:szCs w:val="18"/>
                      <w:lang w:val="en-US" w:eastAsia="zh-CN"/>
                    </w:rPr>
                    <w:t>1</w:t>
                  </w:r>
                </w:p>
              </w:tc>
              <w:tc>
                <w:tcPr>
                  <w:tcW w:w="0" w:type="auto"/>
                  <w:tcBorders>
                    <w:tl2br w:val="nil"/>
                    <w:tr2bl w:val="nil"/>
                  </w:tcBorders>
                  <w:vAlign w:val="center"/>
                </w:tcPr>
                <w:p w14:paraId="1435788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69F864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26" w:type="dxa"/>
                  <w:tcBorders>
                    <w:tl2br w:val="nil"/>
                    <w:tr2bl w:val="nil"/>
                  </w:tcBorders>
                  <w:shd w:val="clear" w:color="auto" w:fill="auto"/>
                  <w:vAlign w:val="center"/>
                </w:tcPr>
                <w:p w14:paraId="5F96F1E7">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52</w:t>
                  </w:r>
                </w:p>
              </w:tc>
              <w:tc>
                <w:tcPr>
                  <w:tcW w:w="370" w:type="dxa"/>
                  <w:vMerge w:val="continue"/>
                  <w:tcBorders>
                    <w:tl2br w:val="nil"/>
                    <w:tr2bl w:val="nil"/>
                  </w:tcBorders>
                  <w:vAlign w:val="center"/>
                </w:tcPr>
                <w:p w14:paraId="37ED57D7">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p>
              </w:tc>
              <w:tc>
                <w:tcPr>
                  <w:tcW w:w="882" w:type="dxa"/>
                  <w:vMerge w:val="continue"/>
                  <w:tcBorders>
                    <w:tl2br w:val="nil"/>
                    <w:tr2bl w:val="nil"/>
                  </w:tcBorders>
                  <w:vAlign w:val="center"/>
                </w:tcPr>
                <w:p w14:paraId="4BA132C4">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p>
              </w:tc>
              <w:tc>
                <w:tcPr>
                  <w:tcW w:w="1246" w:type="dxa"/>
                  <w:tcBorders>
                    <w:tl2br w:val="nil"/>
                    <w:tr2bl w:val="nil"/>
                  </w:tcBorders>
                  <w:vAlign w:val="center"/>
                </w:tcPr>
                <w:p w14:paraId="514A548B">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布袋除尘</w:t>
                  </w:r>
                </w:p>
                <w:p w14:paraId="23F20497">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器风机</w:t>
                  </w:r>
                </w:p>
              </w:tc>
              <w:tc>
                <w:tcPr>
                  <w:tcW w:w="4145" w:type="dxa"/>
                  <w:tcBorders>
                    <w:tl2br w:val="nil"/>
                    <w:tr2bl w:val="nil"/>
                  </w:tcBorders>
                  <w:vAlign w:val="center"/>
                </w:tcPr>
                <w:p w14:paraId="3BF73DDA">
                  <w:pPr>
                    <w:keepNext w:val="0"/>
                    <w:keepLines w:val="0"/>
                    <w:widowControl/>
                    <w:suppressLineNumbers w:val="0"/>
                    <w:jc w:val="center"/>
                    <w:textAlignment w:val="center"/>
                    <w:rPr>
                      <w:rFonts w:hint="eastAsia" w:cs="Times New Roman"/>
                      <w:color w:val="auto"/>
                      <w:sz w:val="18"/>
                      <w:szCs w:val="18"/>
                      <w:lang w:val="en-US" w:eastAsia="zh-CN"/>
                    </w:rPr>
                  </w:pPr>
                  <w:r>
                    <w:rPr>
                      <w:rFonts w:hint="eastAsia" w:cs="Times New Roman"/>
                      <w:color w:val="auto"/>
                      <w:sz w:val="18"/>
                      <w:szCs w:val="18"/>
                      <w:lang w:val="en-US" w:eastAsia="zh-CN"/>
                    </w:rPr>
                    <w:t>12000m</w:t>
                  </w:r>
                  <w:r>
                    <w:rPr>
                      <w:rFonts w:hint="eastAsia" w:cs="Times New Roman"/>
                      <w:color w:val="auto"/>
                      <w:sz w:val="18"/>
                      <w:szCs w:val="18"/>
                      <w:vertAlign w:val="superscript"/>
                      <w:lang w:val="en-US" w:eastAsia="zh-CN"/>
                    </w:rPr>
                    <w:t>3</w:t>
                  </w:r>
                  <w:r>
                    <w:rPr>
                      <w:rFonts w:hint="eastAsia" w:cs="Times New Roman"/>
                      <w:color w:val="auto"/>
                      <w:sz w:val="18"/>
                      <w:szCs w:val="18"/>
                      <w:lang w:val="en-US" w:eastAsia="zh-CN"/>
                    </w:rPr>
                    <w:t>/h</w:t>
                  </w:r>
                </w:p>
              </w:tc>
              <w:tc>
                <w:tcPr>
                  <w:tcW w:w="703" w:type="dxa"/>
                  <w:tcBorders>
                    <w:tl2br w:val="nil"/>
                    <w:tr2bl w:val="nil"/>
                  </w:tcBorders>
                  <w:vAlign w:val="center"/>
                </w:tcPr>
                <w:p w14:paraId="54E23308">
                  <w:pPr>
                    <w:keepNext w:val="0"/>
                    <w:keepLines w:val="0"/>
                    <w:widowControl/>
                    <w:suppressLineNumbers w:val="0"/>
                    <w:jc w:val="center"/>
                    <w:textAlignment w:val="center"/>
                    <w:rPr>
                      <w:rFonts w:hint="eastAsia" w:cs="Times New Roman"/>
                      <w:color w:val="auto"/>
                      <w:sz w:val="18"/>
                      <w:szCs w:val="18"/>
                      <w:lang w:val="en-US" w:eastAsia="zh-CN"/>
                    </w:rPr>
                  </w:pPr>
                  <w:r>
                    <w:rPr>
                      <w:rFonts w:hint="eastAsia" w:cs="Times New Roman"/>
                      <w:color w:val="auto"/>
                      <w:sz w:val="18"/>
                      <w:szCs w:val="18"/>
                      <w:lang w:val="en-US" w:eastAsia="zh-CN"/>
                    </w:rPr>
                    <w:t>1</w:t>
                  </w:r>
                </w:p>
              </w:tc>
              <w:tc>
                <w:tcPr>
                  <w:tcW w:w="0" w:type="auto"/>
                  <w:tcBorders>
                    <w:tl2br w:val="nil"/>
                    <w:tr2bl w:val="nil"/>
                  </w:tcBorders>
                  <w:vAlign w:val="center"/>
                </w:tcPr>
                <w:p w14:paraId="5F8511D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27D342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26" w:type="dxa"/>
                  <w:tcBorders>
                    <w:tl2br w:val="nil"/>
                    <w:tr2bl w:val="nil"/>
                  </w:tcBorders>
                  <w:shd w:val="clear" w:color="auto" w:fill="auto"/>
                  <w:vAlign w:val="center"/>
                </w:tcPr>
                <w:p w14:paraId="6FA625AC">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53</w:t>
                  </w:r>
                </w:p>
              </w:tc>
              <w:tc>
                <w:tcPr>
                  <w:tcW w:w="370" w:type="dxa"/>
                  <w:vMerge w:val="continue"/>
                  <w:tcBorders>
                    <w:tl2br w:val="nil"/>
                    <w:tr2bl w:val="nil"/>
                  </w:tcBorders>
                  <w:vAlign w:val="center"/>
                </w:tcPr>
                <w:p w14:paraId="6BBF8898">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p>
              </w:tc>
              <w:tc>
                <w:tcPr>
                  <w:tcW w:w="882" w:type="dxa"/>
                  <w:vMerge w:val="continue"/>
                  <w:tcBorders>
                    <w:tl2br w:val="nil"/>
                    <w:tr2bl w:val="nil"/>
                  </w:tcBorders>
                  <w:vAlign w:val="center"/>
                </w:tcPr>
                <w:p w14:paraId="5D774708">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p>
              </w:tc>
              <w:tc>
                <w:tcPr>
                  <w:tcW w:w="1246" w:type="dxa"/>
                  <w:tcBorders>
                    <w:tl2br w:val="nil"/>
                    <w:tr2bl w:val="nil"/>
                  </w:tcBorders>
                  <w:vAlign w:val="center"/>
                </w:tcPr>
                <w:p w14:paraId="785CBD39">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仓顶除尘</w:t>
                  </w:r>
                </w:p>
                <w:p w14:paraId="39DC9141">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器风机</w:t>
                  </w:r>
                </w:p>
              </w:tc>
              <w:tc>
                <w:tcPr>
                  <w:tcW w:w="4145" w:type="dxa"/>
                  <w:tcBorders>
                    <w:tl2br w:val="nil"/>
                    <w:tr2bl w:val="nil"/>
                  </w:tcBorders>
                  <w:vAlign w:val="center"/>
                </w:tcPr>
                <w:p w14:paraId="5701DD3A">
                  <w:pPr>
                    <w:keepNext w:val="0"/>
                    <w:keepLines w:val="0"/>
                    <w:widowControl/>
                    <w:suppressLineNumbers w:val="0"/>
                    <w:jc w:val="center"/>
                    <w:textAlignment w:val="center"/>
                    <w:rPr>
                      <w:rFonts w:hint="eastAsia" w:cs="Times New Roman"/>
                      <w:color w:val="auto"/>
                      <w:sz w:val="18"/>
                      <w:szCs w:val="18"/>
                      <w:lang w:val="en-US" w:eastAsia="zh-CN"/>
                    </w:rPr>
                  </w:pPr>
                  <w:r>
                    <w:rPr>
                      <w:rFonts w:hint="eastAsia" w:cs="Times New Roman"/>
                      <w:color w:val="auto"/>
                      <w:sz w:val="18"/>
                      <w:szCs w:val="18"/>
                      <w:lang w:val="en-US" w:eastAsia="zh-CN"/>
                    </w:rPr>
                    <w:t>1500m</w:t>
                  </w:r>
                  <w:r>
                    <w:rPr>
                      <w:rFonts w:hint="eastAsia" w:cs="Times New Roman"/>
                      <w:color w:val="auto"/>
                      <w:sz w:val="18"/>
                      <w:szCs w:val="18"/>
                      <w:vertAlign w:val="superscript"/>
                      <w:lang w:val="en-US" w:eastAsia="zh-CN"/>
                    </w:rPr>
                    <w:t>3</w:t>
                  </w:r>
                  <w:r>
                    <w:rPr>
                      <w:rFonts w:hint="eastAsia" w:cs="Times New Roman"/>
                      <w:color w:val="auto"/>
                      <w:sz w:val="18"/>
                      <w:szCs w:val="18"/>
                      <w:lang w:val="en-US" w:eastAsia="zh-CN"/>
                    </w:rPr>
                    <w:t>/h</w:t>
                  </w:r>
                </w:p>
              </w:tc>
              <w:tc>
                <w:tcPr>
                  <w:tcW w:w="703" w:type="dxa"/>
                  <w:tcBorders>
                    <w:tl2br w:val="nil"/>
                    <w:tr2bl w:val="nil"/>
                  </w:tcBorders>
                  <w:vAlign w:val="center"/>
                </w:tcPr>
                <w:p w14:paraId="2A908E79">
                  <w:pPr>
                    <w:keepNext w:val="0"/>
                    <w:keepLines w:val="0"/>
                    <w:widowControl/>
                    <w:suppressLineNumbers w:val="0"/>
                    <w:jc w:val="center"/>
                    <w:textAlignment w:val="center"/>
                    <w:rPr>
                      <w:rFonts w:hint="eastAsia" w:cs="Times New Roman"/>
                      <w:color w:val="auto"/>
                      <w:sz w:val="18"/>
                      <w:szCs w:val="18"/>
                      <w:lang w:val="en-US" w:eastAsia="zh-CN"/>
                    </w:rPr>
                  </w:pPr>
                  <w:r>
                    <w:rPr>
                      <w:rFonts w:hint="eastAsia" w:cs="Times New Roman"/>
                      <w:color w:val="auto"/>
                      <w:sz w:val="18"/>
                      <w:szCs w:val="18"/>
                      <w:lang w:val="en-US" w:eastAsia="zh-CN"/>
                    </w:rPr>
                    <w:t>1</w:t>
                  </w:r>
                </w:p>
              </w:tc>
              <w:tc>
                <w:tcPr>
                  <w:tcW w:w="0" w:type="auto"/>
                  <w:tcBorders>
                    <w:tl2br w:val="nil"/>
                    <w:tr2bl w:val="nil"/>
                  </w:tcBorders>
                  <w:vAlign w:val="center"/>
                </w:tcPr>
                <w:p w14:paraId="23BD559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3518A5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26" w:type="dxa"/>
                  <w:tcBorders>
                    <w:tl2br w:val="nil"/>
                    <w:tr2bl w:val="nil"/>
                  </w:tcBorders>
                  <w:shd w:val="clear" w:color="auto" w:fill="auto"/>
                  <w:vAlign w:val="center"/>
                </w:tcPr>
                <w:p w14:paraId="516376A4">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54</w:t>
                  </w:r>
                </w:p>
              </w:tc>
              <w:tc>
                <w:tcPr>
                  <w:tcW w:w="370" w:type="dxa"/>
                  <w:vMerge w:val="continue"/>
                  <w:tcBorders>
                    <w:tl2br w:val="nil"/>
                    <w:tr2bl w:val="nil"/>
                  </w:tcBorders>
                  <w:vAlign w:val="center"/>
                </w:tcPr>
                <w:p w14:paraId="470E59DC">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p>
              </w:tc>
              <w:tc>
                <w:tcPr>
                  <w:tcW w:w="882" w:type="dxa"/>
                  <w:vMerge w:val="continue"/>
                  <w:tcBorders>
                    <w:tl2br w:val="nil"/>
                    <w:tr2bl w:val="nil"/>
                  </w:tcBorders>
                  <w:vAlign w:val="center"/>
                </w:tcPr>
                <w:p w14:paraId="2B8E80C0">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p>
              </w:tc>
              <w:tc>
                <w:tcPr>
                  <w:tcW w:w="1246" w:type="dxa"/>
                  <w:tcBorders>
                    <w:tl2br w:val="nil"/>
                    <w:tr2bl w:val="nil"/>
                  </w:tcBorders>
                  <w:vAlign w:val="center"/>
                </w:tcPr>
                <w:p w14:paraId="67E46D30">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仓顶除尘器</w:t>
                  </w:r>
                </w:p>
              </w:tc>
              <w:tc>
                <w:tcPr>
                  <w:tcW w:w="4145" w:type="dxa"/>
                  <w:tcBorders>
                    <w:tl2br w:val="nil"/>
                    <w:tr2bl w:val="nil"/>
                  </w:tcBorders>
                  <w:vAlign w:val="center"/>
                </w:tcPr>
                <w:p w14:paraId="0BE5A6FC">
                  <w:pPr>
                    <w:keepNext w:val="0"/>
                    <w:keepLines w:val="0"/>
                    <w:widowControl/>
                    <w:suppressLineNumbers w:val="0"/>
                    <w:jc w:val="center"/>
                    <w:textAlignment w:val="center"/>
                    <w:rPr>
                      <w:rFonts w:hint="eastAsia" w:cs="Times New Roman"/>
                      <w:color w:val="auto"/>
                      <w:sz w:val="18"/>
                      <w:szCs w:val="18"/>
                      <w:lang w:val="en-US" w:eastAsia="zh-CN"/>
                    </w:rPr>
                  </w:pPr>
                  <w:r>
                    <w:rPr>
                      <w:rFonts w:hint="eastAsia" w:cs="Times New Roman"/>
                      <w:color w:val="auto"/>
                      <w:sz w:val="18"/>
                      <w:szCs w:val="18"/>
                      <w:lang w:val="en-US" w:eastAsia="zh-CN"/>
                    </w:rPr>
                    <w:t>水泥筒仓配套仓顶脉冲除尘器</w:t>
                  </w:r>
                </w:p>
              </w:tc>
              <w:tc>
                <w:tcPr>
                  <w:tcW w:w="703" w:type="dxa"/>
                  <w:tcBorders>
                    <w:tl2br w:val="nil"/>
                    <w:tr2bl w:val="nil"/>
                  </w:tcBorders>
                  <w:vAlign w:val="center"/>
                </w:tcPr>
                <w:p w14:paraId="5D27C9F7">
                  <w:pPr>
                    <w:keepNext w:val="0"/>
                    <w:keepLines w:val="0"/>
                    <w:widowControl/>
                    <w:suppressLineNumbers w:val="0"/>
                    <w:jc w:val="center"/>
                    <w:textAlignment w:val="center"/>
                    <w:rPr>
                      <w:rFonts w:hint="eastAsia" w:cs="Times New Roman"/>
                      <w:color w:val="auto"/>
                      <w:sz w:val="18"/>
                      <w:szCs w:val="18"/>
                      <w:lang w:val="en-US" w:eastAsia="zh-CN"/>
                    </w:rPr>
                  </w:pPr>
                  <w:r>
                    <w:rPr>
                      <w:rFonts w:hint="eastAsia" w:cs="Times New Roman"/>
                      <w:color w:val="auto"/>
                      <w:sz w:val="18"/>
                      <w:szCs w:val="18"/>
                      <w:lang w:val="en-US" w:eastAsia="zh-CN"/>
                    </w:rPr>
                    <w:t>1</w:t>
                  </w:r>
                </w:p>
              </w:tc>
              <w:tc>
                <w:tcPr>
                  <w:tcW w:w="0" w:type="auto"/>
                  <w:tcBorders>
                    <w:tl2br w:val="nil"/>
                    <w:tr2bl w:val="nil"/>
                  </w:tcBorders>
                  <w:vAlign w:val="center"/>
                </w:tcPr>
                <w:p w14:paraId="1474E09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1351CB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26" w:type="dxa"/>
                  <w:tcBorders>
                    <w:tl2br w:val="nil"/>
                    <w:tr2bl w:val="nil"/>
                  </w:tcBorders>
                  <w:shd w:val="clear" w:color="auto" w:fill="auto"/>
                  <w:vAlign w:val="center"/>
                </w:tcPr>
                <w:p w14:paraId="56828B70">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55</w:t>
                  </w:r>
                </w:p>
              </w:tc>
              <w:tc>
                <w:tcPr>
                  <w:tcW w:w="0" w:type="auto"/>
                  <w:vMerge w:val="restart"/>
                  <w:tcBorders>
                    <w:tl2br w:val="nil"/>
                    <w:tr2bl w:val="nil"/>
                  </w:tcBorders>
                  <w:vAlign w:val="center"/>
                </w:tcPr>
                <w:p w14:paraId="1705D7B2">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其他</w:t>
                  </w:r>
                </w:p>
              </w:tc>
              <w:tc>
                <w:tcPr>
                  <w:tcW w:w="0" w:type="auto"/>
                  <w:gridSpan w:val="2"/>
                  <w:tcBorders>
                    <w:tl2br w:val="nil"/>
                    <w:tr2bl w:val="nil"/>
                  </w:tcBorders>
                  <w:vAlign w:val="center"/>
                </w:tcPr>
                <w:p w14:paraId="5A9BFDA7">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装载机</w:t>
                  </w:r>
                </w:p>
              </w:tc>
              <w:tc>
                <w:tcPr>
                  <w:tcW w:w="0" w:type="auto"/>
                  <w:tcBorders>
                    <w:tl2br w:val="nil"/>
                    <w:tr2bl w:val="nil"/>
                  </w:tcBorders>
                  <w:vAlign w:val="center"/>
                </w:tcPr>
                <w:p w14:paraId="666FE39A">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2t</w:t>
                  </w:r>
                </w:p>
              </w:tc>
              <w:tc>
                <w:tcPr>
                  <w:tcW w:w="0" w:type="auto"/>
                  <w:tcBorders>
                    <w:tl2br w:val="nil"/>
                    <w:tr2bl w:val="nil"/>
                  </w:tcBorders>
                  <w:vAlign w:val="center"/>
                </w:tcPr>
                <w:p w14:paraId="7553A5DC">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4</w:t>
                  </w:r>
                </w:p>
              </w:tc>
              <w:tc>
                <w:tcPr>
                  <w:tcW w:w="0" w:type="auto"/>
                  <w:tcBorders>
                    <w:tl2br w:val="nil"/>
                    <w:tr2bl w:val="nil"/>
                  </w:tcBorders>
                  <w:vAlign w:val="center"/>
                </w:tcPr>
                <w:p w14:paraId="0A2781E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r w14:paraId="768E83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26" w:type="dxa"/>
                  <w:tcBorders>
                    <w:tl2br w:val="nil"/>
                    <w:tr2bl w:val="nil"/>
                  </w:tcBorders>
                  <w:shd w:val="clear" w:color="auto" w:fill="auto"/>
                  <w:vAlign w:val="center"/>
                </w:tcPr>
                <w:p w14:paraId="68E73777">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56</w:t>
                  </w:r>
                </w:p>
              </w:tc>
              <w:tc>
                <w:tcPr>
                  <w:tcW w:w="0" w:type="auto"/>
                  <w:vMerge w:val="continue"/>
                  <w:tcBorders>
                    <w:tl2br w:val="nil"/>
                    <w:tr2bl w:val="nil"/>
                  </w:tcBorders>
                  <w:vAlign w:val="center"/>
                </w:tcPr>
                <w:p w14:paraId="29C1B30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c>
                <w:tcPr>
                  <w:tcW w:w="0" w:type="auto"/>
                  <w:gridSpan w:val="2"/>
                  <w:tcBorders>
                    <w:tl2br w:val="nil"/>
                    <w:tr2bl w:val="nil"/>
                  </w:tcBorders>
                  <w:vAlign w:val="center"/>
                </w:tcPr>
                <w:p w14:paraId="2AFA784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r>
                    <w:rPr>
                      <w:rFonts w:hint="eastAsia" w:cs="Times New Roman"/>
                      <w:i w:val="0"/>
                      <w:iCs w:val="0"/>
                      <w:color w:val="auto"/>
                      <w:kern w:val="0"/>
                      <w:sz w:val="18"/>
                      <w:szCs w:val="18"/>
                      <w:u w:val="none"/>
                      <w:lang w:val="en-US" w:eastAsia="zh-CN" w:bidi="ar"/>
                    </w:rPr>
                    <w:t>雾炮洒水车</w:t>
                  </w:r>
                </w:p>
              </w:tc>
              <w:tc>
                <w:tcPr>
                  <w:tcW w:w="0" w:type="auto"/>
                  <w:tcBorders>
                    <w:tl2br w:val="nil"/>
                    <w:tr2bl w:val="nil"/>
                  </w:tcBorders>
                  <w:vAlign w:val="center"/>
                </w:tcPr>
                <w:p w14:paraId="04065764">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5t</w:t>
                  </w:r>
                </w:p>
              </w:tc>
              <w:tc>
                <w:tcPr>
                  <w:tcW w:w="0" w:type="auto"/>
                  <w:tcBorders>
                    <w:tl2br w:val="nil"/>
                    <w:tr2bl w:val="nil"/>
                  </w:tcBorders>
                  <w:vAlign w:val="center"/>
                </w:tcPr>
                <w:p w14:paraId="2199D942">
                  <w:pPr>
                    <w:keepNext w:val="0"/>
                    <w:keepLines w:val="0"/>
                    <w:widowControl/>
                    <w:suppressLineNumbers w:val="0"/>
                    <w:jc w:val="center"/>
                    <w:textAlignment w:val="center"/>
                    <w:rPr>
                      <w:rFonts w:hint="default" w:cs="Times New Roman"/>
                      <w:color w:val="auto"/>
                      <w:sz w:val="18"/>
                      <w:szCs w:val="18"/>
                      <w:lang w:val="en-US" w:eastAsia="zh-CN"/>
                    </w:rPr>
                  </w:pPr>
                  <w:r>
                    <w:rPr>
                      <w:rFonts w:hint="eastAsia" w:cs="Times New Roman"/>
                      <w:color w:val="auto"/>
                      <w:sz w:val="18"/>
                      <w:szCs w:val="18"/>
                      <w:lang w:val="en-US" w:eastAsia="zh-CN"/>
                    </w:rPr>
                    <w:t>1</w:t>
                  </w:r>
                </w:p>
              </w:tc>
              <w:tc>
                <w:tcPr>
                  <w:tcW w:w="0" w:type="auto"/>
                  <w:tcBorders>
                    <w:tl2br w:val="nil"/>
                    <w:tr2bl w:val="nil"/>
                  </w:tcBorders>
                  <w:vAlign w:val="center"/>
                </w:tcPr>
                <w:p w14:paraId="18DDD04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u w:val="none"/>
                      <w:lang w:val="en-US" w:eastAsia="zh-CN" w:bidi="ar"/>
                    </w:rPr>
                  </w:pPr>
                </w:p>
              </w:tc>
            </w:tr>
          </w:tbl>
          <w:p w14:paraId="532DBEA6">
            <w:pPr>
              <w:spacing w:line="360" w:lineRule="auto"/>
              <w:ind w:firstLine="422" w:firstLineChars="200"/>
              <w:rPr>
                <w:rFonts w:hint="default"/>
                <w:b/>
                <w:bCs/>
                <w:color w:val="auto"/>
                <w:szCs w:val="21"/>
                <w:lang w:val="en-US" w:eastAsia="zh-CN"/>
              </w:rPr>
            </w:pPr>
            <w:r>
              <w:rPr>
                <w:rFonts w:hint="eastAsia"/>
                <w:b/>
                <w:bCs/>
                <w:color w:val="auto"/>
                <w:szCs w:val="21"/>
                <w:lang w:val="en-US" w:eastAsia="zh-CN"/>
              </w:rPr>
              <w:t>2.4主要原辅材料</w:t>
            </w:r>
          </w:p>
          <w:p w14:paraId="0FA98AC1">
            <w:pPr>
              <w:pStyle w:val="77"/>
              <w:snapToGrid/>
              <w:spacing w:line="240" w:lineRule="exact"/>
              <w:ind w:firstLine="361"/>
              <w:jc w:val="center"/>
              <w:rPr>
                <w:rFonts w:ascii="Times New Roman" w:hAnsi="Times New Roman"/>
                <w:color w:val="auto"/>
                <w:sz w:val="18"/>
                <w:szCs w:val="18"/>
              </w:rPr>
            </w:pPr>
            <w:r>
              <w:rPr>
                <w:rFonts w:ascii="Times New Roman" w:hAnsi="Times New Roman"/>
                <w:color w:val="auto"/>
                <w:sz w:val="18"/>
                <w:szCs w:val="18"/>
              </w:rPr>
              <w:t>表2</w:t>
            </w:r>
            <w:r>
              <w:rPr>
                <w:rFonts w:hint="eastAsia" w:ascii="Times New Roman" w:hAnsi="Times New Roman"/>
                <w:color w:val="auto"/>
                <w:sz w:val="18"/>
                <w:szCs w:val="18"/>
                <w:lang w:val="en-US" w:eastAsia="zh-CN"/>
              </w:rPr>
              <w:t>.4</w:t>
            </w:r>
            <w:r>
              <w:rPr>
                <w:rFonts w:ascii="Times New Roman" w:hAnsi="Times New Roman"/>
                <w:color w:val="auto"/>
                <w:sz w:val="18"/>
                <w:szCs w:val="18"/>
              </w:rPr>
              <w:t>-</w:t>
            </w:r>
            <w:r>
              <w:rPr>
                <w:rFonts w:hint="eastAsia" w:ascii="Times New Roman" w:hAnsi="Times New Roman"/>
                <w:color w:val="auto"/>
                <w:sz w:val="18"/>
                <w:szCs w:val="18"/>
                <w:lang w:val="en-US" w:eastAsia="zh-CN"/>
              </w:rPr>
              <w:t>1</w:t>
            </w:r>
            <w:r>
              <w:rPr>
                <w:rFonts w:ascii="Times New Roman" w:hAnsi="Times New Roman"/>
                <w:color w:val="auto"/>
                <w:sz w:val="18"/>
                <w:szCs w:val="18"/>
              </w:rPr>
              <w:t xml:space="preserve">    主要原辅</w:t>
            </w:r>
            <w:r>
              <w:rPr>
                <w:rFonts w:hint="eastAsia" w:ascii="Times New Roman" w:hAnsi="Times New Roman"/>
                <w:color w:val="auto"/>
                <w:sz w:val="18"/>
                <w:szCs w:val="18"/>
                <w:lang w:val="en-US" w:eastAsia="zh-CN"/>
              </w:rPr>
              <w:t>材料统计</w:t>
            </w:r>
            <w:r>
              <w:rPr>
                <w:rFonts w:ascii="Times New Roman" w:hAnsi="Times New Roman"/>
                <w:color w:val="auto"/>
                <w:sz w:val="18"/>
                <w:szCs w:val="18"/>
              </w:rPr>
              <w:t>表</w:t>
            </w:r>
          </w:p>
          <w:tbl>
            <w:tblPr>
              <w:tblStyle w:val="4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294"/>
              <w:gridCol w:w="844"/>
              <w:gridCol w:w="745"/>
              <w:gridCol w:w="669"/>
              <w:gridCol w:w="377"/>
              <w:gridCol w:w="658"/>
              <w:gridCol w:w="1307"/>
              <w:gridCol w:w="889"/>
              <w:gridCol w:w="751"/>
              <w:gridCol w:w="1484"/>
            </w:tblGrid>
            <w:tr w14:paraId="209ABB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83" w:type="pct"/>
                  <w:tcBorders>
                    <w:tl2br w:val="nil"/>
                    <w:tr2bl w:val="nil"/>
                  </w:tcBorders>
                  <w:vAlign w:val="center"/>
                </w:tcPr>
                <w:p w14:paraId="56A15034">
                  <w:pPr>
                    <w:jc w:val="center"/>
                    <w:rPr>
                      <w:color w:val="auto"/>
                      <w:sz w:val="18"/>
                      <w:szCs w:val="18"/>
                    </w:rPr>
                  </w:pPr>
                  <w:r>
                    <w:rPr>
                      <w:rFonts w:hint="eastAsia"/>
                      <w:color w:val="auto"/>
                      <w:sz w:val="18"/>
                      <w:szCs w:val="18"/>
                    </w:rPr>
                    <w:t>序号</w:t>
                  </w:r>
                </w:p>
              </w:tc>
              <w:tc>
                <w:tcPr>
                  <w:tcW w:w="526" w:type="pct"/>
                  <w:tcBorders>
                    <w:tl2br w:val="nil"/>
                    <w:tr2bl w:val="nil"/>
                  </w:tcBorders>
                  <w:vAlign w:val="center"/>
                </w:tcPr>
                <w:p w14:paraId="6A94D8B4">
                  <w:pPr>
                    <w:jc w:val="center"/>
                    <w:rPr>
                      <w:rFonts w:hint="default" w:eastAsia="宋体"/>
                      <w:color w:val="auto"/>
                      <w:sz w:val="18"/>
                      <w:szCs w:val="18"/>
                      <w:lang w:val="en-US" w:eastAsia="zh-CN"/>
                    </w:rPr>
                  </w:pPr>
                  <w:r>
                    <w:rPr>
                      <w:rFonts w:hint="eastAsia"/>
                      <w:color w:val="auto"/>
                      <w:sz w:val="18"/>
                      <w:szCs w:val="18"/>
                      <w:lang w:val="en-US" w:eastAsia="zh-CN"/>
                    </w:rPr>
                    <w:t>类别</w:t>
                  </w:r>
                </w:p>
              </w:tc>
              <w:tc>
                <w:tcPr>
                  <w:tcW w:w="464" w:type="pct"/>
                  <w:tcBorders>
                    <w:tl2br w:val="nil"/>
                    <w:tr2bl w:val="nil"/>
                  </w:tcBorders>
                  <w:vAlign w:val="center"/>
                </w:tcPr>
                <w:p w14:paraId="534EB76F">
                  <w:pPr>
                    <w:jc w:val="center"/>
                    <w:rPr>
                      <w:rFonts w:hint="default"/>
                      <w:color w:val="auto"/>
                      <w:sz w:val="18"/>
                      <w:szCs w:val="18"/>
                      <w:lang w:val="en-US" w:eastAsia="zh-CN"/>
                    </w:rPr>
                  </w:pPr>
                  <w:r>
                    <w:rPr>
                      <w:rFonts w:hint="eastAsia"/>
                      <w:color w:val="auto"/>
                      <w:sz w:val="18"/>
                      <w:szCs w:val="18"/>
                      <w:lang w:val="en-US" w:eastAsia="zh-CN"/>
                    </w:rPr>
                    <w:t>名称</w:t>
                  </w:r>
                </w:p>
              </w:tc>
              <w:tc>
                <w:tcPr>
                  <w:tcW w:w="417" w:type="pct"/>
                  <w:tcBorders>
                    <w:tl2br w:val="nil"/>
                    <w:tr2bl w:val="nil"/>
                  </w:tcBorders>
                  <w:vAlign w:val="center"/>
                </w:tcPr>
                <w:p w14:paraId="4DE4C81F">
                  <w:pPr>
                    <w:jc w:val="center"/>
                    <w:rPr>
                      <w:rFonts w:hint="eastAsia"/>
                      <w:color w:val="auto"/>
                      <w:sz w:val="18"/>
                      <w:szCs w:val="18"/>
                      <w:lang w:val="en-US" w:eastAsia="zh-CN"/>
                    </w:rPr>
                  </w:pPr>
                  <w:r>
                    <w:rPr>
                      <w:rFonts w:hint="eastAsia"/>
                      <w:color w:val="auto"/>
                      <w:sz w:val="18"/>
                      <w:szCs w:val="18"/>
                      <w:lang w:val="en-US" w:eastAsia="zh-CN"/>
                    </w:rPr>
                    <w:t>年使用</w:t>
                  </w:r>
                </w:p>
                <w:p w14:paraId="71961148">
                  <w:pPr>
                    <w:jc w:val="center"/>
                    <w:rPr>
                      <w:rFonts w:hint="default" w:eastAsia="宋体"/>
                      <w:color w:val="auto"/>
                      <w:sz w:val="18"/>
                      <w:szCs w:val="18"/>
                      <w:lang w:val="en-US" w:eastAsia="zh-CN"/>
                    </w:rPr>
                  </w:pPr>
                  <w:r>
                    <w:rPr>
                      <w:rFonts w:hint="eastAsia"/>
                      <w:color w:val="auto"/>
                      <w:sz w:val="18"/>
                      <w:szCs w:val="18"/>
                      <w:lang w:val="en-US" w:eastAsia="zh-CN"/>
                    </w:rPr>
                    <w:t>用量（t）</w:t>
                  </w:r>
                </w:p>
              </w:tc>
              <w:tc>
                <w:tcPr>
                  <w:tcW w:w="235" w:type="pct"/>
                  <w:tcBorders>
                    <w:tl2br w:val="nil"/>
                    <w:tr2bl w:val="nil"/>
                  </w:tcBorders>
                  <w:vAlign w:val="center"/>
                </w:tcPr>
                <w:p w14:paraId="260A6D58">
                  <w:pPr>
                    <w:jc w:val="center"/>
                    <w:rPr>
                      <w:rFonts w:hint="eastAsia"/>
                      <w:color w:val="auto"/>
                      <w:sz w:val="18"/>
                      <w:szCs w:val="18"/>
                      <w:lang w:val="en-US" w:eastAsia="zh-CN"/>
                    </w:rPr>
                  </w:pPr>
                  <w:r>
                    <w:rPr>
                      <w:rFonts w:hint="eastAsia"/>
                      <w:color w:val="auto"/>
                      <w:sz w:val="18"/>
                      <w:szCs w:val="18"/>
                      <w:lang w:val="en-US" w:eastAsia="zh-CN"/>
                    </w:rPr>
                    <w:t>包装</w:t>
                  </w:r>
                </w:p>
                <w:p w14:paraId="62F1EA17">
                  <w:pPr>
                    <w:jc w:val="center"/>
                    <w:rPr>
                      <w:rFonts w:hint="default" w:eastAsia="宋体"/>
                      <w:color w:val="auto"/>
                      <w:sz w:val="18"/>
                      <w:szCs w:val="18"/>
                      <w:lang w:val="en-US" w:eastAsia="zh-CN"/>
                    </w:rPr>
                  </w:pPr>
                  <w:r>
                    <w:rPr>
                      <w:rFonts w:hint="eastAsia"/>
                      <w:color w:val="auto"/>
                      <w:sz w:val="18"/>
                      <w:szCs w:val="18"/>
                      <w:lang w:val="en-US" w:eastAsia="zh-CN"/>
                    </w:rPr>
                    <w:t>形式</w:t>
                  </w:r>
                </w:p>
              </w:tc>
              <w:tc>
                <w:tcPr>
                  <w:tcW w:w="410" w:type="pct"/>
                  <w:tcBorders>
                    <w:tl2br w:val="nil"/>
                    <w:tr2bl w:val="nil"/>
                  </w:tcBorders>
                  <w:vAlign w:val="center"/>
                </w:tcPr>
                <w:p w14:paraId="3E92959C">
                  <w:pPr>
                    <w:jc w:val="center"/>
                    <w:rPr>
                      <w:rFonts w:hint="eastAsia"/>
                      <w:color w:val="auto"/>
                      <w:sz w:val="18"/>
                      <w:szCs w:val="18"/>
                      <w:lang w:val="en-US" w:eastAsia="zh-CN"/>
                    </w:rPr>
                  </w:pPr>
                  <w:r>
                    <w:rPr>
                      <w:rFonts w:hint="eastAsia"/>
                      <w:color w:val="auto"/>
                      <w:sz w:val="18"/>
                      <w:szCs w:val="18"/>
                      <w:lang w:val="en-US" w:eastAsia="zh-CN"/>
                    </w:rPr>
                    <w:t>运输</w:t>
                  </w:r>
                </w:p>
                <w:p w14:paraId="4AC6F83F">
                  <w:pPr>
                    <w:jc w:val="center"/>
                    <w:rPr>
                      <w:rFonts w:hint="default"/>
                      <w:color w:val="auto"/>
                      <w:sz w:val="18"/>
                      <w:szCs w:val="18"/>
                      <w:lang w:val="en-US" w:eastAsia="zh-CN"/>
                    </w:rPr>
                  </w:pPr>
                  <w:r>
                    <w:rPr>
                      <w:rFonts w:hint="eastAsia"/>
                      <w:color w:val="auto"/>
                      <w:sz w:val="18"/>
                      <w:szCs w:val="18"/>
                      <w:lang w:val="en-US" w:eastAsia="zh-CN"/>
                    </w:rPr>
                    <w:t>方式</w:t>
                  </w:r>
                </w:p>
              </w:tc>
              <w:tc>
                <w:tcPr>
                  <w:tcW w:w="814" w:type="pct"/>
                  <w:tcBorders>
                    <w:tl2br w:val="nil"/>
                    <w:tr2bl w:val="nil"/>
                  </w:tcBorders>
                  <w:vAlign w:val="center"/>
                </w:tcPr>
                <w:p w14:paraId="6C3BB0D0">
                  <w:pPr>
                    <w:jc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储存</w:t>
                  </w:r>
                </w:p>
                <w:p w14:paraId="6F6A980B">
                  <w:pPr>
                    <w:jc w:val="center"/>
                    <w:rPr>
                      <w:rFonts w:hint="eastAsia"/>
                      <w:color w:val="auto"/>
                      <w:sz w:val="18"/>
                      <w:szCs w:val="18"/>
                      <w:lang w:val="en-US" w:eastAsia="zh-CN"/>
                    </w:rPr>
                  </w:pPr>
                  <w:r>
                    <w:rPr>
                      <w:rFonts w:hint="eastAsia" w:cs="Times New Roman"/>
                      <w:color w:val="auto"/>
                      <w:kern w:val="2"/>
                      <w:sz w:val="18"/>
                      <w:szCs w:val="18"/>
                      <w:lang w:val="en-US" w:eastAsia="zh-CN" w:bidi="ar-SA"/>
                    </w:rPr>
                    <w:t>方式</w:t>
                  </w:r>
                </w:p>
              </w:tc>
              <w:tc>
                <w:tcPr>
                  <w:tcW w:w="554" w:type="pct"/>
                  <w:tcBorders>
                    <w:tl2br w:val="nil"/>
                    <w:tr2bl w:val="nil"/>
                  </w:tcBorders>
                  <w:vAlign w:val="center"/>
                </w:tcPr>
                <w:p w14:paraId="34A4B544">
                  <w:pPr>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最大储存量（t）</w:t>
                  </w:r>
                </w:p>
              </w:tc>
              <w:tc>
                <w:tcPr>
                  <w:tcW w:w="468" w:type="pct"/>
                  <w:tcBorders>
                    <w:tl2br w:val="nil"/>
                    <w:tr2bl w:val="nil"/>
                  </w:tcBorders>
                  <w:vAlign w:val="center"/>
                </w:tcPr>
                <w:p w14:paraId="792A9C6A">
                  <w:pPr>
                    <w:jc w:val="center"/>
                    <w:rPr>
                      <w:rFonts w:hint="default"/>
                      <w:color w:val="auto"/>
                      <w:sz w:val="18"/>
                      <w:szCs w:val="18"/>
                      <w:lang w:val="en-US" w:eastAsia="zh-CN"/>
                    </w:rPr>
                  </w:pPr>
                  <w:r>
                    <w:rPr>
                      <w:rFonts w:hint="eastAsia"/>
                      <w:color w:val="auto"/>
                      <w:sz w:val="18"/>
                      <w:szCs w:val="18"/>
                      <w:lang w:val="en-US" w:eastAsia="zh-CN"/>
                    </w:rPr>
                    <w:t>来源</w:t>
                  </w:r>
                </w:p>
              </w:tc>
              <w:tc>
                <w:tcPr>
                  <w:tcW w:w="924" w:type="pct"/>
                  <w:tcBorders>
                    <w:tl2br w:val="nil"/>
                    <w:tr2bl w:val="nil"/>
                  </w:tcBorders>
                  <w:vAlign w:val="center"/>
                </w:tcPr>
                <w:p w14:paraId="7699EC8E">
                  <w:pPr>
                    <w:jc w:val="center"/>
                    <w:rPr>
                      <w:rFonts w:hint="eastAsia"/>
                      <w:color w:val="auto"/>
                      <w:sz w:val="18"/>
                      <w:szCs w:val="18"/>
                      <w:lang w:val="en-US" w:eastAsia="zh-CN"/>
                    </w:rPr>
                  </w:pPr>
                  <w:r>
                    <w:rPr>
                      <w:rFonts w:hint="eastAsia"/>
                      <w:color w:val="auto"/>
                      <w:sz w:val="18"/>
                      <w:szCs w:val="18"/>
                      <w:lang w:val="en-US" w:eastAsia="zh-CN"/>
                    </w:rPr>
                    <w:t>有毒有害</w:t>
                  </w:r>
                </w:p>
                <w:p w14:paraId="6CE59E91">
                  <w:pPr>
                    <w:jc w:val="center"/>
                    <w:rPr>
                      <w:rFonts w:hint="default"/>
                      <w:color w:val="auto"/>
                      <w:sz w:val="18"/>
                      <w:szCs w:val="18"/>
                      <w:lang w:val="en-US" w:eastAsia="zh-CN"/>
                    </w:rPr>
                  </w:pPr>
                  <w:r>
                    <w:rPr>
                      <w:rFonts w:hint="eastAsia"/>
                      <w:color w:val="auto"/>
                      <w:sz w:val="18"/>
                      <w:szCs w:val="18"/>
                      <w:lang w:val="en-US" w:eastAsia="zh-CN"/>
                    </w:rPr>
                    <w:t>成分及占比</w:t>
                  </w:r>
                </w:p>
              </w:tc>
            </w:tr>
            <w:tr w14:paraId="735BF0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76" w:hRule="atLeast"/>
                <w:jc w:val="center"/>
              </w:trPr>
              <w:tc>
                <w:tcPr>
                  <w:tcW w:w="183" w:type="pct"/>
                  <w:tcBorders>
                    <w:tl2br w:val="nil"/>
                    <w:tr2bl w:val="nil"/>
                  </w:tcBorders>
                  <w:vAlign w:val="center"/>
                </w:tcPr>
                <w:p w14:paraId="462CD75F">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w:t>
                  </w:r>
                </w:p>
              </w:tc>
              <w:tc>
                <w:tcPr>
                  <w:tcW w:w="526" w:type="pct"/>
                  <w:vMerge w:val="restart"/>
                  <w:tcBorders>
                    <w:tl2br w:val="nil"/>
                    <w:tr2bl w:val="nil"/>
                  </w:tcBorders>
                  <w:vAlign w:val="center"/>
                </w:tcPr>
                <w:p w14:paraId="4064202F">
                  <w:pPr>
                    <w:jc w:val="center"/>
                    <w:rPr>
                      <w:rFonts w:hint="default" w:eastAsia="宋体"/>
                      <w:color w:val="auto"/>
                      <w:sz w:val="18"/>
                      <w:szCs w:val="18"/>
                      <w:lang w:val="en-US" w:eastAsia="zh-CN"/>
                    </w:rPr>
                  </w:pPr>
                  <w:r>
                    <w:rPr>
                      <w:rFonts w:hint="eastAsia"/>
                      <w:color w:val="auto"/>
                      <w:sz w:val="18"/>
                      <w:szCs w:val="18"/>
                      <w:lang w:val="en-US" w:eastAsia="zh-CN"/>
                    </w:rPr>
                    <w:t>沥青混凝土生产线</w:t>
                  </w:r>
                </w:p>
              </w:tc>
              <w:tc>
                <w:tcPr>
                  <w:tcW w:w="464" w:type="pct"/>
                  <w:tcBorders>
                    <w:tl2br w:val="nil"/>
                    <w:tr2bl w:val="nil"/>
                  </w:tcBorders>
                  <w:vAlign w:val="center"/>
                </w:tcPr>
                <w:p w14:paraId="3FFFB78A">
                  <w:pPr>
                    <w:jc w:val="center"/>
                    <w:rPr>
                      <w:rFonts w:hint="eastAsia"/>
                      <w:color w:val="auto"/>
                      <w:sz w:val="18"/>
                      <w:szCs w:val="18"/>
                      <w:lang w:val="en-US" w:eastAsia="zh-CN"/>
                    </w:rPr>
                  </w:pPr>
                  <w:r>
                    <w:rPr>
                      <w:rFonts w:hint="eastAsia"/>
                      <w:color w:val="auto"/>
                      <w:sz w:val="18"/>
                      <w:szCs w:val="18"/>
                      <w:lang w:val="en-US" w:eastAsia="zh-CN"/>
                    </w:rPr>
                    <w:t>沥青</w:t>
                  </w:r>
                </w:p>
                <w:p w14:paraId="610374AA">
                  <w:pPr>
                    <w:jc w:val="center"/>
                    <w:rPr>
                      <w:rFonts w:hint="default" w:eastAsia="宋体"/>
                      <w:color w:val="auto"/>
                      <w:sz w:val="18"/>
                      <w:szCs w:val="18"/>
                      <w:lang w:val="en-US" w:eastAsia="zh-CN"/>
                    </w:rPr>
                  </w:pPr>
                  <w:r>
                    <w:rPr>
                      <w:rFonts w:hint="eastAsia"/>
                      <w:color w:val="auto"/>
                      <w:sz w:val="18"/>
                      <w:szCs w:val="18"/>
                      <w:lang w:val="en-US" w:eastAsia="zh-CN"/>
                    </w:rPr>
                    <w:t>（石油沥青）</w:t>
                  </w:r>
                </w:p>
              </w:tc>
              <w:tc>
                <w:tcPr>
                  <w:tcW w:w="417" w:type="pct"/>
                  <w:tcBorders>
                    <w:tl2br w:val="nil"/>
                    <w:tr2bl w:val="nil"/>
                  </w:tcBorders>
                  <w:vAlign w:val="center"/>
                </w:tcPr>
                <w:p w14:paraId="24E0E459">
                  <w:pPr>
                    <w:jc w:val="center"/>
                    <w:rPr>
                      <w:rFonts w:hint="default" w:eastAsia="宋体"/>
                      <w:color w:val="auto"/>
                      <w:sz w:val="18"/>
                      <w:szCs w:val="18"/>
                      <w:lang w:val="en-US" w:eastAsia="zh-CN"/>
                    </w:rPr>
                  </w:pPr>
                  <w:r>
                    <w:rPr>
                      <w:rFonts w:hint="eastAsia"/>
                      <w:color w:val="auto"/>
                      <w:sz w:val="18"/>
                      <w:szCs w:val="18"/>
                      <w:lang w:val="en-US" w:eastAsia="zh-CN"/>
                    </w:rPr>
                    <w:t>2000</w:t>
                  </w:r>
                </w:p>
              </w:tc>
              <w:tc>
                <w:tcPr>
                  <w:tcW w:w="235" w:type="pct"/>
                  <w:tcBorders>
                    <w:tl2br w:val="nil"/>
                    <w:tr2bl w:val="nil"/>
                  </w:tcBorders>
                  <w:vAlign w:val="center"/>
                </w:tcPr>
                <w:p w14:paraId="0D2FBA45">
                  <w:pPr>
                    <w:jc w:val="center"/>
                    <w:rPr>
                      <w:rFonts w:hint="default" w:eastAsia="宋体"/>
                      <w:color w:val="auto"/>
                      <w:sz w:val="18"/>
                      <w:szCs w:val="18"/>
                      <w:lang w:val="en-US" w:eastAsia="zh-CN"/>
                    </w:rPr>
                  </w:pPr>
                  <w:r>
                    <w:rPr>
                      <w:rFonts w:hint="eastAsia"/>
                      <w:color w:val="auto"/>
                      <w:sz w:val="18"/>
                      <w:szCs w:val="18"/>
                      <w:lang w:val="en-US" w:eastAsia="zh-CN"/>
                    </w:rPr>
                    <w:t>罐车</w:t>
                  </w:r>
                </w:p>
              </w:tc>
              <w:tc>
                <w:tcPr>
                  <w:tcW w:w="410" w:type="pct"/>
                  <w:tcBorders>
                    <w:tl2br w:val="nil"/>
                    <w:tr2bl w:val="nil"/>
                  </w:tcBorders>
                  <w:vAlign w:val="center"/>
                </w:tcPr>
                <w:p w14:paraId="75AAD2D5">
                  <w:pPr>
                    <w:jc w:val="center"/>
                    <w:rPr>
                      <w:rFonts w:hint="default"/>
                      <w:color w:val="auto"/>
                      <w:sz w:val="18"/>
                      <w:szCs w:val="18"/>
                      <w:lang w:val="en-US" w:eastAsia="zh-CN"/>
                    </w:rPr>
                  </w:pPr>
                  <w:r>
                    <w:rPr>
                      <w:rFonts w:hint="eastAsia"/>
                      <w:color w:val="auto"/>
                      <w:sz w:val="18"/>
                      <w:szCs w:val="18"/>
                      <w:lang w:val="en-US" w:eastAsia="zh-CN"/>
                    </w:rPr>
                    <w:t>专用罐车汽运</w:t>
                  </w:r>
                </w:p>
              </w:tc>
              <w:tc>
                <w:tcPr>
                  <w:tcW w:w="814" w:type="pct"/>
                  <w:tcBorders>
                    <w:tl2br w:val="nil"/>
                    <w:tr2bl w:val="nil"/>
                  </w:tcBorders>
                  <w:vAlign w:val="center"/>
                </w:tcPr>
                <w:p w14:paraId="4B07B753">
                  <w:pPr>
                    <w:jc w:val="center"/>
                    <w:rPr>
                      <w:rFonts w:hint="default" w:eastAsia="宋体"/>
                      <w:color w:val="auto"/>
                      <w:sz w:val="18"/>
                      <w:szCs w:val="18"/>
                      <w:lang w:val="en-US" w:eastAsia="zh-CN"/>
                    </w:rPr>
                  </w:pPr>
                  <w:r>
                    <w:rPr>
                      <w:rFonts w:hint="eastAsia"/>
                      <w:color w:val="auto"/>
                      <w:sz w:val="18"/>
                      <w:szCs w:val="18"/>
                      <w:lang w:val="en-US" w:eastAsia="zh-CN"/>
                    </w:rPr>
                    <w:t>沥青储存罐</w:t>
                  </w:r>
                </w:p>
              </w:tc>
              <w:tc>
                <w:tcPr>
                  <w:tcW w:w="554" w:type="pct"/>
                  <w:tcBorders>
                    <w:tl2br w:val="nil"/>
                    <w:tr2bl w:val="nil"/>
                  </w:tcBorders>
                  <w:vAlign w:val="center"/>
                </w:tcPr>
                <w:p w14:paraId="7413A99D">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150</w:t>
                  </w:r>
                </w:p>
              </w:tc>
              <w:tc>
                <w:tcPr>
                  <w:tcW w:w="468" w:type="pct"/>
                  <w:tcBorders>
                    <w:tl2br w:val="nil"/>
                    <w:tr2bl w:val="nil"/>
                  </w:tcBorders>
                  <w:vAlign w:val="center"/>
                </w:tcPr>
                <w:p w14:paraId="25CF5F00">
                  <w:pPr>
                    <w:jc w:val="center"/>
                    <w:rPr>
                      <w:rFonts w:hint="default"/>
                      <w:color w:val="auto"/>
                      <w:sz w:val="18"/>
                      <w:szCs w:val="18"/>
                      <w:lang w:val="en-US" w:eastAsia="zh-CN"/>
                    </w:rPr>
                  </w:pPr>
                  <w:r>
                    <w:rPr>
                      <w:rFonts w:hint="eastAsia"/>
                      <w:color w:val="auto"/>
                      <w:sz w:val="18"/>
                      <w:szCs w:val="18"/>
                      <w:lang w:val="en-US" w:eastAsia="zh-CN"/>
                    </w:rPr>
                    <w:t>厂家供货卸料</w:t>
                  </w:r>
                </w:p>
              </w:tc>
              <w:tc>
                <w:tcPr>
                  <w:tcW w:w="924" w:type="pct"/>
                  <w:tcBorders>
                    <w:tl2br w:val="nil"/>
                    <w:tr2bl w:val="nil"/>
                  </w:tcBorders>
                  <w:vAlign w:val="center"/>
                </w:tcPr>
                <w:p w14:paraId="63B66AC7">
                  <w:pPr>
                    <w:jc w:val="center"/>
                    <w:rPr>
                      <w:rFonts w:hint="eastAsia"/>
                      <w:color w:val="auto"/>
                      <w:sz w:val="18"/>
                      <w:szCs w:val="18"/>
                      <w:lang w:val="en-US" w:eastAsia="zh-CN"/>
                    </w:rPr>
                  </w:pPr>
                  <w:r>
                    <w:rPr>
                      <w:rFonts w:hint="eastAsia"/>
                      <w:color w:val="auto"/>
                      <w:sz w:val="18"/>
                      <w:szCs w:val="18"/>
                      <w:lang w:val="en-US" w:eastAsia="zh-CN"/>
                    </w:rPr>
                    <w:t>有毒（99.48%），</w:t>
                  </w:r>
                </w:p>
                <w:p w14:paraId="5FF3A9E2">
                  <w:pPr>
                    <w:jc w:val="center"/>
                    <w:rPr>
                      <w:rFonts w:hint="default"/>
                      <w:color w:val="auto"/>
                      <w:sz w:val="18"/>
                      <w:szCs w:val="18"/>
                      <w:lang w:val="en-US" w:eastAsia="zh-CN"/>
                    </w:rPr>
                  </w:pPr>
                  <w:r>
                    <w:rPr>
                      <w:rFonts w:hint="eastAsia"/>
                      <w:color w:val="auto"/>
                      <w:sz w:val="18"/>
                      <w:szCs w:val="18"/>
                      <w:lang w:val="en-US" w:eastAsia="zh-CN"/>
                    </w:rPr>
                    <w:t>燃烧时释放有害气体，</w:t>
                  </w:r>
                </w:p>
              </w:tc>
            </w:tr>
            <w:tr w14:paraId="57B714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76" w:hRule="atLeast"/>
                <w:jc w:val="center"/>
              </w:trPr>
              <w:tc>
                <w:tcPr>
                  <w:tcW w:w="183" w:type="pct"/>
                  <w:tcBorders>
                    <w:tl2br w:val="nil"/>
                    <w:tr2bl w:val="nil"/>
                  </w:tcBorders>
                  <w:vAlign w:val="center"/>
                </w:tcPr>
                <w:p w14:paraId="3C9A713A">
                  <w:pPr>
                    <w:jc w:val="center"/>
                    <w:rPr>
                      <w:rFonts w:hint="eastAsia" w:eastAsia="宋体"/>
                      <w:color w:val="auto"/>
                      <w:sz w:val="18"/>
                      <w:szCs w:val="18"/>
                      <w:lang w:val="en-US" w:eastAsia="zh-CN"/>
                    </w:rPr>
                  </w:pPr>
                  <w:r>
                    <w:rPr>
                      <w:rFonts w:hint="eastAsia"/>
                      <w:color w:val="auto"/>
                      <w:sz w:val="18"/>
                      <w:szCs w:val="18"/>
                      <w:lang w:val="en-US" w:eastAsia="zh-CN"/>
                    </w:rPr>
                    <w:t>2</w:t>
                  </w:r>
                </w:p>
              </w:tc>
              <w:tc>
                <w:tcPr>
                  <w:tcW w:w="526" w:type="pct"/>
                  <w:vMerge w:val="continue"/>
                  <w:tcBorders>
                    <w:tl2br w:val="nil"/>
                    <w:tr2bl w:val="nil"/>
                  </w:tcBorders>
                  <w:vAlign w:val="center"/>
                </w:tcPr>
                <w:p w14:paraId="5B0F2346">
                  <w:pPr>
                    <w:jc w:val="center"/>
                    <w:rPr>
                      <w:rFonts w:hint="eastAsia"/>
                      <w:color w:val="auto"/>
                      <w:sz w:val="18"/>
                      <w:szCs w:val="18"/>
                      <w:lang w:val="en-US" w:eastAsia="zh-CN"/>
                    </w:rPr>
                  </w:pPr>
                </w:p>
              </w:tc>
              <w:tc>
                <w:tcPr>
                  <w:tcW w:w="464" w:type="pct"/>
                  <w:tcBorders>
                    <w:tl2br w:val="nil"/>
                    <w:tr2bl w:val="nil"/>
                  </w:tcBorders>
                  <w:vAlign w:val="center"/>
                </w:tcPr>
                <w:p w14:paraId="1F59957D">
                  <w:pPr>
                    <w:jc w:val="center"/>
                    <w:rPr>
                      <w:rFonts w:hint="default" w:eastAsia="宋体"/>
                      <w:color w:val="auto"/>
                      <w:sz w:val="18"/>
                      <w:szCs w:val="18"/>
                      <w:lang w:val="en-US" w:eastAsia="zh-CN"/>
                    </w:rPr>
                  </w:pPr>
                  <w:r>
                    <w:rPr>
                      <w:rFonts w:hint="eastAsia"/>
                      <w:color w:val="auto"/>
                      <w:sz w:val="18"/>
                      <w:szCs w:val="18"/>
                      <w:lang w:val="en-US" w:eastAsia="zh-CN"/>
                    </w:rPr>
                    <w:t>石料</w:t>
                  </w:r>
                </w:p>
              </w:tc>
              <w:tc>
                <w:tcPr>
                  <w:tcW w:w="417" w:type="pct"/>
                  <w:tcBorders>
                    <w:tl2br w:val="nil"/>
                    <w:tr2bl w:val="nil"/>
                  </w:tcBorders>
                  <w:vAlign w:val="center"/>
                </w:tcPr>
                <w:p w14:paraId="06900C1D">
                  <w:pPr>
                    <w:jc w:val="center"/>
                    <w:rPr>
                      <w:rFonts w:hint="default" w:eastAsia="宋体"/>
                      <w:color w:val="auto"/>
                      <w:sz w:val="18"/>
                      <w:szCs w:val="18"/>
                      <w:lang w:val="en-US" w:eastAsia="zh-CN"/>
                    </w:rPr>
                  </w:pPr>
                  <w:r>
                    <w:rPr>
                      <w:rFonts w:hint="eastAsia"/>
                      <w:color w:val="auto"/>
                      <w:sz w:val="18"/>
                      <w:szCs w:val="18"/>
                      <w:lang w:val="en-US" w:eastAsia="zh-CN"/>
                    </w:rPr>
                    <w:t>22000</w:t>
                  </w:r>
                </w:p>
              </w:tc>
              <w:tc>
                <w:tcPr>
                  <w:tcW w:w="235" w:type="pct"/>
                  <w:tcBorders>
                    <w:tl2br w:val="nil"/>
                    <w:tr2bl w:val="nil"/>
                  </w:tcBorders>
                  <w:vAlign w:val="center"/>
                </w:tcPr>
                <w:p w14:paraId="04A2B56B">
                  <w:pPr>
                    <w:jc w:val="center"/>
                    <w:rPr>
                      <w:rFonts w:hint="default" w:eastAsia="宋体"/>
                      <w:color w:val="auto"/>
                      <w:sz w:val="18"/>
                      <w:szCs w:val="18"/>
                      <w:lang w:val="en-US" w:eastAsia="zh-CN"/>
                    </w:rPr>
                  </w:pPr>
                  <w:r>
                    <w:rPr>
                      <w:rFonts w:hint="eastAsia"/>
                      <w:color w:val="auto"/>
                      <w:sz w:val="18"/>
                      <w:szCs w:val="18"/>
                      <w:lang w:val="en-US" w:eastAsia="zh-CN"/>
                    </w:rPr>
                    <w:t>-</w:t>
                  </w:r>
                </w:p>
              </w:tc>
              <w:tc>
                <w:tcPr>
                  <w:tcW w:w="410" w:type="pct"/>
                  <w:tcBorders>
                    <w:tl2br w:val="nil"/>
                    <w:tr2bl w:val="nil"/>
                  </w:tcBorders>
                  <w:vAlign w:val="center"/>
                </w:tcPr>
                <w:p w14:paraId="658A651B">
                  <w:pPr>
                    <w:jc w:val="center"/>
                    <w:rPr>
                      <w:rFonts w:hint="default"/>
                      <w:color w:val="auto"/>
                      <w:sz w:val="18"/>
                      <w:szCs w:val="18"/>
                      <w:lang w:val="en-US" w:eastAsia="zh-CN"/>
                    </w:rPr>
                  </w:pPr>
                  <w:r>
                    <w:rPr>
                      <w:rFonts w:hint="eastAsia"/>
                      <w:color w:val="auto"/>
                      <w:sz w:val="18"/>
                      <w:szCs w:val="18"/>
                      <w:lang w:val="en-US" w:eastAsia="zh-CN"/>
                    </w:rPr>
                    <w:t>-</w:t>
                  </w:r>
                </w:p>
              </w:tc>
              <w:tc>
                <w:tcPr>
                  <w:tcW w:w="814" w:type="pct"/>
                  <w:tcBorders>
                    <w:tl2br w:val="nil"/>
                    <w:tr2bl w:val="nil"/>
                  </w:tcBorders>
                  <w:vAlign w:val="center"/>
                </w:tcPr>
                <w:p w14:paraId="3AE977CE">
                  <w:pPr>
                    <w:jc w:val="center"/>
                    <w:rPr>
                      <w:rFonts w:hint="default" w:eastAsia="宋体"/>
                      <w:color w:val="auto"/>
                      <w:sz w:val="18"/>
                      <w:szCs w:val="18"/>
                      <w:lang w:val="en-US" w:eastAsia="zh-CN"/>
                    </w:rPr>
                  </w:pPr>
                  <w:r>
                    <w:rPr>
                      <w:rFonts w:hint="eastAsia"/>
                      <w:color w:val="auto"/>
                      <w:sz w:val="18"/>
                      <w:szCs w:val="18"/>
                      <w:lang w:val="en-US" w:eastAsia="zh-CN"/>
                    </w:rPr>
                    <w:t>封闭式储料库</w:t>
                  </w:r>
                </w:p>
              </w:tc>
              <w:tc>
                <w:tcPr>
                  <w:tcW w:w="554" w:type="pct"/>
                  <w:tcBorders>
                    <w:tl2br w:val="nil"/>
                    <w:tr2bl w:val="nil"/>
                  </w:tcBorders>
                  <w:vAlign w:val="center"/>
                </w:tcPr>
                <w:p w14:paraId="5FA8DFCD">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8000</w:t>
                  </w:r>
                </w:p>
              </w:tc>
              <w:tc>
                <w:tcPr>
                  <w:tcW w:w="468" w:type="pct"/>
                  <w:tcBorders>
                    <w:tl2br w:val="nil"/>
                    <w:tr2bl w:val="nil"/>
                  </w:tcBorders>
                  <w:vAlign w:val="center"/>
                </w:tcPr>
                <w:p w14:paraId="7CF97323">
                  <w:pPr>
                    <w:jc w:val="center"/>
                    <w:rPr>
                      <w:rFonts w:hint="default"/>
                      <w:color w:val="auto"/>
                      <w:sz w:val="18"/>
                      <w:szCs w:val="18"/>
                      <w:lang w:val="en-US" w:eastAsia="zh-CN"/>
                    </w:rPr>
                  </w:pPr>
                  <w:r>
                    <w:rPr>
                      <w:rFonts w:hint="eastAsia"/>
                      <w:color w:val="auto"/>
                      <w:sz w:val="18"/>
                      <w:szCs w:val="18"/>
                      <w:lang w:val="en-US" w:eastAsia="zh-CN"/>
                    </w:rPr>
                    <w:t>自产</w:t>
                  </w:r>
                </w:p>
              </w:tc>
              <w:tc>
                <w:tcPr>
                  <w:tcW w:w="924" w:type="pct"/>
                  <w:tcBorders>
                    <w:tl2br w:val="nil"/>
                    <w:tr2bl w:val="nil"/>
                  </w:tcBorders>
                  <w:vAlign w:val="center"/>
                </w:tcPr>
                <w:p w14:paraId="282E14BE">
                  <w:pPr>
                    <w:jc w:val="center"/>
                    <w:rPr>
                      <w:rFonts w:hint="default"/>
                      <w:color w:val="auto"/>
                      <w:sz w:val="18"/>
                      <w:szCs w:val="18"/>
                      <w:lang w:val="en-US" w:eastAsia="zh-CN"/>
                    </w:rPr>
                  </w:pPr>
                  <w:r>
                    <w:rPr>
                      <w:rFonts w:hint="eastAsia"/>
                      <w:color w:val="auto"/>
                      <w:sz w:val="18"/>
                      <w:szCs w:val="18"/>
                      <w:lang w:val="en-US" w:eastAsia="zh-CN"/>
                    </w:rPr>
                    <w:t>无</w:t>
                  </w:r>
                </w:p>
              </w:tc>
            </w:tr>
            <w:tr w14:paraId="435C89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76" w:hRule="atLeast"/>
                <w:jc w:val="center"/>
              </w:trPr>
              <w:tc>
                <w:tcPr>
                  <w:tcW w:w="183" w:type="pct"/>
                  <w:tcBorders>
                    <w:tl2br w:val="nil"/>
                    <w:tr2bl w:val="nil"/>
                  </w:tcBorders>
                  <w:vAlign w:val="center"/>
                </w:tcPr>
                <w:p w14:paraId="4AA36E59">
                  <w:pPr>
                    <w:jc w:val="center"/>
                    <w:rPr>
                      <w:rFonts w:hint="eastAsia" w:eastAsia="宋体"/>
                      <w:color w:val="auto"/>
                      <w:sz w:val="18"/>
                      <w:szCs w:val="18"/>
                      <w:lang w:val="en-US" w:eastAsia="zh-CN"/>
                    </w:rPr>
                  </w:pPr>
                  <w:r>
                    <w:rPr>
                      <w:rFonts w:hint="eastAsia"/>
                      <w:color w:val="auto"/>
                      <w:sz w:val="18"/>
                      <w:szCs w:val="18"/>
                      <w:lang w:val="en-US" w:eastAsia="zh-CN"/>
                    </w:rPr>
                    <w:t>3</w:t>
                  </w:r>
                </w:p>
              </w:tc>
              <w:tc>
                <w:tcPr>
                  <w:tcW w:w="526" w:type="pct"/>
                  <w:vMerge w:val="continue"/>
                  <w:tcBorders>
                    <w:tl2br w:val="nil"/>
                    <w:tr2bl w:val="nil"/>
                  </w:tcBorders>
                  <w:vAlign w:val="center"/>
                </w:tcPr>
                <w:p w14:paraId="5A183C05">
                  <w:pPr>
                    <w:jc w:val="center"/>
                    <w:rPr>
                      <w:rFonts w:hint="eastAsia"/>
                      <w:color w:val="auto"/>
                      <w:sz w:val="18"/>
                      <w:szCs w:val="18"/>
                      <w:lang w:val="en-US" w:eastAsia="zh-CN"/>
                    </w:rPr>
                  </w:pPr>
                </w:p>
              </w:tc>
              <w:tc>
                <w:tcPr>
                  <w:tcW w:w="464" w:type="pct"/>
                  <w:tcBorders>
                    <w:tl2br w:val="nil"/>
                    <w:tr2bl w:val="nil"/>
                  </w:tcBorders>
                  <w:vAlign w:val="center"/>
                </w:tcPr>
                <w:p w14:paraId="3BB0847D">
                  <w:pPr>
                    <w:jc w:val="center"/>
                    <w:rPr>
                      <w:rFonts w:hint="default" w:eastAsia="宋体"/>
                      <w:color w:val="auto"/>
                      <w:sz w:val="18"/>
                      <w:szCs w:val="18"/>
                      <w:lang w:val="en-US" w:eastAsia="zh-CN"/>
                    </w:rPr>
                  </w:pPr>
                  <w:r>
                    <w:rPr>
                      <w:rFonts w:hint="eastAsia"/>
                      <w:color w:val="auto"/>
                      <w:sz w:val="18"/>
                      <w:szCs w:val="18"/>
                      <w:lang w:val="en-US" w:eastAsia="zh-CN"/>
                    </w:rPr>
                    <w:t>机制砂</w:t>
                  </w:r>
                </w:p>
              </w:tc>
              <w:tc>
                <w:tcPr>
                  <w:tcW w:w="417" w:type="pct"/>
                  <w:tcBorders>
                    <w:tl2br w:val="nil"/>
                    <w:tr2bl w:val="nil"/>
                  </w:tcBorders>
                  <w:vAlign w:val="center"/>
                </w:tcPr>
                <w:p w14:paraId="3F01E8E8">
                  <w:pPr>
                    <w:jc w:val="center"/>
                    <w:rPr>
                      <w:rFonts w:hint="default" w:eastAsia="宋体"/>
                      <w:color w:val="auto"/>
                      <w:sz w:val="18"/>
                      <w:szCs w:val="18"/>
                      <w:lang w:val="en-US" w:eastAsia="zh-CN"/>
                    </w:rPr>
                  </w:pPr>
                  <w:r>
                    <w:rPr>
                      <w:rFonts w:hint="eastAsia"/>
                      <w:color w:val="auto"/>
                      <w:sz w:val="18"/>
                      <w:szCs w:val="18"/>
                      <w:lang w:val="en-US" w:eastAsia="zh-CN"/>
                    </w:rPr>
                    <w:t>4000</w:t>
                  </w:r>
                </w:p>
              </w:tc>
              <w:tc>
                <w:tcPr>
                  <w:tcW w:w="235" w:type="pct"/>
                  <w:tcBorders>
                    <w:tl2br w:val="nil"/>
                    <w:tr2bl w:val="nil"/>
                  </w:tcBorders>
                  <w:vAlign w:val="center"/>
                </w:tcPr>
                <w:p w14:paraId="05458AD6">
                  <w:pPr>
                    <w:jc w:val="center"/>
                    <w:rPr>
                      <w:rFonts w:hint="default" w:eastAsia="宋体"/>
                      <w:color w:val="auto"/>
                      <w:sz w:val="18"/>
                      <w:szCs w:val="18"/>
                      <w:lang w:val="en-US" w:eastAsia="zh-CN"/>
                    </w:rPr>
                  </w:pPr>
                  <w:r>
                    <w:rPr>
                      <w:rFonts w:hint="eastAsia"/>
                      <w:color w:val="auto"/>
                      <w:sz w:val="18"/>
                      <w:szCs w:val="18"/>
                      <w:lang w:val="en-US" w:eastAsia="zh-CN"/>
                    </w:rPr>
                    <w:t>-</w:t>
                  </w:r>
                </w:p>
              </w:tc>
              <w:tc>
                <w:tcPr>
                  <w:tcW w:w="410" w:type="pct"/>
                  <w:tcBorders>
                    <w:tl2br w:val="nil"/>
                    <w:tr2bl w:val="nil"/>
                  </w:tcBorders>
                  <w:vAlign w:val="center"/>
                </w:tcPr>
                <w:p w14:paraId="51C12C0F">
                  <w:pPr>
                    <w:jc w:val="center"/>
                    <w:rPr>
                      <w:rFonts w:hint="eastAsia"/>
                      <w:color w:val="auto"/>
                      <w:sz w:val="18"/>
                      <w:szCs w:val="18"/>
                      <w:lang w:val="en-US" w:eastAsia="zh-CN"/>
                    </w:rPr>
                  </w:pPr>
                  <w:r>
                    <w:rPr>
                      <w:rFonts w:hint="eastAsia"/>
                      <w:color w:val="auto"/>
                      <w:sz w:val="18"/>
                      <w:szCs w:val="18"/>
                      <w:lang w:val="en-US" w:eastAsia="zh-CN"/>
                    </w:rPr>
                    <w:t>加盖苫布汽运</w:t>
                  </w:r>
                </w:p>
              </w:tc>
              <w:tc>
                <w:tcPr>
                  <w:tcW w:w="814" w:type="pct"/>
                  <w:tcBorders>
                    <w:tl2br w:val="nil"/>
                    <w:tr2bl w:val="nil"/>
                  </w:tcBorders>
                  <w:vAlign w:val="center"/>
                </w:tcPr>
                <w:p w14:paraId="4E44BAE3">
                  <w:pPr>
                    <w:jc w:val="center"/>
                    <w:rPr>
                      <w:rFonts w:hint="default" w:eastAsia="宋体"/>
                      <w:color w:val="auto"/>
                      <w:sz w:val="18"/>
                      <w:szCs w:val="18"/>
                      <w:lang w:val="en-US" w:eastAsia="zh-CN"/>
                    </w:rPr>
                  </w:pPr>
                  <w:r>
                    <w:rPr>
                      <w:rFonts w:hint="eastAsia"/>
                      <w:color w:val="auto"/>
                      <w:sz w:val="18"/>
                      <w:szCs w:val="18"/>
                      <w:lang w:val="en-US" w:eastAsia="zh-CN"/>
                    </w:rPr>
                    <w:t>封闭式储料库</w:t>
                  </w:r>
                </w:p>
              </w:tc>
              <w:tc>
                <w:tcPr>
                  <w:tcW w:w="554" w:type="pct"/>
                  <w:tcBorders>
                    <w:tl2br w:val="nil"/>
                    <w:tr2bl w:val="nil"/>
                  </w:tcBorders>
                  <w:vAlign w:val="center"/>
                </w:tcPr>
                <w:p w14:paraId="5B0E2AAC">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2000</w:t>
                  </w:r>
                </w:p>
              </w:tc>
              <w:tc>
                <w:tcPr>
                  <w:tcW w:w="468" w:type="pct"/>
                  <w:tcBorders>
                    <w:tl2br w:val="nil"/>
                    <w:tr2bl w:val="nil"/>
                  </w:tcBorders>
                  <w:vAlign w:val="center"/>
                </w:tcPr>
                <w:p w14:paraId="78874FD1">
                  <w:pPr>
                    <w:jc w:val="center"/>
                    <w:rPr>
                      <w:rFonts w:hint="default"/>
                      <w:color w:val="auto"/>
                      <w:sz w:val="18"/>
                      <w:szCs w:val="18"/>
                      <w:lang w:val="en-US" w:eastAsia="zh-CN"/>
                    </w:rPr>
                  </w:pPr>
                  <w:r>
                    <w:rPr>
                      <w:rFonts w:hint="eastAsia"/>
                      <w:color w:val="auto"/>
                      <w:sz w:val="18"/>
                      <w:szCs w:val="18"/>
                      <w:lang w:val="en-US" w:eastAsia="zh-CN"/>
                    </w:rPr>
                    <w:t>外购</w:t>
                  </w:r>
                </w:p>
              </w:tc>
              <w:tc>
                <w:tcPr>
                  <w:tcW w:w="924" w:type="pct"/>
                  <w:tcBorders>
                    <w:tl2br w:val="nil"/>
                    <w:tr2bl w:val="nil"/>
                  </w:tcBorders>
                  <w:vAlign w:val="center"/>
                </w:tcPr>
                <w:p w14:paraId="27F17E94">
                  <w:pPr>
                    <w:jc w:val="center"/>
                    <w:rPr>
                      <w:rFonts w:hint="default"/>
                      <w:color w:val="auto"/>
                      <w:sz w:val="18"/>
                      <w:szCs w:val="18"/>
                      <w:lang w:val="en-US" w:eastAsia="zh-CN"/>
                    </w:rPr>
                  </w:pPr>
                  <w:r>
                    <w:rPr>
                      <w:rFonts w:hint="eastAsia"/>
                      <w:color w:val="auto"/>
                      <w:sz w:val="18"/>
                      <w:szCs w:val="18"/>
                      <w:lang w:val="en-US" w:eastAsia="zh-CN"/>
                    </w:rPr>
                    <w:t>无</w:t>
                  </w:r>
                </w:p>
              </w:tc>
            </w:tr>
            <w:tr w14:paraId="375AA9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76" w:hRule="atLeast"/>
                <w:jc w:val="center"/>
              </w:trPr>
              <w:tc>
                <w:tcPr>
                  <w:tcW w:w="183" w:type="pct"/>
                  <w:tcBorders>
                    <w:tl2br w:val="nil"/>
                    <w:tr2bl w:val="nil"/>
                  </w:tcBorders>
                  <w:vAlign w:val="center"/>
                </w:tcPr>
                <w:p w14:paraId="1FD5FECE">
                  <w:pPr>
                    <w:jc w:val="center"/>
                    <w:rPr>
                      <w:rFonts w:hint="eastAsia" w:eastAsia="宋体"/>
                      <w:color w:val="auto"/>
                      <w:sz w:val="18"/>
                      <w:szCs w:val="18"/>
                      <w:lang w:val="en-US" w:eastAsia="zh-CN"/>
                    </w:rPr>
                  </w:pPr>
                  <w:r>
                    <w:rPr>
                      <w:rFonts w:hint="eastAsia"/>
                      <w:color w:val="auto"/>
                      <w:sz w:val="18"/>
                      <w:szCs w:val="18"/>
                      <w:lang w:val="en-US" w:eastAsia="zh-CN"/>
                    </w:rPr>
                    <w:t>4</w:t>
                  </w:r>
                </w:p>
              </w:tc>
              <w:tc>
                <w:tcPr>
                  <w:tcW w:w="526" w:type="pct"/>
                  <w:vMerge w:val="continue"/>
                  <w:tcBorders>
                    <w:tl2br w:val="nil"/>
                    <w:tr2bl w:val="nil"/>
                  </w:tcBorders>
                  <w:vAlign w:val="center"/>
                </w:tcPr>
                <w:p w14:paraId="07B39C87">
                  <w:pPr>
                    <w:jc w:val="center"/>
                    <w:rPr>
                      <w:rFonts w:hint="eastAsia"/>
                      <w:color w:val="auto"/>
                      <w:sz w:val="18"/>
                      <w:szCs w:val="18"/>
                      <w:lang w:val="en-US" w:eastAsia="zh-CN"/>
                    </w:rPr>
                  </w:pPr>
                </w:p>
              </w:tc>
              <w:tc>
                <w:tcPr>
                  <w:tcW w:w="464" w:type="pct"/>
                  <w:tcBorders>
                    <w:tl2br w:val="nil"/>
                    <w:tr2bl w:val="nil"/>
                  </w:tcBorders>
                  <w:vAlign w:val="center"/>
                </w:tcPr>
                <w:p w14:paraId="5965C25D">
                  <w:pPr>
                    <w:jc w:val="center"/>
                    <w:rPr>
                      <w:rFonts w:hint="default"/>
                      <w:color w:val="auto"/>
                      <w:sz w:val="18"/>
                      <w:szCs w:val="18"/>
                      <w:lang w:val="en-US" w:eastAsia="zh-CN"/>
                    </w:rPr>
                  </w:pPr>
                  <w:r>
                    <w:rPr>
                      <w:rFonts w:hint="eastAsia"/>
                      <w:color w:val="auto"/>
                      <w:sz w:val="18"/>
                      <w:szCs w:val="18"/>
                      <w:lang w:val="en-US" w:eastAsia="zh-CN"/>
                    </w:rPr>
                    <w:t>矿粉</w:t>
                  </w:r>
                </w:p>
              </w:tc>
              <w:tc>
                <w:tcPr>
                  <w:tcW w:w="417" w:type="pct"/>
                  <w:tcBorders>
                    <w:tl2br w:val="nil"/>
                    <w:tr2bl w:val="nil"/>
                  </w:tcBorders>
                  <w:vAlign w:val="center"/>
                </w:tcPr>
                <w:p w14:paraId="6C83C388">
                  <w:pPr>
                    <w:jc w:val="center"/>
                    <w:rPr>
                      <w:rFonts w:hint="default"/>
                      <w:color w:val="auto"/>
                      <w:sz w:val="18"/>
                      <w:szCs w:val="18"/>
                      <w:lang w:val="en-US" w:eastAsia="zh-CN"/>
                    </w:rPr>
                  </w:pPr>
                  <w:r>
                    <w:rPr>
                      <w:rFonts w:hint="eastAsia"/>
                      <w:color w:val="auto"/>
                      <w:sz w:val="18"/>
                      <w:szCs w:val="18"/>
                      <w:lang w:val="en-US" w:eastAsia="zh-CN"/>
                    </w:rPr>
                    <w:t>2000</w:t>
                  </w:r>
                </w:p>
              </w:tc>
              <w:tc>
                <w:tcPr>
                  <w:tcW w:w="235" w:type="pct"/>
                  <w:tcBorders>
                    <w:tl2br w:val="nil"/>
                    <w:tr2bl w:val="nil"/>
                  </w:tcBorders>
                  <w:vAlign w:val="center"/>
                </w:tcPr>
                <w:p w14:paraId="2AFE3900">
                  <w:pPr>
                    <w:jc w:val="center"/>
                    <w:rPr>
                      <w:rFonts w:hint="default" w:eastAsia="宋体"/>
                      <w:color w:val="auto"/>
                      <w:sz w:val="18"/>
                      <w:szCs w:val="18"/>
                      <w:lang w:val="en-US" w:eastAsia="zh-CN"/>
                    </w:rPr>
                  </w:pPr>
                  <w:r>
                    <w:rPr>
                      <w:rFonts w:hint="eastAsia"/>
                      <w:color w:val="auto"/>
                      <w:sz w:val="18"/>
                      <w:szCs w:val="18"/>
                      <w:lang w:val="en-US" w:eastAsia="zh-CN"/>
                    </w:rPr>
                    <w:t>罐车</w:t>
                  </w:r>
                </w:p>
              </w:tc>
              <w:tc>
                <w:tcPr>
                  <w:tcW w:w="410" w:type="pct"/>
                  <w:tcBorders>
                    <w:tl2br w:val="nil"/>
                    <w:tr2bl w:val="nil"/>
                  </w:tcBorders>
                  <w:vAlign w:val="center"/>
                </w:tcPr>
                <w:p w14:paraId="5DA8B31E">
                  <w:pPr>
                    <w:jc w:val="center"/>
                    <w:rPr>
                      <w:rFonts w:hint="eastAsia"/>
                      <w:color w:val="auto"/>
                      <w:sz w:val="18"/>
                      <w:szCs w:val="18"/>
                      <w:lang w:val="en-US" w:eastAsia="zh-CN"/>
                    </w:rPr>
                  </w:pPr>
                  <w:r>
                    <w:rPr>
                      <w:rFonts w:hint="eastAsia"/>
                      <w:color w:val="auto"/>
                      <w:sz w:val="18"/>
                      <w:szCs w:val="18"/>
                      <w:lang w:val="en-US" w:eastAsia="zh-CN"/>
                    </w:rPr>
                    <w:t>专用</w:t>
                  </w:r>
                </w:p>
                <w:p w14:paraId="09F7C929">
                  <w:pPr>
                    <w:jc w:val="center"/>
                    <w:rPr>
                      <w:rFonts w:hint="default"/>
                      <w:color w:val="auto"/>
                      <w:sz w:val="18"/>
                      <w:szCs w:val="18"/>
                      <w:lang w:val="en-US" w:eastAsia="zh-CN"/>
                    </w:rPr>
                  </w:pPr>
                  <w:r>
                    <w:rPr>
                      <w:rFonts w:hint="eastAsia"/>
                      <w:color w:val="auto"/>
                      <w:sz w:val="18"/>
                      <w:szCs w:val="18"/>
                      <w:lang w:val="en-US" w:eastAsia="zh-CN"/>
                    </w:rPr>
                    <w:t>罐车</w:t>
                  </w:r>
                </w:p>
              </w:tc>
              <w:tc>
                <w:tcPr>
                  <w:tcW w:w="814" w:type="pct"/>
                  <w:tcBorders>
                    <w:tl2br w:val="nil"/>
                    <w:tr2bl w:val="nil"/>
                  </w:tcBorders>
                  <w:vAlign w:val="center"/>
                </w:tcPr>
                <w:p w14:paraId="7ED7F8DA">
                  <w:pPr>
                    <w:jc w:val="center"/>
                    <w:rPr>
                      <w:rFonts w:hint="default" w:eastAsia="宋体"/>
                      <w:color w:val="auto"/>
                      <w:sz w:val="18"/>
                      <w:szCs w:val="18"/>
                      <w:lang w:val="en-US" w:eastAsia="zh-CN"/>
                    </w:rPr>
                  </w:pPr>
                  <w:r>
                    <w:rPr>
                      <w:rFonts w:hint="eastAsia"/>
                      <w:color w:val="auto"/>
                      <w:sz w:val="18"/>
                      <w:szCs w:val="18"/>
                      <w:lang w:val="en-US" w:eastAsia="zh-CN"/>
                    </w:rPr>
                    <w:t>矿粉筒仓</w:t>
                  </w:r>
                </w:p>
              </w:tc>
              <w:tc>
                <w:tcPr>
                  <w:tcW w:w="554" w:type="pct"/>
                  <w:tcBorders>
                    <w:tl2br w:val="nil"/>
                    <w:tr2bl w:val="nil"/>
                  </w:tcBorders>
                  <w:vAlign w:val="center"/>
                </w:tcPr>
                <w:p w14:paraId="6F7466D3">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300</w:t>
                  </w:r>
                </w:p>
              </w:tc>
              <w:tc>
                <w:tcPr>
                  <w:tcW w:w="468" w:type="pct"/>
                  <w:tcBorders>
                    <w:tl2br w:val="nil"/>
                    <w:tr2bl w:val="nil"/>
                  </w:tcBorders>
                  <w:vAlign w:val="center"/>
                </w:tcPr>
                <w:p w14:paraId="21157DBE">
                  <w:pPr>
                    <w:jc w:val="center"/>
                    <w:rPr>
                      <w:rFonts w:hint="default"/>
                      <w:color w:val="auto"/>
                      <w:sz w:val="18"/>
                      <w:szCs w:val="18"/>
                      <w:lang w:val="en-US" w:eastAsia="zh-CN"/>
                    </w:rPr>
                  </w:pPr>
                  <w:r>
                    <w:rPr>
                      <w:rFonts w:hint="eastAsia"/>
                      <w:color w:val="auto"/>
                      <w:sz w:val="18"/>
                      <w:szCs w:val="18"/>
                      <w:lang w:val="en-US" w:eastAsia="zh-CN"/>
                    </w:rPr>
                    <w:t>厂家供货</w:t>
                  </w:r>
                </w:p>
              </w:tc>
              <w:tc>
                <w:tcPr>
                  <w:tcW w:w="924" w:type="pct"/>
                  <w:tcBorders>
                    <w:tl2br w:val="nil"/>
                    <w:tr2bl w:val="nil"/>
                  </w:tcBorders>
                  <w:vAlign w:val="center"/>
                </w:tcPr>
                <w:p w14:paraId="6A11CED4">
                  <w:pPr>
                    <w:jc w:val="center"/>
                    <w:rPr>
                      <w:rFonts w:hint="default"/>
                      <w:color w:val="auto"/>
                      <w:sz w:val="18"/>
                      <w:szCs w:val="18"/>
                      <w:lang w:val="en-US" w:eastAsia="zh-CN"/>
                    </w:rPr>
                  </w:pPr>
                  <w:r>
                    <w:rPr>
                      <w:rFonts w:hint="eastAsia"/>
                      <w:color w:val="auto"/>
                      <w:sz w:val="18"/>
                      <w:szCs w:val="18"/>
                      <w:lang w:val="en-US" w:eastAsia="zh-CN"/>
                    </w:rPr>
                    <w:t>无</w:t>
                  </w:r>
                </w:p>
              </w:tc>
            </w:tr>
            <w:tr w14:paraId="030478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76" w:hRule="atLeast"/>
                <w:jc w:val="center"/>
              </w:trPr>
              <w:tc>
                <w:tcPr>
                  <w:tcW w:w="183" w:type="pct"/>
                  <w:tcBorders>
                    <w:tl2br w:val="nil"/>
                    <w:tr2bl w:val="nil"/>
                  </w:tcBorders>
                  <w:vAlign w:val="center"/>
                </w:tcPr>
                <w:p w14:paraId="13BE6BA4">
                  <w:pPr>
                    <w:jc w:val="center"/>
                    <w:rPr>
                      <w:rFonts w:hint="eastAsia" w:eastAsia="宋体"/>
                      <w:color w:val="auto"/>
                      <w:sz w:val="18"/>
                      <w:szCs w:val="18"/>
                      <w:lang w:val="en-US" w:eastAsia="zh-CN"/>
                    </w:rPr>
                  </w:pPr>
                  <w:r>
                    <w:rPr>
                      <w:rFonts w:hint="eastAsia"/>
                      <w:color w:val="auto"/>
                      <w:sz w:val="18"/>
                      <w:szCs w:val="18"/>
                      <w:lang w:val="en-US" w:eastAsia="zh-CN"/>
                    </w:rPr>
                    <w:t>5</w:t>
                  </w:r>
                </w:p>
              </w:tc>
              <w:tc>
                <w:tcPr>
                  <w:tcW w:w="526" w:type="pct"/>
                  <w:vMerge w:val="continue"/>
                  <w:tcBorders>
                    <w:tl2br w:val="nil"/>
                    <w:tr2bl w:val="nil"/>
                  </w:tcBorders>
                  <w:vAlign w:val="center"/>
                </w:tcPr>
                <w:p w14:paraId="33079F3D">
                  <w:pPr>
                    <w:jc w:val="center"/>
                    <w:rPr>
                      <w:rFonts w:hint="eastAsia"/>
                      <w:color w:val="auto"/>
                      <w:sz w:val="18"/>
                      <w:szCs w:val="18"/>
                      <w:lang w:val="en-US" w:eastAsia="zh-CN"/>
                    </w:rPr>
                  </w:pPr>
                </w:p>
              </w:tc>
              <w:tc>
                <w:tcPr>
                  <w:tcW w:w="464" w:type="pct"/>
                  <w:tcBorders>
                    <w:tl2br w:val="nil"/>
                    <w:tr2bl w:val="nil"/>
                  </w:tcBorders>
                  <w:vAlign w:val="center"/>
                </w:tcPr>
                <w:p w14:paraId="2B881E67">
                  <w:pPr>
                    <w:jc w:val="center"/>
                    <w:rPr>
                      <w:rFonts w:hint="default"/>
                      <w:color w:val="auto"/>
                      <w:sz w:val="18"/>
                      <w:szCs w:val="18"/>
                      <w:lang w:val="en-US" w:eastAsia="zh-CN"/>
                    </w:rPr>
                  </w:pPr>
                  <w:r>
                    <w:rPr>
                      <w:rFonts w:hint="eastAsia"/>
                      <w:color w:val="auto"/>
                      <w:sz w:val="18"/>
                      <w:szCs w:val="18"/>
                      <w:lang w:val="en-US" w:eastAsia="zh-CN"/>
                    </w:rPr>
                    <w:t>导热油</w:t>
                  </w:r>
                </w:p>
              </w:tc>
              <w:tc>
                <w:tcPr>
                  <w:tcW w:w="417" w:type="pct"/>
                  <w:tcBorders>
                    <w:tl2br w:val="nil"/>
                    <w:tr2bl w:val="nil"/>
                  </w:tcBorders>
                  <w:vAlign w:val="center"/>
                </w:tcPr>
                <w:p w14:paraId="5C6C6657">
                  <w:pPr>
                    <w:jc w:val="center"/>
                    <w:rPr>
                      <w:rFonts w:hint="default"/>
                      <w:color w:val="auto"/>
                      <w:sz w:val="18"/>
                      <w:szCs w:val="18"/>
                      <w:lang w:val="en-US" w:eastAsia="zh-CN"/>
                    </w:rPr>
                  </w:pPr>
                  <w:r>
                    <w:rPr>
                      <w:rFonts w:hint="eastAsia"/>
                      <w:color w:val="auto"/>
                      <w:sz w:val="18"/>
                      <w:szCs w:val="18"/>
                      <w:lang w:val="en-US" w:eastAsia="zh-CN"/>
                    </w:rPr>
                    <w:t>2.5t/3a</w:t>
                  </w:r>
                </w:p>
              </w:tc>
              <w:tc>
                <w:tcPr>
                  <w:tcW w:w="235" w:type="pct"/>
                  <w:tcBorders>
                    <w:tl2br w:val="nil"/>
                    <w:tr2bl w:val="nil"/>
                  </w:tcBorders>
                  <w:vAlign w:val="center"/>
                </w:tcPr>
                <w:p w14:paraId="0AE5E32E">
                  <w:pPr>
                    <w:jc w:val="center"/>
                    <w:rPr>
                      <w:rFonts w:hint="default" w:eastAsia="宋体"/>
                      <w:color w:val="auto"/>
                      <w:sz w:val="18"/>
                      <w:szCs w:val="18"/>
                      <w:lang w:val="en-US" w:eastAsia="zh-CN"/>
                    </w:rPr>
                  </w:pPr>
                  <w:r>
                    <w:rPr>
                      <w:rFonts w:hint="eastAsia"/>
                      <w:color w:val="auto"/>
                      <w:sz w:val="18"/>
                      <w:szCs w:val="18"/>
                      <w:lang w:val="en-US" w:eastAsia="zh-CN"/>
                    </w:rPr>
                    <w:t>罐车</w:t>
                  </w:r>
                </w:p>
              </w:tc>
              <w:tc>
                <w:tcPr>
                  <w:tcW w:w="410" w:type="pct"/>
                  <w:tcBorders>
                    <w:tl2br w:val="nil"/>
                    <w:tr2bl w:val="nil"/>
                  </w:tcBorders>
                  <w:vAlign w:val="center"/>
                </w:tcPr>
                <w:p w14:paraId="315F31EA">
                  <w:pPr>
                    <w:jc w:val="center"/>
                    <w:rPr>
                      <w:rFonts w:hint="eastAsia"/>
                      <w:color w:val="auto"/>
                      <w:sz w:val="18"/>
                      <w:szCs w:val="18"/>
                      <w:lang w:val="en-US" w:eastAsia="zh-CN"/>
                    </w:rPr>
                  </w:pPr>
                  <w:r>
                    <w:rPr>
                      <w:rFonts w:hint="eastAsia"/>
                      <w:color w:val="auto"/>
                      <w:sz w:val="18"/>
                      <w:szCs w:val="18"/>
                      <w:lang w:val="en-US" w:eastAsia="zh-CN"/>
                    </w:rPr>
                    <w:t>专用</w:t>
                  </w:r>
                </w:p>
                <w:p w14:paraId="73278140">
                  <w:pPr>
                    <w:jc w:val="center"/>
                    <w:rPr>
                      <w:rFonts w:hint="eastAsia"/>
                      <w:color w:val="auto"/>
                      <w:sz w:val="18"/>
                      <w:szCs w:val="18"/>
                      <w:lang w:val="en-US" w:eastAsia="zh-CN"/>
                    </w:rPr>
                  </w:pPr>
                  <w:r>
                    <w:rPr>
                      <w:rFonts w:hint="eastAsia"/>
                      <w:color w:val="auto"/>
                      <w:sz w:val="18"/>
                      <w:szCs w:val="18"/>
                      <w:lang w:val="en-US" w:eastAsia="zh-CN"/>
                    </w:rPr>
                    <w:t>罐车</w:t>
                  </w:r>
                </w:p>
              </w:tc>
              <w:tc>
                <w:tcPr>
                  <w:tcW w:w="814" w:type="pct"/>
                  <w:tcBorders>
                    <w:tl2br w:val="nil"/>
                    <w:tr2bl w:val="nil"/>
                  </w:tcBorders>
                  <w:vAlign w:val="center"/>
                </w:tcPr>
                <w:p w14:paraId="1C5AE92F">
                  <w:pPr>
                    <w:jc w:val="center"/>
                    <w:rPr>
                      <w:rFonts w:hint="default" w:eastAsia="宋体"/>
                      <w:color w:val="auto"/>
                      <w:sz w:val="18"/>
                      <w:szCs w:val="18"/>
                      <w:lang w:val="en-US" w:eastAsia="zh-CN"/>
                    </w:rPr>
                  </w:pPr>
                  <w:r>
                    <w:rPr>
                      <w:rFonts w:hint="eastAsia"/>
                      <w:color w:val="auto"/>
                      <w:sz w:val="18"/>
                      <w:szCs w:val="18"/>
                      <w:lang w:val="en-US" w:eastAsia="zh-CN"/>
                    </w:rPr>
                    <w:t>导热油炉</w:t>
                  </w:r>
                </w:p>
              </w:tc>
              <w:tc>
                <w:tcPr>
                  <w:tcW w:w="554" w:type="pct"/>
                  <w:tcBorders>
                    <w:tl2br w:val="nil"/>
                    <w:tr2bl w:val="nil"/>
                  </w:tcBorders>
                  <w:vAlign w:val="center"/>
                </w:tcPr>
                <w:p w14:paraId="4F256E7C">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2.5</w:t>
                  </w:r>
                </w:p>
              </w:tc>
              <w:tc>
                <w:tcPr>
                  <w:tcW w:w="468" w:type="pct"/>
                  <w:tcBorders>
                    <w:tl2br w:val="nil"/>
                    <w:tr2bl w:val="nil"/>
                  </w:tcBorders>
                  <w:vAlign w:val="center"/>
                </w:tcPr>
                <w:p w14:paraId="6834A8D7">
                  <w:pPr>
                    <w:jc w:val="center"/>
                    <w:rPr>
                      <w:rFonts w:hint="default"/>
                      <w:color w:val="auto"/>
                      <w:sz w:val="18"/>
                      <w:szCs w:val="18"/>
                      <w:lang w:val="en-US" w:eastAsia="zh-CN"/>
                    </w:rPr>
                  </w:pPr>
                  <w:r>
                    <w:rPr>
                      <w:rFonts w:hint="eastAsia"/>
                      <w:color w:val="auto"/>
                      <w:sz w:val="18"/>
                      <w:szCs w:val="18"/>
                      <w:lang w:val="en-US" w:eastAsia="zh-CN"/>
                    </w:rPr>
                    <w:t>厂家配送卸油</w:t>
                  </w:r>
                </w:p>
              </w:tc>
              <w:tc>
                <w:tcPr>
                  <w:tcW w:w="924" w:type="pct"/>
                  <w:tcBorders>
                    <w:tl2br w:val="nil"/>
                    <w:tr2bl w:val="nil"/>
                  </w:tcBorders>
                  <w:vAlign w:val="center"/>
                </w:tcPr>
                <w:p w14:paraId="79A5603D">
                  <w:pPr>
                    <w:jc w:val="center"/>
                    <w:rPr>
                      <w:rFonts w:hint="default"/>
                      <w:color w:val="auto"/>
                      <w:sz w:val="18"/>
                      <w:szCs w:val="18"/>
                      <w:lang w:val="en-US" w:eastAsia="zh-CN"/>
                    </w:rPr>
                  </w:pPr>
                  <w:r>
                    <w:rPr>
                      <w:rFonts w:hint="eastAsia"/>
                      <w:color w:val="auto"/>
                      <w:sz w:val="18"/>
                      <w:szCs w:val="18"/>
                      <w:lang w:val="en-US" w:eastAsia="zh-CN"/>
                    </w:rPr>
                    <w:t>无毒</w:t>
                  </w:r>
                </w:p>
              </w:tc>
            </w:tr>
            <w:tr w14:paraId="0A9121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76" w:hRule="atLeast"/>
                <w:jc w:val="center"/>
              </w:trPr>
              <w:tc>
                <w:tcPr>
                  <w:tcW w:w="183" w:type="pct"/>
                  <w:tcBorders>
                    <w:tl2br w:val="nil"/>
                    <w:tr2bl w:val="nil"/>
                  </w:tcBorders>
                  <w:vAlign w:val="center"/>
                </w:tcPr>
                <w:p w14:paraId="63DF169D">
                  <w:pPr>
                    <w:jc w:val="center"/>
                    <w:rPr>
                      <w:rFonts w:hint="eastAsia" w:eastAsia="宋体"/>
                      <w:color w:val="auto"/>
                      <w:sz w:val="18"/>
                      <w:szCs w:val="18"/>
                      <w:lang w:val="en-US" w:eastAsia="zh-CN"/>
                    </w:rPr>
                  </w:pPr>
                  <w:r>
                    <w:rPr>
                      <w:rFonts w:hint="eastAsia"/>
                      <w:color w:val="auto"/>
                      <w:sz w:val="18"/>
                      <w:szCs w:val="18"/>
                      <w:lang w:val="en-US" w:eastAsia="zh-CN"/>
                    </w:rPr>
                    <w:t>6</w:t>
                  </w:r>
                </w:p>
              </w:tc>
              <w:tc>
                <w:tcPr>
                  <w:tcW w:w="526" w:type="pct"/>
                  <w:vMerge w:val="continue"/>
                  <w:tcBorders>
                    <w:tl2br w:val="nil"/>
                    <w:tr2bl w:val="nil"/>
                  </w:tcBorders>
                  <w:vAlign w:val="center"/>
                </w:tcPr>
                <w:p w14:paraId="5F6919F7">
                  <w:pPr>
                    <w:jc w:val="center"/>
                    <w:rPr>
                      <w:rFonts w:hint="eastAsia"/>
                      <w:color w:val="auto"/>
                      <w:sz w:val="18"/>
                      <w:szCs w:val="18"/>
                      <w:lang w:val="en-US" w:eastAsia="zh-CN"/>
                    </w:rPr>
                  </w:pPr>
                </w:p>
              </w:tc>
              <w:tc>
                <w:tcPr>
                  <w:tcW w:w="464" w:type="pct"/>
                  <w:tcBorders>
                    <w:tl2br w:val="nil"/>
                    <w:tr2bl w:val="nil"/>
                  </w:tcBorders>
                  <w:vAlign w:val="center"/>
                </w:tcPr>
                <w:p w14:paraId="2C0B6CD0">
                  <w:pPr>
                    <w:jc w:val="center"/>
                    <w:rPr>
                      <w:rFonts w:hint="default"/>
                      <w:color w:val="auto"/>
                      <w:sz w:val="18"/>
                      <w:szCs w:val="18"/>
                      <w:lang w:val="en-US" w:eastAsia="zh-CN"/>
                    </w:rPr>
                  </w:pPr>
                  <w:r>
                    <w:rPr>
                      <w:rFonts w:hint="eastAsia"/>
                      <w:color w:val="auto"/>
                      <w:sz w:val="18"/>
                      <w:szCs w:val="18"/>
                      <w:lang w:val="en-US" w:eastAsia="zh-CN"/>
                    </w:rPr>
                    <w:t>轻质柴油</w:t>
                  </w:r>
                </w:p>
              </w:tc>
              <w:tc>
                <w:tcPr>
                  <w:tcW w:w="417" w:type="pct"/>
                  <w:tcBorders>
                    <w:tl2br w:val="nil"/>
                    <w:tr2bl w:val="nil"/>
                  </w:tcBorders>
                  <w:vAlign w:val="center"/>
                </w:tcPr>
                <w:p w14:paraId="301DDAA3">
                  <w:pPr>
                    <w:jc w:val="center"/>
                    <w:rPr>
                      <w:rFonts w:hint="default"/>
                      <w:color w:val="auto"/>
                      <w:sz w:val="18"/>
                      <w:szCs w:val="18"/>
                      <w:lang w:val="en-US" w:eastAsia="zh-CN"/>
                    </w:rPr>
                  </w:pPr>
                  <w:r>
                    <w:rPr>
                      <w:rFonts w:hint="eastAsia"/>
                      <w:color w:val="auto"/>
                      <w:sz w:val="18"/>
                      <w:szCs w:val="18"/>
                      <w:lang w:val="en-US" w:eastAsia="zh-CN"/>
                    </w:rPr>
                    <w:t>239.6</w:t>
                  </w:r>
                </w:p>
              </w:tc>
              <w:tc>
                <w:tcPr>
                  <w:tcW w:w="235" w:type="pct"/>
                  <w:tcBorders>
                    <w:tl2br w:val="nil"/>
                    <w:tr2bl w:val="nil"/>
                  </w:tcBorders>
                  <w:vAlign w:val="center"/>
                </w:tcPr>
                <w:p w14:paraId="46081169">
                  <w:pPr>
                    <w:jc w:val="center"/>
                    <w:rPr>
                      <w:rFonts w:hint="default" w:eastAsia="宋体"/>
                      <w:color w:val="auto"/>
                      <w:sz w:val="18"/>
                      <w:szCs w:val="18"/>
                      <w:lang w:val="en-US" w:eastAsia="zh-CN"/>
                    </w:rPr>
                  </w:pPr>
                  <w:r>
                    <w:rPr>
                      <w:rFonts w:hint="eastAsia"/>
                      <w:color w:val="auto"/>
                      <w:sz w:val="18"/>
                      <w:szCs w:val="18"/>
                      <w:lang w:val="en-US" w:eastAsia="zh-CN"/>
                    </w:rPr>
                    <w:t>罐车</w:t>
                  </w:r>
                </w:p>
              </w:tc>
              <w:tc>
                <w:tcPr>
                  <w:tcW w:w="410" w:type="pct"/>
                  <w:tcBorders>
                    <w:tl2br w:val="nil"/>
                    <w:tr2bl w:val="nil"/>
                  </w:tcBorders>
                  <w:vAlign w:val="center"/>
                </w:tcPr>
                <w:p w14:paraId="695D98DF">
                  <w:pPr>
                    <w:jc w:val="center"/>
                    <w:rPr>
                      <w:rFonts w:hint="eastAsia"/>
                      <w:color w:val="auto"/>
                      <w:sz w:val="18"/>
                      <w:szCs w:val="18"/>
                      <w:lang w:val="en-US" w:eastAsia="zh-CN"/>
                    </w:rPr>
                  </w:pPr>
                  <w:r>
                    <w:rPr>
                      <w:rFonts w:hint="eastAsia"/>
                      <w:color w:val="auto"/>
                      <w:sz w:val="18"/>
                      <w:szCs w:val="18"/>
                      <w:lang w:val="en-US" w:eastAsia="zh-CN"/>
                    </w:rPr>
                    <w:t>专用</w:t>
                  </w:r>
                </w:p>
                <w:p w14:paraId="34A66579">
                  <w:pPr>
                    <w:jc w:val="center"/>
                    <w:rPr>
                      <w:rFonts w:hint="eastAsia"/>
                      <w:color w:val="auto"/>
                      <w:sz w:val="18"/>
                      <w:szCs w:val="18"/>
                      <w:lang w:val="en-US" w:eastAsia="zh-CN"/>
                    </w:rPr>
                  </w:pPr>
                  <w:r>
                    <w:rPr>
                      <w:rFonts w:hint="eastAsia"/>
                      <w:color w:val="auto"/>
                      <w:sz w:val="18"/>
                      <w:szCs w:val="18"/>
                      <w:lang w:val="en-US" w:eastAsia="zh-CN"/>
                    </w:rPr>
                    <w:t>罐车</w:t>
                  </w:r>
                </w:p>
              </w:tc>
              <w:tc>
                <w:tcPr>
                  <w:tcW w:w="814" w:type="pct"/>
                  <w:tcBorders>
                    <w:tl2br w:val="nil"/>
                    <w:tr2bl w:val="nil"/>
                  </w:tcBorders>
                  <w:vAlign w:val="center"/>
                </w:tcPr>
                <w:p w14:paraId="0AF85B1D">
                  <w:pPr>
                    <w:jc w:val="center"/>
                    <w:rPr>
                      <w:rFonts w:hint="default" w:eastAsia="宋体"/>
                      <w:color w:val="auto"/>
                      <w:sz w:val="18"/>
                      <w:szCs w:val="18"/>
                      <w:lang w:val="en-US" w:eastAsia="zh-CN"/>
                    </w:rPr>
                  </w:pPr>
                  <w:r>
                    <w:rPr>
                      <w:rFonts w:hint="eastAsia"/>
                      <w:color w:val="auto"/>
                      <w:sz w:val="18"/>
                      <w:szCs w:val="18"/>
                      <w:lang w:val="en-US" w:eastAsia="zh-CN"/>
                    </w:rPr>
                    <w:t>柴油储罐</w:t>
                  </w:r>
                </w:p>
              </w:tc>
              <w:tc>
                <w:tcPr>
                  <w:tcW w:w="554" w:type="pct"/>
                  <w:tcBorders>
                    <w:tl2br w:val="nil"/>
                    <w:tr2bl w:val="nil"/>
                  </w:tcBorders>
                  <w:vAlign w:val="center"/>
                </w:tcPr>
                <w:p w14:paraId="616812B1">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58</w:t>
                  </w:r>
                </w:p>
              </w:tc>
              <w:tc>
                <w:tcPr>
                  <w:tcW w:w="468" w:type="pct"/>
                  <w:tcBorders>
                    <w:tl2br w:val="nil"/>
                    <w:tr2bl w:val="nil"/>
                  </w:tcBorders>
                  <w:vAlign w:val="center"/>
                </w:tcPr>
                <w:p w14:paraId="557E6F32">
                  <w:pPr>
                    <w:jc w:val="center"/>
                    <w:rPr>
                      <w:rFonts w:hint="default"/>
                      <w:color w:val="auto"/>
                      <w:sz w:val="18"/>
                      <w:szCs w:val="18"/>
                      <w:lang w:val="en-US" w:eastAsia="zh-CN"/>
                    </w:rPr>
                  </w:pPr>
                  <w:r>
                    <w:rPr>
                      <w:rFonts w:hint="eastAsia"/>
                      <w:color w:val="auto"/>
                      <w:sz w:val="18"/>
                      <w:szCs w:val="18"/>
                      <w:lang w:val="en-US" w:eastAsia="zh-CN"/>
                    </w:rPr>
                    <w:t>厂家配送卸油</w:t>
                  </w:r>
                </w:p>
              </w:tc>
              <w:tc>
                <w:tcPr>
                  <w:tcW w:w="924" w:type="pct"/>
                  <w:tcBorders>
                    <w:tl2br w:val="nil"/>
                    <w:tr2bl w:val="nil"/>
                  </w:tcBorders>
                  <w:vAlign w:val="center"/>
                </w:tcPr>
                <w:p w14:paraId="7C985CE6">
                  <w:pPr>
                    <w:jc w:val="center"/>
                    <w:rPr>
                      <w:rFonts w:hint="default"/>
                      <w:color w:val="auto"/>
                      <w:sz w:val="18"/>
                      <w:szCs w:val="18"/>
                      <w:lang w:val="en-US" w:eastAsia="zh-CN"/>
                    </w:rPr>
                  </w:pPr>
                  <w:r>
                    <w:rPr>
                      <w:rFonts w:hint="eastAsia"/>
                      <w:color w:val="auto"/>
                      <w:sz w:val="18"/>
                      <w:szCs w:val="18"/>
                      <w:lang w:val="en-US" w:eastAsia="zh-CN"/>
                    </w:rPr>
                    <w:t>无毒</w:t>
                  </w:r>
                </w:p>
              </w:tc>
            </w:tr>
            <w:tr w14:paraId="3D3308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76" w:hRule="atLeast"/>
                <w:jc w:val="center"/>
              </w:trPr>
              <w:tc>
                <w:tcPr>
                  <w:tcW w:w="183" w:type="pct"/>
                  <w:tcBorders>
                    <w:tl2br w:val="nil"/>
                    <w:tr2bl w:val="nil"/>
                  </w:tcBorders>
                  <w:vAlign w:val="center"/>
                </w:tcPr>
                <w:p w14:paraId="58D5908F">
                  <w:pPr>
                    <w:jc w:val="center"/>
                    <w:rPr>
                      <w:rFonts w:hint="default"/>
                      <w:color w:val="auto"/>
                      <w:sz w:val="18"/>
                      <w:szCs w:val="18"/>
                      <w:lang w:val="en-US" w:eastAsia="zh-CN"/>
                    </w:rPr>
                  </w:pPr>
                  <w:r>
                    <w:rPr>
                      <w:rFonts w:hint="eastAsia"/>
                      <w:color w:val="auto"/>
                      <w:sz w:val="18"/>
                      <w:szCs w:val="18"/>
                      <w:lang w:val="en-US" w:eastAsia="zh-CN"/>
                    </w:rPr>
                    <w:t>7</w:t>
                  </w:r>
                </w:p>
              </w:tc>
              <w:tc>
                <w:tcPr>
                  <w:tcW w:w="526" w:type="pct"/>
                  <w:vMerge w:val="restart"/>
                  <w:tcBorders>
                    <w:tl2br w:val="nil"/>
                    <w:tr2bl w:val="nil"/>
                  </w:tcBorders>
                  <w:vAlign w:val="center"/>
                </w:tcPr>
                <w:p w14:paraId="7554BE92">
                  <w:pPr>
                    <w:jc w:val="center"/>
                    <w:rPr>
                      <w:rFonts w:hint="eastAsia"/>
                      <w:color w:val="auto"/>
                      <w:sz w:val="18"/>
                      <w:szCs w:val="18"/>
                      <w:lang w:val="en-US" w:eastAsia="zh-CN"/>
                    </w:rPr>
                  </w:pPr>
                  <w:r>
                    <w:rPr>
                      <w:rFonts w:hint="eastAsia"/>
                      <w:color w:val="auto"/>
                      <w:sz w:val="18"/>
                      <w:szCs w:val="18"/>
                      <w:lang w:val="en-US" w:eastAsia="zh-CN"/>
                    </w:rPr>
                    <w:t>混凝土</w:t>
                  </w:r>
                </w:p>
                <w:p w14:paraId="761954EB">
                  <w:pPr>
                    <w:jc w:val="center"/>
                    <w:rPr>
                      <w:rFonts w:hint="default"/>
                      <w:color w:val="auto"/>
                      <w:sz w:val="18"/>
                      <w:szCs w:val="18"/>
                      <w:lang w:val="en-US" w:eastAsia="zh-CN"/>
                    </w:rPr>
                  </w:pPr>
                  <w:r>
                    <w:rPr>
                      <w:rFonts w:hint="eastAsia"/>
                      <w:color w:val="auto"/>
                      <w:sz w:val="18"/>
                      <w:szCs w:val="18"/>
                      <w:lang w:val="en-US" w:eastAsia="zh-CN"/>
                    </w:rPr>
                    <w:t>生产线</w:t>
                  </w:r>
                </w:p>
              </w:tc>
              <w:tc>
                <w:tcPr>
                  <w:tcW w:w="464" w:type="pct"/>
                  <w:tcBorders>
                    <w:tl2br w:val="nil"/>
                    <w:tr2bl w:val="nil"/>
                  </w:tcBorders>
                  <w:vAlign w:val="center"/>
                </w:tcPr>
                <w:p w14:paraId="4F467B35">
                  <w:pPr>
                    <w:jc w:val="center"/>
                    <w:rPr>
                      <w:rFonts w:hint="default"/>
                      <w:color w:val="auto"/>
                      <w:sz w:val="18"/>
                      <w:szCs w:val="18"/>
                      <w:lang w:val="en-US" w:eastAsia="zh-CN"/>
                    </w:rPr>
                  </w:pPr>
                  <w:r>
                    <w:rPr>
                      <w:rFonts w:hint="eastAsia"/>
                      <w:color w:val="auto"/>
                      <w:sz w:val="18"/>
                      <w:szCs w:val="18"/>
                      <w:lang w:val="en-US" w:eastAsia="zh-CN"/>
                    </w:rPr>
                    <w:t>水泥</w:t>
                  </w:r>
                </w:p>
              </w:tc>
              <w:tc>
                <w:tcPr>
                  <w:tcW w:w="417" w:type="pct"/>
                  <w:tcBorders>
                    <w:tl2br w:val="nil"/>
                    <w:tr2bl w:val="nil"/>
                  </w:tcBorders>
                  <w:vAlign w:val="center"/>
                </w:tcPr>
                <w:p w14:paraId="1E130F8F">
                  <w:pPr>
                    <w:jc w:val="center"/>
                    <w:rPr>
                      <w:rFonts w:hint="default"/>
                      <w:color w:val="auto"/>
                      <w:sz w:val="18"/>
                      <w:szCs w:val="18"/>
                      <w:lang w:val="en-US" w:eastAsia="zh-CN"/>
                    </w:rPr>
                  </w:pPr>
                  <w:r>
                    <w:rPr>
                      <w:rFonts w:hint="eastAsia"/>
                      <w:color w:val="auto"/>
                      <w:sz w:val="18"/>
                      <w:szCs w:val="18"/>
                      <w:lang w:val="en-US" w:eastAsia="zh-CN"/>
                    </w:rPr>
                    <w:t>85000</w:t>
                  </w:r>
                </w:p>
              </w:tc>
              <w:tc>
                <w:tcPr>
                  <w:tcW w:w="235" w:type="pct"/>
                  <w:tcBorders>
                    <w:tl2br w:val="nil"/>
                    <w:tr2bl w:val="nil"/>
                  </w:tcBorders>
                  <w:vAlign w:val="center"/>
                </w:tcPr>
                <w:p w14:paraId="3FDBD2CE">
                  <w:pPr>
                    <w:jc w:val="center"/>
                    <w:rPr>
                      <w:rFonts w:hint="default" w:eastAsia="宋体"/>
                      <w:color w:val="auto"/>
                      <w:sz w:val="18"/>
                      <w:szCs w:val="18"/>
                      <w:lang w:val="en-US" w:eastAsia="zh-CN"/>
                    </w:rPr>
                  </w:pPr>
                  <w:r>
                    <w:rPr>
                      <w:rFonts w:hint="eastAsia"/>
                      <w:color w:val="auto"/>
                      <w:sz w:val="18"/>
                      <w:szCs w:val="18"/>
                      <w:lang w:val="en-US" w:eastAsia="zh-CN"/>
                    </w:rPr>
                    <w:t>罐车</w:t>
                  </w:r>
                </w:p>
              </w:tc>
              <w:tc>
                <w:tcPr>
                  <w:tcW w:w="410" w:type="pct"/>
                  <w:tcBorders>
                    <w:tl2br w:val="nil"/>
                    <w:tr2bl w:val="nil"/>
                  </w:tcBorders>
                  <w:vAlign w:val="center"/>
                </w:tcPr>
                <w:p w14:paraId="363DB03B">
                  <w:pPr>
                    <w:jc w:val="center"/>
                    <w:rPr>
                      <w:rFonts w:hint="eastAsia"/>
                      <w:color w:val="auto"/>
                      <w:sz w:val="18"/>
                      <w:szCs w:val="18"/>
                      <w:lang w:val="en-US" w:eastAsia="zh-CN"/>
                    </w:rPr>
                  </w:pPr>
                  <w:r>
                    <w:rPr>
                      <w:rFonts w:hint="eastAsia"/>
                      <w:color w:val="auto"/>
                      <w:sz w:val="18"/>
                      <w:szCs w:val="18"/>
                      <w:lang w:val="en-US" w:eastAsia="zh-CN"/>
                    </w:rPr>
                    <w:t>专用</w:t>
                  </w:r>
                </w:p>
                <w:p w14:paraId="785B981B">
                  <w:pPr>
                    <w:jc w:val="center"/>
                    <w:rPr>
                      <w:rFonts w:hint="default"/>
                      <w:color w:val="auto"/>
                      <w:sz w:val="18"/>
                      <w:szCs w:val="18"/>
                      <w:lang w:val="en-US" w:eastAsia="zh-CN"/>
                    </w:rPr>
                  </w:pPr>
                  <w:r>
                    <w:rPr>
                      <w:rFonts w:hint="eastAsia"/>
                      <w:color w:val="auto"/>
                      <w:sz w:val="18"/>
                      <w:szCs w:val="18"/>
                      <w:lang w:val="en-US" w:eastAsia="zh-CN"/>
                    </w:rPr>
                    <w:t>罐车</w:t>
                  </w:r>
                </w:p>
              </w:tc>
              <w:tc>
                <w:tcPr>
                  <w:tcW w:w="814" w:type="pct"/>
                  <w:tcBorders>
                    <w:tl2br w:val="nil"/>
                    <w:tr2bl w:val="nil"/>
                  </w:tcBorders>
                  <w:vAlign w:val="center"/>
                </w:tcPr>
                <w:p w14:paraId="5898B274">
                  <w:pPr>
                    <w:jc w:val="center"/>
                    <w:rPr>
                      <w:rFonts w:hint="default"/>
                      <w:color w:val="auto"/>
                      <w:sz w:val="18"/>
                      <w:szCs w:val="18"/>
                      <w:lang w:val="en-US" w:eastAsia="zh-CN"/>
                    </w:rPr>
                  </w:pPr>
                  <w:r>
                    <w:rPr>
                      <w:rFonts w:hint="eastAsia"/>
                      <w:color w:val="auto"/>
                      <w:sz w:val="18"/>
                      <w:szCs w:val="18"/>
                      <w:lang w:val="en-US" w:eastAsia="zh-CN"/>
                    </w:rPr>
                    <w:t>筒仓</w:t>
                  </w:r>
                </w:p>
              </w:tc>
              <w:tc>
                <w:tcPr>
                  <w:tcW w:w="554" w:type="pct"/>
                  <w:tcBorders>
                    <w:tl2br w:val="nil"/>
                    <w:tr2bl w:val="nil"/>
                  </w:tcBorders>
                  <w:vAlign w:val="center"/>
                </w:tcPr>
                <w:p w14:paraId="0A3924C9">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600</w:t>
                  </w:r>
                </w:p>
              </w:tc>
              <w:tc>
                <w:tcPr>
                  <w:tcW w:w="468" w:type="pct"/>
                  <w:tcBorders>
                    <w:tl2br w:val="nil"/>
                    <w:tr2bl w:val="nil"/>
                  </w:tcBorders>
                  <w:vAlign w:val="center"/>
                </w:tcPr>
                <w:p w14:paraId="0020A0B1">
                  <w:pPr>
                    <w:jc w:val="center"/>
                    <w:rPr>
                      <w:rFonts w:hint="eastAsia"/>
                      <w:color w:val="auto"/>
                      <w:sz w:val="18"/>
                      <w:szCs w:val="18"/>
                      <w:lang w:val="en-US" w:eastAsia="zh-CN"/>
                    </w:rPr>
                  </w:pPr>
                  <w:r>
                    <w:rPr>
                      <w:rFonts w:hint="eastAsia"/>
                      <w:color w:val="auto"/>
                      <w:sz w:val="18"/>
                      <w:szCs w:val="18"/>
                      <w:lang w:val="en-US" w:eastAsia="zh-CN"/>
                    </w:rPr>
                    <w:t>外购</w:t>
                  </w:r>
                </w:p>
              </w:tc>
              <w:tc>
                <w:tcPr>
                  <w:tcW w:w="924" w:type="pct"/>
                  <w:tcBorders>
                    <w:tl2br w:val="nil"/>
                    <w:tr2bl w:val="nil"/>
                  </w:tcBorders>
                  <w:vAlign w:val="center"/>
                </w:tcPr>
                <w:p w14:paraId="6E70D87C">
                  <w:pPr>
                    <w:jc w:val="center"/>
                    <w:rPr>
                      <w:rFonts w:hint="default"/>
                      <w:color w:val="auto"/>
                      <w:sz w:val="18"/>
                      <w:szCs w:val="18"/>
                      <w:lang w:val="en-US" w:eastAsia="zh-CN"/>
                    </w:rPr>
                  </w:pPr>
                  <w:r>
                    <w:rPr>
                      <w:rFonts w:hint="eastAsia"/>
                      <w:color w:val="auto"/>
                      <w:sz w:val="18"/>
                      <w:szCs w:val="18"/>
                      <w:lang w:val="en-US" w:eastAsia="zh-CN"/>
                    </w:rPr>
                    <w:t>无</w:t>
                  </w:r>
                </w:p>
              </w:tc>
            </w:tr>
            <w:tr w14:paraId="3076C4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76" w:hRule="atLeast"/>
                <w:jc w:val="center"/>
              </w:trPr>
              <w:tc>
                <w:tcPr>
                  <w:tcW w:w="183" w:type="pct"/>
                  <w:tcBorders>
                    <w:tl2br w:val="nil"/>
                    <w:tr2bl w:val="nil"/>
                  </w:tcBorders>
                  <w:vAlign w:val="center"/>
                </w:tcPr>
                <w:p w14:paraId="078E8513">
                  <w:pPr>
                    <w:jc w:val="center"/>
                    <w:rPr>
                      <w:rFonts w:hint="default"/>
                      <w:color w:val="auto"/>
                      <w:sz w:val="18"/>
                      <w:szCs w:val="18"/>
                      <w:lang w:val="en-US" w:eastAsia="zh-CN"/>
                    </w:rPr>
                  </w:pPr>
                  <w:r>
                    <w:rPr>
                      <w:rFonts w:hint="eastAsia"/>
                      <w:color w:val="auto"/>
                      <w:sz w:val="18"/>
                      <w:szCs w:val="18"/>
                      <w:lang w:val="en-US" w:eastAsia="zh-CN"/>
                    </w:rPr>
                    <w:t>8</w:t>
                  </w:r>
                </w:p>
              </w:tc>
              <w:tc>
                <w:tcPr>
                  <w:tcW w:w="526" w:type="pct"/>
                  <w:vMerge w:val="continue"/>
                  <w:tcBorders>
                    <w:tl2br w:val="nil"/>
                    <w:tr2bl w:val="nil"/>
                  </w:tcBorders>
                  <w:vAlign w:val="center"/>
                </w:tcPr>
                <w:p w14:paraId="574278B2">
                  <w:pPr>
                    <w:jc w:val="center"/>
                    <w:rPr>
                      <w:rFonts w:hint="eastAsia"/>
                      <w:color w:val="auto"/>
                      <w:sz w:val="18"/>
                      <w:szCs w:val="18"/>
                      <w:lang w:val="en-US" w:eastAsia="zh-CN"/>
                    </w:rPr>
                  </w:pPr>
                </w:p>
              </w:tc>
              <w:tc>
                <w:tcPr>
                  <w:tcW w:w="464" w:type="pct"/>
                  <w:tcBorders>
                    <w:tl2br w:val="nil"/>
                    <w:tr2bl w:val="nil"/>
                  </w:tcBorders>
                  <w:vAlign w:val="center"/>
                </w:tcPr>
                <w:p w14:paraId="708CB735">
                  <w:pPr>
                    <w:jc w:val="center"/>
                    <w:rPr>
                      <w:rFonts w:hint="default"/>
                      <w:color w:val="auto"/>
                      <w:sz w:val="18"/>
                      <w:szCs w:val="18"/>
                      <w:lang w:val="en-US" w:eastAsia="zh-CN"/>
                    </w:rPr>
                  </w:pPr>
                  <w:r>
                    <w:rPr>
                      <w:rFonts w:hint="eastAsia"/>
                      <w:color w:val="auto"/>
                      <w:sz w:val="18"/>
                      <w:szCs w:val="18"/>
                      <w:lang w:val="en-US" w:eastAsia="zh-CN"/>
                    </w:rPr>
                    <w:t>机制砂</w:t>
                  </w:r>
                </w:p>
              </w:tc>
              <w:tc>
                <w:tcPr>
                  <w:tcW w:w="417" w:type="pct"/>
                  <w:tcBorders>
                    <w:tl2br w:val="nil"/>
                    <w:tr2bl w:val="nil"/>
                  </w:tcBorders>
                  <w:vAlign w:val="center"/>
                </w:tcPr>
                <w:p w14:paraId="4F7F526F">
                  <w:pPr>
                    <w:jc w:val="center"/>
                    <w:rPr>
                      <w:rFonts w:hint="default"/>
                      <w:color w:val="auto"/>
                      <w:sz w:val="18"/>
                      <w:szCs w:val="18"/>
                      <w:lang w:val="en-US" w:eastAsia="zh-CN"/>
                    </w:rPr>
                  </w:pPr>
                  <w:r>
                    <w:rPr>
                      <w:rFonts w:hint="eastAsia"/>
                      <w:color w:val="auto"/>
                      <w:sz w:val="18"/>
                      <w:szCs w:val="18"/>
                      <w:lang w:val="en-US" w:eastAsia="zh-CN"/>
                    </w:rPr>
                    <w:t>100000</w:t>
                  </w:r>
                </w:p>
              </w:tc>
              <w:tc>
                <w:tcPr>
                  <w:tcW w:w="235" w:type="pct"/>
                  <w:tcBorders>
                    <w:tl2br w:val="nil"/>
                    <w:tr2bl w:val="nil"/>
                  </w:tcBorders>
                  <w:vAlign w:val="center"/>
                </w:tcPr>
                <w:p w14:paraId="500353A4">
                  <w:pPr>
                    <w:jc w:val="center"/>
                    <w:rPr>
                      <w:rFonts w:hint="default" w:eastAsia="宋体"/>
                      <w:color w:val="auto"/>
                      <w:sz w:val="18"/>
                      <w:szCs w:val="18"/>
                      <w:lang w:val="en-US" w:eastAsia="zh-CN"/>
                    </w:rPr>
                  </w:pPr>
                  <w:r>
                    <w:rPr>
                      <w:rFonts w:hint="eastAsia"/>
                      <w:color w:val="auto"/>
                      <w:sz w:val="18"/>
                      <w:szCs w:val="18"/>
                      <w:lang w:val="en-US" w:eastAsia="zh-CN"/>
                    </w:rPr>
                    <w:t>-</w:t>
                  </w:r>
                </w:p>
              </w:tc>
              <w:tc>
                <w:tcPr>
                  <w:tcW w:w="410" w:type="pct"/>
                  <w:tcBorders>
                    <w:tl2br w:val="nil"/>
                    <w:tr2bl w:val="nil"/>
                  </w:tcBorders>
                  <w:vAlign w:val="center"/>
                </w:tcPr>
                <w:p w14:paraId="314BED41">
                  <w:pPr>
                    <w:jc w:val="center"/>
                    <w:rPr>
                      <w:rFonts w:hint="eastAsia"/>
                      <w:color w:val="auto"/>
                      <w:sz w:val="18"/>
                      <w:szCs w:val="18"/>
                      <w:lang w:val="en-US" w:eastAsia="zh-CN"/>
                    </w:rPr>
                  </w:pPr>
                  <w:r>
                    <w:rPr>
                      <w:rFonts w:hint="eastAsia"/>
                      <w:color w:val="auto"/>
                      <w:sz w:val="18"/>
                      <w:szCs w:val="18"/>
                      <w:lang w:val="en-US" w:eastAsia="zh-CN"/>
                    </w:rPr>
                    <w:t>加盖苫布汽运</w:t>
                  </w:r>
                </w:p>
              </w:tc>
              <w:tc>
                <w:tcPr>
                  <w:tcW w:w="814" w:type="pct"/>
                  <w:tcBorders>
                    <w:tl2br w:val="nil"/>
                    <w:tr2bl w:val="nil"/>
                  </w:tcBorders>
                  <w:vAlign w:val="center"/>
                </w:tcPr>
                <w:p w14:paraId="4A66DEF4">
                  <w:pPr>
                    <w:jc w:val="center"/>
                    <w:rPr>
                      <w:rFonts w:hint="eastAsia"/>
                      <w:color w:val="auto"/>
                      <w:sz w:val="18"/>
                      <w:szCs w:val="18"/>
                      <w:lang w:val="en-US" w:eastAsia="zh-CN"/>
                    </w:rPr>
                  </w:pPr>
                  <w:r>
                    <w:rPr>
                      <w:rFonts w:hint="eastAsia"/>
                      <w:color w:val="auto"/>
                      <w:sz w:val="18"/>
                      <w:szCs w:val="18"/>
                      <w:lang w:val="en-US" w:eastAsia="zh-CN"/>
                    </w:rPr>
                    <w:t>封闭式储料库</w:t>
                  </w:r>
                </w:p>
              </w:tc>
              <w:tc>
                <w:tcPr>
                  <w:tcW w:w="554" w:type="pct"/>
                  <w:tcBorders>
                    <w:tl2br w:val="nil"/>
                    <w:tr2bl w:val="nil"/>
                  </w:tcBorders>
                  <w:vAlign w:val="center"/>
                </w:tcPr>
                <w:p w14:paraId="4B02694F">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2000</w:t>
                  </w:r>
                </w:p>
              </w:tc>
              <w:tc>
                <w:tcPr>
                  <w:tcW w:w="468" w:type="pct"/>
                  <w:tcBorders>
                    <w:tl2br w:val="nil"/>
                    <w:tr2bl w:val="nil"/>
                  </w:tcBorders>
                  <w:vAlign w:val="center"/>
                </w:tcPr>
                <w:p w14:paraId="5FF13D92">
                  <w:pPr>
                    <w:jc w:val="center"/>
                    <w:rPr>
                      <w:rFonts w:hint="eastAsia"/>
                      <w:color w:val="auto"/>
                      <w:sz w:val="18"/>
                      <w:szCs w:val="18"/>
                      <w:lang w:val="en-US" w:eastAsia="zh-CN"/>
                    </w:rPr>
                  </w:pPr>
                  <w:r>
                    <w:rPr>
                      <w:rFonts w:hint="eastAsia"/>
                      <w:color w:val="auto"/>
                      <w:sz w:val="18"/>
                      <w:szCs w:val="18"/>
                      <w:lang w:val="en-US" w:eastAsia="zh-CN"/>
                    </w:rPr>
                    <w:t>外购</w:t>
                  </w:r>
                </w:p>
              </w:tc>
              <w:tc>
                <w:tcPr>
                  <w:tcW w:w="924" w:type="pct"/>
                  <w:tcBorders>
                    <w:tl2br w:val="nil"/>
                    <w:tr2bl w:val="nil"/>
                  </w:tcBorders>
                  <w:vAlign w:val="center"/>
                </w:tcPr>
                <w:p w14:paraId="7BA00F08">
                  <w:pPr>
                    <w:jc w:val="center"/>
                    <w:rPr>
                      <w:rFonts w:hint="default"/>
                      <w:color w:val="auto"/>
                      <w:sz w:val="18"/>
                      <w:szCs w:val="18"/>
                      <w:lang w:val="en-US" w:eastAsia="zh-CN"/>
                    </w:rPr>
                  </w:pPr>
                  <w:r>
                    <w:rPr>
                      <w:rFonts w:hint="eastAsia"/>
                      <w:color w:val="auto"/>
                      <w:sz w:val="18"/>
                      <w:szCs w:val="18"/>
                      <w:lang w:val="en-US" w:eastAsia="zh-CN"/>
                    </w:rPr>
                    <w:t>无</w:t>
                  </w:r>
                </w:p>
              </w:tc>
            </w:tr>
            <w:tr w14:paraId="0953AC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76" w:hRule="atLeast"/>
                <w:jc w:val="center"/>
              </w:trPr>
              <w:tc>
                <w:tcPr>
                  <w:tcW w:w="183" w:type="pct"/>
                  <w:tcBorders>
                    <w:tl2br w:val="nil"/>
                    <w:tr2bl w:val="nil"/>
                  </w:tcBorders>
                  <w:vAlign w:val="center"/>
                </w:tcPr>
                <w:p w14:paraId="6F9D395B">
                  <w:pPr>
                    <w:jc w:val="center"/>
                    <w:rPr>
                      <w:rFonts w:hint="default"/>
                      <w:color w:val="auto"/>
                      <w:sz w:val="18"/>
                      <w:szCs w:val="18"/>
                      <w:lang w:val="en-US" w:eastAsia="zh-CN"/>
                    </w:rPr>
                  </w:pPr>
                  <w:r>
                    <w:rPr>
                      <w:rFonts w:hint="eastAsia"/>
                      <w:color w:val="auto"/>
                      <w:sz w:val="18"/>
                      <w:szCs w:val="18"/>
                      <w:lang w:val="en-US" w:eastAsia="zh-CN"/>
                    </w:rPr>
                    <w:t>9</w:t>
                  </w:r>
                </w:p>
              </w:tc>
              <w:tc>
                <w:tcPr>
                  <w:tcW w:w="526" w:type="pct"/>
                  <w:vMerge w:val="continue"/>
                  <w:tcBorders>
                    <w:tl2br w:val="nil"/>
                    <w:tr2bl w:val="nil"/>
                  </w:tcBorders>
                  <w:vAlign w:val="center"/>
                </w:tcPr>
                <w:p w14:paraId="2BAD0A1B">
                  <w:pPr>
                    <w:jc w:val="center"/>
                    <w:rPr>
                      <w:rFonts w:hint="eastAsia"/>
                      <w:color w:val="auto"/>
                      <w:sz w:val="18"/>
                      <w:szCs w:val="18"/>
                      <w:lang w:val="en-US" w:eastAsia="zh-CN"/>
                    </w:rPr>
                  </w:pPr>
                </w:p>
              </w:tc>
              <w:tc>
                <w:tcPr>
                  <w:tcW w:w="464" w:type="pct"/>
                  <w:tcBorders>
                    <w:tl2br w:val="nil"/>
                    <w:tr2bl w:val="nil"/>
                  </w:tcBorders>
                  <w:vAlign w:val="center"/>
                </w:tcPr>
                <w:p w14:paraId="7943C797">
                  <w:pPr>
                    <w:jc w:val="center"/>
                    <w:rPr>
                      <w:rFonts w:hint="eastAsia"/>
                      <w:color w:val="auto"/>
                      <w:sz w:val="18"/>
                      <w:szCs w:val="18"/>
                      <w:lang w:val="en-US" w:eastAsia="zh-CN"/>
                    </w:rPr>
                  </w:pPr>
                  <w:r>
                    <w:rPr>
                      <w:rFonts w:hint="eastAsia"/>
                      <w:color w:val="auto"/>
                      <w:sz w:val="18"/>
                      <w:szCs w:val="18"/>
                      <w:lang w:val="en-US" w:eastAsia="zh-CN"/>
                    </w:rPr>
                    <w:t>石子</w:t>
                  </w:r>
                </w:p>
              </w:tc>
              <w:tc>
                <w:tcPr>
                  <w:tcW w:w="417" w:type="pct"/>
                  <w:tcBorders>
                    <w:tl2br w:val="nil"/>
                    <w:tr2bl w:val="nil"/>
                  </w:tcBorders>
                  <w:vAlign w:val="center"/>
                </w:tcPr>
                <w:p w14:paraId="29096F5D">
                  <w:pPr>
                    <w:jc w:val="center"/>
                    <w:rPr>
                      <w:rFonts w:hint="default"/>
                      <w:color w:val="auto"/>
                      <w:sz w:val="18"/>
                      <w:szCs w:val="18"/>
                      <w:lang w:val="en-US" w:eastAsia="zh-CN"/>
                    </w:rPr>
                  </w:pPr>
                  <w:r>
                    <w:rPr>
                      <w:rFonts w:hint="eastAsia"/>
                      <w:color w:val="auto"/>
                      <w:sz w:val="18"/>
                      <w:szCs w:val="18"/>
                      <w:lang w:val="en-US" w:eastAsia="zh-CN"/>
                    </w:rPr>
                    <w:t>265000</w:t>
                  </w:r>
                </w:p>
              </w:tc>
              <w:tc>
                <w:tcPr>
                  <w:tcW w:w="235" w:type="pct"/>
                  <w:tcBorders>
                    <w:tl2br w:val="nil"/>
                    <w:tr2bl w:val="nil"/>
                  </w:tcBorders>
                  <w:vAlign w:val="center"/>
                </w:tcPr>
                <w:p w14:paraId="7AADBA42">
                  <w:pPr>
                    <w:jc w:val="center"/>
                    <w:rPr>
                      <w:rFonts w:hint="default" w:eastAsia="宋体"/>
                      <w:color w:val="auto"/>
                      <w:sz w:val="18"/>
                      <w:szCs w:val="18"/>
                      <w:lang w:val="en-US" w:eastAsia="zh-CN"/>
                    </w:rPr>
                  </w:pPr>
                  <w:r>
                    <w:rPr>
                      <w:rFonts w:hint="eastAsia"/>
                      <w:color w:val="auto"/>
                      <w:sz w:val="18"/>
                      <w:szCs w:val="18"/>
                      <w:lang w:val="en-US" w:eastAsia="zh-CN"/>
                    </w:rPr>
                    <w:t>-</w:t>
                  </w:r>
                </w:p>
              </w:tc>
              <w:tc>
                <w:tcPr>
                  <w:tcW w:w="410" w:type="pct"/>
                  <w:tcBorders>
                    <w:tl2br w:val="nil"/>
                    <w:tr2bl w:val="nil"/>
                  </w:tcBorders>
                  <w:vAlign w:val="center"/>
                </w:tcPr>
                <w:p w14:paraId="2047E0F2">
                  <w:pPr>
                    <w:jc w:val="center"/>
                    <w:rPr>
                      <w:rFonts w:hint="default"/>
                      <w:color w:val="auto"/>
                      <w:sz w:val="18"/>
                      <w:szCs w:val="18"/>
                      <w:lang w:val="en-US" w:eastAsia="zh-CN"/>
                    </w:rPr>
                  </w:pPr>
                  <w:r>
                    <w:rPr>
                      <w:rFonts w:hint="eastAsia"/>
                      <w:color w:val="auto"/>
                      <w:sz w:val="18"/>
                      <w:szCs w:val="18"/>
                      <w:lang w:val="en-US" w:eastAsia="zh-CN"/>
                    </w:rPr>
                    <w:t>-</w:t>
                  </w:r>
                </w:p>
              </w:tc>
              <w:tc>
                <w:tcPr>
                  <w:tcW w:w="814" w:type="pct"/>
                  <w:tcBorders>
                    <w:tl2br w:val="nil"/>
                    <w:tr2bl w:val="nil"/>
                  </w:tcBorders>
                  <w:vAlign w:val="center"/>
                </w:tcPr>
                <w:p w14:paraId="0D340D6A">
                  <w:pPr>
                    <w:jc w:val="center"/>
                    <w:rPr>
                      <w:rFonts w:hint="eastAsia"/>
                      <w:color w:val="auto"/>
                      <w:sz w:val="18"/>
                      <w:szCs w:val="18"/>
                      <w:lang w:val="en-US" w:eastAsia="zh-CN"/>
                    </w:rPr>
                  </w:pPr>
                  <w:r>
                    <w:rPr>
                      <w:rFonts w:hint="eastAsia"/>
                      <w:color w:val="auto"/>
                      <w:sz w:val="18"/>
                      <w:szCs w:val="18"/>
                      <w:lang w:val="en-US" w:eastAsia="zh-CN"/>
                    </w:rPr>
                    <w:t>封闭式储料库</w:t>
                  </w:r>
                </w:p>
              </w:tc>
              <w:tc>
                <w:tcPr>
                  <w:tcW w:w="554" w:type="pct"/>
                  <w:tcBorders>
                    <w:tl2br w:val="nil"/>
                    <w:tr2bl w:val="nil"/>
                  </w:tcBorders>
                  <w:vAlign w:val="center"/>
                </w:tcPr>
                <w:p w14:paraId="68ECFC28">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8000</w:t>
                  </w:r>
                </w:p>
              </w:tc>
              <w:tc>
                <w:tcPr>
                  <w:tcW w:w="468" w:type="pct"/>
                  <w:tcBorders>
                    <w:tl2br w:val="nil"/>
                    <w:tr2bl w:val="nil"/>
                  </w:tcBorders>
                  <w:vAlign w:val="center"/>
                </w:tcPr>
                <w:p w14:paraId="4AC5638A">
                  <w:pPr>
                    <w:jc w:val="center"/>
                    <w:rPr>
                      <w:rFonts w:hint="default"/>
                      <w:color w:val="auto"/>
                      <w:sz w:val="18"/>
                      <w:szCs w:val="18"/>
                      <w:lang w:val="en-US" w:eastAsia="zh-CN"/>
                    </w:rPr>
                  </w:pPr>
                  <w:r>
                    <w:rPr>
                      <w:rFonts w:hint="eastAsia"/>
                      <w:color w:val="auto"/>
                      <w:sz w:val="18"/>
                      <w:szCs w:val="18"/>
                      <w:lang w:val="en-US" w:eastAsia="zh-CN"/>
                    </w:rPr>
                    <w:t>外购</w:t>
                  </w:r>
                </w:p>
              </w:tc>
              <w:tc>
                <w:tcPr>
                  <w:tcW w:w="924" w:type="pct"/>
                  <w:tcBorders>
                    <w:tl2br w:val="nil"/>
                    <w:tr2bl w:val="nil"/>
                  </w:tcBorders>
                  <w:vAlign w:val="center"/>
                </w:tcPr>
                <w:p w14:paraId="25BAC93E">
                  <w:pPr>
                    <w:jc w:val="center"/>
                    <w:rPr>
                      <w:rFonts w:hint="default"/>
                      <w:color w:val="auto"/>
                      <w:sz w:val="18"/>
                      <w:szCs w:val="18"/>
                      <w:lang w:val="en-US" w:eastAsia="zh-CN"/>
                    </w:rPr>
                  </w:pPr>
                  <w:r>
                    <w:rPr>
                      <w:rFonts w:hint="eastAsia"/>
                      <w:color w:val="auto"/>
                      <w:sz w:val="18"/>
                      <w:szCs w:val="18"/>
                      <w:lang w:val="en-US" w:eastAsia="zh-CN"/>
                    </w:rPr>
                    <w:t>无</w:t>
                  </w:r>
                </w:p>
              </w:tc>
            </w:tr>
            <w:tr w14:paraId="153885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76" w:hRule="atLeast"/>
                <w:jc w:val="center"/>
              </w:trPr>
              <w:tc>
                <w:tcPr>
                  <w:tcW w:w="183" w:type="pct"/>
                  <w:tcBorders>
                    <w:tl2br w:val="nil"/>
                    <w:tr2bl w:val="nil"/>
                  </w:tcBorders>
                  <w:vAlign w:val="center"/>
                </w:tcPr>
                <w:p w14:paraId="64D4CC75">
                  <w:pPr>
                    <w:jc w:val="center"/>
                    <w:rPr>
                      <w:rFonts w:hint="default"/>
                      <w:color w:val="auto"/>
                      <w:sz w:val="18"/>
                      <w:szCs w:val="18"/>
                      <w:lang w:val="en-US" w:eastAsia="zh-CN"/>
                    </w:rPr>
                  </w:pPr>
                  <w:r>
                    <w:rPr>
                      <w:rFonts w:hint="eastAsia"/>
                      <w:color w:val="auto"/>
                      <w:sz w:val="18"/>
                      <w:szCs w:val="18"/>
                      <w:lang w:val="en-US" w:eastAsia="zh-CN"/>
                    </w:rPr>
                    <w:t>10</w:t>
                  </w:r>
                </w:p>
              </w:tc>
              <w:tc>
                <w:tcPr>
                  <w:tcW w:w="526" w:type="pct"/>
                  <w:vMerge w:val="continue"/>
                  <w:tcBorders>
                    <w:tl2br w:val="nil"/>
                    <w:tr2bl w:val="nil"/>
                  </w:tcBorders>
                  <w:vAlign w:val="center"/>
                </w:tcPr>
                <w:p w14:paraId="67EF5B61">
                  <w:pPr>
                    <w:jc w:val="center"/>
                    <w:rPr>
                      <w:rFonts w:hint="eastAsia"/>
                      <w:color w:val="auto"/>
                      <w:sz w:val="18"/>
                      <w:szCs w:val="18"/>
                      <w:lang w:val="en-US" w:eastAsia="zh-CN"/>
                    </w:rPr>
                  </w:pPr>
                </w:p>
              </w:tc>
              <w:tc>
                <w:tcPr>
                  <w:tcW w:w="464" w:type="pct"/>
                  <w:tcBorders>
                    <w:tl2br w:val="nil"/>
                    <w:tr2bl w:val="nil"/>
                  </w:tcBorders>
                  <w:vAlign w:val="center"/>
                </w:tcPr>
                <w:p w14:paraId="1263F3CF">
                  <w:pPr>
                    <w:jc w:val="center"/>
                    <w:rPr>
                      <w:rFonts w:hint="eastAsia"/>
                      <w:color w:val="auto"/>
                      <w:sz w:val="18"/>
                      <w:szCs w:val="18"/>
                      <w:lang w:val="en-US" w:eastAsia="zh-CN"/>
                    </w:rPr>
                  </w:pPr>
                  <w:r>
                    <w:rPr>
                      <w:rFonts w:hint="eastAsia"/>
                      <w:color w:val="auto"/>
                      <w:sz w:val="18"/>
                      <w:szCs w:val="18"/>
                      <w:lang w:val="en-US" w:eastAsia="zh-CN"/>
                    </w:rPr>
                    <w:t>粉煤灰</w:t>
                  </w:r>
                </w:p>
              </w:tc>
              <w:tc>
                <w:tcPr>
                  <w:tcW w:w="417" w:type="pct"/>
                  <w:tcBorders>
                    <w:tl2br w:val="nil"/>
                    <w:tr2bl w:val="nil"/>
                  </w:tcBorders>
                  <w:vAlign w:val="center"/>
                </w:tcPr>
                <w:p w14:paraId="22884B7B">
                  <w:pPr>
                    <w:jc w:val="center"/>
                    <w:rPr>
                      <w:rFonts w:hint="default"/>
                      <w:color w:val="auto"/>
                      <w:sz w:val="18"/>
                      <w:szCs w:val="18"/>
                      <w:lang w:val="en-US" w:eastAsia="zh-CN"/>
                    </w:rPr>
                  </w:pPr>
                  <w:r>
                    <w:rPr>
                      <w:rFonts w:hint="eastAsia"/>
                      <w:color w:val="auto"/>
                      <w:sz w:val="18"/>
                      <w:szCs w:val="18"/>
                      <w:lang w:val="en-US" w:eastAsia="zh-CN"/>
                    </w:rPr>
                    <w:t>8000</w:t>
                  </w:r>
                </w:p>
              </w:tc>
              <w:tc>
                <w:tcPr>
                  <w:tcW w:w="235" w:type="pct"/>
                  <w:tcBorders>
                    <w:tl2br w:val="nil"/>
                    <w:tr2bl w:val="nil"/>
                  </w:tcBorders>
                  <w:vAlign w:val="center"/>
                </w:tcPr>
                <w:p w14:paraId="280F21B4">
                  <w:pPr>
                    <w:jc w:val="center"/>
                    <w:rPr>
                      <w:rFonts w:hint="eastAsia"/>
                      <w:color w:val="auto"/>
                      <w:sz w:val="18"/>
                      <w:szCs w:val="18"/>
                      <w:lang w:val="en-US" w:eastAsia="zh-CN"/>
                    </w:rPr>
                  </w:pPr>
                  <w:r>
                    <w:rPr>
                      <w:rFonts w:hint="eastAsia"/>
                      <w:color w:val="auto"/>
                      <w:sz w:val="18"/>
                      <w:szCs w:val="18"/>
                      <w:lang w:val="en-US" w:eastAsia="zh-CN"/>
                    </w:rPr>
                    <w:t>罐车</w:t>
                  </w:r>
                </w:p>
              </w:tc>
              <w:tc>
                <w:tcPr>
                  <w:tcW w:w="410" w:type="pct"/>
                  <w:tcBorders>
                    <w:tl2br w:val="nil"/>
                    <w:tr2bl w:val="nil"/>
                  </w:tcBorders>
                  <w:vAlign w:val="center"/>
                </w:tcPr>
                <w:p w14:paraId="43A477DA">
                  <w:pPr>
                    <w:jc w:val="center"/>
                    <w:rPr>
                      <w:rFonts w:hint="eastAsia"/>
                      <w:color w:val="auto"/>
                      <w:sz w:val="18"/>
                      <w:szCs w:val="18"/>
                      <w:lang w:val="en-US" w:eastAsia="zh-CN"/>
                    </w:rPr>
                  </w:pPr>
                  <w:r>
                    <w:rPr>
                      <w:rFonts w:hint="eastAsia"/>
                      <w:color w:val="auto"/>
                      <w:sz w:val="18"/>
                      <w:szCs w:val="18"/>
                      <w:lang w:val="en-US" w:eastAsia="zh-CN"/>
                    </w:rPr>
                    <w:t>专用</w:t>
                  </w:r>
                </w:p>
                <w:p w14:paraId="3CD0A2A2">
                  <w:pPr>
                    <w:jc w:val="center"/>
                    <w:rPr>
                      <w:rFonts w:hint="eastAsia"/>
                      <w:color w:val="auto"/>
                      <w:sz w:val="18"/>
                      <w:szCs w:val="18"/>
                      <w:lang w:val="en-US" w:eastAsia="zh-CN"/>
                    </w:rPr>
                  </w:pPr>
                  <w:r>
                    <w:rPr>
                      <w:rFonts w:hint="eastAsia"/>
                      <w:color w:val="auto"/>
                      <w:sz w:val="18"/>
                      <w:szCs w:val="18"/>
                      <w:lang w:val="en-US" w:eastAsia="zh-CN"/>
                    </w:rPr>
                    <w:t>罐车</w:t>
                  </w:r>
                </w:p>
              </w:tc>
              <w:tc>
                <w:tcPr>
                  <w:tcW w:w="814" w:type="pct"/>
                  <w:tcBorders>
                    <w:tl2br w:val="nil"/>
                    <w:tr2bl w:val="nil"/>
                  </w:tcBorders>
                  <w:vAlign w:val="center"/>
                </w:tcPr>
                <w:p w14:paraId="4F411875">
                  <w:pPr>
                    <w:jc w:val="center"/>
                    <w:rPr>
                      <w:rFonts w:hint="eastAsia"/>
                      <w:color w:val="auto"/>
                      <w:sz w:val="18"/>
                      <w:szCs w:val="18"/>
                      <w:lang w:val="en-US" w:eastAsia="zh-CN"/>
                    </w:rPr>
                  </w:pPr>
                  <w:r>
                    <w:rPr>
                      <w:rFonts w:hint="eastAsia"/>
                      <w:color w:val="auto"/>
                      <w:sz w:val="18"/>
                      <w:szCs w:val="18"/>
                      <w:lang w:val="en-US" w:eastAsia="zh-CN"/>
                    </w:rPr>
                    <w:t>筒仓</w:t>
                  </w:r>
                </w:p>
              </w:tc>
              <w:tc>
                <w:tcPr>
                  <w:tcW w:w="554" w:type="pct"/>
                  <w:tcBorders>
                    <w:tl2br w:val="nil"/>
                    <w:tr2bl w:val="nil"/>
                  </w:tcBorders>
                  <w:vAlign w:val="center"/>
                </w:tcPr>
                <w:p w14:paraId="16805AD4">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300</w:t>
                  </w:r>
                </w:p>
              </w:tc>
              <w:tc>
                <w:tcPr>
                  <w:tcW w:w="468" w:type="pct"/>
                  <w:tcBorders>
                    <w:tl2br w:val="nil"/>
                    <w:tr2bl w:val="nil"/>
                  </w:tcBorders>
                  <w:vAlign w:val="center"/>
                </w:tcPr>
                <w:p w14:paraId="783EA641">
                  <w:pPr>
                    <w:jc w:val="center"/>
                    <w:rPr>
                      <w:rFonts w:hint="eastAsia"/>
                      <w:color w:val="auto"/>
                      <w:sz w:val="18"/>
                      <w:szCs w:val="18"/>
                      <w:lang w:val="en-US" w:eastAsia="zh-CN"/>
                    </w:rPr>
                  </w:pPr>
                  <w:r>
                    <w:rPr>
                      <w:rFonts w:hint="eastAsia"/>
                      <w:color w:val="auto"/>
                      <w:sz w:val="18"/>
                      <w:szCs w:val="18"/>
                      <w:lang w:val="en-US" w:eastAsia="zh-CN"/>
                    </w:rPr>
                    <w:t>外购</w:t>
                  </w:r>
                </w:p>
              </w:tc>
              <w:tc>
                <w:tcPr>
                  <w:tcW w:w="924" w:type="pct"/>
                  <w:tcBorders>
                    <w:tl2br w:val="nil"/>
                    <w:tr2bl w:val="nil"/>
                  </w:tcBorders>
                  <w:vAlign w:val="center"/>
                </w:tcPr>
                <w:p w14:paraId="7577BE47">
                  <w:pPr>
                    <w:jc w:val="center"/>
                    <w:rPr>
                      <w:rFonts w:hint="eastAsia"/>
                      <w:color w:val="auto"/>
                      <w:sz w:val="18"/>
                      <w:szCs w:val="18"/>
                      <w:lang w:val="en-US" w:eastAsia="zh-CN"/>
                    </w:rPr>
                  </w:pPr>
                  <w:r>
                    <w:rPr>
                      <w:rFonts w:hint="eastAsia"/>
                      <w:color w:val="auto"/>
                      <w:sz w:val="18"/>
                      <w:szCs w:val="18"/>
                      <w:lang w:val="en-US" w:eastAsia="zh-CN"/>
                    </w:rPr>
                    <w:t>无</w:t>
                  </w:r>
                </w:p>
              </w:tc>
            </w:tr>
            <w:tr w14:paraId="1E6A1C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76" w:hRule="atLeast"/>
                <w:jc w:val="center"/>
              </w:trPr>
              <w:tc>
                <w:tcPr>
                  <w:tcW w:w="183" w:type="pct"/>
                  <w:tcBorders>
                    <w:tl2br w:val="nil"/>
                    <w:tr2bl w:val="nil"/>
                  </w:tcBorders>
                  <w:vAlign w:val="center"/>
                </w:tcPr>
                <w:p w14:paraId="11DECD29">
                  <w:pPr>
                    <w:jc w:val="center"/>
                    <w:rPr>
                      <w:rFonts w:hint="default"/>
                      <w:color w:val="auto"/>
                      <w:sz w:val="18"/>
                      <w:szCs w:val="18"/>
                      <w:lang w:val="en-US" w:eastAsia="zh-CN"/>
                    </w:rPr>
                  </w:pPr>
                  <w:r>
                    <w:rPr>
                      <w:rFonts w:hint="eastAsia"/>
                      <w:color w:val="auto"/>
                      <w:sz w:val="18"/>
                      <w:szCs w:val="18"/>
                      <w:lang w:val="en-US" w:eastAsia="zh-CN"/>
                    </w:rPr>
                    <w:t>11</w:t>
                  </w:r>
                </w:p>
              </w:tc>
              <w:tc>
                <w:tcPr>
                  <w:tcW w:w="526" w:type="pct"/>
                  <w:vMerge w:val="continue"/>
                  <w:tcBorders>
                    <w:tl2br w:val="nil"/>
                    <w:tr2bl w:val="nil"/>
                  </w:tcBorders>
                  <w:vAlign w:val="center"/>
                </w:tcPr>
                <w:p w14:paraId="2D3EB6FF">
                  <w:pPr>
                    <w:jc w:val="center"/>
                    <w:rPr>
                      <w:rFonts w:hint="eastAsia"/>
                      <w:color w:val="auto"/>
                      <w:sz w:val="18"/>
                      <w:szCs w:val="18"/>
                      <w:lang w:val="en-US" w:eastAsia="zh-CN"/>
                    </w:rPr>
                  </w:pPr>
                </w:p>
              </w:tc>
              <w:tc>
                <w:tcPr>
                  <w:tcW w:w="464" w:type="pct"/>
                  <w:tcBorders>
                    <w:tl2br w:val="nil"/>
                    <w:tr2bl w:val="nil"/>
                  </w:tcBorders>
                  <w:vAlign w:val="center"/>
                </w:tcPr>
                <w:p w14:paraId="139CFF7D">
                  <w:pPr>
                    <w:jc w:val="center"/>
                    <w:rPr>
                      <w:rFonts w:hint="eastAsia"/>
                      <w:color w:val="auto"/>
                      <w:sz w:val="18"/>
                      <w:szCs w:val="18"/>
                      <w:lang w:val="en-US" w:eastAsia="zh-CN"/>
                    </w:rPr>
                  </w:pPr>
                  <w:r>
                    <w:rPr>
                      <w:rFonts w:hint="eastAsia"/>
                      <w:color w:val="auto"/>
                      <w:sz w:val="18"/>
                      <w:szCs w:val="18"/>
                      <w:lang w:val="en-US" w:eastAsia="zh-CN"/>
                    </w:rPr>
                    <w:t>矿粉</w:t>
                  </w:r>
                </w:p>
              </w:tc>
              <w:tc>
                <w:tcPr>
                  <w:tcW w:w="417" w:type="pct"/>
                  <w:tcBorders>
                    <w:tl2br w:val="nil"/>
                    <w:tr2bl w:val="nil"/>
                  </w:tcBorders>
                  <w:vAlign w:val="center"/>
                </w:tcPr>
                <w:p w14:paraId="7B4543CE">
                  <w:pPr>
                    <w:jc w:val="center"/>
                    <w:rPr>
                      <w:rFonts w:hint="default"/>
                      <w:color w:val="auto"/>
                      <w:sz w:val="18"/>
                      <w:szCs w:val="18"/>
                      <w:lang w:val="en-US" w:eastAsia="zh-CN"/>
                    </w:rPr>
                  </w:pPr>
                  <w:r>
                    <w:rPr>
                      <w:rFonts w:hint="eastAsia"/>
                      <w:color w:val="auto"/>
                      <w:sz w:val="18"/>
                      <w:szCs w:val="18"/>
                      <w:lang w:val="en-US" w:eastAsia="zh-CN"/>
                    </w:rPr>
                    <w:t>4000</w:t>
                  </w:r>
                </w:p>
              </w:tc>
              <w:tc>
                <w:tcPr>
                  <w:tcW w:w="235" w:type="pct"/>
                  <w:tcBorders>
                    <w:tl2br w:val="nil"/>
                    <w:tr2bl w:val="nil"/>
                  </w:tcBorders>
                  <w:vAlign w:val="center"/>
                </w:tcPr>
                <w:p w14:paraId="0A2FD88A">
                  <w:pPr>
                    <w:jc w:val="center"/>
                    <w:rPr>
                      <w:rFonts w:hint="eastAsia"/>
                      <w:color w:val="auto"/>
                      <w:sz w:val="18"/>
                      <w:szCs w:val="18"/>
                      <w:lang w:val="en-US" w:eastAsia="zh-CN"/>
                    </w:rPr>
                  </w:pPr>
                  <w:r>
                    <w:rPr>
                      <w:rFonts w:hint="eastAsia"/>
                      <w:color w:val="auto"/>
                      <w:sz w:val="18"/>
                      <w:szCs w:val="18"/>
                      <w:lang w:val="en-US" w:eastAsia="zh-CN"/>
                    </w:rPr>
                    <w:t>罐车</w:t>
                  </w:r>
                </w:p>
              </w:tc>
              <w:tc>
                <w:tcPr>
                  <w:tcW w:w="410" w:type="pct"/>
                  <w:tcBorders>
                    <w:tl2br w:val="nil"/>
                    <w:tr2bl w:val="nil"/>
                  </w:tcBorders>
                  <w:vAlign w:val="center"/>
                </w:tcPr>
                <w:p w14:paraId="438F191C">
                  <w:pPr>
                    <w:jc w:val="center"/>
                    <w:rPr>
                      <w:rFonts w:hint="eastAsia"/>
                      <w:color w:val="auto"/>
                      <w:sz w:val="18"/>
                      <w:szCs w:val="18"/>
                      <w:lang w:val="en-US" w:eastAsia="zh-CN"/>
                    </w:rPr>
                  </w:pPr>
                  <w:r>
                    <w:rPr>
                      <w:rFonts w:hint="eastAsia"/>
                      <w:color w:val="auto"/>
                      <w:sz w:val="18"/>
                      <w:szCs w:val="18"/>
                      <w:lang w:val="en-US" w:eastAsia="zh-CN"/>
                    </w:rPr>
                    <w:t>专用</w:t>
                  </w:r>
                </w:p>
                <w:p w14:paraId="13B6DCDE">
                  <w:pPr>
                    <w:jc w:val="center"/>
                    <w:rPr>
                      <w:rFonts w:hint="eastAsia"/>
                      <w:color w:val="auto"/>
                      <w:sz w:val="18"/>
                      <w:szCs w:val="18"/>
                      <w:lang w:val="en-US" w:eastAsia="zh-CN"/>
                    </w:rPr>
                  </w:pPr>
                  <w:r>
                    <w:rPr>
                      <w:rFonts w:hint="eastAsia"/>
                      <w:color w:val="auto"/>
                      <w:sz w:val="18"/>
                      <w:szCs w:val="18"/>
                      <w:lang w:val="en-US" w:eastAsia="zh-CN"/>
                    </w:rPr>
                    <w:t>罐车</w:t>
                  </w:r>
                </w:p>
              </w:tc>
              <w:tc>
                <w:tcPr>
                  <w:tcW w:w="814" w:type="pct"/>
                  <w:tcBorders>
                    <w:tl2br w:val="nil"/>
                    <w:tr2bl w:val="nil"/>
                  </w:tcBorders>
                  <w:vAlign w:val="center"/>
                </w:tcPr>
                <w:p w14:paraId="44A9A96D">
                  <w:pPr>
                    <w:jc w:val="center"/>
                    <w:rPr>
                      <w:rFonts w:hint="eastAsia"/>
                      <w:color w:val="auto"/>
                      <w:sz w:val="18"/>
                      <w:szCs w:val="18"/>
                      <w:lang w:val="en-US" w:eastAsia="zh-CN"/>
                    </w:rPr>
                  </w:pPr>
                  <w:r>
                    <w:rPr>
                      <w:rFonts w:hint="eastAsia"/>
                      <w:color w:val="auto"/>
                      <w:sz w:val="18"/>
                      <w:szCs w:val="18"/>
                      <w:lang w:val="en-US" w:eastAsia="zh-CN"/>
                    </w:rPr>
                    <w:t>筒仓</w:t>
                  </w:r>
                </w:p>
              </w:tc>
              <w:tc>
                <w:tcPr>
                  <w:tcW w:w="554" w:type="pct"/>
                  <w:tcBorders>
                    <w:tl2br w:val="nil"/>
                    <w:tr2bl w:val="nil"/>
                  </w:tcBorders>
                  <w:vAlign w:val="center"/>
                </w:tcPr>
                <w:p w14:paraId="1AFB1D39">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300</w:t>
                  </w:r>
                </w:p>
              </w:tc>
              <w:tc>
                <w:tcPr>
                  <w:tcW w:w="468" w:type="pct"/>
                  <w:tcBorders>
                    <w:tl2br w:val="nil"/>
                    <w:tr2bl w:val="nil"/>
                  </w:tcBorders>
                  <w:vAlign w:val="center"/>
                </w:tcPr>
                <w:p w14:paraId="71DE8107">
                  <w:pPr>
                    <w:jc w:val="center"/>
                    <w:rPr>
                      <w:rFonts w:hint="eastAsia"/>
                      <w:color w:val="auto"/>
                      <w:sz w:val="18"/>
                      <w:szCs w:val="18"/>
                      <w:lang w:val="en-US" w:eastAsia="zh-CN"/>
                    </w:rPr>
                  </w:pPr>
                  <w:r>
                    <w:rPr>
                      <w:rFonts w:hint="eastAsia"/>
                      <w:color w:val="auto"/>
                      <w:sz w:val="18"/>
                      <w:szCs w:val="18"/>
                      <w:lang w:val="en-US" w:eastAsia="zh-CN"/>
                    </w:rPr>
                    <w:t>外购</w:t>
                  </w:r>
                </w:p>
              </w:tc>
              <w:tc>
                <w:tcPr>
                  <w:tcW w:w="924" w:type="pct"/>
                  <w:tcBorders>
                    <w:tl2br w:val="nil"/>
                    <w:tr2bl w:val="nil"/>
                  </w:tcBorders>
                  <w:vAlign w:val="center"/>
                </w:tcPr>
                <w:p w14:paraId="004F9FC7">
                  <w:pPr>
                    <w:jc w:val="center"/>
                    <w:rPr>
                      <w:rFonts w:hint="eastAsia"/>
                      <w:color w:val="auto"/>
                      <w:sz w:val="18"/>
                      <w:szCs w:val="18"/>
                      <w:lang w:val="en-US" w:eastAsia="zh-CN"/>
                    </w:rPr>
                  </w:pPr>
                  <w:r>
                    <w:rPr>
                      <w:rFonts w:hint="eastAsia"/>
                      <w:color w:val="auto"/>
                      <w:sz w:val="18"/>
                      <w:szCs w:val="18"/>
                      <w:lang w:val="en-US" w:eastAsia="zh-CN"/>
                    </w:rPr>
                    <w:t>无</w:t>
                  </w:r>
                </w:p>
              </w:tc>
            </w:tr>
            <w:tr w14:paraId="5C207D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76" w:hRule="atLeast"/>
                <w:jc w:val="center"/>
              </w:trPr>
              <w:tc>
                <w:tcPr>
                  <w:tcW w:w="183" w:type="pct"/>
                  <w:tcBorders>
                    <w:tl2br w:val="nil"/>
                    <w:tr2bl w:val="nil"/>
                  </w:tcBorders>
                  <w:vAlign w:val="center"/>
                </w:tcPr>
                <w:p w14:paraId="253C8765">
                  <w:pPr>
                    <w:jc w:val="center"/>
                    <w:rPr>
                      <w:rFonts w:hint="default"/>
                      <w:color w:val="auto"/>
                      <w:sz w:val="18"/>
                      <w:szCs w:val="18"/>
                      <w:lang w:val="en-US" w:eastAsia="zh-CN"/>
                    </w:rPr>
                  </w:pPr>
                  <w:r>
                    <w:rPr>
                      <w:rFonts w:hint="eastAsia"/>
                      <w:color w:val="auto"/>
                      <w:sz w:val="18"/>
                      <w:szCs w:val="18"/>
                      <w:lang w:val="en-US" w:eastAsia="zh-CN"/>
                    </w:rPr>
                    <w:t>12</w:t>
                  </w:r>
                </w:p>
              </w:tc>
              <w:tc>
                <w:tcPr>
                  <w:tcW w:w="526" w:type="pct"/>
                  <w:vMerge w:val="continue"/>
                  <w:tcBorders>
                    <w:tl2br w:val="nil"/>
                    <w:tr2bl w:val="nil"/>
                  </w:tcBorders>
                  <w:vAlign w:val="center"/>
                </w:tcPr>
                <w:p w14:paraId="3CEED889">
                  <w:pPr>
                    <w:jc w:val="center"/>
                    <w:rPr>
                      <w:rFonts w:hint="eastAsia"/>
                      <w:color w:val="auto"/>
                      <w:sz w:val="18"/>
                      <w:szCs w:val="18"/>
                      <w:lang w:val="en-US" w:eastAsia="zh-CN"/>
                    </w:rPr>
                  </w:pPr>
                </w:p>
              </w:tc>
              <w:tc>
                <w:tcPr>
                  <w:tcW w:w="464" w:type="pct"/>
                  <w:tcBorders>
                    <w:tl2br w:val="nil"/>
                    <w:tr2bl w:val="nil"/>
                  </w:tcBorders>
                  <w:vAlign w:val="center"/>
                </w:tcPr>
                <w:p w14:paraId="5C972F41">
                  <w:pPr>
                    <w:jc w:val="center"/>
                    <w:rPr>
                      <w:rFonts w:hint="eastAsia"/>
                      <w:color w:val="auto"/>
                      <w:sz w:val="18"/>
                      <w:szCs w:val="18"/>
                      <w:lang w:val="en-US" w:eastAsia="zh-CN"/>
                    </w:rPr>
                  </w:pPr>
                  <w:r>
                    <w:rPr>
                      <w:rFonts w:hint="eastAsia"/>
                      <w:color w:val="auto"/>
                      <w:sz w:val="18"/>
                      <w:szCs w:val="18"/>
                      <w:lang w:val="en-US" w:eastAsia="zh-CN"/>
                    </w:rPr>
                    <w:t>外加剂</w:t>
                  </w:r>
                </w:p>
              </w:tc>
              <w:tc>
                <w:tcPr>
                  <w:tcW w:w="417" w:type="pct"/>
                  <w:tcBorders>
                    <w:tl2br w:val="nil"/>
                    <w:tr2bl w:val="nil"/>
                  </w:tcBorders>
                  <w:vAlign w:val="center"/>
                </w:tcPr>
                <w:p w14:paraId="400620BE">
                  <w:pPr>
                    <w:jc w:val="center"/>
                    <w:rPr>
                      <w:rFonts w:hint="default"/>
                      <w:color w:val="auto"/>
                      <w:sz w:val="18"/>
                      <w:szCs w:val="18"/>
                      <w:lang w:val="en-US" w:eastAsia="zh-CN"/>
                    </w:rPr>
                  </w:pPr>
                  <w:r>
                    <w:rPr>
                      <w:rFonts w:hint="eastAsia"/>
                      <w:color w:val="auto"/>
                      <w:sz w:val="18"/>
                      <w:szCs w:val="18"/>
                      <w:lang w:val="en-US" w:eastAsia="zh-CN"/>
                    </w:rPr>
                    <w:t>1300</w:t>
                  </w:r>
                </w:p>
              </w:tc>
              <w:tc>
                <w:tcPr>
                  <w:tcW w:w="235" w:type="pct"/>
                  <w:tcBorders>
                    <w:tl2br w:val="nil"/>
                    <w:tr2bl w:val="nil"/>
                  </w:tcBorders>
                  <w:vAlign w:val="center"/>
                </w:tcPr>
                <w:p w14:paraId="737C860C">
                  <w:pPr>
                    <w:jc w:val="center"/>
                    <w:rPr>
                      <w:rFonts w:hint="eastAsia"/>
                      <w:color w:val="auto"/>
                      <w:sz w:val="18"/>
                      <w:szCs w:val="18"/>
                      <w:lang w:val="en-US" w:eastAsia="zh-CN"/>
                    </w:rPr>
                  </w:pPr>
                  <w:r>
                    <w:rPr>
                      <w:rFonts w:hint="eastAsia"/>
                      <w:color w:val="auto"/>
                      <w:sz w:val="18"/>
                      <w:szCs w:val="18"/>
                      <w:lang w:val="en-US" w:eastAsia="zh-CN"/>
                    </w:rPr>
                    <w:t>罐车</w:t>
                  </w:r>
                </w:p>
              </w:tc>
              <w:tc>
                <w:tcPr>
                  <w:tcW w:w="410" w:type="pct"/>
                  <w:tcBorders>
                    <w:tl2br w:val="nil"/>
                    <w:tr2bl w:val="nil"/>
                  </w:tcBorders>
                  <w:vAlign w:val="center"/>
                </w:tcPr>
                <w:p w14:paraId="627D7713">
                  <w:pPr>
                    <w:jc w:val="center"/>
                    <w:rPr>
                      <w:rFonts w:hint="eastAsia"/>
                      <w:color w:val="auto"/>
                      <w:sz w:val="18"/>
                      <w:szCs w:val="18"/>
                      <w:lang w:val="en-US" w:eastAsia="zh-CN"/>
                    </w:rPr>
                  </w:pPr>
                  <w:r>
                    <w:rPr>
                      <w:rFonts w:hint="eastAsia"/>
                      <w:color w:val="auto"/>
                      <w:sz w:val="18"/>
                      <w:szCs w:val="18"/>
                      <w:lang w:val="en-US" w:eastAsia="zh-CN"/>
                    </w:rPr>
                    <w:t>专用</w:t>
                  </w:r>
                </w:p>
                <w:p w14:paraId="48E227C8">
                  <w:pPr>
                    <w:jc w:val="center"/>
                    <w:rPr>
                      <w:rFonts w:hint="eastAsia"/>
                      <w:color w:val="auto"/>
                      <w:sz w:val="18"/>
                      <w:szCs w:val="18"/>
                      <w:lang w:val="en-US" w:eastAsia="zh-CN"/>
                    </w:rPr>
                  </w:pPr>
                  <w:r>
                    <w:rPr>
                      <w:rFonts w:hint="eastAsia"/>
                      <w:color w:val="auto"/>
                      <w:sz w:val="18"/>
                      <w:szCs w:val="18"/>
                      <w:lang w:val="en-US" w:eastAsia="zh-CN"/>
                    </w:rPr>
                    <w:t>罐车</w:t>
                  </w:r>
                </w:p>
              </w:tc>
              <w:tc>
                <w:tcPr>
                  <w:tcW w:w="814" w:type="pct"/>
                  <w:tcBorders>
                    <w:tl2br w:val="nil"/>
                    <w:tr2bl w:val="nil"/>
                  </w:tcBorders>
                  <w:vAlign w:val="center"/>
                </w:tcPr>
                <w:p w14:paraId="2F5C0E23">
                  <w:pPr>
                    <w:jc w:val="center"/>
                    <w:rPr>
                      <w:rFonts w:hint="eastAsia"/>
                      <w:color w:val="auto"/>
                      <w:sz w:val="18"/>
                      <w:szCs w:val="18"/>
                      <w:lang w:val="en-US" w:eastAsia="zh-CN"/>
                    </w:rPr>
                  </w:pPr>
                  <w:r>
                    <w:rPr>
                      <w:rFonts w:hint="eastAsia"/>
                      <w:color w:val="auto"/>
                      <w:sz w:val="18"/>
                      <w:szCs w:val="18"/>
                      <w:lang w:val="en-US" w:eastAsia="zh-CN"/>
                    </w:rPr>
                    <w:t>储罐</w:t>
                  </w:r>
                </w:p>
              </w:tc>
              <w:tc>
                <w:tcPr>
                  <w:tcW w:w="554" w:type="pct"/>
                  <w:tcBorders>
                    <w:tl2br w:val="nil"/>
                    <w:tr2bl w:val="nil"/>
                  </w:tcBorders>
                  <w:vAlign w:val="center"/>
                </w:tcPr>
                <w:p w14:paraId="1CEF20F5">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20</w:t>
                  </w:r>
                </w:p>
              </w:tc>
              <w:tc>
                <w:tcPr>
                  <w:tcW w:w="468" w:type="pct"/>
                  <w:tcBorders>
                    <w:tl2br w:val="nil"/>
                    <w:tr2bl w:val="nil"/>
                  </w:tcBorders>
                  <w:vAlign w:val="center"/>
                </w:tcPr>
                <w:p w14:paraId="1C9CE430">
                  <w:pPr>
                    <w:jc w:val="center"/>
                    <w:rPr>
                      <w:rFonts w:hint="eastAsia"/>
                      <w:color w:val="auto"/>
                      <w:sz w:val="18"/>
                      <w:szCs w:val="18"/>
                      <w:lang w:val="en-US" w:eastAsia="zh-CN"/>
                    </w:rPr>
                  </w:pPr>
                  <w:r>
                    <w:rPr>
                      <w:rFonts w:hint="eastAsia"/>
                      <w:color w:val="auto"/>
                      <w:sz w:val="18"/>
                      <w:szCs w:val="18"/>
                      <w:lang w:val="en-US" w:eastAsia="zh-CN"/>
                    </w:rPr>
                    <w:t>外购</w:t>
                  </w:r>
                </w:p>
              </w:tc>
              <w:tc>
                <w:tcPr>
                  <w:tcW w:w="924" w:type="pct"/>
                  <w:tcBorders>
                    <w:tl2br w:val="nil"/>
                    <w:tr2bl w:val="nil"/>
                  </w:tcBorders>
                  <w:vAlign w:val="center"/>
                </w:tcPr>
                <w:p w14:paraId="2A313E9E">
                  <w:pPr>
                    <w:jc w:val="center"/>
                    <w:rPr>
                      <w:rFonts w:hint="eastAsia"/>
                      <w:color w:val="auto"/>
                      <w:sz w:val="18"/>
                      <w:szCs w:val="18"/>
                      <w:lang w:val="en-US" w:eastAsia="zh-CN"/>
                    </w:rPr>
                  </w:pPr>
                  <w:r>
                    <w:rPr>
                      <w:rFonts w:hint="eastAsia"/>
                      <w:color w:val="auto"/>
                      <w:sz w:val="18"/>
                      <w:szCs w:val="18"/>
                      <w:lang w:val="en-US" w:eastAsia="zh-CN"/>
                    </w:rPr>
                    <w:t>无</w:t>
                  </w:r>
                </w:p>
              </w:tc>
            </w:tr>
            <w:tr w14:paraId="5B80D1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76" w:hRule="atLeast"/>
                <w:jc w:val="center"/>
              </w:trPr>
              <w:tc>
                <w:tcPr>
                  <w:tcW w:w="183" w:type="pct"/>
                  <w:tcBorders>
                    <w:tl2br w:val="nil"/>
                    <w:tr2bl w:val="nil"/>
                  </w:tcBorders>
                  <w:vAlign w:val="center"/>
                </w:tcPr>
                <w:p w14:paraId="054009C5">
                  <w:pPr>
                    <w:jc w:val="center"/>
                    <w:rPr>
                      <w:rFonts w:hint="default"/>
                      <w:color w:val="auto"/>
                      <w:sz w:val="18"/>
                      <w:szCs w:val="18"/>
                      <w:lang w:val="en-US" w:eastAsia="zh-CN"/>
                    </w:rPr>
                  </w:pPr>
                  <w:r>
                    <w:rPr>
                      <w:rFonts w:hint="eastAsia"/>
                      <w:color w:val="auto"/>
                      <w:sz w:val="18"/>
                      <w:szCs w:val="18"/>
                      <w:lang w:val="en-US" w:eastAsia="zh-CN"/>
                    </w:rPr>
                    <w:t>13</w:t>
                  </w:r>
                </w:p>
              </w:tc>
              <w:tc>
                <w:tcPr>
                  <w:tcW w:w="526" w:type="pct"/>
                  <w:vMerge w:val="continue"/>
                  <w:tcBorders>
                    <w:tl2br w:val="nil"/>
                    <w:tr2bl w:val="nil"/>
                  </w:tcBorders>
                  <w:vAlign w:val="center"/>
                </w:tcPr>
                <w:p w14:paraId="3A83FE3D">
                  <w:pPr>
                    <w:jc w:val="center"/>
                    <w:rPr>
                      <w:rFonts w:hint="eastAsia"/>
                      <w:color w:val="auto"/>
                      <w:sz w:val="18"/>
                      <w:szCs w:val="18"/>
                      <w:lang w:val="en-US" w:eastAsia="zh-CN"/>
                    </w:rPr>
                  </w:pPr>
                </w:p>
              </w:tc>
              <w:tc>
                <w:tcPr>
                  <w:tcW w:w="464" w:type="pct"/>
                  <w:tcBorders>
                    <w:tl2br w:val="nil"/>
                    <w:tr2bl w:val="nil"/>
                  </w:tcBorders>
                  <w:vAlign w:val="center"/>
                </w:tcPr>
                <w:p w14:paraId="70748B61">
                  <w:pPr>
                    <w:jc w:val="center"/>
                    <w:rPr>
                      <w:rFonts w:hint="default"/>
                      <w:color w:val="auto"/>
                      <w:sz w:val="18"/>
                      <w:szCs w:val="18"/>
                      <w:lang w:val="en-US" w:eastAsia="zh-CN"/>
                    </w:rPr>
                  </w:pPr>
                  <w:r>
                    <w:rPr>
                      <w:rFonts w:hint="eastAsia"/>
                      <w:color w:val="auto"/>
                      <w:sz w:val="18"/>
                      <w:szCs w:val="18"/>
                      <w:lang w:val="en-US" w:eastAsia="zh-CN"/>
                    </w:rPr>
                    <w:t>水</w:t>
                  </w:r>
                </w:p>
              </w:tc>
              <w:tc>
                <w:tcPr>
                  <w:tcW w:w="417" w:type="pct"/>
                  <w:tcBorders>
                    <w:tl2br w:val="nil"/>
                    <w:tr2bl w:val="nil"/>
                  </w:tcBorders>
                  <w:vAlign w:val="center"/>
                </w:tcPr>
                <w:p w14:paraId="1BE807E2">
                  <w:pPr>
                    <w:jc w:val="center"/>
                    <w:rPr>
                      <w:rFonts w:hint="default"/>
                      <w:color w:val="auto"/>
                      <w:sz w:val="18"/>
                      <w:szCs w:val="18"/>
                      <w:lang w:val="en-US" w:eastAsia="zh-CN"/>
                    </w:rPr>
                  </w:pPr>
                  <w:r>
                    <w:rPr>
                      <w:rFonts w:hint="eastAsia"/>
                      <w:color w:val="auto"/>
                      <w:sz w:val="18"/>
                      <w:szCs w:val="18"/>
                      <w:lang w:val="en-US" w:eastAsia="zh-CN"/>
                    </w:rPr>
                    <w:t>40000</w:t>
                  </w:r>
                </w:p>
              </w:tc>
              <w:tc>
                <w:tcPr>
                  <w:tcW w:w="235" w:type="pct"/>
                  <w:tcBorders>
                    <w:tl2br w:val="nil"/>
                    <w:tr2bl w:val="nil"/>
                  </w:tcBorders>
                  <w:vAlign w:val="center"/>
                </w:tcPr>
                <w:p w14:paraId="6D1E1E14">
                  <w:pPr>
                    <w:jc w:val="center"/>
                    <w:rPr>
                      <w:rFonts w:hint="default" w:eastAsia="宋体"/>
                      <w:color w:val="auto"/>
                      <w:sz w:val="18"/>
                      <w:szCs w:val="18"/>
                      <w:lang w:val="en-US" w:eastAsia="zh-CN"/>
                    </w:rPr>
                  </w:pPr>
                  <w:r>
                    <w:rPr>
                      <w:rFonts w:hint="eastAsia"/>
                      <w:color w:val="auto"/>
                      <w:sz w:val="18"/>
                      <w:szCs w:val="18"/>
                      <w:lang w:val="en-US" w:eastAsia="zh-CN"/>
                    </w:rPr>
                    <w:t>-</w:t>
                  </w:r>
                </w:p>
              </w:tc>
              <w:tc>
                <w:tcPr>
                  <w:tcW w:w="410" w:type="pct"/>
                  <w:tcBorders>
                    <w:tl2br w:val="nil"/>
                    <w:tr2bl w:val="nil"/>
                  </w:tcBorders>
                  <w:vAlign w:val="center"/>
                </w:tcPr>
                <w:p w14:paraId="404D9307">
                  <w:pPr>
                    <w:jc w:val="center"/>
                    <w:rPr>
                      <w:rFonts w:hint="default"/>
                      <w:color w:val="auto"/>
                      <w:sz w:val="18"/>
                      <w:szCs w:val="18"/>
                      <w:lang w:val="en-US" w:eastAsia="zh-CN"/>
                    </w:rPr>
                  </w:pPr>
                  <w:r>
                    <w:rPr>
                      <w:rFonts w:hint="eastAsia"/>
                      <w:color w:val="auto"/>
                      <w:sz w:val="18"/>
                      <w:szCs w:val="18"/>
                      <w:lang w:val="en-US" w:eastAsia="zh-CN"/>
                    </w:rPr>
                    <w:t>-</w:t>
                  </w:r>
                </w:p>
              </w:tc>
              <w:tc>
                <w:tcPr>
                  <w:tcW w:w="814" w:type="pct"/>
                  <w:tcBorders>
                    <w:tl2br w:val="nil"/>
                    <w:tr2bl w:val="nil"/>
                  </w:tcBorders>
                  <w:vAlign w:val="center"/>
                </w:tcPr>
                <w:p w14:paraId="1E54A14D">
                  <w:pPr>
                    <w:jc w:val="center"/>
                    <w:rPr>
                      <w:rFonts w:hint="default"/>
                      <w:color w:val="auto"/>
                      <w:sz w:val="18"/>
                      <w:szCs w:val="18"/>
                      <w:lang w:val="en-US" w:eastAsia="zh-CN"/>
                    </w:rPr>
                  </w:pPr>
                  <w:r>
                    <w:rPr>
                      <w:rFonts w:hint="eastAsia"/>
                      <w:color w:val="auto"/>
                      <w:sz w:val="18"/>
                      <w:szCs w:val="18"/>
                      <w:lang w:val="en-US" w:eastAsia="zh-CN"/>
                    </w:rPr>
                    <w:t>-</w:t>
                  </w:r>
                </w:p>
              </w:tc>
              <w:tc>
                <w:tcPr>
                  <w:tcW w:w="554" w:type="pct"/>
                  <w:tcBorders>
                    <w:tl2br w:val="nil"/>
                    <w:tr2bl w:val="nil"/>
                  </w:tcBorders>
                  <w:vAlign w:val="center"/>
                </w:tcPr>
                <w:p w14:paraId="2AA007D6">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468" w:type="pct"/>
                  <w:tcBorders>
                    <w:tl2br w:val="nil"/>
                    <w:tr2bl w:val="nil"/>
                  </w:tcBorders>
                  <w:vAlign w:val="center"/>
                </w:tcPr>
                <w:p w14:paraId="1351D651">
                  <w:pPr>
                    <w:jc w:val="center"/>
                    <w:rPr>
                      <w:rFonts w:hint="default"/>
                      <w:color w:val="auto"/>
                      <w:sz w:val="18"/>
                      <w:szCs w:val="18"/>
                      <w:lang w:val="en-US" w:eastAsia="zh-CN"/>
                    </w:rPr>
                  </w:pPr>
                  <w:r>
                    <w:rPr>
                      <w:rFonts w:hint="eastAsia"/>
                      <w:color w:val="auto"/>
                      <w:sz w:val="18"/>
                      <w:szCs w:val="18"/>
                      <w:lang w:val="en-US" w:eastAsia="zh-CN"/>
                    </w:rPr>
                    <w:t>自来水供水管道</w:t>
                  </w:r>
                </w:p>
              </w:tc>
              <w:tc>
                <w:tcPr>
                  <w:tcW w:w="924" w:type="pct"/>
                  <w:tcBorders>
                    <w:tl2br w:val="nil"/>
                    <w:tr2bl w:val="nil"/>
                  </w:tcBorders>
                  <w:vAlign w:val="center"/>
                </w:tcPr>
                <w:p w14:paraId="1398A632">
                  <w:pPr>
                    <w:jc w:val="center"/>
                    <w:rPr>
                      <w:rFonts w:hint="default"/>
                      <w:color w:val="auto"/>
                      <w:sz w:val="18"/>
                      <w:szCs w:val="18"/>
                      <w:lang w:val="en-US" w:eastAsia="zh-CN"/>
                    </w:rPr>
                  </w:pPr>
                  <w:r>
                    <w:rPr>
                      <w:rFonts w:hint="eastAsia"/>
                      <w:color w:val="auto"/>
                      <w:sz w:val="18"/>
                      <w:szCs w:val="18"/>
                      <w:lang w:val="en-US" w:eastAsia="zh-CN"/>
                    </w:rPr>
                    <w:t>无</w:t>
                  </w:r>
                </w:p>
              </w:tc>
            </w:tr>
            <w:tr w14:paraId="28FCBE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76" w:hRule="atLeast"/>
                <w:jc w:val="center"/>
              </w:trPr>
              <w:tc>
                <w:tcPr>
                  <w:tcW w:w="183" w:type="pct"/>
                  <w:tcBorders>
                    <w:tl2br w:val="nil"/>
                    <w:tr2bl w:val="nil"/>
                  </w:tcBorders>
                  <w:shd w:val="clear" w:color="auto" w:fill="auto"/>
                  <w:vAlign w:val="center"/>
                </w:tcPr>
                <w:p w14:paraId="4E591FA1">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14</w:t>
                  </w:r>
                </w:p>
              </w:tc>
              <w:tc>
                <w:tcPr>
                  <w:tcW w:w="526" w:type="pct"/>
                  <w:vMerge w:val="restart"/>
                  <w:tcBorders>
                    <w:tl2br w:val="nil"/>
                    <w:tr2bl w:val="nil"/>
                  </w:tcBorders>
                  <w:vAlign w:val="center"/>
                </w:tcPr>
                <w:p w14:paraId="1CBB8DD2">
                  <w:pPr>
                    <w:jc w:val="center"/>
                    <w:rPr>
                      <w:rFonts w:hint="eastAsia"/>
                      <w:color w:val="auto"/>
                      <w:sz w:val="18"/>
                      <w:szCs w:val="18"/>
                      <w:lang w:val="en-US" w:eastAsia="zh-CN"/>
                    </w:rPr>
                  </w:pPr>
                  <w:r>
                    <w:rPr>
                      <w:rFonts w:hint="eastAsia"/>
                      <w:color w:val="auto"/>
                      <w:sz w:val="18"/>
                      <w:szCs w:val="18"/>
                      <w:lang w:val="en-US" w:eastAsia="zh-CN"/>
                    </w:rPr>
                    <w:t>水稳土生产线</w:t>
                  </w:r>
                </w:p>
              </w:tc>
              <w:tc>
                <w:tcPr>
                  <w:tcW w:w="464" w:type="pct"/>
                  <w:tcBorders>
                    <w:tl2br w:val="nil"/>
                    <w:tr2bl w:val="nil"/>
                  </w:tcBorders>
                  <w:vAlign w:val="center"/>
                </w:tcPr>
                <w:p w14:paraId="3158D024">
                  <w:pPr>
                    <w:jc w:val="center"/>
                    <w:rPr>
                      <w:rFonts w:hint="eastAsia"/>
                      <w:color w:val="auto"/>
                      <w:sz w:val="18"/>
                      <w:szCs w:val="18"/>
                      <w:lang w:val="en-US" w:eastAsia="zh-CN"/>
                    </w:rPr>
                  </w:pPr>
                  <w:r>
                    <w:rPr>
                      <w:rFonts w:hint="eastAsia"/>
                      <w:color w:val="auto"/>
                      <w:sz w:val="18"/>
                      <w:szCs w:val="18"/>
                      <w:lang w:val="en-US" w:eastAsia="zh-CN"/>
                    </w:rPr>
                    <w:t>水泥</w:t>
                  </w:r>
                </w:p>
              </w:tc>
              <w:tc>
                <w:tcPr>
                  <w:tcW w:w="417" w:type="pct"/>
                  <w:tcBorders>
                    <w:tl2br w:val="nil"/>
                    <w:tr2bl w:val="nil"/>
                  </w:tcBorders>
                  <w:vAlign w:val="center"/>
                </w:tcPr>
                <w:p w14:paraId="59F1813D">
                  <w:pPr>
                    <w:jc w:val="center"/>
                    <w:rPr>
                      <w:rFonts w:hint="eastAsia"/>
                      <w:color w:val="auto"/>
                      <w:sz w:val="18"/>
                      <w:szCs w:val="18"/>
                      <w:lang w:val="en-US" w:eastAsia="zh-CN"/>
                    </w:rPr>
                  </w:pPr>
                  <w:r>
                    <w:rPr>
                      <w:rFonts w:hint="eastAsia"/>
                      <w:color w:val="auto"/>
                      <w:sz w:val="18"/>
                      <w:szCs w:val="18"/>
                      <w:lang w:val="en-US" w:eastAsia="zh-CN"/>
                    </w:rPr>
                    <w:t>6125</w:t>
                  </w:r>
                </w:p>
              </w:tc>
              <w:tc>
                <w:tcPr>
                  <w:tcW w:w="235" w:type="pct"/>
                  <w:tcBorders>
                    <w:tl2br w:val="nil"/>
                    <w:tr2bl w:val="nil"/>
                  </w:tcBorders>
                  <w:vAlign w:val="center"/>
                </w:tcPr>
                <w:p w14:paraId="6FCDE867">
                  <w:pPr>
                    <w:jc w:val="center"/>
                    <w:rPr>
                      <w:rFonts w:hint="eastAsia"/>
                      <w:color w:val="auto"/>
                      <w:sz w:val="18"/>
                      <w:szCs w:val="18"/>
                      <w:lang w:val="en-US" w:eastAsia="zh-CN"/>
                    </w:rPr>
                  </w:pPr>
                  <w:r>
                    <w:rPr>
                      <w:rFonts w:hint="eastAsia"/>
                      <w:color w:val="auto"/>
                      <w:sz w:val="18"/>
                      <w:szCs w:val="18"/>
                      <w:lang w:val="en-US" w:eastAsia="zh-CN"/>
                    </w:rPr>
                    <w:t>罐车</w:t>
                  </w:r>
                </w:p>
              </w:tc>
              <w:tc>
                <w:tcPr>
                  <w:tcW w:w="410" w:type="pct"/>
                  <w:tcBorders>
                    <w:tl2br w:val="nil"/>
                    <w:tr2bl w:val="nil"/>
                  </w:tcBorders>
                  <w:vAlign w:val="center"/>
                </w:tcPr>
                <w:p w14:paraId="5D51C8FA">
                  <w:pPr>
                    <w:jc w:val="center"/>
                    <w:rPr>
                      <w:rFonts w:hint="eastAsia"/>
                      <w:color w:val="auto"/>
                      <w:sz w:val="18"/>
                      <w:szCs w:val="18"/>
                      <w:lang w:val="en-US" w:eastAsia="zh-CN"/>
                    </w:rPr>
                  </w:pPr>
                  <w:r>
                    <w:rPr>
                      <w:rFonts w:hint="eastAsia"/>
                      <w:color w:val="auto"/>
                      <w:sz w:val="18"/>
                      <w:szCs w:val="18"/>
                      <w:lang w:val="en-US" w:eastAsia="zh-CN"/>
                    </w:rPr>
                    <w:t>专用</w:t>
                  </w:r>
                </w:p>
                <w:p w14:paraId="5FC7DDE9">
                  <w:pPr>
                    <w:jc w:val="center"/>
                    <w:rPr>
                      <w:rFonts w:hint="eastAsia"/>
                      <w:color w:val="auto"/>
                      <w:sz w:val="18"/>
                      <w:szCs w:val="18"/>
                      <w:lang w:val="en-US" w:eastAsia="zh-CN"/>
                    </w:rPr>
                  </w:pPr>
                  <w:r>
                    <w:rPr>
                      <w:rFonts w:hint="eastAsia"/>
                      <w:color w:val="auto"/>
                      <w:sz w:val="18"/>
                      <w:szCs w:val="18"/>
                      <w:lang w:val="en-US" w:eastAsia="zh-CN"/>
                    </w:rPr>
                    <w:t>罐车</w:t>
                  </w:r>
                </w:p>
              </w:tc>
              <w:tc>
                <w:tcPr>
                  <w:tcW w:w="814" w:type="pct"/>
                  <w:tcBorders>
                    <w:tl2br w:val="nil"/>
                    <w:tr2bl w:val="nil"/>
                  </w:tcBorders>
                  <w:vAlign w:val="center"/>
                </w:tcPr>
                <w:p w14:paraId="054B1ADE">
                  <w:pPr>
                    <w:jc w:val="center"/>
                    <w:rPr>
                      <w:rFonts w:hint="eastAsia"/>
                      <w:color w:val="auto"/>
                      <w:sz w:val="18"/>
                      <w:szCs w:val="18"/>
                      <w:lang w:val="en-US" w:eastAsia="zh-CN"/>
                    </w:rPr>
                  </w:pPr>
                  <w:r>
                    <w:rPr>
                      <w:rFonts w:hint="eastAsia"/>
                      <w:color w:val="auto"/>
                      <w:sz w:val="18"/>
                      <w:szCs w:val="18"/>
                      <w:lang w:val="en-US" w:eastAsia="zh-CN"/>
                    </w:rPr>
                    <w:t>水泥筒仓</w:t>
                  </w:r>
                </w:p>
              </w:tc>
              <w:tc>
                <w:tcPr>
                  <w:tcW w:w="554" w:type="pct"/>
                  <w:tcBorders>
                    <w:tl2br w:val="nil"/>
                    <w:tr2bl w:val="nil"/>
                  </w:tcBorders>
                  <w:vAlign w:val="center"/>
                </w:tcPr>
                <w:p w14:paraId="04D155E7">
                  <w:pPr>
                    <w:jc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150</w:t>
                  </w:r>
                </w:p>
              </w:tc>
              <w:tc>
                <w:tcPr>
                  <w:tcW w:w="468" w:type="pct"/>
                  <w:tcBorders>
                    <w:tl2br w:val="nil"/>
                    <w:tr2bl w:val="nil"/>
                  </w:tcBorders>
                  <w:vAlign w:val="center"/>
                </w:tcPr>
                <w:p w14:paraId="0B5C6D1A">
                  <w:pPr>
                    <w:jc w:val="center"/>
                    <w:rPr>
                      <w:rFonts w:hint="eastAsia"/>
                      <w:color w:val="auto"/>
                      <w:sz w:val="18"/>
                      <w:szCs w:val="18"/>
                      <w:lang w:val="en-US" w:eastAsia="zh-CN"/>
                    </w:rPr>
                  </w:pPr>
                  <w:r>
                    <w:rPr>
                      <w:rFonts w:hint="eastAsia"/>
                      <w:color w:val="auto"/>
                      <w:sz w:val="18"/>
                      <w:szCs w:val="18"/>
                      <w:lang w:val="en-US" w:eastAsia="zh-CN"/>
                    </w:rPr>
                    <w:t>外购</w:t>
                  </w:r>
                </w:p>
              </w:tc>
              <w:tc>
                <w:tcPr>
                  <w:tcW w:w="924" w:type="pct"/>
                  <w:tcBorders>
                    <w:tl2br w:val="nil"/>
                    <w:tr2bl w:val="nil"/>
                  </w:tcBorders>
                  <w:vAlign w:val="center"/>
                </w:tcPr>
                <w:p w14:paraId="7477F1A9">
                  <w:pPr>
                    <w:jc w:val="center"/>
                    <w:rPr>
                      <w:rFonts w:hint="eastAsia"/>
                      <w:color w:val="auto"/>
                      <w:sz w:val="18"/>
                      <w:szCs w:val="18"/>
                      <w:lang w:val="en-US" w:eastAsia="zh-CN"/>
                    </w:rPr>
                  </w:pPr>
                  <w:r>
                    <w:rPr>
                      <w:rFonts w:hint="eastAsia"/>
                      <w:color w:val="auto"/>
                      <w:sz w:val="18"/>
                      <w:szCs w:val="18"/>
                      <w:lang w:val="en-US" w:eastAsia="zh-CN"/>
                    </w:rPr>
                    <w:t>无</w:t>
                  </w:r>
                </w:p>
              </w:tc>
            </w:tr>
            <w:tr w14:paraId="017B4E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76" w:hRule="atLeast"/>
                <w:jc w:val="center"/>
              </w:trPr>
              <w:tc>
                <w:tcPr>
                  <w:tcW w:w="183" w:type="pct"/>
                  <w:tcBorders>
                    <w:tl2br w:val="nil"/>
                    <w:tr2bl w:val="nil"/>
                  </w:tcBorders>
                  <w:shd w:val="clear" w:color="auto" w:fill="auto"/>
                  <w:vAlign w:val="center"/>
                </w:tcPr>
                <w:p w14:paraId="26F6AE26">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15</w:t>
                  </w:r>
                </w:p>
              </w:tc>
              <w:tc>
                <w:tcPr>
                  <w:tcW w:w="526" w:type="pct"/>
                  <w:vMerge w:val="continue"/>
                  <w:tcBorders>
                    <w:tl2br w:val="nil"/>
                    <w:tr2bl w:val="nil"/>
                  </w:tcBorders>
                  <w:vAlign w:val="center"/>
                </w:tcPr>
                <w:p w14:paraId="10AB02E4">
                  <w:pPr>
                    <w:jc w:val="center"/>
                    <w:rPr>
                      <w:rFonts w:hint="eastAsia"/>
                      <w:color w:val="auto"/>
                      <w:sz w:val="18"/>
                      <w:szCs w:val="18"/>
                      <w:lang w:val="en-US" w:eastAsia="zh-CN"/>
                    </w:rPr>
                  </w:pPr>
                </w:p>
              </w:tc>
              <w:tc>
                <w:tcPr>
                  <w:tcW w:w="464" w:type="pct"/>
                  <w:tcBorders>
                    <w:tl2br w:val="nil"/>
                    <w:tr2bl w:val="nil"/>
                  </w:tcBorders>
                  <w:vAlign w:val="center"/>
                </w:tcPr>
                <w:p w14:paraId="78B96A93">
                  <w:pPr>
                    <w:jc w:val="center"/>
                    <w:rPr>
                      <w:rFonts w:hint="eastAsia"/>
                      <w:color w:val="auto"/>
                      <w:sz w:val="18"/>
                      <w:szCs w:val="18"/>
                      <w:lang w:val="en-US" w:eastAsia="zh-CN"/>
                    </w:rPr>
                  </w:pPr>
                  <w:r>
                    <w:rPr>
                      <w:rFonts w:hint="eastAsia"/>
                      <w:color w:val="auto"/>
                      <w:sz w:val="18"/>
                      <w:szCs w:val="18"/>
                      <w:lang w:val="en-US" w:eastAsia="zh-CN"/>
                    </w:rPr>
                    <w:t>机制砂</w:t>
                  </w:r>
                </w:p>
              </w:tc>
              <w:tc>
                <w:tcPr>
                  <w:tcW w:w="417" w:type="pct"/>
                  <w:tcBorders>
                    <w:tl2br w:val="nil"/>
                    <w:tr2bl w:val="nil"/>
                  </w:tcBorders>
                  <w:vAlign w:val="center"/>
                </w:tcPr>
                <w:p w14:paraId="68CF2D03">
                  <w:pPr>
                    <w:jc w:val="center"/>
                    <w:rPr>
                      <w:rFonts w:hint="eastAsia"/>
                      <w:color w:val="auto"/>
                      <w:sz w:val="18"/>
                      <w:szCs w:val="18"/>
                      <w:lang w:val="en-US" w:eastAsia="zh-CN"/>
                    </w:rPr>
                  </w:pPr>
                  <w:r>
                    <w:rPr>
                      <w:rFonts w:hint="eastAsia"/>
                      <w:color w:val="auto"/>
                      <w:sz w:val="18"/>
                      <w:szCs w:val="18"/>
                      <w:lang w:val="en-US" w:eastAsia="zh-CN"/>
                    </w:rPr>
                    <w:t>8000</w:t>
                  </w:r>
                </w:p>
              </w:tc>
              <w:tc>
                <w:tcPr>
                  <w:tcW w:w="235" w:type="pct"/>
                  <w:tcBorders>
                    <w:tl2br w:val="nil"/>
                    <w:tr2bl w:val="nil"/>
                  </w:tcBorders>
                  <w:vAlign w:val="center"/>
                </w:tcPr>
                <w:p w14:paraId="7D5895FA">
                  <w:pPr>
                    <w:jc w:val="center"/>
                    <w:rPr>
                      <w:rFonts w:hint="eastAsia"/>
                      <w:color w:val="auto"/>
                      <w:sz w:val="18"/>
                      <w:szCs w:val="18"/>
                      <w:lang w:val="en-US" w:eastAsia="zh-CN"/>
                    </w:rPr>
                  </w:pPr>
                  <w:r>
                    <w:rPr>
                      <w:rFonts w:hint="eastAsia"/>
                      <w:color w:val="auto"/>
                      <w:sz w:val="18"/>
                      <w:szCs w:val="18"/>
                      <w:lang w:val="en-US" w:eastAsia="zh-CN"/>
                    </w:rPr>
                    <w:t>-</w:t>
                  </w:r>
                </w:p>
              </w:tc>
              <w:tc>
                <w:tcPr>
                  <w:tcW w:w="410" w:type="pct"/>
                  <w:tcBorders>
                    <w:tl2br w:val="nil"/>
                    <w:tr2bl w:val="nil"/>
                  </w:tcBorders>
                  <w:vAlign w:val="center"/>
                </w:tcPr>
                <w:p w14:paraId="2DBCDB1A">
                  <w:pPr>
                    <w:jc w:val="center"/>
                    <w:rPr>
                      <w:rFonts w:hint="eastAsia"/>
                      <w:color w:val="auto"/>
                      <w:sz w:val="18"/>
                      <w:szCs w:val="18"/>
                      <w:lang w:val="en-US" w:eastAsia="zh-CN"/>
                    </w:rPr>
                  </w:pPr>
                  <w:r>
                    <w:rPr>
                      <w:rFonts w:hint="eastAsia"/>
                      <w:color w:val="auto"/>
                      <w:sz w:val="18"/>
                      <w:szCs w:val="18"/>
                      <w:lang w:val="en-US" w:eastAsia="zh-CN"/>
                    </w:rPr>
                    <w:t>加盖苫布汽运</w:t>
                  </w:r>
                </w:p>
              </w:tc>
              <w:tc>
                <w:tcPr>
                  <w:tcW w:w="814" w:type="pct"/>
                  <w:tcBorders>
                    <w:tl2br w:val="nil"/>
                    <w:tr2bl w:val="nil"/>
                  </w:tcBorders>
                  <w:vAlign w:val="center"/>
                </w:tcPr>
                <w:p w14:paraId="6B931AD9">
                  <w:pPr>
                    <w:jc w:val="center"/>
                    <w:rPr>
                      <w:rFonts w:hint="eastAsia"/>
                      <w:color w:val="auto"/>
                      <w:sz w:val="18"/>
                      <w:szCs w:val="18"/>
                      <w:lang w:val="en-US" w:eastAsia="zh-CN"/>
                    </w:rPr>
                  </w:pPr>
                  <w:r>
                    <w:rPr>
                      <w:rFonts w:hint="eastAsia"/>
                      <w:color w:val="auto"/>
                      <w:sz w:val="18"/>
                      <w:szCs w:val="18"/>
                      <w:lang w:val="en-US" w:eastAsia="zh-CN"/>
                    </w:rPr>
                    <w:t>封闭式储料库</w:t>
                  </w:r>
                </w:p>
              </w:tc>
              <w:tc>
                <w:tcPr>
                  <w:tcW w:w="554" w:type="pct"/>
                  <w:tcBorders>
                    <w:tl2br w:val="nil"/>
                    <w:tr2bl w:val="nil"/>
                  </w:tcBorders>
                  <w:vAlign w:val="center"/>
                </w:tcPr>
                <w:p w14:paraId="45D57C73">
                  <w:pPr>
                    <w:jc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2000</w:t>
                  </w:r>
                </w:p>
              </w:tc>
              <w:tc>
                <w:tcPr>
                  <w:tcW w:w="468" w:type="pct"/>
                  <w:tcBorders>
                    <w:tl2br w:val="nil"/>
                    <w:tr2bl w:val="nil"/>
                  </w:tcBorders>
                  <w:vAlign w:val="center"/>
                </w:tcPr>
                <w:p w14:paraId="2A2C5009">
                  <w:pPr>
                    <w:jc w:val="center"/>
                    <w:rPr>
                      <w:rFonts w:hint="eastAsia"/>
                      <w:color w:val="auto"/>
                      <w:sz w:val="18"/>
                      <w:szCs w:val="18"/>
                      <w:lang w:val="en-US" w:eastAsia="zh-CN"/>
                    </w:rPr>
                  </w:pPr>
                  <w:r>
                    <w:rPr>
                      <w:rFonts w:hint="eastAsia"/>
                      <w:color w:val="auto"/>
                      <w:sz w:val="18"/>
                      <w:szCs w:val="18"/>
                      <w:lang w:val="en-US" w:eastAsia="zh-CN"/>
                    </w:rPr>
                    <w:t>外购</w:t>
                  </w:r>
                </w:p>
              </w:tc>
              <w:tc>
                <w:tcPr>
                  <w:tcW w:w="924" w:type="pct"/>
                  <w:tcBorders>
                    <w:tl2br w:val="nil"/>
                    <w:tr2bl w:val="nil"/>
                  </w:tcBorders>
                  <w:vAlign w:val="center"/>
                </w:tcPr>
                <w:p w14:paraId="7EE4AD73">
                  <w:pPr>
                    <w:jc w:val="center"/>
                    <w:rPr>
                      <w:rFonts w:hint="eastAsia"/>
                      <w:color w:val="auto"/>
                      <w:sz w:val="18"/>
                      <w:szCs w:val="18"/>
                      <w:lang w:val="en-US" w:eastAsia="zh-CN"/>
                    </w:rPr>
                  </w:pPr>
                  <w:r>
                    <w:rPr>
                      <w:rFonts w:hint="eastAsia"/>
                      <w:color w:val="auto"/>
                      <w:sz w:val="18"/>
                      <w:szCs w:val="18"/>
                      <w:lang w:val="en-US" w:eastAsia="zh-CN"/>
                    </w:rPr>
                    <w:t>无</w:t>
                  </w:r>
                </w:p>
              </w:tc>
            </w:tr>
            <w:tr w14:paraId="5E8DFE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76" w:hRule="atLeast"/>
                <w:jc w:val="center"/>
              </w:trPr>
              <w:tc>
                <w:tcPr>
                  <w:tcW w:w="183" w:type="pct"/>
                  <w:tcBorders>
                    <w:tl2br w:val="nil"/>
                    <w:tr2bl w:val="nil"/>
                  </w:tcBorders>
                  <w:shd w:val="clear" w:color="auto" w:fill="auto"/>
                  <w:vAlign w:val="center"/>
                </w:tcPr>
                <w:p w14:paraId="1C06EA0B">
                  <w:pPr>
                    <w:jc w:val="center"/>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16</w:t>
                  </w:r>
                </w:p>
              </w:tc>
              <w:tc>
                <w:tcPr>
                  <w:tcW w:w="526" w:type="pct"/>
                  <w:vMerge w:val="continue"/>
                  <w:tcBorders>
                    <w:tl2br w:val="nil"/>
                    <w:tr2bl w:val="nil"/>
                  </w:tcBorders>
                  <w:vAlign w:val="center"/>
                </w:tcPr>
                <w:p w14:paraId="6DAAACE5">
                  <w:pPr>
                    <w:jc w:val="center"/>
                    <w:rPr>
                      <w:rFonts w:hint="eastAsia"/>
                      <w:color w:val="auto"/>
                      <w:sz w:val="18"/>
                      <w:szCs w:val="18"/>
                      <w:lang w:val="en-US" w:eastAsia="zh-CN"/>
                    </w:rPr>
                  </w:pPr>
                </w:p>
              </w:tc>
              <w:tc>
                <w:tcPr>
                  <w:tcW w:w="464" w:type="pct"/>
                  <w:tcBorders>
                    <w:tl2br w:val="nil"/>
                    <w:tr2bl w:val="nil"/>
                  </w:tcBorders>
                  <w:vAlign w:val="center"/>
                </w:tcPr>
                <w:p w14:paraId="6330C765">
                  <w:pPr>
                    <w:jc w:val="center"/>
                    <w:rPr>
                      <w:rFonts w:hint="eastAsia"/>
                      <w:color w:val="auto"/>
                      <w:sz w:val="18"/>
                      <w:szCs w:val="18"/>
                      <w:lang w:val="en-US" w:eastAsia="zh-CN"/>
                    </w:rPr>
                  </w:pPr>
                  <w:r>
                    <w:rPr>
                      <w:rFonts w:hint="eastAsia"/>
                      <w:color w:val="auto"/>
                      <w:sz w:val="18"/>
                      <w:szCs w:val="18"/>
                      <w:lang w:val="en-US" w:eastAsia="zh-CN"/>
                    </w:rPr>
                    <w:t>石料</w:t>
                  </w:r>
                </w:p>
              </w:tc>
              <w:tc>
                <w:tcPr>
                  <w:tcW w:w="417" w:type="pct"/>
                  <w:tcBorders>
                    <w:tl2br w:val="nil"/>
                    <w:tr2bl w:val="nil"/>
                  </w:tcBorders>
                  <w:vAlign w:val="center"/>
                </w:tcPr>
                <w:p w14:paraId="4CBFC69D">
                  <w:pPr>
                    <w:jc w:val="center"/>
                    <w:rPr>
                      <w:rFonts w:hint="eastAsia"/>
                      <w:color w:val="auto"/>
                      <w:sz w:val="18"/>
                      <w:szCs w:val="18"/>
                      <w:lang w:val="en-US" w:eastAsia="zh-CN"/>
                    </w:rPr>
                  </w:pPr>
                  <w:r>
                    <w:rPr>
                      <w:rFonts w:hint="eastAsia"/>
                      <w:color w:val="auto"/>
                      <w:sz w:val="18"/>
                      <w:szCs w:val="18"/>
                      <w:lang w:val="en-US" w:eastAsia="zh-CN"/>
                    </w:rPr>
                    <w:t>34000</w:t>
                  </w:r>
                </w:p>
              </w:tc>
              <w:tc>
                <w:tcPr>
                  <w:tcW w:w="235" w:type="pct"/>
                  <w:tcBorders>
                    <w:tl2br w:val="nil"/>
                    <w:tr2bl w:val="nil"/>
                  </w:tcBorders>
                  <w:vAlign w:val="center"/>
                </w:tcPr>
                <w:p w14:paraId="4C23F35D">
                  <w:pPr>
                    <w:jc w:val="center"/>
                    <w:rPr>
                      <w:rFonts w:hint="eastAsia"/>
                      <w:color w:val="auto"/>
                      <w:sz w:val="18"/>
                      <w:szCs w:val="18"/>
                      <w:lang w:val="en-US" w:eastAsia="zh-CN"/>
                    </w:rPr>
                  </w:pPr>
                  <w:r>
                    <w:rPr>
                      <w:rFonts w:hint="eastAsia"/>
                      <w:color w:val="auto"/>
                      <w:sz w:val="18"/>
                      <w:szCs w:val="18"/>
                      <w:lang w:val="en-US" w:eastAsia="zh-CN"/>
                    </w:rPr>
                    <w:t>-</w:t>
                  </w:r>
                </w:p>
              </w:tc>
              <w:tc>
                <w:tcPr>
                  <w:tcW w:w="410" w:type="pct"/>
                  <w:tcBorders>
                    <w:tl2br w:val="nil"/>
                    <w:tr2bl w:val="nil"/>
                  </w:tcBorders>
                  <w:vAlign w:val="center"/>
                </w:tcPr>
                <w:p w14:paraId="2E8B8E57">
                  <w:pPr>
                    <w:jc w:val="center"/>
                    <w:rPr>
                      <w:rFonts w:hint="eastAsia"/>
                      <w:color w:val="auto"/>
                      <w:sz w:val="18"/>
                      <w:szCs w:val="18"/>
                      <w:lang w:val="en-US" w:eastAsia="zh-CN"/>
                    </w:rPr>
                  </w:pPr>
                  <w:r>
                    <w:rPr>
                      <w:rFonts w:hint="eastAsia"/>
                      <w:color w:val="auto"/>
                      <w:sz w:val="18"/>
                      <w:szCs w:val="18"/>
                      <w:lang w:val="en-US" w:eastAsia="zh-CN"/>
                    </w:rPr>
                    <w:t>-</w:t>
                  </w:r>
                </w:p>
              </w:tc>
              <w:tc>
                <w:tcPr>
                  <w:tcW w:w="814" w:type="pct"/>
                  <w:tcBorders>
                    <w:tl2br w:val="nil"/>
                    <w:tr2bl w:val="nil"/>
                  </w:tcBorders>
                  <w:vAlign w:val="center"/>
                </w:tcPr>
                <w:p w14:paraId="66118E17">
                  <w:pPr>
                    <w:jc w:val="center"/>
                    <w:rPr>
                      <w:rFonts w:hint="eastAsia"/>
                      <w:color w:val="auto"/>
                      <w:sz w:val="18"/>
                      <w:szCs w:val="18"/>
                      <w:lang w:val="en-US" w:eastAsia="zh-CN"/>
                    </w:rPr>
                  </w:pPr>
                  <w:r>
                    <w:rPr>
                      <w:rFonts w:hint="eastAsia"/>
                      <w:color w:val="auto"/>
                      <w:sz w:val="18"/>
                      <w:szCs w:val="18"/>
                      <w:lang w:val="en-US" w:eastAsia="zh-CN"/>
                    </w:rPr>
                    <w:t>封闭式储料库</w:t>
                  </w:r>
                </w:p>
              </w:tc>
              <w:tc>
                <w:tcPr>
                  <w:tcW w:w="554" w:type="pct"/>
                  <w:tcBorders>
                    <w:tl2br w:val="nil"/>
                    <w:tr2bl w:val="nil"/>
                  </w:tcBorders>
                  <w:vAlign w:val="center"/>
                </w:tcPr>
                <w:p w14:paraId="59A4BFC5">
                  <w:pPr>
                    <w:jc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8000</w:t>
                  </w:r>
                </w:p>
              </w:tc>
              <w:tc>
                <w:tcPr>
                  <w:tcW w:w="468" w:type="pct"/>
                  <w:tcBorders>
                    <w:tl2br w:val="nil"/>
                    <w:tr2bl w:val="nil"/>
                  </w:tcBorders>
                  <w:vAlign w:val="center"/>
                </w:tcPr>
                <w:p w14:paraId="37C73E64">
                  <w:pPr>
                    <w:jc w:val="center"/>
                    <w:rPr>
                      <w:rFonts w:hint="eastAsia"/>
                      <w:color w:val="auto"/>
                      <w:sz w:val="18"/>
                      <w:szCs w:val="18"/>
                      <w:lang w:val="en-US" w:eastAsia="zh-CN"/>
                    </w:rPr>
                  </w:pPr>
                  <w:r>
                    <w:rPr>
                      <w:rFonts w:hint="eastAsia"/>
                      <w:color w:val="auto"/>
                      <w:sz w:val="18"/>
                      <w:szCs w:val="18"/>
                      <w:lang w:val="en-US" w:eastAsia="zh-CN"/>
                    </w:rPr>
                    <w:t>自产</w:t>
                  </w:r>
                </w:p>
              </w:tc>
              <w:tc>
                <w:tcPr>
                  <w:tcW w:w="924" w:type="pct"/>
                  <w:tcBorders>
                    <w:tl2br w:val="nil"/>
                    <w:tr2bl w:val="nil"/>
                  </w:tcBorders>
                  <w:vAlign w:val="center"/>
                </w:tcPr>
                <w:p w14:paraId="21184854">
                  <w:pPr>
                    <w:jc w:val="center"/>
                    <w:rPr>
                      <w:rFonts w:hint="eastAsia"/>
                      <w:color w:val="auto"/>
                      <w:sz w:val="18"/>
                      <w:szCs w:val="18"/>
                      <w:lang w:val="en-US" w:eastAsia="zh-CN"/>
                    </w:rPr>
                  </w:pPr>
                  <w:r>
                    <w:rPr>
                      <w:rFonts w:hint="eastAsia"/>
                      <w:color w:val="auto"/>
                      <w:sz w:val="18"/>
                      <w:szCs w:val="18"/>
                      <w:lang w:val="en-US" w:eastAsia="zh-CN"/>
                    </w:rPr>
                    <w:t>无</w:t>
                  </w:r>
                </w:p>
              </w:tc>
            </w:tr>
            <w:tr w14:paraId="0508BF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76" w:hRule="atLeast"/>
                <w:jc w:val="center"/>
              </w:trPr>
              <w:tc>
                <w:tcPr>
                  <w:tcW w:w="183" w:type="pct"/>
                  <w:tcBorders>
                    <w:tl2br w:val="nil"/>
                    <w:tr2bl w:val="nil"/>
                  </w:tcBorders>
                  <w:vAlign w:val="center"/>
                </w:tcPr>
                <w:p w14:paraId="0E07A7F6">
                  <w:pPr>
                    <w:jc w:val="center"/>
                    <w:rPr>
                      <w:rFonts w:hint="default"/>
                      <w:color w:val="auto"/>
                      <w:sz w:val="18"/>
                      <w:szCs w:val="18"/>
                      <w:lang w:val="en-US" w:eastAsia="zh-CN"/>
                    </w:rPr>
                  </w:pPr>
                  <w:r>
                    <w:rPr>
                      <w:rFonts w:hint="eastAsia"/>
                      <w:color w:val="auto"/>
                      <w:sz w:val="18"/>
                      <w:szCs w:val="18"/>
                      <w:lang w:val="en-US" w:eastAsia="zh-CN"/>
                    </w:rPr>
                    <w:t>17</w:t>
                  </w:r>
                </w:p>
              </w:tc>
              <w:tc>
                <w:tcPr>
                  <w:tcW w:w="526" w:type="pct"/>
                  <w:vMerge w:val="continue"/>
                  <w:tcBorders>
                    <w:tl2br w:val="nil"/>
                    <w:tr2bl w:val="nil"/>
                  </w:tcBorders>
                  <w:vAlign w:val="center"/>
                </w:tcPr>
                <w:p w14:paraId="6183B5F4">
                  <w:pPr>
                    <w:jc w:val="center"/>
                    <w:rPr>
                      <w:rFonts w:hint="eastAsia"/>
                      <w:color w:val="auto"/>
                      <w:sz w:val="18"/>
                      <w:szCs w:val="18"/>
                      <w:lang w:val="en-US" w:eastAsia="zh-CN"/>
                    </w:rPr>
                  </w:pPr>
                </w:p>
              </w:tc>
              <w:tc>
                <w:tcPr>
                  <w:tcW w:w="464" w:type="pct"/>
                  <w:tcBorders>
                    <w:tl2br w:val="nil"/>
                    <w:tr2bl w:val="nil"/>
                  </w:tcBorders>
                  <w:vAlign w:val="center"/>
                </w:tcPr>
                <w:p w14:paraId="25EE8EF8">
                  <w:pPr>
                    <w:jc w:val="center"/>
                    <w:rPr>
                      <w:rFonts w:hint="eastAsia"/>
                      <w:color w:val="auto"/>
                      <w:sz w:val="18"/>
                      <w:szCs w:val="18"/>
                      <w:lang w:val="en-US" w:eastAsia="zh-CN"/>
                    </w:rPr>
                  </w:pPr>
                  <w:r>
                    <w:rPr>
                      <w:rFonts w:hint="eastAsia"/>
                      <w:color w:val="auto"/>
                      <w:sz w:val="18"/>
                      <w:szCs w:val="18"/>
                      <w:lang w:val="en-US" w:eastAsia="zh-CN"/>
                    </w:rPr>
                    <w:t>水</w:t>
                  </w:r>
                </w:p>
              </w:tc>
              <w:tc>
                <w:tcPr>
                  <w:tcW w:w="417" w:type="pct"/>
                  <w:tcBorders>
                    <w:tl2br w:val="nil"/>
                    <w:tr2bl w:val="nil"/>
                  </w:tcBorders>
                  <w:vAlign w:val="center"/>
                </w:tcPr>
                <w:p w14:paraId="04BE427B">
                  <w:pPr>
                    <w:jc w:val="center"/>
                    <w:rPr>
                      <w:rFonts w:hint="eastAsia"/>
                      <w:color w:val="auto"/>
                      <w:sz w:val="18"/>
                      <w:szCs w:val="18"/>
                      <w:lang w:val="en-US" w:eastAsia="zh-CN"/>
                    </w:rPr>
                  </w:pPr>
                  <w:r>
                    <w:rPr>
                      <w:rFonts w:hint="eastAsia"/>
                      <w:color w:val="auto"/>
                      <w:sz w:val="18"/>
                      <w:szCs w:val="18"/>
                      <w:lang w:val="en-US" w:eastAsia="zh-CN"/>
                    </w:rPr>
                    <w:t>2500</w:t>
                  </w:r>
                </w:p>
              </w:tc>
              <w:tc>
                <w:tcPr>
                  <w:tcW w:w="235" w:type="pct"/>
                  <w:tcBorders>
                    <w:tl2br w:val="nil"/>
                    <w:tr2bl w:val="nil"/>
                  </w:tcBorders>
                  <w:vAlign w:val="center"/>
                </w:tcPr>
                <w:p w14:paraId="6B69B55C">
                  <w:pPr>
                    <w:jc w:val="center"/>
                    <w:rPr>
                      <w:rFonts w:hint="eastAsia"/>
                      <w:color w:val="auto"/>
                      <w:sz w:val="18"/>
                      <w:szCs w:val="18"/>
                      <w:lang w:val="en-US" w:eastAsia="zh-CN"/>
                    </w:rPr>
                  </w:pPr>
                  <w:r>
                    <w:rPr>
                      <w:rFonts w:hint="eastAsia"/>
                      <w:color w:val="auto"/>
                      <w:sz w:val="18"/>
                      <w:szCs w:val="18"/>
                      <w:lang w:val="en-US" w:eastAsia="zh-CN"/>
                    </w:rPr>
                    <w:t>-</w:t>
                  </w:r>
                </w:p>
              </w:tc>
              <w:tc>
                <w:tcPr>
                  <w:tcW w:w="410" w:type="pct"/>
                  <w:tcBorders>
                    <w:tl2br w:val="nil"/>
                    <w:tr2bl w:val="nil"/>
                  </w:tcBorders>
                  <w:vAlign w:val="center"/>
                </w:tcPr>
                <w:p w14:paraId="09443EE0">
                  <w:pPr>
                    <w:jc w:val="center"/>
                    <w:rPr>
                      <w:rFonts w:hint="eastAsia"/>
                      <w:color w:val="auto"/>
                      <w:sz w:val="18"/>
                      <w:szCs w:val="18"/>
                      <w:lang w:val="en-US" w:eastAsia="zh-CN"/>
                    </w:rPr>
                  </w:pPr>
                  <w:r>
                    <w:rPr>
                      <w:rFonts w:hint="eastAsia"/>
                      <w:color w:val="auto"/>
                      <w:sz w:val="18"/>
                      <w:szCs w:val="18"/>
                      <w:lang w:val="en-US" w:eastAsia="zh-CN"/>
                    </w:rPr>
                    <w:t>-</w:t>
                  </w:r>
                </w:p>
              </w:tc>
              <w:tc>
                <w:tcPr>
                  <w:tcW w:w="814" w:type="pct"/>
                  <w:tcBorders>
                    <w:tl2br w:val="nil"/>
                    <w:tr2bl w:val="nil"/>
                  </w:tcBorders>
                  <w:vAlign w:val="center"/>
                </w:tcPr>
                <w:p w14:paraId="3D806B69">
                  <w:pPr>
                    <w:jc w:val="center"/>
                    <w:rPr>
                      <w:rFonts w:hint="eastAsia"/>
                      <w:color w:val="auto"/>
                      <w:sz w:val="18"/>
                      <w:szCs w:val="18"/>
                      <w:lang w:val="en-US" w:eastAsia="zh-CN"/>
                    </w:rPr>
                  </w:pPr>
                  <w:r>
                    <w:rPr>
                      <w:rFonts w:hint="eastAsia"/>
                      <w:color w:val="auto"/>
                      <w:sz w:val="18"/>
                      <w:szCs w:val="18"/>
                      <w:lang w:val="en-US" w:eastAsia="zh-CN"/>
                    </w:rPr>
                    <w:t>-</w:t>
                  </w:r>
                </w:p>
              </w:tc>
              <w:tc>
                <w:tcPr>
                  <w:tcW w:w="554" w:type="pct"/>
                  <w:tcBorders>
                    <w:tl2br w:val="nil"/>
                    <w:tr2bl w:val="nil"/>
                  </w:tcBorders>
                  <w:vAlign w:val="center"/>
                </w:tcPr>
                <w:p w14:paraId="683C0855">
                  <w:pPr>
                    <w:jc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468" w:type="pct"/>
                  <w:tcBorders>
                    <w:tl2br w:val="nil"/>
                    <w:tr2bl w:val="nil"/>
                  </w:tcBorders>
                  <w:vAlign w:val="center"/>
                </w:tcPr>
                <w:p w14:paraId="1167BC6D">
                  <w:pPr>
                    <w:jc w:val="center"/>
                    <w:rPr>
                      <w:rFonts w:hint="eastAsia"/>
                      <w:color w:val="auto"/>
                      <w:sz w:val="18"/>
                      <w:szCs w:val="18"/>
                      <w:lang w:val="en-US" w:eastAsia="zh-CN"/>
                    </w:rPr>
                  </w:pPr>
                  <w:r>
                    <w:rPr>
                      <w:rFonts w:hint="eastAsia"/>
                      <w:color w:val="auto"/>
                      <w:sz w:val="18"/>
                      <w:szCs w:val="18"/>
                      <w:lang w:val="en-US" w:eastAsia="zh-CN"/>
                    </w:rPr>
                    <w:t>自来水供水管道</w:t>
                  </w:r>
                </w:p>
              </w:tc>
              <w:tc>
                <w:tcPr>
                  <w:tcW w:w="924" w:type="pct"/>
                  <w:tcBorders>
                    <w:tl2br w:val="nil"/>
                    <w:tr2bl w:val="nil"/>
                  </w:tcBorders>
                  <w:vAlign w:val="center"/>
                </w:tcPr>
                <w:p w14:paraId="53C52509">
                  <w:pPr>
                    <w:jc w:val="center"/>
                    <w:rPr>
                      <w:rFonts w:hint="eastAsia"/>
                      <w:color w:val="auto"/>
                      <w:sz w:val="18"/>
                      <w:szCs w:val="18"/>
                      <w:lang w:val="en-US" w:eastAsia="zh-CN"/>
                    </w:rPr>
                  </w:pPr>
                  <w:r>
                    <w:rPr>
                      <w:rFonts w:hint="eastAsia"/>
                      <w:color w:val="auto"/>
                      <w:sz w:val="18"/>
                      <w:szCs w:val="18"/>
                      <w:lang w:val="en-US" w:eastAsia="zh-CN"/>
                    </w:rPr>
                    <w:t>无</w:t>
                  </w:r>
                </w:p>
              </w:tc>
            </w:tr>
            <w:tr w14:paraId="308B2F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5" w:hRule="atLeast"/>
                <w:jc w:val="center"/>
              </w:trPr>
              <w:tc>
                <w:tcPr>
                  <w:tcW w:w="183" w:type="pct"/>
                  <w:tcBorders>
                    <w:tl2br w:val="nil"/>
                    <w:tr2bl w:val="nil"/>
                  </w:tcBorders>
                  <w:vAlign w:val="center"/>
                </w:tcPr>
                <w:p w14:paraId="2F311110">
                  <w:pPr>
                    <w:jc w:val="center"/>
                    <w:rPr>
                      <w:rFonts w:hint="default" w:eastAsia="宋体"/>
                      <w:color w:val="auto"/>
                      <w:sz w:val="18"/>
                      <w:szCs w:val="18"/>
                      <w:lang w:val="en-US" w:eastAsia="zh-CN"/>
                    </w:rPr>
                  </w:pPr>
                  <w:r>
                    <w:rPr>
                      <w:rFonts w:hint="eastAsia"/>
                      <w:color w:val="auto"/>
                      <w:sz w:val="18"/>
                      <w:szCs w:val="18"/>
                      <w:lang w:val="en-US" w:eastAsia="zh-CN"/>
                    </w:rPr>
                    <w:t>18</w:t>
                  </w:r>
                </w:p>
              </w:tc>
              <w:tc>
                <w:tcPr>
                  <w:tcW w:w="526" w:type="pct"/>
                  <w:vMerge w:val="restart"/>
                  <w:tcBorders>
                    <w:tl2br w:val="nil"/>
                    <w:tr2bl w:val="nil"/>
                  </w:tcBorders>
                  <w:vAlign w:val="center"/>
                </w:tcPr>
                <w:p w14:paraId="5DAE4BAD">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辅料</w:t>
                  </w:r>
                </w:p>
              </w:tc>
              <w:tc>
                <w:tcPr>
                  <w:tcW w:w="464" w:type="pct"/>
                  <w:tcBorders>
                    <w:tl2br w:val="nil"/>
                    <w:tr2bl w:val="nil"/>
                  </w:tcBorders>
                  <w:vAlign w:val="center"/>
                </w:tcPr>
                <w:p w14:paraId="441D3E75">
                  <w:pPr>
                    <w:jc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矿物油</w:t>
                  </w:r>
                </w:p>
                <w:p w14:paraId="02DC17B0">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（润滑油）</w:t>
                  </w:r>
                </w:p>
              </w:tc>
              <w:tc>
                <w:tcPr>
                  <w:tcW w:w="417" w:type="pct"/>
                  <w:tcBorders>
                    <w:tl2br w:val="nil"/>
                    <w:tr2bl w:val="nil"/>
                  </w:tcBorders>
                  <w:vAlign w:val="center"/>
                </w:tcPr>
                <w:p w14:paraId="0E571B0B">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2.0</w:t>
                  </w:r>
                </w:p>
              </w:tc>
              <w:tc>
                <w:tcPr>
                  <w:tcW w:w="235" w:type="pct"/>
                  <w:tcBorders>
                    <w:tl2br w:val="nil"/>
                    <w:tr2bl w:val="nil"/>
                  </w:tcBorders>
                  <w:vAlign w:val="center"/>
                </w:tcPr>
                <w:p w14:paraId="53C0E7F8">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塑料桶</w:t>
                  </w:r>
                </w:p>
              </w:tc>
              <w:tc>
                <w:tcPr>
                  <w:tcW w:w="410" w:type="pct"/>
                  <w:tcBorders>
                    <w:tl2br w:val="nil"/>
                    <w:tr2bl w:val="nil"/>
                  </w:tcBorders>
                  <w:vAlign w:val="center"/>
                </w:tcPr>
                <w:p w14:paraId="33A7C5D8">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汽运</w:t>
                  </w:r>
                </w:p>
              </w:tc>
              <w:tc>
                <w:tcPr>
                  <w:tcW w:w="814" w:type="pct"/>
                  <w:tcBorders>
                    <w:tl2br w:val="nil"/>
                    <w:tr2bl w:val="nil"/>
                  </w:tcBorders>
                  <w:vAlign w:val="center"/>
                </w:tcPr>
                <w:p w14:paraId="55F02271">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库房</w:t>
                  </w:r>
                </w:p>
              </w:tc>
              <w:tc>
                <w:tcPr>
                  <w:tcW w:w="554" w:type="pct"/>
                  <w:tcBorders>
                    <w:tl2br w:val="nil"/>
                    <w:tr2bl w:val="nil"/>
                  </w:tcBorders>
                  <w:vAlign w:val="center"/>
                </w:tcPr>
                <w:p w14:paraId="68C017C2">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0.2</w:t>
                  </w:r>
                </w:p>
              </w:tc>
              <w:tc>
                <w:tcPr>
                  <w:tcW w:w="468" w:type="pct"/>
                  <w:tcBorders>
                    <w:tl2br w:val="nil"/>
                    <w:tr2bl w:val="nil"/>
                  </w:tcBorders>
                  <w:vAlign w:val="center"/>
                </w:tcPr>
                <w:p w14:paraId="0A400697">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外购</w:t>
                  </w:r>
                </w:p>
              </w:tc>
              <w:tc>
                <w:tcPr>
                  <w:tcW w:w="924" w:type="pct"/>
                  <w:tcBorders>
                    <w:tl2br w:val="nil"/>
                    <w:tr2bl w:val="nil"/>
                  </w:tcBorders>
                  <w:vAlign w:val="center"/>
                </w:tcPr>
                <w:p w14:paraId="1143BCB9">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无</w:t>
                  </w:r>
                </w:p>
              </w:tc>
            </w:tr>
            <w:tr w14:paraId="17190E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5" w:hRule="atLeast"/>
                <w:jc w:val="center"/>
              </w:trPr>
              <w:tc>
                <w:tcPr>
                  <w:tcW w:w="183" w:type="pct"/>
                  <w:tcBorders>
                    <w:tl2br w:val="nil"/>
                    <w:tr2bl w:val="nil"/>
                  </w:tcBorders>
                  <w:vAlign w:val="center"/>
                </w:tcPr>
                <w:p w14:paraId="591A4440">
                  <w:pPr>
                    <w:jc w:val="center"/>
                    <w:rPr>
                      <w:rFonts w:hint="default"/>
                      <w:color w:val="auto"/>
                      <w:sz w:val="18"/>
                      <w:szCs w:val="18"/>
                      <w:lang w:val="en-US" w:eastAsia="zh-CN"/>
                    </w:rPr>
                  </w:pPr>
                  <w:r>
                    <w:rPr>
                      <w:rFonts w:hint="eastAsia"/>
                      <w:color w:val="auto"/>
                      <w:sz w:val="18"/>
                      <w:szCs w:val="18"/>
                      <w:lang w:val="en-US" w:eastAsia="zh-CN"/>
                    </w:rPr>
                    <w:t>19</w:t>
                  </w:r>
                </w:p>
              </w:tc>
              <w:tc>
                <w:tcPr>
                  <w:tcW w:w="526" w:type="pct"/>
                  <w:vMerge w:val="continue"/>
                  <w:tcBorders>
                    <w:tl2br w:val="nil"/>
                    <w:tr2bl w:val="nil"/>
                  </w:tcBorders>
                  <w:vAlign w:val="center"/>
                </w:tcPr>
                <w:p w14:paraId="245B6F81">
                  <w:pPr>
                    <w:jc w:val="center"/>
                    <w:rPr>
                      <w:rFonts w:hint="eastAsia" w:cs="Times New Roman"/>
                      <w:color w:val="auto"/>
                      <w:kern w:val="2"/>
                      <w:sz w:val="18"/>
                      <w:szCs w:val="18"/>
                      <w:lang w:val="en-US" w:eastAsia="zh-CN" w:bidi="ar-SA"/>
                    </w:rPr>
                  </w:pPr>
                </w:p>
              </w:tc>
              <w:tc>
                <w:tcPr>
                  <w:tcW w:w="464" w:type="pct"/>
                  <w:tcBorders>
                    <w:tl2br w:val="nil"/>
                    <w:tr2bl w:val="nil"/>
                  </w:tcBorders>
                  <w:vAlign w:val="center"/>
                </w:tcPr>
                <w:p w14:paraId="2EC926F1">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活性炭</w:t>
                  </w:r>
                </w:p>
              </w:tc>
              <w:tc>
                <w:tcPr>
                  <w:tcW w:w="417" w:type="pct"/>
                  <w:tcBorders>
                    <w:tl2br w:val="nil"/>
                    <w:tr2bl w:val="nil"/>
                  </w:tcBorders>
                  <w:vAlign w:val="center"/>
                </w:tcPr>
                <w:p w14:paraId="7D02DA77">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1.0</w:t>
                  </w:r>
                </w:p>
              </w:tc>
              <w:tc>
                <w:tcPr>
                  <w:tcW w:w="235" w:type="pct"/>
                  <w:tcBorders>
                    <w:tl2br w:val="nil"/>
                    <w:tr2bl w:val="nil"/>
                  </w:tcBorders>
                  <w:vAlign w:val="center"/>
                </w:tcPr>
                <w:p w14:paraId="306390BD">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专用箱</w:t>
                  </w:r>
                </w:p>
              </w:tc>
              <w:tc>
                <w:tcPr>
                  <w:tcW w:w="410" w:type="pct"/>
                  <w:tcBorders>
                    <w:tl2br w:val="nil"/>
                    <w:tr2bl w:val="nil"/>
                  </w:tcBorders>
                  <w:vAlign w:val="center"/>
                </w:tcPr>
                <w:p w14:paraId="308B2BF3">
                  <w:pPr>
                    <w:jc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汽运</w:t>
                  </w:r>
                </w:p>
              </w:tc>
              <w:tc>
                <w:tcPr>
                  <w:tcW w:w="814" w:type="pct"/>
                  <w:tcBorders>
                    <w:tl2br w:val="nil"/>
                    <w:tr2bl w:val="nil"/>
                  </w:tcBorders>
                  <w:vAlign w:val="center"/>
                </w:tcPr>
                <w:p w14:paraId="5F843F82">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活性炭填充箱（不作外存）</w:t>
                  </w:r>
                </w:p>
              </w:tc>
              <w:tc>
                <w:tcPr>
                  <w:tcW w:w="554" w:type="pct"/>
                  <w:tcBorders>
                    <w:tl2br w:val="nil"/>
                    <w:tr2bl w:val="nil"/>
                  </w:tcBorders>
                  <w:vAlign w:val="center"/>
                </w:tcPr>
                <w:p w14:paraId="1B047812">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468" w:type="pct"/>
                  <w:tcBorders>
                    <w:tl2br w:val="nil"/>
                    <w:tr2bl w:val="nil"/>
                  </w:tcBorders>
                  <w:vAlign w:val="center"/>
                </w:tcPr>
                <w:p w14:paraId="4A87619D">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厂家配送填充</w:t>
                  </w:r>
                </w:p>
              </w:tc>
              <w:tc>
                <w:tcPr>
                  <w:tcW w:w="924" w:type="pct"/>
                  <w:tcBorders>
                    <w:tl2br w:val="nil"/>
                    <w:tr2bl w:val="nil"/>
                  </w:tcBorders>
                  <w:vAlign w:val="center"/>
                </w:tcPr>
                <w:p w14:paraId="398C089D">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无</w:t>
                  </w:r>
                </w:p>
              </w:tc>
            </w:tr>
            <w:tr w14:paraId="471215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5" w:hRule="atLeast"/>
                <w:jc w:val="center"/>
              </w:trPr>
              <w:tc>
                <w:tcPr>
                  <w:tcW w:w="183" w:type="pct"/>
                  <w:tcBorders>
                    <w:tl2br w:val="nil"/>
                    <w:tr2bl w:val="nil"/>
                  </w:tcBorders>
                  <w:shd w:val="clear" w:color="auto" w:fill="auto"/>
                  <w:vAlign w:val="center"/>
                </w:tcPr>
                <w:p w14:paraId="6C67B9FE">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20</w:t>
                  </w:r>
                </w:p>
              </w:tc>
              <w:tc>
                <w:tcPr>
                  <w:tcW w:w="526" w:type="pct"/>
                  <w:vMerge w:val="continue"/>
                  <w:tcBorders>
                    <w:tl2br w:val="nil"/>
                    <w:tr2bl w:val="nil"/>
                  </w:tcBorders>
                  <w:vAlign w:val="center"/>
                </w:tcPr>
                <w:p w14:paraId="73454324">
                  <w:pPr>
                    <w:jc w:val="center"/>
                    <w:rPr>
                      <w:rFonts w:hint="eastAsia" w:cs="Times New Roman"/>
                      <w:color w:val="auto"/>
                      <w:kern w:val="2"/>
                      <w:sz w:val="18"/>
                      <w:szCs w:val="18"/>
                      <w:lang w:val="en-US" w:eastAsia="zh-CN" w:bidi="ar-SA"/>
                    </w:rPr>
                  </w:pPr>
                </w:p>
              </w:tc>
              <w:tc>
                <w:tcPr>
                  <w:tcW w:w="464" w:type="pct"/>
                  <w:tcBorders>
                    <w:tl2br w:val="nil"/>
                    <w:tr2bl w:val="nil"/>
                  </w:tcBorders>
                  <w:vAlign w:val="center"/>
                </w:tcPr>
                <w:p w14:paraId="2A844B28">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棉纱、手套</w:t>
                  </w:r>
                </w:p>
              </w:tc>
              <w:tc>
                <w:tcPr>
                  <w:tcW w:w="417" w:type="pct"/>
                  <w:tcBorders>
                    <w:tl2br w:val="nil"/>
                    <w:tr2bl w:val="nil"/>
                  </w:tcBorders>
                  <w:vAlign w:val="center"/>
                </w:tcPr>
                <w:p w14:paraId="145822F7">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0.01</w:t>
                  </w:r>
                </w:p>
              </w:tc>
              <w:tc>
                <w:tcPr>
                  <w:tcW w:w="235" w:type="pct"/>
                  <w:tcBorders>
                    <w:tl2br w:val="nil"/>
                    <w:tr2bl w:val="nil"/>
                  </w:tcBorders>
                  <w:vAlign w:val="center"/>
                </w:tcPr>
                <w:p w14:paraId="58C5ECEA">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塑料袋</w:t>
                  </w:r>
                </w:p>
              </w:tc>
              <w:tc>
                <w:tcPr>
                  <w:tcW w:w="410" w:type="pct"/>
                  <w:tcBorders>
                    <w:tl2br w:val="nil"/>
                    <w:tr2bl w:val="nil"/>
                  </w:tcBorders>
                  <w:vAlign w:val="center"/>
                </w:tcPr>
                <w:p w14:paraId="5C848D7E">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814" w:type="pct"/>
                  <w:tcBorders>
                    <w:tl2br w:val="nil"/>
                    <w:tr2bl w:val="nil"/>
                  </w:tcBorders>
                  <w:vAlign w:val="center"/>
                </w:tcPr>
                <w:p w14:paraId="6CD16E4E">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库房</w:t>
                  </w:r>
                </w:p>
              </w:tc>
              <w:tc>
                <w:tcPr>
                  <w:tcW w:w="554" w:type="pct"/>
                  <w:tcBorders>
                    <w:tl2br w:val="nil"/>
                    <w:tr2bl w:val="nil"/>
                  </w:tcBorders>
                  <w:vAlign w:val="center"/>
                </w:tcPr>
                <w:p w14:paraId="123FF839">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0.01</w:t>
                  </w:r>
                </w:p>
              </w:tc>
              <w:tc>
                <w:tcPr>
                  <w:tcW w:w="468" w:type="pct"/>
                  <w:tcBorders>
                    <w:tl2br w:val="nil"/>
                    <w:tr2bl w:val="nil"/>
                  </w:tcBorders>
                  <w:vAlign w:val="center"/>
                </w:tcPr>
                <w:p w14:paraId="02DD7B73">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外购</w:t>
                  </w:r>
                </w:p>
              </w:tc>
              <w:tc>
                <w:tcPr>
                  <w:tcW w:w="924" w:type="pct"/>
                  <w:tcBorders>
                    <w:tl2br w:val="nil"/>
                    <w:tr2bl w:val="nil"/>
                  </w:tcBorders>
                  <w:vAlign w:val="center"/>
                </w:tcPr>
                <w:p w14:paraId="1D729CD3">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无</w:t>
                  </w:r>
                </w:p>
              </w:tc>
            </w:tr>
          </w:tbl>
          <w:p w14:paraId="0BB1235F">
            <w:pPr>
              <w:spacing w:line="360" w:lineRule="auto"/>
              <w:ind w:firstLine="420" w:firstLineChars="200"/>
              <w:rPr>
                <w:rFonts w:hint="eastAsia"/>
                <w:b w:val="0"/>
                <w:bCs w:val="0"/>
                <w:color w:val="auto"/>
                <w:szCs w:val="21"/>
                <w:lang w:val="en-US" w:eastAsia="zh-CN"/>
              </w:rPr>
            </w:pPr>
            <w:r>
              <w:rPr>
                <w:rFonts w:hint="eastAsia"/>
                <w:b w:val="0"/>
                <w:bCs w:val="0"/>
                <w:color w:val="auto"/>
                <w:szCs w:val="21"/>
                <w:lang w:val="en-US" w:eastAsia="zh-CN"/>
              </w:rPr>
              <w:t>原辅料理化性质：</w:t>
            </w:r>
          </w:p>
          <w:p w14:paraId="13DBBA21">
            <w:pPr>
              <w:spacing w:line="360" w:lineRule="auto"/>
              <w:ind w:firstLine="420" w:firstLineChars="200"/>
              <w:rPr>
                <w:rFonts w:hint="eastAsia"/>
                <w:b w:val="0"/>
                <w:bCs w:val="0"/>
                <w:color w:val="auto"/>
                <w:szCs w:val="21"/>
                <w:lang w:val="en-US" w:eastAsia="zh-CN"/>
              </w:rPr>
            </w:pPr>
            <w:r>
              <w:rPr>
                <w:rFonts w:hint="eastAsia"/>
                <w:b w:val="0"/>
                <w:bCs w:val="0"/>
                <w:color w:val="auto"/>
                <w:szCs w:val="21"/>
                <w:lang w:val="en-US" w:eastAsia="zh-CN"/>
              </w:rPr>
              <w:t>①沥青：项目使用石油沥青，是原油蒸馏后的残渣。根据提炼程度的不同，在常温下成液体、半固体或固体。石油沥青色黑而有光泽，具有较高的感温性。由于它在生产过程中曾经蒸馏至150℃以上，因而所含挥发成分甚少。相对密度（水=1）：1.15~1.25；沸点＜470℃；最小引燃温度：485℃；闪电：204.4℃。可燃，具有刺激性。遇明火、高热可燃。燃烧时放出有毒的刺激性烟雾。</w:t>
            </w:r>
          </w:p>
          <w:p w14:paraId="4505F3EE">
            <w:pPr>
              <w:spacing w:line="360" w:lineRule="auto"/>
              <w:ind w:firstLine="420" w:firstLineChars="200"/>
              <w:jc w:val="left"/>
              <w:rPr>
                <w:rFonts w:hint="eastAsia"/>
                <w:bCs/>
                <w:color w:val="auto"/>
                <w:szCs w:val="21"/>
                <w:lang w:val="en-US" w:eastAsia="zh-CN"/>
              </w:rPr>
            </w:pPr>
            <w:r>
              <w:rPr>
                <w:rFonts w:hint="eastAsia"/>
                <w:bCs/>
                <w:color w:val="auto"/>
                <w:szCs w:val="21"/>
                <w:lang w:val="en-US" w:eastAsia="zh-CN"/>
              </w:rPr>
              <w:t>②沥青所需骨料：使用本项目石料加工后的产品，粒径＜10mm，成分主要为石灰岩。</w:t>
            </w:r>
          </w:p>
          <w:p w14:paraId="51ABF1E1">
            <w:pPr>
              <w:spacing w:line="360" w:lineRule="auto"/>
              <w:ind w:firstLine="420" w:firstLineChars="200"/>
              <w:jc w:val="left"/>
              <w:rPr>
                <w:rFonts w:hint="eastAsia"/>
                <w:bCs/>
                <w:color w:val="auto"/>
                <w:szCs w:val="21"/>
                <w:lang w:val="en-US" w:eastAsia="zh-CN"/>
              </w:rPr>
            </w:pPr>
            <w:r>
              <w:rPr>
                <w:rFonts w:hint="eastAsia"/>
                <w:bCs/>
                <w:color w:val="auto"/>
                <w:szCs w:val="21"/>
                <w:lang w:val="en-US" w:eastAsia="zh-CN"/>
              </w:rPr>
              <w:t>③矿粉、粉煤灰、水泥：主要用于混凝土掺合料，由专业的工厂生产。</w:t>
            </w:r>
          </w:p>
          <w:p w14:paraId="6C94BBB4">
            <w:pPr>
              <w:spacing w:line="360" w:lineRule="auto"/>
              <w:ind w:firstLine="420" w:firstLineChars="200"/>
              <w:jc w:val="left"/>
              <w:rPr>
                <w:rFonts w:hint="eastAsia"/>
                <w:bCs/>
                <w:color w:val="auto"/>
                <w:szCs w:val="21"/>
                <w:lang w:val="en-US" w:eastAsia="zh-CN"/>
              </w:rPr>
            </w:pPr>
            <w:r>
              <w:rPr>
                <w:rFonts w:hint="eastAsia"/>
                <w:bCs/>
                <w:color w:val="auto"/>
                <w:szCs w:val="21"/>
                <w:lang w:val="en-US" w:eastAsia="zh-CN"/>
              </w:rPr>
              <w:t>④燃料油：本项目导热油使用轻质柴油，柴油是复杂烃类（碳原子数约10～22）混合物，密度为0.820~0.855t/m</w:t>
            </w:r>
            <w:r>
              <w:rPr>
                <w:rFonts w:hint="eastAsia"/>
                <w:bCs/>
                <w:color w:val="auto"/>
                <w:szCs w:val="21"/>
                <w:vertAlign w:val="superscript"/>
                <w:lang w:val="en-US" w:eastAsia="zh-CN"/>
              </w:rPr>
              <w:t>3</w:t>
            </w:r>
            <w:r>
              <w:rPr>
                <w:rFonts w:hint="eastAsia"/>
                <w:bCs/>
                <w:color w:val="auto"/>
                <w:szCs w:val="21"/>
                <w:lang w:val="en-US" w:eastAsia="zh-CN"/>
              </w:rPr>
              <w:t>，沸点范围为180～370℃。主要由原油蒸馏、催化裂化、热裂化、加氢裂化、石油焦化等过程生产的柴油馏分调配而成，也可由页岩油加工和煤液化制取。主要用做转速不低于960r/min的压燃式高速柴油发动机的燃料，也可用做各种柴油燃烧器的燃料。根据《普通柴油》（GB252-2015）中规定，柴油的含硫量不得高于0.01%，本项目骨料烘干采用的燃料油为柴油，选取国V以上轻质柴油，含硫量低于10mg/kg（0.001%）。</w:t>
            </w:r>
          </w:p>
          <w:p w14:paraId="41109AA8">
            <w:pPr>
              <w:spacing w:line="360" w:lineRule="auto"/>
              <w:ind w:firstLine="420" w:firstLineChars="200"/>
              <w:rPr>
                <w:rFonts w:hint="eastAsia"/>
                <w:b w:val="0"/>
                <w:bCs w:val="0"/>
                <w:color w:val="auto"/>
                <w:szCs w:val="21"/>
                <w:lang w:val="en-US" w:eastAsia="zh-CN"/>
              </w:rPr>
            </w:pPr>
            <w:r>
              <w:rPr>
                <w:rFonts w:hint="eastAsia"/>
                <w:b w:val="0"/>
                <w:bCs w:val="0"/>
                <w:color w:val="auto"/>
                <w:szCs w:val="21"/>
                <w:lang w:val="en-US" w:eastAsia="zh-CN"/>
              </w:rPr>
              <w:t>⑤外加剂：</w:t>
            </w:r>
          </w:p>
          <w:p w14:paraId="4AD68A15">
            <w:pPr>
              <w:pStyle w:val="77"/>
              <w:snapToGrid/>
              <w:spacing w:line="240" w:lineRule="exact"/>
              <w:ind w:firstLine="361"/>
              <w:jc w:val="center"/>
              <w:rPr>
                <w:rFonts w:ascii="Times New Roman" w:hAnsi="Times New Roman"/>
                <w:color w:val="auto"/>
                <w:sz w:val="18"/>
                <w:szCs w:val="18"/>
              </w:rPr>
            </w:pPr>
            <w:r>
              <w:rPr>
                <w:rFonts w:ascii="Times New Roman" w:hAnsi="Times New Roman"/>
                <w:color w:val="auto"/>
                <w:sz w:val="18"/>
                <w:szCs w:val="18"/>
              </w:rPr>
              <w:t>表</w:t>
            </w:r>
            <w:r>
              <w:rPr>
                <w:rFonts w:hint="eastAsia" w:ascii="Times New Roman" w:hAnsi="Times New Roman"/>
                <w:color w:val="auto"/>
                <w:sz w:val="18"/>
                <w:szCs w:val="18"/>
                <w:lang w:val="en-US" w:eastAsia="zh-CN"/>
              </w:rPr>
              <w:t>2.4-2</w:t>
            </w:r>
            <w:r>
              <w:rPr>
                <w:rFonts w:ascii="Times New Roman" w:hAnsi="Times New Roman"/>
                <w:color w:val="auto"/>
                <w:sz w:val="18"/>
                <w:szCs w:val="18"/>
              </w:rPr>
              <w:t xml:space="preserve">    外加剂主要成分表</w:t>
            </w:r>
          </w:p>
          <w:tbl>
            <w:tblPr>
              <w:tblStyle w:val="47"/>
              <w:tblW w:w="5000"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4946"/>
              <w:gridCol w:w="3072"/>
            </w:tblGrid>
            <w:tr w14:paraId="585BA72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71" w:hRule="atLeast"/>
                <w:jc w:val="center"/>
              </w:trPr>
              <w:tc>
                <w:tcPr>
                  <w:tcW w:w="3084" w:type="pct"/>
                  <w:shd w:val="clear" w:color="auto" w:fill="auto"/>
                  <w:noWrap w:val="0"/>
                  <w:vAlign w:val="center"/>
                </w:tcPr>
                <w:p w14:paraId="3002F75C">
                  <w:pPr>
                    <w:jc w:val="center"/>
                    <w:rPr>
                      <w:rFonts w:hint="eastAsia"/>
                      <w:color w:val="auto"/>
                      <w:sz w:val="18"/>
                      <w:szCs w:val="18"/>
                      <w:lang w:val="en-US" w:eastAsia="zh-CN"/>
                    </w:rPr>
                  </w:pPr>
                  <w:r>
                    <w:rPr>
                      <w:rFonts w:hint="eastAsia"/>
                      <w:color w:val="auto"/>
                      <w:sz w:val="18"/>
                      <w:szCs w:val="18"/>
                      <w:lang w:val="en-US" w:eastAsia="zh-CN"/>
                    </w:rPr>
                    <w:t>外 观</w:t>
                  </w:r>
                </w:p>
              </w:tc>
              <w:tc>
                <w:tcPr>
                  <w:tcW w:w="1916" w:type="pct"/>
                  <w:shd w:val="clear" w:color="auto" w:fill="auto"/>
                  <w:noWrap w:val="0"/>
                  <w:vAlign w:val="center"/>
                </w:tcPr>
                <w:p w14:paraId="50B52A02">
                  <w:pPr>
                    <w:jc w:val="center"/>
                    <w:rPr>
                      <w:rFonts w:hint="eastAsia"/>
                      <w:color w:val="auto"/>
                      <w:sz w:val="18"/>
                      <w:szCs w:val="18"/>
                      <w:lang w:val="en-US" w:eastAsia="zh-CN"/>
                    </w:rPr>
                  </w:pPr>
                  <w:r>
                    <w:rPr>
                      <w:rFonts w:hint="eastAsia"/>
                      <w:color w:val="auto"/>
                      <w:sz w:val="18"/>
                      <w:szCs w:val="18"/>
                      <w:lang w:val="en-US" w:eastAsia="zh-CN"/>
                    </w:rPr>
                    <w:t>浅棕至深棕色微黏液体</w:t>
                  </w:r>
                </w:p>
              </w:tc>
            </w:tr>
            <w:tr w14:paraId="0B65502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3084" w:type="pct"/>
                  <w:shd w:val="clear" w:color="auto" w:fill="auto"/>
                  <w:noWrap w:val="0"/>
                  <w:vAlign w:val="center"/>
                </w:tcPr>
                <w:p w14:paraId="1AEC7482">
                  <w:pPr>
                    <w:jc w:val="center"/>
                    <w:rPr>
                      <w:rFonts w:hint="eastAsia"/>
                      <w:color w:val="auto"/>
                      <w:sz w:val="18"/>
                      <w:szCs w:val="18"/>
                      <w:lang w:val="en-US" w:eastAsia="zh-CN"/>
                    </w:rPr>
                  </w:pPr>
                  <w:r>
                    <w:rPr>
                      <w:rFonts w:hint="eastAsia"/>
                      <w:color w:val="auto"/>
                      <w:sz w:val="18"/>
                      <w:szCs w:val="18"/>
                      <w:lang w:val="en-US" w:eastAsia="zh-CN"/>
                    </w:rPr>
                    <w:t>减水率</w:t>
                  </w:r>
                </w:p>
              </w:tc>
              <w:tc>
                <w:tcPr>
                  <w:tcW w:w="1916" w:type="pct"/>
                  <w:shd w:val="clear" w:color="auto" w:fill="auto"/>
                  <w:noWrap w:val="0"/>
                  <w:vAlign w:val="center"/>
                </w:tcPr>
                <w:p w14:paraId="10731801">
                  <w:pPr>
                    <w:jc w:val="center"/>
                    <w:rPr>
                      <w:rFonts w:hint="eastAsia"/>
                      <w:color w:val="auto"/>
                      <w:sz w:val="18"/>
                      <w:szCs w:val="18"/>
                      <w:lang w:val="en-US" w:eastAsia="zh-CN"/>
                    </w:rPr>
                  </w:pPr>
                  <w:r>
                    <w:rPr>
                      <w:rFonts w:hint="eastAsia"/>
                      <w:color w:val="auto"/>
                      <w:sz w:val="18"/>
                      <w:szCs w:val="18"/>
                      <w:lang w:val="en-US" w:eastAsia="zh-CN"/>
                    </w:rPr>
                    <w:t>≥25%</w:t>
                  </w:r>
                </w:p>
              </w:tc>
            </w:tr>
            <w:tr w14:paraId="25FC15E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3084" w:type="pct"/>
                  <w:shd w:val="clear" w:color="auto" w:fill="auto"/>
                  <w:noWrap w:val="0"/>
                  <w:vAlign w:val="center"/>
                </w:tcPr>
                <w:p w14:paraId="16880326">
                  <w:pPr>
                    <w:jc w:val="center"/>
                    <w:rPr>
                      <w:rFonts w:hint="eastAsia"/>
                      <w:color w:val="auto"/>
                      <w:sz w:val="18"/>
                      <w:szCs w:val="18"/>
                      <w:lang w:val="en-US" w:eastAsia="zh-CN"/>
                    </w:rPr>
                  </w:pPr>
                  <w:r>
                    <w:rPr>
                      <w:rFonts w:hint="eastAsia"/>
                      <w:color w:val="auto"/>
                      <w:sz w:val="18"/>
                      <w:szCs w:val="18"/>
                      <w:lang w:val="en-US" w:eastAsia="zh-CN"/>
                    </w:rPr>
                    <w:t>密度（g/ml）</w:t>
                  </w:r>
                </w:p>
              </w:tc>
              <w:tc>
                <w:tcPr>
                  <w:tcW w:w="1916" w:type="pct"/>
                  <w:shd w:val="clear" w:color="auto" w:fill="auto"/>
                  <w:noWrap w:val="0"/>
                  <w:vAlign w:val="center"/>
                </w:tcPr>
                <w:p w14:paraId="499D124C">
                  <w:pPr>
                    <w:jc w:val="center"/>
                    <w:rPr>
                      <w:rFonts w:hint="eastAsia"/>
                      <w:color w:val="auto"/>
                      <w:sz w:val="18"/>
                      <w:szCs w:val="18"/>
                      <w:lang w:val="en-US" w:eastAsia="zh-CN"/>
                    </w:rPr>
                  </w:pPr>
                  <w:r>
                    <w:rPr>
                      <w:rFonts w:hint="eastAsia"/>
                      <w:color w:val="auto"/>
                      <w:sz w:val="18"/>
                      <w:szCs w:val="18"/>
                      <w:lang w:val="en-US" w:eastAsia="zh-CN"/>
                    </w:rPr>
                    <w:t>1.09±0.02</w:t>
                  </w:r>
                </w:p>
              </w:tc>
            </w:tr>
            <w:tr w14:paraId="12C8137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3084" w:type="pct"/>
                  <w:shd w:val="clear" w:color="auto" w:fill="auto"/>
                  <w:noWrap w:val="0"/>
                  <w:vAlign w:val="center"/>
                </w:tcPr>
                <w:p w14:paraId="26A24065">
                  <w:pPr>
                    <w:jc w:val="center"/>
                    <w:rPr>
                      <w:rFonts w:hint="eastAsia"/>
                      <w:color w:val="auto"/>
                      <w:sz w:val="18"/>
                      <w:szCs w:val="18"/>
                      <w:lang w:val="en-US" w:eastAsia="zh-CN"/>
                    </w:rPr>
                  </w:pPr>
                  <w:r>
                    <w:rPr>
                      <w:rFonts w:hint="eastAsia"/>
                      <w:color w:val="auto"/>
                      <w:sz w:val="18"/>
                      <w:szCs w:val="18"/>
                      <w:lang w:val="en-US" w:eastAsia="zh-CN"/>
                    </w:rPr>
                    <w:t>固含量（%）</w:t>
                  </w:r>
                </w:p>
              </w:tc>
              <w:tc>
                <w:tcPr>
                  <w:tcW w:w="1916" w:type="pct"/>
                  <w:shd w:val="clear" w:color="auto" w:fill="auto"/>
                  <w:noWrap w:val="0"/>
                  <w:vAlign w:val="center"/>
                </w:tcPr>
                <w:p w14:paraId="26F1E172">
                  <w:pPr>
                    <w:jc w:val="center"/>
                    <w:rPr>
                      <w:rFonts w:hint="eastAsia"/>
                      <w:color w:val="auto"/>
                      <w:sz w:val="18"/>
                      <w:szCs w:val="18"/>
                      <w:lang w:val="en-US" w:eastAsia="zh-CN"/>
                    </w:rPr>
                  </w:pPr>
                  <w:r>
                    <w:rPr>
                      <w:rFonts w:hint="eastAsia"/>
                      <w:color w:val="auto"/>
                      <w:sz w:val="18"/>
                      <w:szCs w:val="18"/>
                      <w:lang w:val="en-US" w:eastAsia="zh-CN"/>
                    </w:rPr>
                    <w:t>22±2或者40±2</w:t>
                  </w:r>
                </w:p>
              </w:tc>
            </w:tr>
            <w:tr w14:paraId="24B8AAE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71" w:hRule="atLeast"/>
                <w:jc w:val="center"/>
              </w:trPr>
              <w:tc>
                <w:tcPr>
                  <w:tcW w:w="3084" w:type="pct"/>
                  <w:shd w:val="clear" w:color="auto" w:fill="auto"/>
                  <w:noWrap w:val="0"/>
                  <w:vAlign w:val="center"/>
                </w:tcPr>
                <w:p w14:paraId="58A79F39">
                  <w:pPr>
                    <w:jc w:val="center"/>
                    <w:rPr>
                      <w:rFonts w:hint="eastAsia"/>
                      <w:color w:val="auto"/>
                      <w:sz w:val="18"/>
                      <w:szCs w:val="18"/>
                      <w:lang w:val="en-US" w:eastAsia="zh-CN"/>
                    </w:rPr>
                  </w:pPr>
                  <w:r>
                    <w:rPr>
                      <w:rFonts w:hint="eastAsia"/>
                      <w:color w:val="auto"/>
                      <w:sz w:val="18"/>
                      <w:szCs w:val="18"/>
                      <w:lang w:val="en-US" w:eastAsia="zh-CN"/>
                    </w:rPr>
                    <w:fldChar w:fldCharType="begin"/>
                  </w:r>
                  <w:r>
                    <w:rPr>
                      <w:rFonts w:hint="eastAsia"/>
                      <w:color w:val="auto"/>
                      <w:sz w:val="18"/>
                      <w:szCs w:val="18"/>
                      <w:lang w:val="en-US" w:eastAsia="zh-CN"/>
                    </w:rPr>
                    <w:instrText xml:space="preserve">HYPERLINK "http://baike.baidu.com/view/4796057.htm" \t "_blank"</w:instrText>
                  </w:r>
                  <w:r>
                    <w:rPr>
                      <w:rFonts w:hint="eastAsia"/>
                      <w:color w:val="auto"/>
                      <w:sz w:val="18"/>
                      <w:szCs w:val="18"/>
                      <w:lang w:val="en-US" w:eastAsia="zh-CN"/>
                    </w:rPr>
                    <w:fldChar w:fldCharType="separate"/>
                  </w:r>
                  <w:r>
                    <w:rPr>
                      <w:rFonts w:hint="eastAsia"/>
                      <w:color w:val="auto"/>
                      <w:sz w:val="18"/>
                      <w:szCs w:val="18"/>
                      <w:lang w:val="en-US" w:eastAsia="zh-CN"/>
                    </w:rPr>
                    <w:t>水泥净浆</w:t>
                  </w:r>
                  <w:r>
                    <w:rPr>
                      <w:rFonts w:hint="eastAsia"/>
                      <w:color w:val="auto"/>
                      <w:sz w:val="18"/>
                      <w:szCs w:val="18"/>
                      <w:lang w:val="en-US" w:eastAsia="zh-CN"/>
                    </w:rPr>
                    <w:fldChar w:fldCharType="end"/>
                  </w:r>
                  <w:r>
                    <w:rPr>
                      <w:rFonts w:hint="eastAsia"/>
                      <w:color w:val="auto"/>
                      <w:sz w:val="18"/>
                      <w:szCs w:val="18"/>
                      <w:lang w:val="en-US" w:eastAsia="zh-CN"/>
                    </w:rPr>
                    <w:t>流动度（</w:t>
                  </w:r>
                  <w:r>
                    <w:rPr>
                      <w:rFonts w:hint="eastAsia"/>
                      <w:color w:val="auto"/>
                      <w:sz w:val="18"/>
                      <w:szCs w:val="18"/>
                      <w:lang w:val="en-US" w:eastAsia="zh-CN"/>
                    </w:rPr>
                    <w:fldChar w:fldCharType="begin"/>
                  </w:r>
                  <w:r>
                    <w:rPr>
                      <w:rFonts w:hint="eastAsia"/>
                      <w:color w:val="auto"/>
                      <w:sz w:val="18"/>
                      <w:szCs w:val="18"/>
                      <w:lang w:val="en-US" w:eastAsia="zh-CN"/>
                    </w:rPr>
                    <w:instrText xml:space="preserve">HYPERLINK "http://baike.baidu.com/view/2393250.htm" \t "_blank"</w:instrText>
                  </w:r>
                  <w:r>
                    <w:rPr>
                      <w:rFonts w:hint="eastAsia"/>
                      <w:color w:val="auto"/>
                      <w:sz w:val="18"/>
                      <w:szCs w:val="18"/>
                      <w:lang w:val="en-US" w:eastAsia="zh-CN"/>
                    </w:rPr>
                    <w:fldChar w:fldCharType="separate"/>
                  </w:r>
                  <w:r>
                    <w:rPr>
                      <w:rFonts w:hint="eastAsia"/>
                      <w:color w:val="auto"/>
                      <w:sz w:val="18"/>
                      <w:szCs w:val="18"/>
                      <w:lang w:val="en-US" w:eastAsia="zh-CN"/>
                    </w:rPr>
                    <w:t>基准水泥</w:t>
                  </w:r>
                  <w:r>
                    <w:rPr>
                      <w:rFonts w:hint="eastAsia"/>
                      <w:color w:val="auto"/>
                      <w:sz w:val="18"/>
                      <w:szCs w:val="18"/>
                      <w:lang w:val="en-US" w:eastAsia="zh-CN"/>
                    </w:rPr>
                    <w:fldChar w:fldCharType="end"/>
                  </w:r>
                  <w:r>
                    <w:rPr>
                      <w:rFonts w:hint="eastAsia"/>
                      <w:color w:val="auto"/>
                      <w:sz w:val="18"/>
                      <w:szCs w:val="18"/>
                      <w:lang w:val="en-US" w:eastAsia="zh-CN"/>
                    </w:rPr>
                    <w:t>）（mm）</w:t>
                  </w:r>
                </w:p>
              </w:tc>
              <w:tc>
                <w:tcPr>
                  <w:tcW w:w="1916" w:type="pct"/>
                  <w:shd w:val="clear" w:color="auto" w:fill="auto"/>
                  <w:noWrap w:val="0"/>
                  <w:vAlign w:val="center"/>
                </w:tcPr>
                <w:p w14:paraId="5AFD5C46">
                  <w:pPr>
                    <w:jc w:val="center"/>
                    <w:rPr>
                      <w:rFonts w:hint="eastAsia"/>
                      <w:color w:val="auto"/>
                      <w:sz w:val="18"/>
                      <w:szCs w:val="18"/>
                      <w:lang w:val="en-US" w:eastAsia="zh-CN"/>
                    </w:rPr>
                  </w:pPr>
                  <w:r>
                    <w:rPr>
                      <w:rFonts w:hint="eastAsia"/>
                      <w:color w:val="auto"/>
                      <w:sz w:val="18"/>
                      <w:szCs w:val="18"/>
                      <w:lang w:val="en-US" w:eastAsia="zh-CN"/>
                    </w:rPr>
                    <w:t>≥250（W/C=0.</w:t>
                  </w:r>
                  <w:r>
                    <w:rPr>
                      <w:rFonts w:hint="eastAsia"/>
                      <w:color w:val="auto"/>
                      <w:sz w:val="18"/>
                      <w:szCs w:val="18"/>
                      <w:lang w:val="en-US" w:eastAsia="zh-CN"/>
                    </w:rPr>
                    <w:cr/>
                  </w:r>
                  <w:r>
                    <w:rPr>
                      <w:rFonts w:hint="eastAsia"/>
                      <w:color w:val="auto"/>
                      <w:sz w:val="18"/>
                      <w:szCs w:val="18"/>
                      <w:lang w:val="en-US" w:eastAsia="zh-CN"/>
                    </w:rPr>
                    <w:t>9）</w:t>
                  </w:r>
                </w:p>
              </w:tc>
            </w:tr>
            <w:tr w14:paraId="0837A78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3084" w:type="pct"/>
                  <w:shd w:val="clear" w:color="auto" w:fill="auto"/>
                  <w:noWrap w:val="0"/>
                  <w:vAlign w:val="center"/>
                </w:tcPr>
                <w:p w14:paraId="78787DFE">
                  <w:pPr>
                    <w:jc w:val="center"/>
                    <w:rPr>
                      <w:rFonts w:hint="eastAsia"/>
                      <w:color w:val="auto"/>
                      <w:sz w:val="18"/>
                      <w:szCs w:val="18"/>
                      <w:lang w:val="en-US" w:eastAsia="zh-CN"/>
                    </w:rPr>
                  </w:pPr>
                  <w:r>
                    <w:rPr>
                      <w:rFonts w:hint="eastAsia"/>
                      <w:color w:val="auto"/>
                      <w:sz w:val="18"/>
                      <w:szCs w:val="18"/>
                      <w:lang w:val="en-US" w:eastAsia="zh-CN"/>
                    </w:rPr>
                    <w:t>pH</w:t>
                  </w:r>
                </w:p>
              </w:tc>
              <w:tc>
                <w:tcPr>
                  <w:tcW w:w="1916" w:type="pct"/>
                  <w:shd w:val="clear" w:color="auto" w:fill="auto"/>
                  <w:noWrap w:val="0"/>
                  <w:vAlign w:val="center"/>
                </w:tcPr>
                <w:p w14:paraId="5E6CD77B">
                  <w:pPr>
                    <w:jc w:val="center"/>
                    <w:rPr>
                      <w:rFonts w:hint="eastAsia"/>
                      <w:color w:val="auto"/>
                      <w:sz w:val="18"/>
                      <w:szCs w:val="18"/>
                      <w:lang w:val="en-US" w:eastAsia="zh-CN"/>
                    </w:rPr>
                  </w:pPr>
                  <w:r>
                    <w:rPr>
                      <w:rFonts w:hint="eastAsia"/>
                      <w:color w:val="auto"/>
                      <w:sz w:val="18"/>
                      <w:szCs w:val="18"/>
                      <w:lang w:val="en-US" w:eastAsia="zh-CN"/>
                    </w:rPr>
                    <w:t>6～8</w:t>
                  </w:r>
                </w:p>
              </w:tc>
            </w:tr>
            <w:tr w14:paraId="19C0197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3084" w:type="pct"/>
                  <w:shd w:val="clear" w:color="auto" w:fill="auto"/>
                  <w:noWrap w:val="0"/>
                  <w:vAlign w:val="center"/>
                </w:tcPr>
                <w:p w14:paraId="4AF2712D">
                  <w:pPr>
                    <w:jc w:val="center"/>
                    <w:rPr>
                      <w:rFonts w:hint="eastAsia"/>
                      <w:color w:val="auto"/>
                      <w:sz w:val="18"/>
                      <w:szCs w:val="18"/>
                      <w:lang w:val="en-US" w:eastAsia="zh-CN"/>
                    </w:rPr>
                  </w:pPr>
                  <w:r>
                    <w:rPr>
                      <w:rFonts w:hint="eastAsia"/>
                      <w:color w:val="auto"/>
                      <w:sz w:val="18"/>
                      <w:szCs w:val="18"/>
                      <w:lang w:val="en-US" w:eastAsia="zh-CN"/>
                    </w:rPr>
                    <w:t>氯离子含量（%）</w:t>
                  </w:r>
                </w:p>
              </w:tc>
              <w:tc>
                <w:tcPr>
                  <w:tcW w:w="1916" w:type="pct"/>
                  <w:shd w:val="clear" w:color="auto" w:fill="auto"/>
                  <w:noWrap w:val="0"/>
                  <w:vAlign w:val="center"/>
                </w:tcPr>
                <w:p w14:paraId="02B5B1DD">
                  <w:pPr>
                    <w:jc w:val="center"/>
                    <w:rPr>
                      <w:rFonts w:hint="eastAsia"/>
                      <w:color w:val="auto"/>
                      <w:sz w:val="18"/>
                      <w:szCs w:val="18"/>
                      <w:lang w:val="en-US" w:eastAsia="zh-CN"/>
                    </w:rPr>
                  </w:pPr>
                  <w:r>
                    <w:rPr>
                      <w:rFonts w:hint="eastAsia"/>
                      <w:color w:val="auto"/>
                      <w:sz w:val="18"/>
                      <w:szCs w:val="18"/>
                      <w:lang w:val="en-US" w:eastAsia="zh-CN"/>
                    </w:rPr>
                    <w:t>≤0.02</w:t>
                  </w:r>
                </w:p>
              </w:tc>
            </w:tr>
            <w:tr w14:paraId="7E6D339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4" w:hRule="atLeast"/>
                <w:jc w:val="center"/>
              </w:trPr>
              <w:tc>
                <w:tcPr>
                  <w:tcW w:w="3084" w:type="pct"/>
                  <w:shd w:val="clear" w:color="auto" w:fill="auto"/>
                  <w:noWrap w:val="0"/>
                  <w:vAlign w:val="center"/>
                </w:tcPr>
                <w:p w14:paraId="59DBFCF6">
                  <w:pPr>
                    <w:jc w:val="center"/>
                    <w:rPr>
                      <w:rFonts w:hint="eastAsia"/>
                      <w:color w:val="auto"/>
                      <w:sz w:val="18"/>
                      <w:szCs w:val="18"/>
                      <w:lang w:val="en-US" w:eastAsia="zh-CN"/>
                    </w:rPr>
                  </w:pPr>
                  <w:r>
                    <w:rPr>
                      <w:rFonts w:hint="eastAsia"/>
                      <w:color w:val="auto"/>
                      <w:sz w:val="18"/>
                      <w:szCs w:val="18"/>
                      <w:lang w:val="en-US" w:eastAsia="zh-CN"/>
                    </w:rPr>
                    <w:fldChar w:fldCharType="begin"/>
                  </w:r>
                  <w:r>
                    <w:rPr>
                      <w:rFonts w:hint="eastAsia"/>
                      <w:color w:val="auto"/>
                      <w:sz w:val="18"/>
                      <w:szCs w:val="18"/>
                      <w:lang w:val="en-US" w:eastAsia="zh-CN"/>
                    </w:rPr>
                    <w:instrText xml:space="preserve">HYPERLINK "http://baike.baidu.com/view/1037334.htm" \t "_blank"</w:instrText>
                  </w:r>
                  <w:r>
                    <w:rPr>
                      <w:rFonts w:hint="eastAsia"/>
                      <w:color w:val="auto"/>
                      <w:sz w:val="18"/>
                      <w:szCs w:val="18"/>
                      <w:lang w:val="en-US" w:eastAsia="zh-CN"/>
                    </w:rPr>
                    <w:fldChar w:fldCharType="separate"/>
                  </w:r>
                  <w:r>
                    <w:rPr>
                      <w:rFonts w:hint="eastAsia"/>
                      <w:color w:val="auto"/>
                      <w:sz w:val="18"/>
                      <w:szCs w:val="18"/>
                      <w:lang w:val="en-US" w:eastAsia="zh-CN"/>
                    </w:rPr>
                    <w:t>碱含量</w:t>
                  </w:r>
                  <w:r>
                    <w:rPr>
                      <w:rFonts w:hint="eastAsia"/>
                      <w:color w:val="auto"/>
                      <w:sz w:val="18"/>
                      <w:szCs w:val="18"/>
                      <w:lang w:val="en-US" w:eastAsia="zh-CN"/>
                    </w:rPr>
                    <w:fldChar w:fldCharType="end"/>
                  </w:r>
                  <w:r>
                    <w:rPr>
                      <w:rFonts w:hint="eastAsia"/>
                      <w:color w:val="auto"/>
                      <w:sz w:val="18"/>
                      <w:szCs w:val="18"/>
                      <w:lang w:val="en-US" w:eastAsia="zh-CN"/>
                    </w:rPr>
                    <w:t>（Na</w:t>
                  </w:r>
                  <w:r>
                    <w:rPr>
                      <w:rFonts w:hint="eastAsia"/>
                      <w:color w:val="auto"/>
                      <w:sz w:val="18"/>
                      <w:szCs w:val="18"/>
                      <w:vertAlign w:val="subscript"/>
                      <w:lang w:val="en-US" w:eastAsia="zh-CN"/>
                    </w:rPr>
                    <w:t>2</w:t>
                  </w:r>
                  <w:r>
                    <w:rPr>
                      <w:rFonts w:hint="eastAsia"/>
                      <w:color w:val="auto"/>
                      <w:sz w:val="18"/>
                      <w:szCs w:val="18"/>
                      <w:lang w:val="en-US" w:eastAsia="zh-CN"/>
                    </w:rPr>
                    <w:t>O+0.658K</w:t>
                  </w:r>
                  <w:r>
                    <w:rPr>
                      <w:rFonts w:hint="eastAsia"/>
                      <w:color w:val="auto"/>
                      <w:sz w:val="18"/>
                      <w:szCs w:val="18"/>
                      <w:vertAlign w:val="subscript"/>
                      <w:lang w:val="en-US" w:eastAsia="zh-CN"/>
                    </w:rPr>
                    <w:t>2</w:t>
                  </w:r>
                  <w:r>
                    <w:rPr>
                      <w:rFonts w:hint="eastAsia"/>
                      <w:color w:val="auto"/>
                      <w:sz w:val="18"/>
                      <w:szCs w:val="18"/>
                      <w:lang w:val="en-US" w:eastAsia="zh-CN"/>
                    </w:rPr>
                    <w:t>O）（%）</w:t>
                  </w:r>
                </w:p>
              </w:tc>
              <w:tc>
                <w:tcPr>
                  <w:tcW w:w="1916" w:type="pct"/>
                  <w:shd w:val="clear" w:color="auto" w:fill="auto"/>
                  <w:noWrap w:val="0"/>
                  <w:vAlign w:val="center"/>
                </w:tcPr>
                <w:p w14:paraId="27E69135">
                  <w:pPr>
                    <w:jc w:val="center"/>
                    <w:rPr>
                      <w:rFonts w:hint="eastAsia"/>
                      <w:color w:val="auto"/>
                      <w:sz w:val="18"/>
                      <w:szCs w:val="18"/>
                      <w:lang w:val="en-US" w:eastAsia="zh-CN"/>
                    </w:rPr>
                  </w:pPr>
                  <w:r>
                    <w:rPr>
                      <w:rFonts w:hint="eastAsia"/>
                      <w:color w:val="auto"/>
                      <w:sz w:val="18"/>
                      <w:szCs w:val="18"/>
                      <w:lang w:val="en-US" w:eastAsia="zh-CN"/>
                    </w:rPr>
                    <w:t>≤0.2</w:t>
                  </w:r>
                </w:p>
              </w:tc>
            </w:tr>
          </w:tbl>
          <w:p w14:paraId="63577427">
            <w:pPr>
              <w:spacing w:line="360" w:lineRule="auto"/>
              <w:ind w:firstLine="422" w:firstLineChars="200"/>
              <w:rPr>
                <w:b/>
                <w:color w:val="auto"/>
                <w:szCs w:val="21"/>
              </w:rPr>
            </w:pPr>
            <w:r>
              <w:rPr>
                <w:rFonts w:hint="eastAsia"/>
                <w:b/>
                <w:bCs/>
                <w:color w:val="auto"/>
                <w:szCs w:val="21"/>
                <w:lang w:val="en-US" w:eastAsia="zh-CN"/>
              </w:rPr>
              <w:t>2.5</w:t>
            </w:r>
            <w:r>
              <w:rPr>
                <w:b/>
                <w:color w:val="auto"/>
                <w:szCs w:val="21"/>
              </w:rPr>
              <w:t>劳动定员及工作制度</w:t>
            </w:r>
          </w:p>
          <w:p w14:paraId="658E229E">
            <w:pPr>
              <w:spacing w:line="360" w:lineRule="auto"/>
              <w:ind w:firstLine="420" w:firstLineChars="200"/>
              <w:jc w:val="left"/>
              <w:rPr>
                <w:rFonts w:hint="eastAsia"/>
                <w:bCs/>
                <w:color w:val="auto"/>
                <w:szCs w:val="21"/>
                <w:lang w:val="en-US" w:eastAsia="zh-CN"/>
              </w:rPr>
            </w:pPr>
            <w:r>
              <w:rPr>
                <w:rFonts w:hint="eastAsia"/>
                <w:bCs/>
                <w:color w:val="auto"/>
                <w:szCs w:val="21"/>
                <w:lang w:val="en-US" w:eastAsia="zh-CN"/>
              </w:rPr>
              <w:t>本项目劳动定员共计20人，8h/d工作制，年工作日为150天。各生产线工作时间为1200h/a。冬季不生产，冬季留守人员1人。</w:t>
            </w:r>
          </w:p>
          <w:p w14:paraId="6331CC77">
            <w:pPr>
              <w:snapToGrid w:val="0"/>
              <w:spacing w:line="360" w:lineRule="auto"/>
              <w:ind w:firstLine="422" w:firstLineChars="200"/>
              <w:rPr>
                <w:b/>
                <w:bCs/>
                <w:color w:val="auto"/>
                <w:szCs w:val="21"/>
              </w:rPr>
            </w:pPr>
            <w:r>
              <w:rPr>
                <w:rFonts w:hint="eastAsia"/>
                <w:b/>
                <w:bCs/>
                <w:color w:val="auto"/>
                <w:szCs w:val="21"/>
                <w:lang w:val="en-US" w:eastAsia="zh-CN"/>
              </w:rPr>
              <w:t>2.6</w:t>
            </w:r>
            <w:r>
              <w:rPr>
                <w:b/>
                <w:bCs/>
                <w:color w:val="auto"/>
                <w:szCs w:val="21"/>
              </w:rPr>
              <w:t>平面布置</w:t>
            </w:r>
          </w:p>
          <w:p w14:paraId="2B236893">
            <w:pPr>
              <w:spacing w:line="360" w:lineRule="auto"/>
              <w:ind w:firstLine="420" w:firstLineChars="200"/>
              <w:jc w:val="left"/>
              <w:rPr>
                <w:rFonts w:hint="default" w:eastAsia="宋体"/>
                <w:b/>
                <w:color w:val="auto"/>
                <w:spacing w:val="-11"/>
                <w:sz w:val="21"/>
                <w:szCs w:val="21"/>
                <w:lang w:val="en-US" w:eastAsia="zh-CN"/>
              </w:rPr>
            </w:pPr>
            <w:r>
              <w:rPr>
                <w:rFonts w:hint="eastAsia"/>
                <w:bCs/>
                <w:color w:val="auto"/>
                <w:szCs w:val="21"/>
                <w:lang w:val="en-US" w:eastAsia="zh-CN"/>
              </w:rPr>
              <w:t>本项目</w:t>
            </w:r>
            <w:r>
              <w:rPr>
                <w:bCs/>
                <w:color w:val="auto"/>
                <w:szCs w:val="21"/>
              </w:rPr>
              <w:t>厂区</w:t>
            </w:r>
            <w:r>
              <w:rPr>
                <w:rFonts w:hint="eastAsia"/>
                <w:bCs/>
                <w:color w:val="auto"/>
                <w:szCs w:val="21"/>
                <w:lang w:val="en-US" w:eastAsia="zh-CN"/>
              </w:rPr>
              <w:t>总</w:t>
            </w:r>
            <w:r>
              <w:rPr>
                <w:bCs/>
                <w:color w:val="auto"/>
                <w:szCs w:val="21"/>
              </w:rPr>
              <w:t>平面布置</w:t>
            </w:r>
            <w:r>
              <w:rPr>
                <w:rFonts w:hint="eastAsia"/>
                <w:bCs/>
                <w:color w:val="auto"/>
                <w:szCs w:val="21"/>
                <w:lang w:val="en-US" w:eastAsia="zh-CN"/>
              </w:rPr>
              <w:t>情况</w:t>
            </w:r>
            <w:r>
              <w:rPr>
                <w:bCs/>
                <w:color w:val="auto"/>
                <w:szCs w:val="21"/>
              </w:rPr>
              <w:t>详见附图2。</w:t>
            </w:r>
          </w:p>
          <w:p w14:paraId="4116AEBD">
            <w:pPr>
              <w:spacing w:line="360" w:lineRule="auto"/>
              <w:ind w:firstLine="422" w:firstLineChars="200"/>
              <w:jc w:val="left"/>
              <w:rPr>
                <w:rFonts w:hint="default" w:eastAsia="宋体"/>
                <w:b/>
                <w:color w:val="auto"/>
                <w:szCs w:val="21"/>
                <w:lang w:val="en-US" w:eastAsia="zh-CN"/>
              </w:rPr>
            </w:pPr>
            <w:r>
              <w:rPr>
                <w:rFonts w:hint="eastAsia"/>
                <w:b/>
                <w:color w:val="auto"/>
                <w:szCs w:val="21"/>
                <w:lang w:val="en-US" w:eastAsia="zh-CN"/>
              </w:rPr>
              <w:t>2.7公辅工程</w:t>
            </w:r>
          </w:p>
          <w:p w14:paraId="09741F96">
            <w:pPr>
              <w:spacing w:line="360" w:lineRule="auto"/>
              <w:ind w:firstLine="420" w:firstLineChars="200"/>
              <w:jc w:val="left"/>
              <w:rPr>
                <w:rFonts w:hint="default" w:eastAsia="宋体"/>
                <w:color w:val="auto"/>
                <w:szCs w:val="21"/>
                <w:lang w:val="en-US" w:eastAsia="zh-CN"/>
              </w:rPr>
            </w:pPr>
            <w:r>
              <w:rPr>
                <w:rFonts w:hint="eastAsia"/>
                <w:color w:val="auto"/>
                <w:szCs w:val="21"/>
                <w:lang w:val="en-US" w:eastAsia="zh-CN"/>
              </w:rPr>
              <w:t>2.7.1给排水：</w:t>
            </w:r>
            <w:r>
              <w:rPr>
                <w:color w:val="auto"/>
                <w:szCs w:val="21"/>
              </w:rPr>
              <w:t>本项目水源由</w:t>
            </w:r>
            <w:r>
              <w:rPr>
                <w:rFonts w:hint="eastAsia"/>
                <w:color w:val="auto"/>
                <w:szCs w:val="21"/>
                <w:lang w:val="en-US" w:eastAsia="zh-CN"/>
              </w:rPr>
              <w:t>自来水</w:t>
            </w:r>
            <w:r>
              <w:rPr>
                <w:color w:val="auto"/>
                <w:szCs w:val="21"/>
              </w:rPr>
              <w:t>供水管道提供</w:t>
            </w:r>
            <w:r>
              <w:rPr>
                <w:rFonts w:hint="eastAsia"/>
                <w:color w:val="auto"/>
                <w:szCs w:val="21"/>
              </w:rPr>
              <w:t>。</w:t>
            </w:r>
            <w:r>
              <w:rPr>
                <w:rFonts w:hint="eastAsia"/>
                <w:color w:val="auto"/>
                <w:szCs w:val="21"/>
                <w:lang w:val="en-US" w:eastAsia="zh-CN"/>
              </w:rPr>
              <w:t>项目运营期用水环节主要包括</w:t>
            </w:r>
            <w:r>
              <w:rPr>
                <w:rFonts w:hint="eastAsia"/>
                <w:color w:val="auto"/>
                <w:szCs w:val="21"/>
                <w:lang w:eastAsia="zh-CN"/>
              </w:rPr>
              <w:t>：</w:t>
            </w:r>
            <w:r>
              <w:rPr>
                <w:rFonts w:hint="eastAsia"/>
                <w:color w:val="auto"/>
                <w:szCs w:val="21"/>
                <w:lang w:val="en-US" w:eastAsia="zh-CN"/>
              </w:rPr>
              <w:t>生产用水、生活用水以及其他用水等。</w:t>
            </w:r>
          </w:p>
          <w:p w14:paraId="6D05D0D6">
            <w:pPr>
              <w:spacing w:line="360" w:lineRule="auto"/>
              <w:ind w:firstLine="420" w:firstLineChars="200"/>
              <w:rPr>
                <w:rFonts w:hint="default"/>
                <w:bCs/>
                <w:color w:val="auto"/>
                <w:szCs w:val="21"/>
                <w:lang w:val="en-US" w:eastAsia="zh-CN"/>
              </w:rPr>
            </w:pPr>
            <w:r>
              <w:rPr>
                <w:bCs/>
                <w:color w:val="auto"/>
                <w:szCs w:val="21"/>
              </w:rPr>
              <w:t>①</w:t>
            </w:r>
            <w:r>
              <w:rPr>
                <w:rFonts w:hint="eastAsia"/>
                <w:bCs/>
                <w:color w:val="auto"/>
                <w:szCs w:val="21"/>
                <w:lang w:val="en-US" w:eastAsia="zh-CN"/>
              </w:rPr>
              <w:t>生产用水</w:t>
            </w:r>
          </w:p>
          <w:p w14:paraId="402DDE2C">
            <w:pPr>
              <w:spacing w:line="360" w:lineRule="auto"/>
              <w:ind w:firstLine="420" w:firstLineChars="200"/>
              <w:rPr>
                <w:rFonts w:hint="eastAsia"/>
                <w:bCs/>
                <w:color w:val="auto"/>
                <w:szCs w:val="21"/>
                <w:vertAlign w:val="baseline"/>
                <w:lang w:val="en-US" w:eastAsia="zh-CN"/>
              </w:rPr>
            </w:pPr>
            <w:r>
              <w:rPr>
                <w:rFonts w:hint="eastAsia"/>
                <w:bCs/>
                <w:color w:val="auto"/>
                <w:szCs w:val="21"/>
                <w:lang w:val="en-US" w:eastAsia="zh-CN"/>
              </w:rPr>
              <w:t>1）混凝土搅拌用水：参考《山西省用水定额》（DB 14/T 1049.2-2021），本项目混凝土搅拌工序用水按0.2m</w:t>
            </w:r>
            <w:r>
              <w:rPr>
                <w:rFonts w:hint="eastAsia"/>
                <w:bCs/>
                <w:color w:val="auto"/>
                <w:szCs w:val="21"/>
                <w:vertAlign w:val="superscript"/>
                <w:lang w:val="en-US" w:eastAsia="zh-CN"/>
              </w:rPr>
              <w:t>3</w:t>
            </w:r>
            <w:r>
              <w:rPr>
                <w:rFonts w:hint="eastAsia"/>
                <w:bCs/>
                <w:color w:val="auto"/>
                <w:szCs w:val="21"/>
                <w:lang w:val="en-US" w:eastAsia="zh-CN"/>
              </w:rPr>
              <w:t>/m</w:t>
            </w:r>
            <w:r>
              <w:rPr>
                <w:rFonts w:hint="eastAsia"/>
                <w:bCs/>
                <w:color w:val="auto"/>
                <w:szCs w:val="21"/>
                <w:vertAlign w:val="superscript"/>
                <w:lang w:val="en-US" w:eastAsia="zh-CN"/>
              </w:rPr>
              <w:t>3</w:t>
            </w:r>
            <w:r>
              <w:rPr>
                <w:rFonts w:hint="eastAsia"/>
                <w:bCs/>
                <w:color w:val="auto"/>
                <w:szCs w:val="21"/>
                <w:vertAlign w:val="baseline"/>
                <w:lang w:val="en-US" w:eastAsia="zh-CN"/>
              </w:rPr>
              <w:t>（混凝土）</w:t>
            </w:r>
            <w:r>
              <w:rPr>
                <w:rFonts w:hint="eastAsia"/>
                <w:bCs/>
                <w:color w:val="auto"/>
                <w:szCs w:val="21"/>
                <w:lang w:val="en-US" w:eastAsia="zh-CN"/>
              </w:rPr>
              <w:t>产品计算，混凝土年产20万m</w:t>
            </w:r>
            <w:r>
              <w:rPr>
                <w:rFonts w:hint="eastAsia"/>
                <w:bCs/>
                <w:color w:val="auto"/>
                <w:szCs w:val="21"/>
                <w:vertAlign w:val="superscript"/>
                <w:lang w:val="en-US" w:eastAsia="zh-CN"/>
              </w:rPr>
              <w:t>3</w:t>
            </w:r>
            <w:r>
              <w:rPr>
                <w:rFonts w:hint="eastAsia"/>
                <w:bCs/>
                <w:color w:val="auto"/>
                <w:szCs w:val="21"/>
                <w:lang w:val="en-US" w:eastAsia="zh-CN"/>
              </w:rPr>
              <w:t>，则混凝土搅拌用水量为40000</w:t>
            </w:r>
            <w:r>
              <w:rPr>
                <w:rFonts w:hint="default"/>
                <w:bCs/>
                <w:color w:val="auto"/>
                <w:szCs w:val="21"/>
                <w:lang w:val="en-US" w:eastAsia="zh-CN"/>
              </w:rPr>
              <w:t>m</w:t>
            </w:r>
            <w:r>
              <w:rPr>
                <w:rFonts w:hint="default"/>
                <w:bCs/>
                <w:color w:val="auto"/>
                <w:szCs w:val="21"/>
                <w:vertAlign w:val="superscript"/>
                <w:lang w:val="en-US" w:eastAsia="zh-CN"/>
              </w:rPr>
              <w:t>3</w:t>
            </w:r>
            <w:r>
              <w:rPr>
                <w:rFonts w:hint="default"/>
                <w:bCs/>
                <w:color w:val="auto"/>
                <w:szCs w:val="21"/>
                <w:lang w:val="en-US" w:eastAsia="zh-CN"/>
              </w:rPr>
              <w:t>/</w:t>
            </w:r>
            <w:r>
              <w:rPr>
                <w:rFonts w:hint="eastAsia"/>
                <w:bCs/>
                <w:color w:val="auto"/>
                <w:szCs w:val="21"/>
                <w:lang w:val="en-US" w:eastAsia="zh-CN"/>
              </w:rPr>
              <w:t>a，266.67</w:t>
            </w:r>
            <w:r>
              <w:rPr>
                <w:rFonts w:hint="default"/>
                <w:bCs/>
                <w:color w:val="auto"/>
                <w:szCs w:val="21"/>
                <w:lang w:val="en-US" w:eastAsia="zh-CN"/>
              </w:rPr>
              <w:t>m</w:t>
            </w:r>
            <w:r>
              <w:rPr>
                <w:rFonts w:hint="default"/>
                <w:bCs/>
                <w:color w:val="auto"/>
                <w:szCs w:val="21"/>
                <w:vertAlign w:val="superscript"/>
                <w:lang w:val="en-US" w:eastAsia="zh-CN"/>
              </w:rPr>
              <w:t>3</w:t>
            </w:r>
            <w:r>
              <w:rPr>
                <w:rFonts w:hint="eastAsia"/>
                <w:bCs/>
                <w:color w:val="auto"/>
                <w:szCs w:val="21"/>
                <w:vertAlign w:val="baseline"/>
                <w:lang w:val="en-US" w:eastAsia="zh-CN"/>
              </w:rPr>
              <w:t>/d；</w:t>
            </w:r>
          </w:p>
          <w:p w14:paraId="477D689A">
            <w:pPr>
              <w:spacing w:line="360" w:lineRule="auto"/>
              <w:ind w:firstLine="420" w:firstLineChars="200"/>
              <w:rPr>
                <w:rFonts w:hint="eastAsia"/>
                <w:bCs/>
                <w:color w:val="auto"/>
                <w:szCs w:val="21"/>
                <w:vertAlign w:val="baseline"/>
                <w:lang w:val="en-US" w:eastAsia="zh-CN"/>
              </w:rPr>
            </w:pPr>
            <w:r>
              <w:rPr>
                <w:rFonts w:hint="eastAsia"/>
                <w:bCs/>
                <w:color w:val="auto"/>
                <w:szCs w:val="21"/>
                <w:lang w:val="en-US" w:eastAsia="zh-CN"/>
              </w:rPr>
              <w:t>水稳搅拌用水：参考《山西省用水定额》（DB 14/T 1049.2-2021），并结合本项目建设单位提供的实际配料情况（产品含水率约为15%左右），本项目水稳土搅拌工序用水按0.15m</w:t>
            </w:r>
            <w:r>
              <w:rPr>
                <w:rFonts w:hint="eastAsia"/>
                <w:bCs/>
                <w:color w:val="auto"/>
                <w:szCs w:val="21"/>
                <w:vertAlign w:val="superscript"/>
                <w:lang w:val="en-US" w:eastAsia="zh-CN"/>
              </w:rPr>
              <w:t>3</w:t>
            </w:r>
            <w:r>
              <w:rPr>
                <w:rFonts w:hint="eastAsia"/>
                <w:bCs/>
                <w:color w:val="auto"/>
                <w:szCs w:val="21"/>
                <w:lang w:val="en-US" w:eastAsia="zh-CN"/>
              </w:rPr>
              <w:t>/m</w:t>
            </w:r>
            <w:r>
              <w:rPr>
                <w:rFonts w:hint="eastAsia"/>
                <w:bCs/>
                <w:color w:val="auto"/>
                <w:szCs w:val="21"/>
                <w:vertAlign w:val="superscript"/>
                <w:lang w:val="en-US" w:eastAsia="zh-CN"/>
              </w:rPr>
              <w:t>3</w:t>
            </w:r>
            <w:r>
              <w:rPr>
                <w:rFonts w:hint="eastAsia"/>
                <w:bCs/>
                <w:color w:val="auto"/>
                <w:szCs w:val="21"/>
                <w:vertAlign w:val="baseline"/>
                <w:lang w:val="en-US" w:eastAsia="zh-CN"/>
              </w:rPr>
              <w:t>（水稳土）</w:t>
            </w:r>
            <w:r>
              <w:rPr>
                <w:rFonts w:hint="eastAsia"/>
                <w:bCs/>
                <w:color w:val="auto"/>
                <w:szCs w:val="21"/>
                <w:lang w:val="en-US" w:eastAsia="zh-CN"/>
              </w:rPr>
              <w:t>产品计算，水稳土年产5万m</w:t>
            </w:r>
            <w:r>
              <w:rPr>
                <w:rFonts w:hint="eastAsia"/>
                <w:bCs/>
                <w:color w:val="auto"/>
                <w:szCs w:val="21"/>
                <w:vertAlign w:val="superscript"/>
                <w:lang w:val="en-US" w:eastAsia="zh-CN"/>
              </w:rPr>
              <w:t>3</w:t>
            </w:r>
            <w:r>
              <w:rPr>
                <w:rFonts w:hint="eastAsia"/>
                <w:bCs/>
                <w:color w:val="auto"/>
                <w:szCs w:val="21"/>
                <w:lang w:val="en-US" w:eastAsia="zh-CN"/>
              </w:rPr>
              <w:t>，则水稳土搅拌用水量为7500</w:t>
            </w:r>
            <w:r>
              <w:rPr>
                <w:rFonts w:hint="default"/>
                <w:bCs/>
                <w:color w:val="auto"/>
                <w:szCs w:val="21"/>
                <w:lang w:val="en-US" w:eastAsia="zh-CN"/>
              </w:rPr>
              <w:t>m</w:t>
            </w:r>
            <w:r>
              <w:rPr>
                <w:rFonts w:hint="default"/>
                <w:bCs/>
                <w:color w:val="auto"/>
                <w:szCs w:val="21"/>
                <w:vertAlign w:val="superscript"/>
                <w:lang w:val="en-US" w:eastAsia="zh-CN"/>
              </w:rPr>
              <w:t>3</w:t>
            </w:r>
            <w:r>
              <w:rPr>
                <w:rFonts w:hint="default"/>
                <w:bCs/>
                <w:color w:val="auto"/>
                <w:szCs w:val="21"/>
                <w:lang w:val="en-US" w:eastAsia="zh-CN"/>
              </w:rPr>
              <w:t>/</w:t>
            </w:r>
            <w:r>
              <w:rPr>
                <w:rFonts w:hint="eastAsia"/>
                <w:bCs/>
                <w:color w:val="auto"/>
                <w:szCs w:val="21"/>
                <w:lang w:val="en-US" w:eastAsia="zh-CN"/>
              </w:rPr>
              <w:t>a，50</w:t>
            </w:r>
            <w:r>
              <w:rPr>
                <w:rFonts w:hint="default"/>
                <w:bCs/>
                <w:color w:val="auto"/>
                <w:szCs w:val="21"/>
                <w:lang w:val="en-US" w:eastAsia="zh-CN"/>
              </w:rPr>
              <w:t>m</w:t>
            </w:r>
            <w:r>
              <w:rPr>
                <w:rFonts w:hint="default"/>
                <w:bCs/>
                <w:color w:val="auto"/>
                <w:szCs w:val="21"/>
                <w:vertAlign w:val="superscript"/>
                <w:lang w:val="en-US" w:eastAsia="zh-CN"/>
              </w:rPr>
              <w:t>3</w:t>
            </w:r>
            <w:r>
              <w:rPr>
                <w:rFonts w:hint="eastAsia"/>
                <w:bCs/>
                <w:color w:val="auto"/>
                <w:szCs w:val="21"/>
                <w:vertAlign w:val="baseline"/>
                <w:lang w:val="en-US" w:eastAsia="zh-CN"/>
              </w:rPr>
              <w:t>/d；</w:t>
            </w:r>
          </w:p>
          <w:p w14:paraId="757149EC">
            <w:pPr>
              <w:spacing w:line="360" w:lineRule="auto"/>
              <w:ind w:firstLine="420" w:firstLineChars="200"/>
              <w:rPr>
                <w:rFonts w:hint="eastAsia"/>
                <w:bCs/>
                <w:color w:val="0070C0"/>
                <w:szCs w:val="21"/>
                <w:lang w:val="en-US" w:eastAsia="zh-CN"/>
              </w:rPr>
            </w:pPr>
            <w:r>
              <w:rPr>
                <w:rFonts w:hint="eastAsia"/>
                <w:bCs/>
                <w:color w:val="auto"/>
                <w:szCs w:val="21"/>
                <w:vertAlign w:val="baseline"/>
                <w:lang w:val="en-US" w:eastAsia="zh-CN"/>
              </w:rPr>
              <w:t>2）水稳、混凝土搅拌机组清洗用水：混凝土搅拌机需要定期清洗，搅拌机组平均5天冲洗1次，类比同类型企业，用水量按2.5m</w:t>
            </w:r>
            <w:r>
              <w:rPr>
                <w:rFonts w:hint="eastAsia"/>
                <w:bCs/>
                <w:color w:val="auto"/>
                <w:szCs w:val="21"/>
                <w:vertAlign w:val="superscript"/>
                <w:lang w:val="en-US" w:eastAsia="zh-CN"/>
              </w:rPr>
              <w:t>3</w:t>
            </w:r>
            <w:r>
              <w:rPr>
                <w:rFonts w:hint="eastAsia"/>
                <w:bCs/>
                <w:color w:val="auto"/>
                <w:szCs w:val="21"/>
                <w:vertAlign w:val="baseline"/>
                <w:lang w:val="en-US" w:eastAsia="zh-CN"/>
              </w:rPr>
              <w:t>/次计算，</w:t>
            </w:r>
            <w:r>
              <w:rPr>
                <w:rFonts w:hint="eastAsia"/>
                <w:bCs/>
                <w:color w:val="auto"/>
                <w:szCs w:val="21"/>
                <w:lang w:val="en-US" w:eastAsia="zh-CN"/>
              </w:rPr>
              <w:t>水稳土搅拌机组清洗用水量为0.5m</w:t>
            </w:r>
            <w:r>
              <w:rPr>
                <w:rFonts w:hint="eastAsia"/>
                <w:bCs/>
                <w:color w:val="auto"/>
                <w:szCs w:val="21"/>
                <w:vertAlign w:val="superscript"/>
                <w:lang w:val="en-US" w:eastAsia="zh-CN"/>
              </w:rPr>
              <w:t>3</w:t>
            </w:r>
            <w:r>
              <w:rPr>
                <w:rFonts w:hint="eastAsia"/>
                <w:bCs/>
                <w:color w:val="auto"/>
                <w:szCs w:val="21"/>
                <w:lang w:val="en-US" w:eastAsia="zh-CN"/>
              </w:rPr>
              <w:t>/d（75m</w:t>
            </w:r>
            <w:r>
              <w:rPr>
                <w:rFonts w:hint="eastAsia"/>
                <w:bCs/>
                <w:color w:val="auto"/>
                <w:szCs w:val="21"/>
                <w:vertAlign w:val="superscript"/>
                <w:lang w:val="en-US" w:eastAsia="zh-CN"/>
              </w:rPr>
              <w:t>3</w:t>
            </w:r>
            <w:r>
              <w:rPr>
                <w:rFonts w:hint="eastAsia"/>
                <w:bCs/>
                <w:color w:val="auto"/>
                <w:szCs w:val="21"/>
                <w:lang w:val="en-US" w:eastAsia="zh-CN"/>
              </w:rPr>
              <w:t>/a）；</w:t>
            </w:r>
          </w:p>
          <w:p w14:paraId="03434B4D">
            <w:pPr>
              <w:spacing w:line="360" w:lineRule="auto"/>
              <w:ind w:firstLine="420" w:firstLineChars="200"/>
              <w:rPr>
                <w:rFonts w:hint="eastAsia"/>
                <w:bCs/>
                <w:color w:val="auto"/>
                <w:szCs w:val="21"/>
                <w:lang w:val="en-US" w:eastAsia="zh-CN"/>
              </w:rPr>
            </w:pPr>
            <w:r>
              <w:rPr>
                <w:rFonts w:hint="eastAsia"/>
                <w:bCs/>
                <w:color w:val="auto"/>
                <w:szCs w:val="21"/>
                <w:lang w:val="en-US" w:eastAsia="zh-CN"/>
              </w:rPr>
              <w:t>3）作业场地冲洗用水：沥青混凝土、混凝土和水稳土生产线场地需用定期冲洗，平均5天冲洗1次，</w:t>
            </w:r>
            <w:r>
              <w:rPr>
                <w:rFonts w:hint="eastAsia"/>
                <w:bCs/>
                <w:color w:val="auto"/>
                <w:szCs w:val="21"/>
                <w:vertAlign w:val="baseline"/>
                <w:lang w:val="en-US" w:eastAsia="zh-CN"/>
              </w:rPr>
              <w:t>类比同类型企业，用水量按2.0m</w:t>
            </w:r>
            <w:r>
              <w:rPr>
                <w:rFonts w:hint="eastAsia"/>
                <w:bCs/>
                <w:color w:val="auto"/>
                <w:szCs w:val="21"/>
                <w:vertAlign w:val="superscript"/>
                <w:lang w:val="en-US" w:eastAsia="zh-CN"/>
              </w:rPr>
              <w:t>3</w:t>
            </w:r>
            <w:r>
              <w:rPr>
                <w:rFonts w:hint="eastAsia"/>
                <w:bCs/>
                <w:color w:val="auto"/>
                <w:szCs w:val="21"/>
                <w:vertAlign w:val="baseline"/>
                <w:lang w:val="en-US" w:eastAsia="zh-CN"/>
              </w:rPr>
              <w:t>/次计算，</w:t>
            </w:r>
            <w:r>
              <w:rPr>
                <w:rFonts w:hint="eastAsia"/>
                <w:bCs/>
                <w:color w:val="auto"/>
                <w:szCs w:val="21"/>
                <w:lang w:val="en-US" w:eastAsia="zh-CN"/>
              </w:rPr>
              <w:t>场地冲洗用水量为0.4m</w:t>
            </w:r>
            <w:r>
              <w:rPr>
                <w:rFonts w:hint="eastAsia"/>
                <w:bCs/>
                <w:color w:val="auto"/>
                <w:szCs w:val="21"/>
                <w:vertAlign w:val="superscript"/>
                <w:lang w:val="en-US" w:eastAsia="zh-CN"/>
              </w:rPr>
              <w:t>3</w:t>
            </w:r>
            <w:r>
              <w:rPr>
                <w:rFonts w:hint="eastAsia"/>
                <w:bCs/>
                <w:color w:val="auto"/>
                <w:szCs w:val="21"/>
                <w:lang w:val="en-US" w:eastAsia="zh-CN"/>
              </w:rPr>
              <w:t>/d（60m</w:t>
            </w:r>
            <w:r>
              <w:rPr>
                <w:rFonts w:hint="eastAsia"/>
                <w:bCs/>
                <w:color w:val="auto"/>
                <w:szCs w:val="21"/>
                <w:vertAlign w:val="superscript"/>
                <w:lang w:val="en-US" w:eastAsia="zh-CN"/>
              </w:rPr>
              <w:t>3</w:t>
            </w:r>
            <w:r>
              <w:rPr>
                <w:rFonts w:hint="eastAsia"/>
                <w:bCs/>
                <w:color w:val="auto"/>
                <w:szCs w:val="21"/>
                <w:lang w:val="en-US" w:eastAsia="zh-CN"/>
              </w:rPr>
              <w:t>/a）。</w:t>
            </w:r>
          </w:p>
          <w:p w14:paraId="79767E30">
            <w:pPr>
              <w:spacing w:line="360" w:lineRule="auto"/>
              <w:ind w:firstLine="420" w:firstLineChars="200"/>
              <w:rPr>
                <w:rFonts w:hint="default"/>
                <w:bCs/>
                <w:color w:val="auto"/>
                <w:szCs w:val="21"/>
                <w:lang w:val="en-US" w:eastAsia="zh-CN"/>
              </w:rPr>
            </w:pPr>
            <w:r>
              <w:rPr>
                <w:rFonts w:hint="eastAsia"/>
                <w:bCs/>
                <w:color w:val="auto"/>
                <w:szCs w:val="21"/>
                <w:lang w:val="en-US" w:eastAsia="zh-CN"/>
              </w:rPr>
              <w:t>4）沥青烟气处理冷凝器补水：由企业提供的资料显示，本项目沥青预处理及搅拌工序设置废气处理设施为冷凝器+活性炭吸附，其中冷凝器采用水冷间接方式冷凝，循环水量约为0.625t/h，每天运行8h，即总循环水量约为5t/d。冷凝器定期补水，补充水量约为总循环水量的1%，即0.05t/a。</w:t>
            </w:r>
          </w:p>
          <w:p w14:paraId="7FD6D7E0">
            <w:pPr>
              <w:spacing w:line="360" w:lineRule="auto"/>
              <w:ind w:firstLine="420" w:firstLineChars="200"/>
              <w:rPr>
                <w:bCs/>
                <w:color w:val="auto"/>
                <w:szCs w:val="21"/>
              </w:rPr>
            </w:pPr>
            <w:r>
              <w:rPr>
                <w:rFonts w:hint="eastAsia"/>
                <w:bCs/>
                <w:color w:val="auto"/>
                <w:szCs w:val="21"/>
                <w:lang w:val="en-US" w:eastAsia="zh-CN"/>
              </w:rPr>
              <w:t>②生活用水：本项目劳动定员共计20人，厂区内不设置食堂、宿舍、洗浴等设施，职工办公生活用水指标按60L/d·p计，则职工生活用水量为1.2</w:t>
            </w:r>
            <w:r>
              <w:rPr>
                <w:rFonts w:hint="default"/>
                <w:bCs/>
                <w:color w:val="auto"/>
                <w:szCs w:val="21"/>
                <w:lang w:val="en-US" w:eastAsia="zh-CN"/>
              </w:rPr>
              <w:t>m</w:t>
            </w:r>
            <w:r>
              <w:rPr>
                <w:rFonts w:hint="default"/>
                <w:bCs/>
                <w:color w:val="auto"/>
                <w:szCs w:val="21"/>
                <w:vertAlign w:val="superscript"/>
                <w:lang w:val="en-US" w:eastAsia="zh-CN"/>
              </w:rPr>
              <w:t>3</w:t>
            </w:r>
            <w:r>
              <w:rPr>
                <w:rFonts w:hint="default"/>
                <w:bCs/>
                <w:color w:val="auto"/>
                <w:szCs w:val="21"/>
                <w:lang w:val="en-US" w:eastAsia="zh-CN"/>
              </w:rPr>
              <w:t>/d</w:t>
            </w:r>
            <w:r>
              <w:rPr>
                <w:rFonts w:hint="eastAsia"/>
                <w:bCs/>
                <w:color w:val="auto"/>
                <w:szCs w:val="21"/>
                <w:lang w:val="en-US" w:eastAsia="zh-CN"/>
              </w:rPr>
              <w:t>（180</w:t>
            </w:r>
            <w:r>
              <w:rPr>
                <w:rFonts w:hint="default"/>
                <w:bCs/>
                <w:color w:val="auto"/>
                <w:szCs w:val="21"/>
                <w:lang w:val="en-US" w:eastAsia="zh-CN"/>
              </w:rPr>
              <w:t>m</w:t>
            </w:r>
            <w:r>
              <w:rPr>
                <w:rFonts w:hint="default"/>
                <w:bCs/>
                <w:color w:val="auto"/>
                <w:szCs w:val="21"/>
                <w:vertAlign w:val="superscript"/>
                <w:lang w:val="en-US" w:eastAsia="zh-CN"/>
              </w:rPr>
              <w:t>3</w:t>
            </w:r>
            <w:r>
              <w:rPr>
                <w:rFonts w:hint="default"/>
                <w:bCs/>
                <w:color w:val="auto"/>
                <w:szCs w:val="21"/>
                <w:lang w:val="en-US" w:eastAsia="zh-CN"/>
              </w:rPr>
              <w:t>/</w:t>
            </w:r>
            <w:r>
              <w:rPr>
                <w:rFonts w:hint="eastAsia"/>
                <w:bCs/>
                <w:color w:val="auto"/>
                <w:szCs w:val="21"/>
                <w:lang w:val="en-US" w:eastAsia="zh-CN"/>
              </w:rPr>
              <w:t xml:space="preserve">a）。 </w:t>
            </w:r>
          </w:p>
          <w:p w14:paraId="5389BE81">
            <w:pPr>
              <w:spacing w:line="360" w:lineRule="auto"/>
              <w:ind w:firstLine="420" w:firstLineChars="200"/>
              <w:rPr>
                <w:rFonts w:hint="eastAsia"/>
                <w:bCs/>
                <w:color w:val="auto"/>
                <w:szCs w:val="21"/>
                <w:lang w:val="en-US" w:eastAsia="zh-CN"/>
              </w:rPr>
            </w:pPr>
            <w:r>
              <w:rPr>
                <w:rFonts w:hint="eastAsia"/>
                <w:bCs/>
                <w:color w:val="auto"/>
                <w:szCs w:val="21"/>
                <w:lang w:val="en-US" w:eastAsia="zh-CN"/>
              </w:rPr>
              <w:t>③其他用水</w:t>
            </w:r>
          </w:p>
          <w:p w14:paraId="6E19E111">
            <w:pPr>
              <w:spacing w:line="360" w:lineRule="auto"/>
              <w:ind w:firstLine="420" w:firstLineChars="200"/>
              <w:rPr>
                <w:rFonts w:hint="eastAsia"/>
                <w:bCs/>
                <w:color w:val="auto"/>
                <w:szCs w:val="21"/>
                <w:lang w:val="en-US" w:eastAsia="zh-CN"/>
              </w:rPr>
            </w:pPr>
            <w:r>
              <w:rPr>
                <w:rFonts w:hint="eastAsia"/>
                <w:bCs/>
                <w:color w:val="auto"/>
                <w:szCs w:val="21"/>
                <w:lang w:val="en-US" w:eastAsia="zh-CN"/>
              </w:rPr>
              <w:t>1）绿化用水：参考《山西省用水定额》（DB 14/T 1049.3-2021），绿化用水指标按0.28m</w:t>
            </w:r>
            <w:r>
              <w:rPr>
                <w:rFonts w:hint="eastAsia"/>
                <w:bCs/>
                <w:color w:val="auto"/>
                <w:szCs w:val="21"/>
                <w:vertAlign w:val="superscript"/>
                <w:lang w:val="en-US" w:eastAsia="zh-CN"/>
              </w:rPr>
              <w:t>3</w:t>
            </w:r>
            <w:r>
              <w:rPr>
                <w:rFonts w:hint="eastAsia"/>
                <w:bCs/>
                <w:color w:val="auto"/>
                <w:szCs w:val="21"/>
                <w:lang w:val="en-US" w:eastAsia="zh-CN"/>
              </w:rPr>
              <w:t>/m</w:t>
            </w:r>
            <w:r>
              <w:rPr>
                <w:rFonts w:hint="eastAsia"/>
                <w:bCs/>
                <w:color w:val="auto"/>
                <w:szCs w:val="21"/>
                <w:vertAlign w:val="superscript"/>
                <w:lang w:val="en-US" w:eastAsia="zh-CN"/>
              </w:rPr>
              <w:t>2</w:t>
            </w:r>
            <w:r>
              <w:rPr>
                <w:rFonts w:hint="eastAsia"/>
                <w:bCs/>
                <w:color w:val="auto"/>
                <w:szCs w:val="21"/>
                <w:lang w:val="en-US" w:eastAsia="zh-CN"/>
              </w:rPr>
              <w:t>·a计，绿化面积约200</w:t>
            </w:r>
            <w:r>
              <w:rPr>
                <w:rFonts w:hint="default"/>
                <w:bCs/>
                <w:color w:val="auto"/>
                <w:szCs w:val="21"/>
                <w:lang w:val="en-US" w:eastAsia="zh-CN"/>
              </w:rPr>
              <w:t>m</w:t>
            </w:r>
            <w:r>
              <w:rPr>
                <w:rFonts w:hint="default"/>
                <w:bCs/>
                <w:color w:val="auto"/>
                <w:szCs w:val="21"/>
                <w:vertAlign w:val="superscript"/>
                <w:lang w:val="en-US" w:eastAsia="zh-CN"/>
              </w:rPr>
              <w:t>2</w:t>
            </w:r>
            <w:r>
              <w:rPr>
                <w:rFonts w:hint="eastAsia"/>
                <w:bCs/>
                <w:color w:val="auto"/>
                <w:szCs w:val="21"/>
                <w:lang w:val="en-US" w:eastAsia="zh-CN"/>
              </w:rPr>
              <w:t>，则绿化用水量为56</w:t>
            </w:r>
            <w:r>
              <w:rPr>
                <w:rFonts w:hint="default"/>
                <w:bCs/>
                <w:color w:val="auto"/>
                <w:szCs w:val="21"/>
                <w:lang w:val="en-US" w:eastAsia="zh-CN"/>
              </w:rPr>
              <w:t>m</w:t>
            </w:r>
            <w:r>
              <w:rPr>
                <w:rFonts w:hint="default"/>
                <w:bCs/>
                <w:color w:val="auto"/>
                <w:szCs w:val="21"/>
                <w:vertAlign w:val="superscript"/>
                <w:lang w:val="en-US" w:eastAsia="zh-CN"/>
              </w:rPr>
              <w:t>3</w:t>
            </w:r>
            <w:r>
              <w:rPr>
                <w:rFonts w:hint="default"/>
                <w:bCs/>
                <w:color w:val="auto"/>
                <w:szCs w:val="21"/>
                <w:lang w:val="en-US" w:eastAsia="zh-CN"/>
              </w:rPr>
              <w:t xml:space="preserve"> /a</w:t>
            </w:r>
            <w:r>
              <w:rPr>
                <w:rFonts w:hint="eastAsia"/>
                <w:bCs/>
                <w:color w:val="auto"/>
                <w:szCs w:val="21"/>
                <w:lang w:val="en-US" w:eastAsia="zh-CN"/>
              </w:rPr>
              <w:t>，则绿化用水量约为0.37</w:t>
            </w:r>
            <w:r>
              <w:rPr>
                <w:rFonts w:hint="default"/>
                <w:bCs/>
                <w:color w:val="auto"/>
                <w:szCs w:val="21"/>
                <w:lang w:val="en-US" w:eastAsia="zh-CN"/>
              </w:rPr>
              <w:t>m</w:t>
            </w:r>
            <w:r>
              <w:rPr>
                <w:rFonts w:hint="default"/>
                <w:bCs/>
                <w:color w:val="auto"/>
                <w:szCs w:val="21"/>
                <w:vertAlign w:val="superscript"/>
                <w:lang w:val="en-US" w:eastAsia="zh-CN"/>
              </w:rPr>
              <w:t>3</w:t>
            </w:r>
            <w:r>
              <w:rPr>
                <w:rFonts w:hint="default"/>
                <w:bCs/>
                <w:color w:val="auto"/>
                <w:szCs w:val="21"/>
                <w:lang w:val="en-US" w:eastAsia="zh-CN"/>
              </w:rPr>
              <w:t>/d</w:t>
            </w:r>
            <w:r>
              <w:rPr>
                <w:rFonts w:hint="eastAsia"/>
                <w:bCs/>
                <w:color w:val="auto"/>
                <w:szCs w:val="21"/>
                <w:lang w:val="en-US" w:eastAsia="zh-CN"/>
              </w:rPr>
              <w:t>；</w:t>
            </w:r>
          </w:p>
          <w:p w14:paraId="7E00FC81">
            <w:pPr>
              <w:spacing w:line="360" w:lineRule="auto"/>
              <w:ind w:firstLine="420" w:firstLineChars="200"/>
              <w:rPr>
                <w:rFonts w:hint="default"/>
                <w:bCs/>
                <w:color w:val="auto"/>
                <w:szCs w:val="21"/>
                <w:lang w:val="en-US" w:eastAsia="zh-CN"/>
              </w:rPr>
            </w:pPr>
            <w:r>
              <w:rPr>
                <w:rFonts w:hint="eastAsia"/>
                <w:bCs/>
                <w:color w:val="auto"/>
                <w:szCs w:val="21"/>
                <w:lang w:val="en-US" w:eastAsia="zh-CN"/>
              </w:rPr>
              <w:t>2）降尘用水：项目储料库、道路、场地等需要定期洒水降尘，降尘用水量约为1.0m</w:t>
            </w:r>
            <w:r>
              <w:rPr>
                <w:rFonts w:hint="eastAsia"/>
                <w:bCs/>
                <w:color w:val="auto"/>
                <w:szCs w:val="21"/>
                <w:vertAlign w:val="superscript"/>
                <w:lang w:val="en-US" w:eastAsia="zh-CN"/>
              </w:rPr>
              <w:t>3</w:t>
            </w:r>
            <w:r>
              <w:rPr>
                <w:rFonts w:hint="eastAsia"/>
                <w:bCs/>
                <w:color w:val="auto"/>
                <w:szCs w:val="21"/>
                <w:lang w:val="en-US" w:eastAsia="zh-CN"/>
              </w:rPr>
              <w:t>/d（150m</w:t>
            </w:r>
            <w:r>
              <w:rPr>
                <w:rFonts w:hint="eastAsia"/>
                <w:bCs/>
                <w:color w:val="auto"/>
                <w:szCs w:val="21"/>
                <w:vertAlign w:val="superscript"/>
                <w:lang w:val="en-US" w:eastAsia="zh-CN"/>
              </w:rPr>
              <w:t>3</w:t>
            </w:r>
            <w:r>
              <w:rPr>
                <w:rFonts w:hint="eastAsia"/>
                <w:bCs/>
                <w:color w:val="auto"/>
                <w:szCs w:val="21"/>
                <w:lang w:val="en-US" w:eastAsia="zh-CN"/>
              </w:rPr>
              <w:t>/a）；</w:t>
            </w:r>
          </w:p>
          <w:p w14:paraId="6EA26979">
            <w:pPr>
              <w:spacing w:line="360" w:lineRule="auto"/>
              <w:ind w:firstLine="420" w:firstLineChars="200"/>
              <w:rPr>
                <w:rFonts w:hint="eastAsia" w:eastAsia="宋体"/>
                <w:bCs/>
                <w:color w:val="auto"/>
                <w:szCs w:val="21"/>
                <w:lang w:val="en-US" w:eastAsia="zh-CN"/>
              </w:rPr>
            </w:pPr>
            <w:r>
              <w:rPr>
                <w:rFonts w:hint="eastAsia"/>
                <w:bCs/>
                <w:color w:val="auto"/>
                <w:szCs w:val="21"/>
                <w:lang w:val="en-US" w:eastAsia="zh-CN"/>
              </w:rPr>
              <w:t>3）车辆冲洗用水：</w:t>
            </w:r>
            <w:r>
              <w:rPr>
                <w:rFonts w:hint="eastAsia"/>
                <w:bCs/>
                <w:color w:val="auto"/>
                <w:szCs w:val="21"/>
              </w:rPr>
              <w:t>在</w:t>
            </w:r>
            <w:r>
              <w:rPr>
                <w:bCs/>
                <w:color w:val="auto"/>
                <w:szCs w:val="21"/>
              </w:rPr>
              <w:t>厂区</w:t>
            </w:r>
            <w:r>
              <w:rPr>
                <w:rFonts w:hint="eastAsia"/>
                <w:bCs/>
                <w:color w:val="auto"/>
                <w:szCs w:val="21"/>
                <w:lang w:val="en-US" w:eastAsia="zh-CN"/>
              </w:rPr>
              <w:t>中部</w:t>
            </w:r>
            <w:r>
              <w:rPr>
                <w:rFonts w:hint="eastAsia"/>
                <w:bCs/>
                <w:color w:val="auto"/>
                <w:szCs w:val="21"/>
              </w:rPr>
              <w:t>新建</w:t>
            </w:r>
            <w:r>
              <w:rPr>
                <w:bCs/>
                <w:color w:val="auto"/>
                <w:szCs w:val="21"/>
              </w:rPr>
              <w:t>1座洗车平台、</w:t>
            </w:r>
            <w:r>
              <w:rPr>
                <w:rFonts w:hint="eastAsia"/>
                <w:bCs/>
                <w:color w:val="auto"/>
                <w:szCs w:val="21"/>
              </w:rPr>
              <w:t>配套</w:t>
            </w:r>
            <w:r>
              <w:rPr>
                <w:bCs/>
                <w:color w:val="auto"/>
                <w:szCs w:val="21"/>
              </w:rPr>
              <w:t>循环水池，运输车辆进出厂区时对车辆车身、轮胎进行冲洗，洗车废水汇集流入沉淀池进行沉淀后，循环使用不外排。</w:t>
            </w:r>
            <w:r>
              <w:rPr>
                <w:rFonts w:hint="eastAsia"/>
                <w:bCs/>
                <w:color w:val="auto"/>
                <w:szCs w:val="21"/>
                <w:lang w:val="en-US" w:eastAsia="zh-CN"/>
              </w:rPr>
              <w:t>参考《山西省用水定额》（DB 14/T 1049.3-2021）（载重汽车）</w:t>
            </w:r>
            <w:r>
              <w:rPr>
                <w:bCs/>
                <w:color w:val="auto"/>
                <w:szCs w:val="21"/>
              </w:rPr>
              <w:t>，</w:t>
            </w:r>
            <w:r>
              <w:rPr>
                <w:rFonts w:hint="eastAsia"/>
                <w:bCs/>
                <w:color w:val="auto"/>
                <w:szCs w:val="21"/>
                <w:lang w:val="en-US" w:eastAsia="zh-CN"/>
              </w:rPr>
              <w:t>循环用水冲洗补水</w:t>
            </w:r>
            <w:r>
              <w:rPr>
                <w:bCs/>
                <w:color w:val="auto"/>
                <w:szCs w:val="21"/>
              </w:rPr>
              <w:t>定额</w:t>
            </w:r>
            <w:r>
              <w:rPr>
                <w:rFonts w:hint="eastAsia"/>
                <w:bCs/>
                <w:color w:val="auto"/>
                <w:szCs w:val="21"/>
                <w:lang w:val="en-US" w:eastAsia="zh-CN"/>
              </w:rPr>
              <w:t>按40L</w:t>
            </w:r>
            <w:r>
              <w:rPr>
                <w:bCs/>
                <w:color w:val="auto"/>
                <w:szCs w:val="21"/>
              </w:rPr>
              <w:t>/</w:t>
            </w:r>
            <w:r>
              <w:rPr>
                <w:rFonts w:hint="eastAsia"/>
                <w:bCs/>
                <w:color w:val="auto"/>
                <w:szCs w:val="21"/>
                <w:lang w:eastAsia="zh-CN"/>
              </w:rPr>
              <w:t>（</w:t>
            </w:r>
            <w:r>
              <w:rPr>
                <w:bCs/>
                <w:color w:val="auto"/>
                <w:szCs w:val="21"/>
              </w:rPr>
              <w:t>辆·次</w:t>
            </w:r>
            <w:r>
              <w:rPr>
                <w:rFonts w:hint="eastAsia"/>
                <w:bCs/>
                <w:color w:val="auto"/>
                <w:szCs w:val="21"/>
                <w:lang w:eastAsia="zh-CN"/>
              </w:rPr>
              <w:t>）</w:t>
            </w:r>
            <w:r>
              <w:rPr>
                <w:rFonts w:hint="eastAsia"/>
                <w:bCs/>
                <w:color w:val="auto"/>
                <w:szCs w:val="21"/>
                <w:lang w:val="en-US" w:eastAsia="zh-CN"/>
              </w:rPr>
              <w:t>计</w:t>
            </w:r>
            <w:r>
              <w:rPr>
                <w:bCs/>
                <w:color w:val="auto"/>
                <w:szCs w:val="21"/>
              </w:rPr>
              <w:t>，根据</w:t>
            </w:r>
            <w:r>
              <w:rPr>
                <w:rFonts w:hint="eastAsia"/>
                <w:bCs/>
                <w:color w:val="auto"/>
                <w:szCs w:val="21"/>
                <w:lang w:val="en-US" w:eastAsia="zh-CN"/>
              </w:rPr>
              <w:t>物料周转情况</w:t>
            </w:r>
            <w:r>
              <w:rPr>
                <w:bCs/>
                <w:color w:val="auto"/>
                <w:szCs w:val="21"/>
              </w:rPr>
              <w:t>，项目运输车辆约</w:t>
            </w:r>
            <w:r>
              <w:rPr>
                <w:rFonts w:hint="eastAsia"/>
                <w:bCs/>
                <w:color w:val="auto"/>
                <w:szCs w:val="21"/>
                <w:lang w:val="en-US" w:eastAsia="zh-CN"/>
              </w:rPr>
              <w:t>80</w:t>
            </w:r>
            <w:r>
              <w:rPr>
                <w:bCs/>
                <w:color w:val="auto"/>
                <w:szCs w:val="21"/>
              </w:rPr>
              <w:t>辆·次/天，则洗车</w:t>
            </w:r>
            <w:r>
              <w:rPr>
                <w:rFonts w:hint="eastAsia"/>
                <w:bCs/>
                <w:color w:val="auto"/>
                <w:szCs w:val="21"/>
                <w:lang w:val="en-US" w:eastAsia="zh-CN"/>
              </w:rPr>
              <w:t>补充</w:t>
            </w:r>
            <w:r>
              <w:rPr>
                <w:bCs/>
                <w:color w:val="auto"/>
                <w:szCs w:val="21"/>
              </w:rPr>
              <w:t>水量为</w:t>
            </w:r>
            <w:r>
              <w:rPr>
                <w:rFonts w:hint="eastAsia"/>
                <w:bCs/>
                <w:color w:val="auto"/>
                <w:szCs w:val="21"/>
                <w:lang w:val="en-US" w:eastAsia="zh-CN"/>
              </w:rPr>
              <w:t>3.2</w:t>
            </w:r>
            <w:r>
              <w:rPr>
                <w:bCs/>
                <w:color w:val="auto"/>
                <w:szCs w:val="21"/>
              </w:rPr>
              <w:t>m</w:t>
            </w:r>
            <w:r>
              <w:rPr>
                <w:bCs/>
                <w:color w:val="auto"/>
                <w:szCs w:val="21"/>
                <w:vertAlign w:val="superscript"/>
              </w:rPr>
              <w:t>3</w:t>
            </w:r>
            <w:r>
              <w:rPr>
                <w:bCs/>
                <w:color w:val="auto"/>
                <w:szCs w:val="21"/>
              </w:rPr>
              <w:t>/d</w:t>
            </w:r>
            <w:r>
              <w:rPr>
                <w:rFonts w:hint="eastAsia"/>
                <w:bCs/>
                <w:color w:val="auto"/>
                <w:szCs w:val="21"/>
                <w:lang w:eastAsia="zh-CN"/>
              </w:rPr>
              <w:t>（</w:t>
            </w:r>
            <w:r>
              <w:rPr>
                <w:rFonts w:hint="eastAsia"/>
                <w:bCs/>
                <w:color w:val="auto"/>
                <w:szCs w:val="21"/>
                <w:lang w:val="en-US" w:eastAsia="zh-CN"/>
              </w:rPr>
              <w:t>480m</w:t>
            </w:r>
            <w:r>
              <w:rPr>
                <w:rFonts w:hint="eastAsia"/>
                <w:bCs/>
                <w:color w:val="auto"/>
                <w:szCs w:val="21"/>
                <w:vertAlign w:val="superscript"/>
                <w:lang w:val="en-US" w:eastAsia="zh-CN"/>
              </w:rPr>
              <w:t>3</w:t>
            </w:r>
            <w:r>
              <w:rPr>
                <w:rFonts w:hint="eastAsia"/>
                <w:bCs/>
                <w:color w:val="auto"/>
                <w:szCs w:val="21"/>
                <w:lang w:val="en-US" w:eastAsia="zh-CN"/>
              </w:rPr>
              <w:t>/a</w:t>
            </w:r>
            <w:r>
              <w:rPr>
                <w:rFonts w:hint="eastAsia"/>
                <w:bCs/>
                <w:color w:val="auto"/>
                <w:szCs w:val="21"/>
                <w:lang w:eastAsia="zh-CN"/>
              </w:rPr>
              <w:t>）</w:t>
            </w:r>
            <w:r>
              <w:rPr>
                <w:bCs/>
                <w:color w:val="auto"/>
                <w:szCs w:val="21"/>
              </w:rPr>
              <w:t>；采暖期不</w:t>
            </w:r>
            <w:r>
              <w:rPr>
                <w:rFonts w:hint="eastAsia"/>
                <w:bCs/>
                <w:color w:val="auto"/>
                <w:szCs w:val="21"/>
                <w:lang w:val="en-US" w:eastAsia="zh-CN"/>
              </w:rPr>
              <w:t>生产以及运输</w:t>
            </w:r>
            <w:r>
              <w:rPr>
                <w:rFonts w:hint="eastAsia"/>
                <w:bCs/>
                <w:color w:val="auto"/>
                <w:szCs w:val="21"/>
              </w:rPr>
              <w:t>。</w:t>
            </w:r>
          </w:p>
          <w:p w14:paraId="02131BF3">
            <w:pPr>
              <w:spacing w:line="360" w:lineRule="auto"/>
              <w:ind w:firstLine="422" w:firstLineChars="200"/>
              <w:rPr>
                <w:rFonts w:hint="default" w:eastAsia="宋体"/>
                <w:b/>
                <w:bCs/>
                <w:color w:val="auto"/>
                <w:szCs w:val="21"/>
                <w:lang w:val="en-US" w:eastAsia="zh-CN"/>
              </w:rPr>
            </w:pPr>
            <w:r>
              <w:rPr>
                <w:b/>
                <w:bCs/>
                <w:color w:val="auto"/>
                <w:szCs w:val="21"/>
              </w:rPr>
              <w:t>排水：</w:t>
            </w:r>
            <w:r>
              <w:rPr>
                <w:rFonts w:hint="eastAsia"/>
                <w:b/>
                <w:bCs/>
                <w:color w:val="auto"/>
                <w:szCs w:val="21"/>
                <w:lang w:val="en-US" w:eastAsia="zh-CN"/>
              </w:rPr>
              <w:t>项目采取雨污分流制。</w:t>
            </w:r>
          </w:p>
          <w:p w14:paraId="49EAB00C">
            <w:pPr>
              <w:spacing w:line="360" w:lineRule="auto"/>
              <w:ind w:firstLine="420" w:firstLineChars="200"/>
              <w:rPr>
                <w:rFonts w:hint="eastAsia"/>
                <w:color w:val="auto"/>
                <w:szCs w:val="21"/>
                <w:lang w:val="en-US" w:eastAsia="zh-CN"/>
              </w:rPr>
            </w:pPr>
            <w:r>
              <w:rPr>
                <w:rFonts w:hint="eastAsia"/>
                <w:color w:val="auto"/>
                <w:szCs w:val="21"/>
                <w:lang w:val="en-US" w:eastAsia="zh-CN"/>
              </w:rPr>
              <w:t>项目运营期水稳土搅拌机组用水全部进入产品，搅拌机组冲洗和搅拌场地冲洗废水排水系数按80%计，经收集汇入一座沉淀水池（40m</w:t>
            </w:r>
            <w:r>
              <w:rPr>
                <w:rFonts w:hint="eastAsia"/>
                <w:color w:val="auto"/>
                <w:szCs w:val="21"/>
                <w:vertAlign w:val="superscript"/>
                <w:lang w:val="en-US" w:eastAsia="zh-CN"/>
              </w:rPr>
              <w:t>3</w:t>
            </w:r>
            <w:r>
              <w:rPr>
                <w:rFonts w:hint="eastAsia"/>
                <w:color w:val="auto"/>
                <w:szCs w:val="21"/>
                <w:lang w:val="en-US" w:eastAsia="zh-CN"/>
              </w:rPr>
              <w:t>），回用于混凝土、水稳土生产线，不外排；沥青烟气处理系统冷凝循环水不外排，定期补水即可；生活污水排水系数按80%估算，生活污水经自建化粪池（20m</w:t>
            </w:r>
            <w:r>
              <w:rPr>
                <w:rFonts w:hint="eastAsia"/>
                <w:color w:val="auto"/>
                <w:szCs w:val="21"/>
                <w:vertAlign w:val="superscript"/>
                <w:lang w:val="en-US" w:eastAsia="zh-CN"/>
              </w:rPr>
              <w:t>3</w:t>
            </w:r>
            <w:r>
              <w:rPr>
                <w:rFonts w:hint="eastAsia"/>
                <w:color w:val="auto"/>
                <w:szCs w:val="21"/>
                <w:lang w:val="en-US" w:eastAsia="zh-CN"/>
              </w:rPr>
              <w:t>）沉淀后，定期清掏由附近村民拉走施肥；降尘用水、绿化用水等自然蒸发，不外排；车辆冲洗废水循环使用，不外排。</w:t>
            </w:r>
          </w:p>
          <w:p w14:paraId="489F2DB7">
            <w:pPr>
              <w:spacing w:line="360" w:lineRule="auto"/>
              <w:ind w:firstLine="420" w:firstLineChars="200"/>
              <w:rPr>
                <w:color w:val="auto"/>
                <w:szCs w:val="21"/>
              </w:rPr>
            </w:pPr>
            <w:r>
              <w:rPr>
                <w:color w:val="auto"/>
                <w:szCs w:val="21"/>
              </w:rPr>
              <w:t>项目用排水情况见表2</w:t>
            </w:r>
            <w:r>
              <w:rPr>
                <w:rFonts w:hint="eastAsia"/>
                <w:color w:val="auto"/>
                <w:szCs w:val="21"/>
                <w:lang w:val="en-US" w:eastAsia="zh-CN"/>
              </w:rPr>
              <w:t>.7</w:t>
            </w:r>
            <w:r>
              <w:rPr>
                <w:color w:val="auto"/>
                <w:szCs w:val="21"/>
              </w:rPr>
              <w:t>-</w:t>
            </w:r>
            <w:r>
              <w:rPr>
                <w:rFonts w:hint="eastAsia"/>
                <w:color w:val="auto"/>
                <w:szCs w:val="21"/>
                <w:lang w:val="en-US" w:eastAsia="zh-CN"/>
              </w:rPr>
              <w:t>1</w:t>
            </w:r>
            <w:r>
              <w:rPr>
                <w:color w:val="auto"/>
                <w:szCs w:val="21"/>
              </w:rPr>
              <w:t>，水平衡图见图2-1。</w:t>
            </w:r>
          </w:p>
          <w:p w14:paraId="25B5D9B5">
            <w:pPr>
              <w:pStyle w:val="77"/>
              <w:snapToGrid/>
              <w:spacing w:line="240" w:lineRule="exact"/>
              <w:ind w:firstLine="361"/>
              <w:jc w:val="center"/>
              <w:rPr>
                <w:rFonts w:ascii="Times New Roman" w:hAnsi="Times New Roman"/>
                <w:color w:val="auto"/>
                <w:sz w:val="18"/>
                <w:szCs w:val="18"/>
              </w:rPr>
            </w:pPr>
            <w:r>
              <w:rPr>
                <w:rFonts w:ascii="Times New Roman" w:hAnsi="Times New Roman"/>
                <w:color w:val="auto"/>
                <w:sz w:val="18"/>
                <w:szCs w:val="18"/>
              </w:rPr>
              <w:t>表2</w:t>
            </w:r>
            <w:r>
              <w:rPr>
                <w:rFonts w:hint="eastAsia" w:ascii="Times New Roman" w:hAnsi="Times New Roman"/>
                <w:color w:val="auto"/>
                <w:sz w:val="18"/>
                <w:szCs w:val="18"/>
                <w:lang w:val="en-US" w:eastAsia="zh-CN"/>
              </w:rPr>
              <w:t>.7</w:t>
            </w:r>
            <w:r>
              <w:rPr>
                <w:rFonts w:ascii="Times New Roman" w:hAnsi="Times New Roman"/>
                <w:color w:val="auto"/>
                <w:sz w:val="18"/>
                <w:szCs w:val="18"/>
              </w:rPr>
              <w:t>-</w:t>
            </w:r>
            <w:r>
              <w:rPr>
                <w:rFonts w:hint="eastAsia" w:ascii="Times New Roman" w:hAnsi="Times New Roman"/>
                <w:color w:val="auto"/>
                <w:sz w:val="18"/>
                <w:szCs w:val="18"/>
                <w:lang w:val="en-US" w:eastAsia="zh-CN"/>
              </w:rPr>
              <w:t>1</w:t>
            </w:r>
            <w:r>
              <w:rPr>
                <w:rFonts w:ascii="Times New Roman" w:hAnsi="Times New Roman"/>
                <w:color w:val="auto"/>
                <w:sz w:val="18"/>
                <w:szCs w:val="18"/>
              </w:rPr>
              <w:t xml:space="preserve">    本项目用水量及废水产生量一览表</w:t>
            </w:r>
          </w:p>
          <w:tbl>
            <w:tblPr>
              <w:tblStyle w:val="4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13"/>
              <w:gridCol w:w="1391"/>
              <w:gridCol w:w="1113"/>
              <w:gridCol w:w="884"/>
              <w:gridCol w:w="1036"/>
              <w:gridCol w:w="706"/>
              <w:gridCol w:w="643"/>
              <w:gridCol w:w="1332"/>
            </w:tblGrid>
            <w:tr w14:paraId="772995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5" w:hRule="atLeast"/>
              </w:trPr>
              <w:tc>
                <w:tcPr>
                  <w:tcW w:w="569" w:type="pct"/>
                  <w:vMerge w:val="restart"/>
                  <w:tcBorders>
                    <w:tl2br w:val="nil"/>
                    <w:tr2bl w:val="nil"/>
                  </w:tcBorders>
                  <w:vAlign w:val="center"/>
                </w:tcPr>
                <w:p w14:paraId="5DEA6B3F">
                  <w:pPr>
                    <w:jc w:val="center"/>
                    <w:rPr>
                      <w:color w:val="auto"/>
                      <w:sz w:val="18"/>
                      <w:szCs w:val="18"/>
                    </w:rPr>
                  </w:pPr>
                  <w:r>
                    <w:rPr>
                      <w:color w:val="auto"/>
                      <w:sz w:val="18"/>
                      <w:szCs w:val="18"/>
                    </w:rPr>
                    <w:t>用水</w:t>
                  </w:r>
                </w:p>
                <w:p w14:paraId="4910B433">
                  <w:pPr>
                    <w:jc w:val="center"/>
                    <w:rPr>
                      <w:color w:val="auto"/>
                      <w:sz w:val="18"/>
                      <w:szCs w:val="18"/>
                    </w:rPr>
                  </w:pPr>
                  <w:r>
                    <w:rPr>
                      <w:color w:val="auto"/>
                      <w:sz w:val="18"/>
                      <w:szCs w:val="18"/>
                    </w:rPr>
                    <w:t>类型</w:t>
                  </w:r>
                </w:p>
              </w:tc>
              <w:tc>
                <w:tcPr>
                  <w:tcW w:w="867" w:type="pct"/>
                  <w:vMerge w:val="restart"/>
                  <w:tcBorders>
                    <w:tl2br w:val="nil"/>
                    <w:tr2bl w:val="nil"/>
                  </w:tcBorders>
                  <w:vAlign w:val="center"/>
                </w:tcPr>
                <w:p w14:paraId="44CDCA52">
                  <w:pPr>
                    <w:jc w:val="center"/>
                    <w:rPr>
                      <w:color w:val="auto"/>
                      <w:sz w:val="18"/>
                      <w:szCs w:val="18"/>
                    </w:rPr>
                  </w:pPr>
                  <w:r>
                    <w:rPr>
                      <w:color w:val="auto"/>
                      <w:sz w:val="18"/>
                      <w:szCs w:val="18"/>
                    </w:rPr>
                    <w:t>用水量</w:t>
                  </w:r>
                </w:p>
                <w:p w14:paraId="78572A02">
                  <w:pPr>
                    <w:jc w:val="center"/>
                    <w:rPr>
                      <w:color w:val="auto"/>
                      <w:sz w:val="18"/>
                      <w:szCs w:val="18"/>
                    </w:rPr>
                  </w:pPr>
                  <w:r>
                    <w:rPr>
                      <w:color w:val="auto"/>
                      <w:sz w:val="18"/>
                      <w:szCs w:val="18"/>
                    </w:rPr>
                    <w:t>指标</w:t>
                  </w:r>
                </w:p>
              </w:tc>
              <w:tc>
                <w:tcPr>
                  <w:tcW w:w="694" w:type="pct"/>
                  <w:vMerge w:val="restart"/>
                  <w:tcBorders>
                    <w:tl2br w:val="nil"/>
                    <w:tr2bl w:val="nil"/>
                  </w:tcBorders>
                  <w:vAlign w:val="center"/>
                </w:tcPr>
                <w:p w14:paraId="210C14AA">
                  <w:pPr>
                    <w:jc w:val="center"/>
                    <w:rPr>
                      <w:color w:val="auto"/>
                      <w:sz w:val="18"/>
                      <w:szCs w:val="18"/>
                    </w:rPr>
                  </w:pPr>
                  <w:r>
                    <w:rPr>
                      <w:color w:val="auto"/>
                      <w:sz w:val="18"/>
                      <w:szCs w:val="18"/>
                    </w:rPr>
                    <w:t>用水</w:t>
                  </w:r>
                </w:p>
                <w:p w14:paraId="18541028">
                  <w:pPr>
                    <w:jc w:val="center"/>
                    <w:rPr>
                      <w:color w:val="auto"/>
                      <w:sz w:val="18"/>
                      <w:szCs w:val="18"/>
                    </w:rPr>
                  </w:pPr>
                  <w:r>
                    <w:rPr>
                      <w:color w:val="auto"/>
                      <w:sz w:val="18"/>
                      <w:szCs w:val="18"/>
                    </w:rPr>
                    <w:t>单位</w:t>
                  </w:r>
                </w:p>
              </w:tc>
              <w:tc>
                <w:tcPr>
                  <w:tcW w:w="1197" w:type="pct"/>
                  <w:gridSpan w:val="2"/>
                  <w:tcBorders>
                    <w:tl2br w:val="nil"/>
                    <w:tr2bl w:val="nil"/>
                  </w:tcBorders>
                  <w:vAlign w:val="center"/>
                </w:tcPr>
                <w:p w14:paraId="3D5B0B22">
                  <w:pPr>
                    <w:jc w:val="center"/>
                    <w:rPr>
                      <w:rFonts w:ascii="Times New Roman" w:hAnsi="Times New Roman"/>
                      <w:color w:val="auto"/>
                      <w:sz w:val="18"/>
                      <w:szCs w:val="18"/>
                      <w:vertAlign w:val="baseline"/>
                    </w:rPr>
                  </w:pPr>
                  <w:r>
                    <w:rPr>
                      <w:color w:val="auto"/>
                      <w:sz w:val="18"/>
                      <w:szCs w:val="18"/>
                    </w:rPr>
                    <w:t>用水量（m</w:t>
                  </w:r>
                  <w:r>
                    <w:rPr>
                      <w:color w:val="auto"/>
                      <w:sz w:val="18"/>
                      <w:szCs w:val="18"/>
                      <w:vertAlign w:val="superscript"/>
                    </w:rPr>
                    <w:t>3</w:t>
                  </w:r>
                  <w:r>
                    <w:rPr>
                      <w:color w:val="auto"/>
                      <w:sz w:val="18"/>
                      <w:szCs w:val="18"/>
                    </w:rPr>
                    <w:t>）</w:t>
                  </w:r>
                </w:p>
              </w:tc>
              <w:tc>
                <w:tcPr>
                  <w:tcW w:w="841" w:type="pct"/>
                  <w:gridSpan w:val="2"/>
                  <w:tcBorders>
                    <w:tl2br w:val="nil"/>
                    <w:tr2bl w:val="nil"/>
                  </w:tcBorders>
                  <w:vAlign w:val="center"/>
                </w:tcPr>
                <w:p w14:paraId="10CE73DA">
                  <w:pPr>
                    <w:jc w:val="center"/>
                    <w:rPr>
                      <w:rFonts w:ascii="Times New Roman" w:hAnsi="Times New Roman"/>
                      <w:color w:val="auto"/>
                      <w:sz w:val="18"/>
                      <w:szCs w:val="18"/>
                      <w:vertAlign w:val="baseline"/>
                    </w:rPr>
                  </w:pPr>
                  <w:r>
                    <w:rPr>
                      <w:color w:val="auto"/>
                      <w:sz w:val="18"/>
                      <w:szCs w:val="18"/>
                    </w:rPr>
                    <w:t>排水量（m</w:t>
                  </w:r>
                  <w:r>
                    <w:rPr>
                      <w:color w:val="auto"/>
                      <w:sz w:val="18"/>
                      <w:szCs w:val="18"/>
                      <w:vertAlign w:val="superscript"/>
                    </w:rPr>
                    <w:t>3</w:t>
                  </w:r>
                  <w:r>
                    <w:rPr>
                      <w:color w:val="auto"/>
                      <w:sz w:val="18"/>
                      <w:szCs w:val="18"/>
                    </w:rPr>
                    <w:t>）</w:t>
                  </w:r>
                </w:p>
              </w:tc>
              <w:tc>
                <w:tcPr>
                  <w:tcW w:w="830" w:type="pct"/>
                  <w:vMerge w:val="restart"/>
                  <w:tcBorders>
                    <w:tl2br w:val="nil"/>
                    <w:tr2bl w:val="nil"/>
                  </w:tcBorders>
                  <w:vAlign w:val="center"/>
                </w:tcPr>
                <w:p w14:paraId="72D5E3BA">
                  <w:pPr>
                    <w:jc w:val="center"/>
                    <w:rPr>
                      <w:rFonts w:hint="default" w:ascii="Times New Roman" w:hAnsi="Times New Roman"/>
                      <w:color w:val="auto"/>
                      <w:sz w:val="18"/>
                      <w:szCs w:val="18"/>
                      <w:vertAlign w:val="baseline"/>
                      <w:lang w:val="en-US"/>
                    </w:rPr>
                  </w:pPr>
                  <w:r>
                    <w:rPr>
                      <w:rFonts w:hint="eastAsia"/>
                      <w:color w:val="auto"/>
                      <w:sz w:val="18"/>
                      <w:szCs w:val="18"/>
                      <w:lang w:val="en-US" w:eastAsia="zh-CN"/>
                    </w:rPr>
                    <w:t>处理设施</w:t>
                  </w:r>
                </w:p>
              </w:tc>
            </w:tr>
            <w:tr w14:paraId="5A58D2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8" w:hRule="atLeast"/>
              </w:trPr>
              <w:tc>
                <w:tcPr>
                  <w:tcW w:w="569" w:type="pct"/>
                  <w:vMerge w:val="continue"/>
                  <w:tcBorders>
                    <w:tl2br w:val="nil"/>
                    <w:tr2bl w:val="nil"/>
                  </w:tcBorders>
                  <w:vAlign w:val="center"/>
                </w:tcPr>
                <w:p w14:paraId="05FD9F8D">
                  <w:pPr>
                    <w:pStyle w:val="77"/>
                    <w:snapToGrid/>
                    <w:spacing w:line="240" w:lineRule="exact"/>
                    <w:jc w:val="center"/>
                    <w:rPr>
                      <w:rFonts w:ascii="Times New Roman" w:hAnsi="Times New Roman"/>
                      <w:color w:val="auto"/>
                      <w:sz w:val="18"/>
                      <w:szCs w:val="18"/>
                      <w:vertAlign w:val="baseline"/>
                    </w:rPr>
                  </w:pPr>
                </w:p>
              </w:tc>
              <w:tc>
                <w:tcPr>
                  <w:tcW w:w="867" w:type="pct"/>
                  <w:vMerge w:val="continue"/>
                  <w:tcBorders>
                    <w:tl2br w:val="nil"/>
                    <w:tr2bl w:val="nil"/>
                  </w:tcBorders>
                  <w:vAlign w:val="center"/>
                </w:tcPr>
                <w:p w14:paraId="4CC98359">
                  <w:pPr>
                    <w:pStyle w:val="77"/>
                    <w:snapToGrid/>
                    <w:spacing w:line="240" w:lineRule="exact"/>
                    <w:jc w:val="center"/>
                    <w:rPr>
                      <w:rFonts w:ascii="Times New Roman" w:hAnsi="Times New Roman"/>
                      <w:color w:val="auto"/>
                      <w:sz w:val="18"/>
                      <w:szCs w:val="18"/>
                      <w:vertAlign w:val="baseline"/>
                    </w:rPr>
                  </w:pPr>
                </w:p>
              </w:tc>
              <w:tc>
                <w:tcPr>
                  <w:tcW w:w="694" w:type="pct"/>
                  <w:vMerge w:val="continue"/>
                  <w:tcBorders>
                    <w:tl2br w:val="nil"/>
                    <w:tr2bl w:val="nil"/>
                  </w:tcBorders>
                  <w:vAlign w:val="center"/>
                </w:tcPr>
                <w:p w14:paraId="597AFEF6">
                  <w:pPr>
                    <w:pStyle w:val="77"/>
                    <w:snapToGrid/>
                    <w:spacing w:line="240" w:lineRule="exact"/>
                    <w:jc w:val="center"/>
                    <w:rPr>
                      <w:rFonts w:ascii="Times New Roman" w:hAnsi="Times New Roman"/>
                      <w:color w:val="auto"/>
                      <w:sz w:val="18"/>
                      <w:szCs w:val="18"/>
                      <w:vertAlign w:val="baseline"/>
                    </w:rPr>
                  </w:pPr>
                </w:p>
              </w:tc>
              <w:tc>
                <w:tcPr>
                  <w:tcW w:w="551" w:type="pct"/>
                  <w:tcBorders>
                    <w:tl2br w:val="nil"/>
                    <w:tr2bl w:val="nil"/>
                  </w:tcBorders>
                  <w:vAlign w:val="center"/>
                </w:tcPr>
                <w:p w14:paraId="3B39DCEF">
                  <w:pPr>
                    <w:jc w:val="center"/>
                    <w:rPr>
                      <w:color w:val="auto"/>
                      <w:sz w:val="18"/>
                      <w:szCs w:val="18"/>
                    </w:rPr>
                  </w:pPr>
                  <w:r>
                    <w:rPr>
                      <w:color w:val="auto"/>
                      <w:sz w:val="18"/>
                      <w:szCs w:val="18"/>
                    </w:rPr>
                    <w:t>日用</w:t>
                  </w:r>
                </w:p>
                <w:p w14:paraId="4D311EFE">
                  <w:pPr>
                    <w:jc w:val="center"/>
                    <w:rPr>
                      <w:rFonts w:ascii="Times New Roman" w:hAnsi="Times New Roman"/>
                      <w:color w:val="auto"/>
                      <w:sz w:val="18"/>
                      <w:szCs w:val="18"/>
                      <w:vertAlign w:val="baseline"/>
                    </w:rPr>
                  </w:pPr>
                  <w:r>
                    <w:rPr>
                      <w:color w:val="auto"/>
                      <w:sz w:val="18"/>
                      <w:szCs w:val="18"/>
                    </w:rPr>
                    <w:t>水量</w:t>
                  </w:r>
                </w:p>
              </w:tc>
              <w:tc>
                <w:tcPr>
                  <w:tcW w:w="646" w:type="pct"/>
                  <w:tcBorders>
                    <w:tl2br w:val="nil"/>
                    <w:tr2bl w:val="nil"/>
                  </w:tcBorders>
                  <w:vAlign w:val="center"/>
                </w:tcPr>
                <w:p w14:paraId="3E8E1551">
                  <w:pPr>
                    <w:jc w:val="center"/>
                    <w:rPr>
                      <w:color w:val="auto"/>
                      <w:sz w:val="18"/>
                      <w:szCs w:val="18"/>
                    </w:rPr>
                  </w:pPr>
                  <w:r>
                    <w:rPr>
                      <w:color w:val="auto"/>
                      <w:sz w:val="18"/>
                      <w:szCs w:val="18"/>
                    </w:rPr>
                    <w:t>年用</w:t>
                  </w:r>
                </w:p>
                <w:p w14:paraId="33B27641">
                  <w:pPr>
                    <w:jc w:val="center"/>
                    <w:rPr>
                      <w:color w:val="auto"/>
                      <w:sz w:val="18"/>
                      <w:szCs w:val="18"/>
                    </w:rPr>
                  </w:pPr>
                  <w:r>
                    <w:rPr>
                      <w:color w:val="auto"/>
                      <w:sz w:val="18"/>
                      <w:szCs w:val="18"/>
                    </w:rPr>
                    <w:t>水量</w:t>
                  </w:r>
                </w:p>
              </w:tc>
              <w:tc>
                <w:tcPr>
                  <w:tcW w:w="440" w:type="pct"/>
                  <w:tcBorders>
                    <w:tl2br w:val="nil"/>
                    <w:tr2bl w:val="nil"/>
                  </w:tcBorders>
                  <w:vAlign w:val="center"/>
                </w:tcPr>
                <w:p w14:paraId="4A629D0E">
                  <w:pPr>
                    <w:jc w:val="center"/>
                    <w:rPr>
                      <w:color w:val="auto"/>
                      <w:sz w:val="18"/>
                      <w:szCs w:val="18"/>
                    </w:rPr>
                  </w:pPr>
                  <w:r>
                    <w:rPr>
                      <w:color w:val="auto"/>
                      <w:sz w:val="18"/>
                      <w:szCs w:val="18"/>
                    </w:rPr>
                    <w:t>日排</w:t>
                  </w:r>
                </w:p>
                <w:p w14:paraId="508ED5B9">
                  <w:pPr>
                    <w:jc w:val="center"/>
                    <w:rPr>
                      <w:rFonts w:ascii="Times New Roman" w:hAnsi="Times New Roman"/>
                      <w:color w:val="auto"/>
                      <w:sz w:val="18"/>
                      <w:szCs w:val="18"/>
                      <w:vertAlign w:val="baseline"/>
                    </w:rPr>
                  </w:pPr>
                  <w:r>
                    <w:rPr>
                      <w:color w:val="auto"/>
                      <w:sz w:val="18"/>
                      <w:szCs w:val="18"/>
                    </w:rPr>
                    <w:t>水量</w:t>
                  </w:r>
                </w:p>
              </w:tc>
              <w:tc>
                <w:tcPr>
                  <w:tcW w:w="400" w:type="pct"/>
                  <w:tcBorders>
                    <w:tl2br w:val="nil"/>
                    <w:tr2bl w:val="nil"/>
                  </w:tcBorders>
                  <w:vAlign w:val="center"/>
                </w:tcPr>
                <w:p w14:paraId="17066C48">
                  <w:pPr>
                    <w:jc w:val="center"/>
                    <w:rPr>
                      <w:color w:val="auto"/>
                      <w:sz w:val="18"/>
                      <w:szCs w:val="18"/>
                    </w:rPr>
                  </w:pPr>
                  <w:r>
                    <w:rPr>
                      <w:color w:val="auto"/>
                      <w:sz w:val="18"/>
                      <w:szCs w:val="18"/>
                    </w:rPr>
                    <w:t>年排</w:t>
                  </w:r>
                </w:p>
                <w:p w14:paraId="71917150">
                  <w:pPr>
                    <w:jc w:val="center"/>
                    <w:rPr>
                      <w:color w:val="auto"/>
                      <w:sz w:val="18"/>
                      <w:szCs w:val="18"/>
                    </w:rPr>
                  </w:pPr>
                  <w:r>
                    <w:rPr>
                      <w:color w:val="auto"/>
                      <w:sz w:val="18"/>
                      <w:szCs w:val="18"/>
                    </w:rPr>
                    <w:t>水量</w:t>
                  </w:r>
                </w:p>
              </w:tc>
              <w:tc>
                <w:tcPr>
                  <w:tcW w:w="830" w:type="pct"/>
                  <w:vMerge w:val="continue"/>
                  <w:tcBorders>
                    <w:tl2br w:val="nil"/>
                    <w:tr2bl w:val="nil"/>
                  </w:tcBorders>
                  <w:vAlign w:val="center"/>
                </w:tcPr>
                <w:p w14:paraId="2D5D18E4">
                  <w:pPr>
                    <w:jc w:val="center"/>
                    <w:rPr>
                      <w:rFonts w:ascii="Times New Roman" w:hAnsi="Times New Roman"/>
                      <w:color w:val="auto"/>
                      <w:sz w:val="18"/>
                      <w:szCs w:val="18"/>
                      <w:vertAlign w:val="baseline"/>
                    </w:rPr>
                  </w:pPr>
                </w:p>
              </w:tc>
            </w:tr>
            <w:tr w14:paraId="6BB8B1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8" w:hRule="atLeast"/>
              </w:trPr>
              <w:tc>
                <w:tcPr>
                  <w:tcW w:w="569" w:type="pct"/>
                  <w:tcBorders>
                    <w:tl2br w:val="nil"/>
                    <w:tr2bl w:val="nil"/>
                  </w:tcBorders>
                  <w:vAlign w:val="center"/>
                </w:tcPr>
                <w:p w14:paraId="6566A185">
                  <w:pPr>
                    <w:jc w:val="center"/>
                    <w:rPr>
                      <w:rFonts w:hint="default"/>
                      <w:color w:val="auto"/>
                      <w:sz w:val="18"/>
                      <w:szCs w:val="18"/>
                      <w:vertAlign w:val="baseline"/>
                      <w:lang w:val="en-US" w:eastAsia="zh-CN"/>
                    </w:rPr>
                  </w:pPr>
                  <w:r>
                    <w:rPr>
                      <w:rFonts w:hint="eastAsia"/>
                      <w:color w:val="auto"/>
                      <w:sz w:val="18"/>
                      <w:szCs w:val="18"/>
                      <w:vertAlign w:val="baseline"/>
                      <w:lang w:val="en-US" w:eastAsia="zh-CN"/>
                    </w:rPr>
                    <w:t>混凝土土搅拌</w:t>
                  </w:r>
                </w:p>
              </w:tc>
              <w:tc>
                <w:tcPr>
                  <w:tcW w:w="867" w:type="pct"/>
                  <w:tcBorders>
                    <w:tl2br w:val="nil"/>
                    <w:tr2bl w:val="nil"/>
                  </w:tcBorders>
                  <w:vAlign w:val="center"/>
                </w:tcPr>
                <w:p w14:paraId="2F80CEB2">
                  <w:pPr>
                    <w:jc w:val="center"/>
                    <w:rPr>
                      <w:rFonts w:hint="default"/>
                      <w:color w:val="auto"/>
                      <w:sz w:val="18"/>
                      <w:szCs w:val="18"/>
                      <w:lang w:val="en-US" w:eastAsia="zh-CN"/>
                    </w:rPr>
                  </w:pPr>
                  <w:r>
                    <w:rPr>
                      <w:rFonts w:hint="eastAsia"/>
                      <w:color w:val="auto"/>
                      <w:sz w:val="18"/>
                      <w:szCs w:val="18"/>
                      <w:lang w:val="en-US" w:eastAsia="zh-CN"/>
                    </w:rPr>
                    <w:t>0.20m</w:t>
                  </w:r>
                  <w:r>
                    <w:rPr>
                      <w:rFonts w:hint="eastAsia"/>
                      <w:color w:val="auto"/>
                      <w:sz w:val="18"/>
                      <w:szCs w:val="18"/>
                      <w:vertAlign w:val="superscript"/>
                      <w:lang w:val="en-US" w:eastAsia="zh-CN"/>
                    </w:rPr>
                    <w:t>3</w:t>
                  </w:r>
                  <w:r>
                    <w:rPr>
                      <w:rFonts w:hint="eastAsia"/>
                      <w:color w:val="auto"/>
                      <w:sz w:val="18"/>
                      <w:szCs w:val="18"/>
                      <w:lang w:val="en-US" w:eastAsia="zh-CN"/>
                    </w:rPr>
                    <w:t>/m</w:t>
                  </w:r>
                  <w:r>
                    <w:rPr>
                      <w:rFonts w:hint="eastAsia"/>
                      <w:color w:val="auto"/>
                      <w:sz w:val="18"/>
                      <w:szCs w:val="18"/>
                      <w:vertAlign w:val="superscript"/>
                      <w:lang w:val="en-US" w:eastAsia="zh-CN"/>
                    </w:rPr>
                    <w:t>3</w:t>
                  </w:r>
                  <w:r>
                    <w:rPr>
                      <w:rFonts w:hint="eastAsia"/>
                      <w:color w:val="auto"/>
                      <w:sz w:val="18"/>
                      <w:szCs w:val="18"/>
                      <w:lang w:val="en-US" w:eastAsia="zh-CN"/>
                    </w:rPr>
                    <w:t>-产品</w:t>
                  </w:r>
                </w:p>
              </w:tc>
              <w:tc>
                <w:tcPr>
                  <w:tcW w:w="694" w:type="pct"/>
                  <w:tcBorders>
                    <w:tl2br w:val="nil"/>
                    <w:tr2bl w:val="nil"/>
                  </w:tcBorders>
                  <w:vAlign w:val="center"/>
                </w:tcPr>
                <w:p w14:paraId="4E897B15">
                  <w:pPr>
                    <w:jc w:val="center"/>
                    <w:rPr>
                      <w:rFonts w:hint="default"/>
                      <w:color w:val="auto"/>
                      <w:sz w:val="18"/>
                      <w:szCs w:val="18"/>
                      <w:lang w:val="en-US" w:eastAsia="zh-CN"/>
                    </w:rPr>
                  </w:pPr>
                  <w:r>
                    <w:rPr>
                      <w:rFonts w:hint="eastAsia"/>
                      <w:color w:val="auto"/>
                      <w:sz w:val="18"/>
                      <w:szCs w:val="18"/>
                      <w:lang w:val="en-US" w:eastAsia="zh-CN"/>
                    </w:rPr>
                    <w:t>20万m</w:t>
                  </w:r>
                  <w:r>
                    <w:rPr>
                      <w:rFonts w:hint="eastAsia"/>
                      <w:color w:val="auto"/>
                      <w:sz w:val="18"/>
                      <w:szCs w:val="18"/>
                      <w:vertAlign w:val="superscript"/>
                      <w:lang w:val="en-US" w:eastAsia="zh-CN"/>
                    </w:rPr>
                    <w:t>3</w:t>
                  </w:r>
                  <w:r>
                    <w:rPr>
                      <w:rFonts w:hint="eastAsia"/>
                      <w:color w:val="auto"/>
                      <w:sz w:val="18"/>
                      <w:szCs w:val="18"/>
                      <w:lang w:val="en-US" w:eastAsia="zh-CN"/>
                    </w:rPr>
                    <w:t>/a</w:t>
                  </w:r>
                </w:p>
              </w:tc>
              <w:tc>
                <w:tcPr>
                  <w:tcW w:w="551" w:type="pct"/>
                  <w:tcBorders>
                    <w:tl2br w:val="nil"/>
                    <w:tr2bl w:val="nil"/>
                  </w:tcBorders>
                  <w:vAlign w:val="center"/>
                </w:tcPr>
                <w:p w14:paraId="18B0F252">
                  <w:pPr>
                    <w:jc w:val="center"/>
                    <w:rPr>
                      <w:rFonts w:hint="default" w:eastAsia="宋体"/>
                      <w:color w:val="auto"/>
                      <w:sz w:val="18"/>
                      <w:szCs w:val="18"/>
                      <w:lang w:val="en-US" w:eastAsia="zh-CN"/>
                    </w:rPr>
                  </w:pPr>
                  <w:r>
                    <w:rPr>
                      <w:rFonts w:hint="eastAsia"/>
                      <w:color w:val="auto"/>
                      <w:sz w:val="18"/>
                      <w:szCs w:val="18"/>
                      <w:lang w:val="en-US" w:eastAsia="zh-CN"/>
                    </w:rPr>
                    <w:t>266.67</w:t>
                  </w:r>
                </w:p>
              </w:tc>
              <w:tc>
                <w:tcPr>
                  <w:tcW w:w="646" w:type="pct"/>
                  <w:tcBorders>
                    <w:tl2br w:val="nil"/>
                    <w:tr2bl w:val="nil"/>
                  </w:tcBorders>
                  <w:vAlign w:val="center"/>
                </w:tcPr>
                <w:p w14:paraId="3DB7626B">
                  <w:pPr>
                    <w:jc w:val="center"/>
                    <w:rPr>
                      <w:rFonts w:hint="default" w:eastAsia="宋体"/>
                      <w:color w:val="auto"/>
                      <w:sz w:val="18"/>
                      <w:szCs w:val="18"/>
                      <w:lang w:val="en-US" w:eastAsia="zh-CN"/>
                    </w:rPr>
                  </w:pPr>
                  <w:r>
                    <w:rPr>
                      <w:rFonts w:hint="eastAsia"/>
                      <w:color w:val="auto"/>
                      <w:sz w:val="18"/>
                      <w:szCs w:val="18"/>
                      <w:lang w:val="en-US" w:eastAsia="zh-CN"/>
                    </w:rPr>
                    <w:t>40000</w:t>
                  </w:r>
                </w:p>
              </w:tc>
              <w:tc>
                <w:tcPr>
                  <w:tcW w:w="440" w:type="pct"/>
                  <w:tcBorders>
                    <w:tl2br w:val="nil"/>
                    <w:tr2bl w:val="nil"/>
                  </w:tcBorders>
                  <w:vAlign w:val="center"/>
                </w:tcPr>
                <w:p w14:paraId="051E2EEB">
                  <w:pPr>
                    <w:jc w:val="center"/>
                    <w:rPr>
                      <w:rFonts w:hint="default" w:eastAsia="宋体"/>
                      <w:color w:val="auto"/>
                      <w:sz w:val="18"/>
                      <w:szCs w:val="18"/>
                      <w:lang w:val="en-US" w:eastAsia="zh-CN"/>
                    </w:rPr>
                  </w:pPr>
                  <w:r>
                    <w:rPr>
                      <w:rFonts w:hint="eastAsia"/>
                      <w:color w:val="auto"/>
                      <w:sz w:val="18"/>
                      <w:szCs w:val="18"/>
                      <w:lang w:val="en-US" w:eastAsia="zh-CN"/>
                    </w:rPr>
                    <w:t>//</w:t>
                  </w:r>
                </w:p>
              </w:tc>
              <w:tc>
                <w:tcPr>
                  <w:tcW w:w="400" w:type="pct"/>
                  <w:tcBorders>
                    <w:tl2br w:val="nil"/>
                    <w:tr2bl w:val="nil"/>
                  </w:tcBorders>
                  <w:vAlign w:val="center"/>
                </w:tcPr>
                <w:p w14:paraId="5D144CD0">
                  <w:pPr>
                    <w:jc w:val="center"/>
                    <w:rPr>
                      <w:rFonts w:hint="default" w:eastAsia="宋体"/>
                      <w:color w:val="auto"/>
                      <w:sz w:val="18"/>
                      <w:szCs w:val="18"/>
                      <w:lang w:val="en-US" w:eastAsia="zh-CN"/>
                    </w:rPr>
                  </w:pPr>
                  <w:r>
                    <w:rPr>
                      <w:rFonts w:hint="eastAsia"/>
                      <w:color w:val="auto"/>
                      <w:sz w:val="18"/>
                      <w:szCs w:val="18"/>
                      <w:lang w:val="en-US" w:eastAsia="zh-CN"/>
                    </w:rPr>
                    <w:t>//</w:t>
                  </w:r>
                </w:p>
              </w:tc>
              <w:tc>
                <w:tcPr>
                  <w:tcW w:w="830" w:type="pct"/>
                  <w:tcBorders>
                    <w:tl2br w:val="nil"/>
                    <w:tr2bl w:val="nil"/>
                  </w:tcBorders>
                  <w:vAlign w:val="center"/>
                </w:tcPr>
                <w:p w14:paraId="429BAAD7">
                  <w:pPr>
                    <w:jc w:val="center"/>
                    <w:rPr>
                      <w:rFonts w:hint="default" w:ascii="Times New Roman" w:hAnsi="Times New Roman"/>
                      <w:color w:val="auto"/>
                      <w:sz w:val="18"/>
                      <w:szCs w:val="18"/>
                      <w:vertAlign w:val="baseline"/>
                      <w:lang w:val="en-US"/>
                    </w:rPr>
                  </w:pPr>
                  <w:r>
                    <w:rPr>
                      <w:rFonts w:hint="eastAsia"/>
                      <w:color w:val="auto"/>
                      <w:sz w:val="18"/>
                      <w:szCs w:val="18"/>
                      <w:lang w:val="en-US" w:eastAsia="zh-CN"/>
                    </w:rPr>
                    <w:t>//</w:t>
                  </w:r>
                </w:p>
              </w:tc>
            </w:tr>
            <w:tr w14:paraId="607DD9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8" w:hRule="atLeast"/>
              </w:trPr>
              <w:tc>
                <w:tcPr>
                  <w:tcW w:w="569" w:type="pct"/>
                  <w:tcBorders>
                    <w:tl2br w:val="nil"/>
                    <w:tr2bl w:val="nil"/>
                  </w:tcBorders>
                  <w:vAlign w:val="center"/>
                </w:tcPr>
                <w:p w14:paraId="36404A01">
                  <w:pPr>
                    <w:jc w:val="center"/>
                    <w:rPr>
                      <w:rFonts w:hint="eastAsia"/>
                      <w:color w:val="auto"/>
                      <w:sz w:val="18"/>
                      <w:szCs w:val="18"/>
                      <w:vertAlign w:val="baseline"/>
                      <w:lang w:val="en-US" w:eastAsia="zh-CN"/>
                    </w:rPr>
                  </w:pPr>
                  <w:r>
                    <w:rPr>
                      <w:rFonts w:hint="eastAsia"/>
                      <w:color w:val="auto"/>
                      <w:sz w:val="18"/>
                      <w:szCs w:val="18"/>
                      <w:vertAlign w:val="baseline"/>
                      <w:lang w:val="en-US" w:eastAsia="zh-CN"/>
                    </w:rPr>
                    <w:t>水稳土搅拌</w:t>
                  </w:r>
                </w:p>
              </w:tc>
              <w:tc>
                <w:tcPr>
                  <w:tcW w:w="867" w:type="pct"/>
                  <w:tcBorders>
                    <w:tl2br w:val="nil"/>
                    <w:tr2bl w:val="nil"/>
                  </w:tcBorders>
                  <w:shd w:val="clear" w:color="auto" w:fill="auto"/>
                  <w:vAlign w:val="center"/>
                </w:tcPr>
                <w:p w14:paraId="6166A06C">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0.15m</w:t>
                  </w:r>
                  <w:r>
                    <w:rPr>
                      <w:rFonts w:hint="eastAsia"/>
                      <w:color w:val="auto"/>
                      <w:sz w:val="18"/>
                      <w:szCs w:val="18"/>
                      <w:vertAlign w:val="superscript"/>
                      <w:lang w:val="en-US" w:eastAsia="zh-CN"/>
                    </w:rPr>
                    <w:t>3</w:t>
                  </w:r>
                  <w:r>
                    <w:rPr>
                      <w:rFonts w:hint="eastAsia"/>
                      <w:color w:val="auto"/>
                      <w:sz w:val="18"/>
                      <w:szCs w:val="18"/>
                      <w:lang w:val="en-US" w:eastAsia="zh-CN"/>
                    </w:rPr>
                    <w:t>//m</w:t>
                  </w:r>
                  <w:r>
                    <w:rPr>
                      <w:rFonts w:hint="eastAsia"/>
                      <w:color w:val="auto"/>
                      <w:sz w:val="18"/>
                      <w:szCs w:val="18"/>
                      <w:vertAlign w:val="superscript"/>
                      <w:lang w:val="en-US" w:eastAsia="zh-CN"/>
                    </w:rPr>
                    <w:t>3</w:t>
                  </w:r>
                  <w:r>
                    <w:rPr>
                      <w:rFonts w:hint="eastAsia"/>
                      <w:color w:val="auto"/>
                      <w:sz w:val="18"/>
                      <w:szCs w:val="18"/>
                      <w:lang w:val="en-US" w:eastAsia="zh-CN"/>
                    </w:rPr>
                    <w:t>-产品</w:t>
                  </w:r>
                </w:p>
              </w:tc>
              <w:tc>
                <w:tcPr>
                  <w:tcW w:w="694" w:type="pct"/>
                  <w:tcBorders>
                    <w:tl2br w:val="nil"/>
                    <w:tr2bl w:val="nil"/>
                  </w:tcBorders>
                  <w:shd w:val="clear" w:color="auto" w:fill="auto"/>
                  <w:vAlign w:val="center"/>
                </w:tcPr>
                <w:p w14:paraId="774D6803">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5万m</w:t>
                  </w:r>
                  <w:r>
                    <w:rPr>
                      <w:rFonts w:hint="eastAsia"/>
                      <w:color w:val="auto"/>
                      <w:sz w:val="18"/>
                      <w:szCs w:val="18"/>
                      <w:vertAlign w:val="superscript"/>
                      <w:lang w:val="en-US" w:eastAsia="zh-CN"/>
                    </w:rPr>
                    <w:t>3</w:t>
                  </w:r>
                  <w:r>
                    <w:rPr>
                      <w:rFonts w:hint="eastAsia"/>
                      <w:color w:val="auto"/>
                      <w:sz w:val="18"/>
                      <w:szCs w:val="18"/>
                      <w:lang w:val="en-US" w:eastAsia="zh-CN"/>
                    </w:rPr>
                    <w:t>/a</w:t>
                  </w:r>
                </w:p>
              </w:tc>
              <w:tc>
                <w:tcPr>
                  <w:tcW w:w="551" w:type="pct"/>
                  <w:tcBorders>
                    <w:tl2br w:val="nil"/>
                    <w:tr2bl w:val="nil"/>
                  </w:tcBorders>
                  <w:shd w:val="clear" w:color="auto" w:fill="auto"/>
                  <w:vAlign w:val="center"/>
                </w:tcPr>
                <w:p w14:paraId="0B265688">
                  <w:pPr>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50</w:t>
                  </w:r>
                </w:p>
              </w:tc>
              <w:tc>
                <w:tcPr>
                  <w:tcW w:w="646" w:type="pct"/>
                  <w:tcBorders>
                    <w:tl2br w:val="nil"/>
                    <w:tr2bl w:val="nil"/>
                  </w:tcBorders>
                  <w:shd w:val="clear" w:color="auto" w:fill="auto"/>
                  <w:vAlign w:val="center"/>
                </w:tcPr>
                <w:p w14:paraId="2F4FCCE9">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7500</w:t>
                  </w:r>
                </w:p>
              </w:tc>
              <w:tc>
                <w:tcPr>
                  <w:tcW w:w="440" w:type="pct"/>
                  <w:tcBorders>
                    <w:tl2br w:val="nil"/>
                    <w:tr2bl w:val="nil"/>
                  </w:tcBorders>
                  <w:vAlign w:val="center"/>
                </w:tcPr>
                <w:p w14:paraId="7EB567CA">
                  <w:pPr>
                    <w:jc w:val="center"/>
                    <w:rPr>
                      <w:rFonts w:hint="eastAsia"/>
                      <w:color w:val="auto"/>
                      <w:sz w:val="18"/>
                      <w:szCs w:val="18"/>
                      <w:lang w:val="en-US" w:eastAsia="zh-CN"/>
                    </w:rPr>
                  </w:pPr>
                </w:p>
              </w:tc>
              <w:tc>
                <w:tcPr>
                  <w:tcW w:w="400" w:type="pct"/>
                  <w:tcBorders>
                    <w:tl2br w:val="nil"/>
                    <w:tr2bl w:val="nil"/>
                  </w:tcBorders>
                  <w:vAlign w:val="center"/>
                </w:tcPr>
                <w:p w14:paraId="4C1455C9">
                  <w:pPr>
                    <w:jc w:val="center"/>
                    <w:rPr>
                      <w:rFonts w:hint="eastAsia"/>
                      <w:color w:val="auto"/>
                      <w:sz w:val="18"/>
                      <w:szCs w:val="18"/>
                      <w:lang w:val="en-US" w:eastAsia="zh-CN"/>
                    </w:rPr>
                  </w:pPr>
                </w:p>
              </w:tc>
              <w:tc>
                <w:tcPr>
                  <w:tcW w:w="830" w:type="pct"/>
                  <w:tcBorders>
                    <w:tl2br w:val="nil"/>
                    <w:tr2bl w:val="nil"/>
                  </w:tcBorders>
                  <w:vAlign w:val="center"/>
                </w:tcPr>
                <w:p w14:paraId="6993FD58">
                  <w:pPr>
                    <w:jc w:val="center"/>
                    <w:rPr>
                      <w:rFonts w:hint="eastAsia"/>
                      <w:color w:val="auto"/>
                      <w:sz w:val="18"/>
                      <w:szCs w:val="18"/>
                      <w:lang w:val="en-US" w:eastAsia="zh-CN"/>
                    </w:rPr>
                  </w:pPr>
                </w:p>
              </w:tc>
            </w:tr>
            <w:tr w14:paraId="55CC53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69" w:type="pct"/>
                  <w:tcBorders>
                    <w:tl2br w:val="nil"/>
                    <w:tr2bl w:val="nil"/>
                  </w:tcBorders>
                  <w:vAlign w:val="center"/>
                </w:tcPr>
                <w:p w14:paraId="0F5127AA">
                  <w:pPr>
                    <w:jc w:val="center"/>
                    <w:rPr>
                      <w:rFonts w:hint="default" w:ascii="Times New Roman" w:hAnsi="Times New Roman" w:eastAsia="宋体"/>
                      <w:color w:val="auto"/>
                      <w:sz w:val="18"/>
                      <w:szCs w:val="18"/>
                      <w:vertAlign w:val="baseline"/>
                      <w:lang w:val="en-US" w:eastAsia="zh-CN"/>
                    </w:rPr>
                  </w:pPr>
                  <w:r>
                    <w:rPr>
                      <w:rFonts w:hint="eastAsia"/>
                      <w:color w:val="auto"/>
                      <w:sz w:val="18"/>
                      <w:szCs w:val="18"/>
                      <w:vertAlign w:val="baseline"/>
                      <w:lang w:val="en-US" w:eastAsia="zh-CN"/>
                    </w:rPr>
                    <w:t>搅拌机组清洗</w:t>
                  </w:r>
                </w:p>
              </w:tc>
              <w:tc>
                <w:tcPr>
                  <w:tcW w:w="1561" w:type="pct"/>
                  <w:gridSpan w:val="2"/>
                  <w:tcBorders>
                    <w:tl2br w:val="nil"/>
                    <w:tr2bl w:val="nil"/>
                  </w:tcBorders>
                  <w:vAlign w:val="center"/>
                </w:tcPr>
                <w:p w14:paraId="00DBA346">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5d/冲洗1次，每次用水量2.5m</w:t>
                  </w:r>
                  <w:r>
                    <w:rPr>
                      <w:rFonts w:hint="eastAsia" w:cs="Times New Roman"/>
                      <w:color w:val="auto"/>
                      <w:kern w:val="2"/>
                      <w:sz w:val="18"/>
                      <w:szCs w:val="18"/>
                      <w:vertAlign w:val="superscript"/>
                      <w:lang w:val="en-US" w:eastAsia="zh-CN" w:bidi="ar-SA"/>
                    </w:rPr>
                    <w:t>3</w:t>
                  </w:r>
                </w:p>
              </w:tc>
              <w:tc>
                <w:tcPr>
                  <w:tcW w:w="551" w:type="pct"/>
                  <w:tcBorders>
                    <w:tl2br w:val="nil"/>
                    <w:tr2bl w:val="nil"/>
                  </w:tcBorders>
                  <w:vAlign w:val="center"/>
                </w:tcPr>
                <w:p w14:paraId="1CA1E685">
                  <w:pPr>
                    <w:jc w:val="center"/>
                    <w:rPr>
                      <w:rFonts w:hint="default" w:ascii="Times New Roman" w:hAnsi="Times New Roman" w:eastAsia="宋体"/>
                      <w:color w:val="auto"/>
                      <w:sz w:val="18"/>
                      <w:szCs w:val="18"/>
                      <w:vertAlign w:val="baseline"/>
                      <w:lang w:val="en-US" w:eastAsia="zh-CN"/>
                    </w:rPr>
                  </w:pPr>
                  <w:r>
                    <w:rPr>
                      <w:rFonts w:hint="eastAsia"/>
                      <w:color w:val="auto"/>
                      <w:sz w:val="18"/>
                      <w:szCs w:val="18"/>
                      <w:vertAlign w:val="baseline"/>
                      <w:lang w:val="en-US" w:eastAsia="zh-CN"/>
                    </w:rPr>
                    <w:t>0.5</w:t>
                  </w:r>
                </w:p>
              </w:tc>
              <w:tc>
                <w:tcPr>
                  <w:tcW w:w="646" w:type="pct"/>
                  <w:tcBorders>
                    <w:tl2br w:val="nil"/>
                    <w:tr2bl w:val="nil"/>
                  </w:tcBorders>
                  <w:vAlign w:val="center"/>
                </w:tcPr>
                <w:p w14:paraId="4739E2C8">
                  <w:pPr>
                    <w:jc w:val="center"/>
                    <w:rPr>
                      <w:rFonts w:hint="default" w:eastAsia="宋体"/>
                      <w:color w:val="auto"/>
                      <w:sz w:val="18"/>
                      <w:szCs w:val="18"/>
                      <w:lang w:val="en-US" w:eastAsia="zh-CN"/>
                    </w:rPr>
                  </w:pPr>
                  <w:r>
                    <w:rPr>
                      <w:rFonts w:hint="eastAsia"/>
                      <w:color w:val="auto"/>
                      <w:sz w:val="18"/>
                      <w:szCs w:val="18"/>
                      <w:lang w:val="en-US" w:eastAsia="zh-CN"/>
                    </w:rPr>
                    <w:t>75</w:t>
                  </w:r>
                </w:p>
              </w:tc>
              <w:tc>
                <w:tcPr>
                  <w:tcW w:w="440" w:type="pct"/>
                  <w:tcBorders>
                    <w:tl2br w:val="nil"/>
                    <w:tr2bl w:val="nil"/>
                  </w:tcBorders>
                  <w:vAlign w:val="center"/>
                </w:tcPr>
                <w:p w14:paraId="0ED82179">
                  <w:pPr>
                    <w:jc w:val="center"/>
                    <w:rPr>
                      <w:rFonts w:hint="default" w:ascii="Times New Roman" w:hAnsi="Times New Roman" w:eastAsia="宋体"/>
                      <w:color w:val="auto"/>
                      <w:sz w:val="18"/>
                      <w:szCs w:val="18"/>
                      <w:vertAlign w:val="baseline"/>
                      <w:lang w:val="en-US" w:eastAsia="zh-CN"/>
                    </w:rPr>
                  </w:pPr>
                  <w:r>
                    <w:rPr>
                      <w:rFonts w:hint="eastAsia"/>
                      <w:color w:val="auto"/>
                      <w:sz w:val="18"/>
                      <w:szCs w:val="18"/>
                      <w:vertAlign w:val="baseline"/>
                      <w:lang w:val="en-US" w:eastAsia="zh-CN"/>
                    </w:rPr>
                    <w:t>0.4</w:t>
                  </w:r>
                </w:p>
              </w:tc>
              <w:tc>
                <w:tcPr>
                  <w:tcW w:w="400" w:type="pct"/>
                  <w:tcBorders>
                    <w:tl2br w:val="nil"/>
                    <w:tr2bl w:val="nil"/>
                  </w:tcBorders>
                  <w:vAlign w:val="center"/>
                </w:tcPr>
                <w:p w14:paraId="53F37B01">
                  <w:pPr>
                    <w:jc w:val="center"/>
                    <w:rPr>
                      <w:rFonts w:hint="default"/>
                      <w:color w:val="auto"/>
                      <w:sz w:val="18"/>
                      <w:szCs w:val="18"/>
                      <w:lang w:val="en-US" w:eastAsia="zh-CN"/>
                    </w:rPr>
                  </w:pPr>
                  <w:r>
                    <w:rPr>
                      <w:rFonts w:hint="eastAsia"/>
                      <w:color w:val="auto"/>
                      <w:sz w:val="18"/>
                      <w:szCs w:val="18"/>
                      <w:lang w:val="en-US" w:eastAsia="zh-CN"/>
                    </w:rPr>
                    <w:t>60</w:t>
                  </w:r>
                </w:p>
              </w:tc>
              <w:tc>
                <w:tcPr>
                  <w:tcW w:w="830" w:type="pct"/>
                  <w:vMerge w:val="restart"/>
                  <w:tcBorders>
                    <w:tl2br w:val="nil"/>
                    <w:tr2bl w:val="nil"/>
                  </w:tcBorders>
                  <w:vAlign w:val="center"/>
                </w:tcPr>
                <w:p w14:paraId="78D8854A">
                  <w:pPr>
                    <w:jc w:val="center"/>
                    <w:rPr>
                      <w:rFonts w:hint="default" w:ascii="Times New Roman" w:hAnsi="Times New Roman" w:eastAsia="宋体"/>
                      <w:color w:val="auto"/>
                      <w:sz w:val="18"/>
                      <w:szCs w:val="18"/>
                      <w:vertAlign w:val="baseline"/>
                      <w:lang w:val="en-US" w:eastAsia="zh-CN"/>
                    </w:rPr>
                  </w:pPr>
                  <w:r>
                    <w:rPr>
                      <w:rFonts w:hint="eastAsia"/>
                      <w:color w:val="auto"/>
                      <w:sz w:val="18"/>
                      <w:szCs w:val="18"/>
                      <w:vertAlign w:val="baseline"/>
                      <w:lang w:val="en-US" w:eastAsia="zh-CN"/>
                    </w:rPr>
                    <w:t>沉淀池</w:t>
                  </w:r>
                </w:p>
              </w:tc>
            </w:tr>
            <w:tr w14:paraId="2354D5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63" w:hRule="atLeast"/>
              </w:trPr>
              <w:tc>
                <w:tcPr>
                  <w:tcW w:w="569" w:type="pct"/>
                  <w:tcBorders>
                    <w:tl2br w:val="nil"/>
                    <w:tr2bl w:val="nil"/>
                  </w:tcBorders>
                  <w:vAlign w:val="center"/>
                </w:tcPr>
                <w:p w14:paraId="5813CD74">
                  <w:pPr>
                    <w:jc w:val="center"/>
                    <w:rPr>
                      <w:rFonts w:hint="default"/>
                      <w:color w:val="auto"/>
                      <w:sz w:val="18"/>
                      <w:szCs w:val="18"/>
                      <w:vertAlign w:val="baseline"/>
                      <w:lang w:val="en-US" w:eastAsia="zh-CN"/>
                    </w:rPr>
                  </w:pPr>
                  <w:r>
                    <w:rPr>
                      <w:rFonts w:hint="eastAsia"/>
                      <w:color w:val="auto"/>
                      <w:sz w:val="18"/>
                      <w:szCs w:val="18"/>
                      <w:vertAlign w:val="baseline"/>
                      <w:lang w:val="en-US" w:eastAsia="zh-CN"/>
                    </w:rPr>
                    <w:t>搅拌场地冲洗</w:t>
                  </w:r>
                </w:p>
              </w:tc>
              <w:tc>
                <w:tcPr>
                  <w:tcW w:w="1561" w:type="pct"/>
                  <w:gridSpan w:val="2"/>
                  <w:tcBorders>
                    <w:tl2br w:val="nil"/>
                    <w:tr2bl w:val="nil"/>
                  </w:tcBorders>
                  <w:vAlign w:val="center"/>
                </w:tcPr>
                <w:p w14:paraId="196397E1">
                  <w:pPr>
                    <w:jc w:val="center"/>
                    <w:rPr>
                      <w:rFonts w:hint="default"/>
                      <w:color w:val="auto"/>
                      <w:sz w:val="18"/>
                      <w:szCs w:val="18"/>
                      <w:lang w:val="en-US" w:eastAsia="zh-CN"/>
                    </w:rPr>
                  </w:pPr>
                  <w:r>
                    <w:rPr>
                      <w:rFonts w:hint="eastAsia" w:cs="Times New Roman"/>
                      <w:color w:val="auto"/>
                      <w:kern w:val="2"/>
                      <w:sz w:val="18"/>
                      <w:szCs w:val="18"/>
                      <w:lang w:val="en-US" w:eastAsia="zh-CN" w:bidi="ar-SA"/>
                    </w:rPr>
                    <w:t>5d/冲洗1次，每次用水量2.0m</w:t>
                  </w:r>
                  <w:r>
                    <w:rPr>
                      <w:rFonts w:hint="eastAsia" w:cs="Times New Roman"/>
                      <w:color w:val="auto"/>
                      <w:kern w:val="2"/>
                      <w:sz w:val="18"/>
                      <w:szCs w:val="18"/>
                      <w:vertAlign w:val="superscript"/>
                      <w:lang w:val="en-US" w:eastAsia="zh-CN" w:bidi="ar-SA"/>
                    </w:rPr>
                    <w:t>3</w:t>
                  </w:r>
                </w:p>
              </w:tc>
              <w:tc>
                <w:tcPr>
                  <w:tcW w:w="551" w:type="pct"/>
                  <w:tcBorders>
                    <w:tl2br w:val="nil"/>
                    <w:tr2bl w:val="nil"/>
                  </w:tcBorders>
                  <w:vAlign w:val="center"/>
                </w:tcPr>
                <w:p w14:paraId="24AEF007">
                  <w:pPr>
                    <w:jc w:val="center"/>
                    <w:rPr>
                      <w:rFonts w:hint="default"/>
                      <w:color w:val="auto"/>
                      <w:sz w:val="18"/>
                      <w:szCs w:val="18"/>
                      <w:lang w:val="en-US" w:eastAsia="zh-CN"/>
                    </w:rPr>
                  </w:pPr>
                  <w:r>
                    <w:rPr>
                      <w:rFonts w:hint="eastAsia"/>
                      <w:color w:val="auto"/>
                      <w:sz w:val="18"/>
                      <w:szCs w:val="18"/>
                      <w:lang w:val="en-US" w:eastAsia="zh-CN"/>
                    </w:rPr>
                    <w:t>0.4</w:t>
                  </w:r>
                </w:p>
              </w:tc>
              <w:tc>
                <w:tcPr>
                  <w:tcW w:w="646" w:type="pct"/>
                  <w:tcBorders>
                    <w:tl2br w:val="nil"/>
                    <w:tr2bl w:val="nil"/>
                  </w:tcBorders>
                  <w:vAlign w:val="center"/>
                </w:tcPr>
                <w:p w14:paraId="01110DFF">
                  <w:pPr>
                    <w:jc w:val="center"/>
                    <w:rPr>
                      <w:rFonts w:hint="default"/>
                      <w:color w:val="auto"/>
                      <w:sz w:val="18"/>
                      <w:szCs w:val="18"/>
                      <w:lang w:val="en-US" w:eastAsia="zh-CN"/>
                    </w:rPr>
                  </w:pPr>
                  <w:r>
                    <w:rPr>
                      <w:rFonts w:hint="eastAsia"/>
                      <w:color w:val="auto"/>
                      <w:sz w:val="18"/>
                      <w:szCs w:val="18"/>
                      <w:lang w:val="en-US" w:eastAsia="zh-CN"/>
                    </w:rPr>
                    <w:t>80</w:t>
                  </w:r>
                </w:p>
              </w:tc>
              <w:tc>
                <w:tcPr>
                  <w:tcW w:w="440" w:type="pct"/>
                  <w:tcBorders>
                    <w:tl2br w:val="nil"/>
                    <w:tr2bl w:val="nil"/>
                  </w:tcBorders>
                  <w:vAlign w:val="center"/>
                </w:tcPr>
                <w:p w14:paraId="3994F9EB">
                  <w:pPr>
                    <w:jc w:val="center"/>
                    <w:rPr>
                      <w:rFonts w:hint="default"/>
                      <w:color w:val="auto"/>
                      <w:sz w:val="18"/>
                      <w:szCs w:val="18"/>
                      <w:vertAlign w:val="baseline"/>
                      <w:lang w:val="en-US" w:eastAsia="zh-CN"/>
                    </w:rPr>
                  </w:pPr>
                  <w:r>
                    <w:rPr>
                      <w:rFonts w:hint="eastAsia"/>
                      <w:color w:val="auto"/>
                      <w:sz w:val="18"/>
                      <w:szCs w:val="18"/>
                      <w:vertAlign w:val="baseline"/>
                      <w:lang w:val="en-US" w:eastAsia="zh-CN"/>
                    </w:rPr>
                    <w:t>0.32</w:t>
                  </w:r>
                </w:p>
              </w:tc>
              <w:tc>
                <w:tcPr>
                  <w:tcW w:w="400" w:type="pct"/>
                  <w:tcBorders>
                    <w:tl2br w:val="nil"/>
                    <w:tr2bl w:val="nil"/>
                  </w:tcBorders>
                  <w:vAlign w:val="center"/>
                </w:tcPr>
                <w:p w14:paraId="28C4818E">
                  <w:pPr>
                    <w:jc w:val="center"/>
                    <w:rPr>
                      <w:rFonts w:hint="default"/>
                      <w:color w:val="auto"/>
                      <w:sz w:val="18"/>
                      <w:szCs w:val="18"/>
                      <w:lang w:val="en-US" w:eastAsia="zh-CN"/>
                    </w:rPr>
                  </w:pPr>
                  <w:r>
                    <w:rPr>
                      <w:rFonts w:hint="eastAsia"/>
                      <w:color w:val="auto"/>
                      <w:sz w:val="18"/>
                      <w:szCs w:val="18"/>
                      <w:lang w:val="en-US" w:eastAsia="zh-CN"/>
                    </w:rPr>
                    <w:t>48</w:t>
                  </w:r>
                </w:p>
              </w:tc>
              <w:tc>
                <w:tcPr>
                  <w:tcW w:w="830" w:type="pct"/>
                  <w:vMerge w:val="continue"/>
                  <w:tcBorders>
                    <w:tl2br w:val="nil"/>
                    <w:tr2bl w:val="nil"/>
                  </w:tcBorders>
                  <w:vAlign w:val="center"/>
                </w:tcPr>
                <w:p w14:paraId="27F25642">
                  <w:pPr>
                    <w:jc w:val="center"/>
                    <w:rPr>
                      <w:rFonts w:hint="eastAsia"/>
                      <w:color w:val="auto"/>
                      <w:sz w:val="18"/>
                      <w:szCs w:val="18"/>
                      <w:vertAlign w:val="baseline"/>
                      <w:lang w:val="en-US" w:eastAsia="zh-CN"/>
                    </w:rPr>
                  </w:pPr>
                </w:p>
              </w:tc>
            </w:tr>
            <w:tr w14:paraId="5DAF43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69" w:type="pct"/>
                  <w:tcBorders>
                    <w:tl2br w:val="nil"/>
                    <w:tr2bl w:val="nil"/>
                  </w:tcBorders>
                  <w:vAlign w:val="center"/>
                </w:tcPr>
                <w:p w14:paraId="3FDE3D05">
                  <w:pPr>
                    <w:jc w:val="center"/>
                    <w:rPr>
                      <w:rFonts w:hint="default"/>
                      <w:color w:val="auto"/>
                      <w:sz w:val="18"/>
                      <w:szCs w:val="18"/>
                      <w:vertAlign w:val="baseline"/>
                      <w:lang w:val="en-US" w:eastAsia="zh-CN"/>
                    </w:rPr>
                  </w:pPr>
                  <w:r>
                    <w:rPr>
                      <w:rFonts w:hint="eastAsia"/>
                      <w:color w:val="auto"/>
                      <w:sz w:val="18"/>
                      <w:szCs w:val="18"/>
                      <w:vertAlign w:val="baseline"/>
                      <w:lang w:val="en-US" w:eastAsia="zh-CN"/>
                    </w:rPr>
                    <w:t>沥青烟气处理冷凝器补水</w:t>
                  </w:r>
                </w:p>
              </w:tc>
              <w:tc>
                <w:tcPr>
                  <w:tcW w:w="1561" w:type="pct"/>
                  <w:gridSpan w:val="2"/>
                  <w:tcBorders>
                    <w:tl2br w:val="nil"/>
                    <w:tr2bl w:val="nil"/>
                  </w:tcBorders>
                  <w:vAlign w:val="center"/>
                </w:tcPr>
                <w:p w14:paraId="62441D85">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总循环水量为5t/d，补充水量为1%</w:t>
                  </w:r>
                </w:p>
              </w:tc>
              <w:tc>
                <w:tcPr>
                  <w:tcW w:w="551" w:type="pct"/>
                  <w:tcBorders>
                    <w:tl2br w:val="nil"/>
                    <w:tr2bl w:val="nil"/>
                  </w:tcBorders>
                  <w:vAlign w:val="center"/>
                </w:tcPr>
                <w:p w14:paraId="5F9BD4A1">
                  <w:pPr>
                    <w:jc w:val="center"/>
                    <w:rPr>
                      <w:rFonts w:hint="default"/>
                      <w:color w:val="auto"/>
                      <w:sz w:val="18"/>
                      <w:szCs w:val="18"/>
                      <w:lang w:val="en-US" w:eastAsia="zh-CN"/>
                    </w:rPr>
                  </w:pPr>
                  <w:r>
                    <w:rPr>
                      <w:rFonts w:hint="eastAsia"/>
                      <w:color w:val="auto"/>
                      <w:sz w:val="18"/>
                      <w:szCs w:val="18"/>
                      <w:lang w:val="en-US" w:eastAsia="zh-CN"/>
                    </w:rPr>
                    <w:t>0.05</w:t>
                  </w:r>
                </w:p>
              </w:tc>
              <w:tc>
                <w:tcPr>
                  <w:tcW w:w="646" w:type="pct"/>
                  <w:tcBorders>
                    <w:tl2br w:val="nil"/>
                    <w:tr2bl w:val="nil"/>
                  </w:tcBorders>
                  <w:vAlign w:val="center"/>
                </w:tcPr>
                <w:p w14:paraId="32F6AE23">
                  <w:pPr>
                    <w:jc w:val="center"/>
                    <w:rPr>
                      <w:rFonts w:hint="default"/>
                      <w:color w:val="auto"/>
                      <w:sz w:val="18"/>
                      <w:szCs w:val="18"/>
                      <w:lang w:val="en-US" w:eastAsia="zh-CN"/>
                    </w:rPr>
                  </w:pPr>
                  <w:r>
                    <w:rPr>
                      <w:rFonts w:hint="eastAsia"/>
                      <w:color w:val="auto"/>
                      <w:sz w:val="18"/>
                      <w:szCs w:val="18"/>
                      <w:lang w:val="en-US" w:eastAsia="zh-CN"/>
                    </w:rPr>
                    <w:t>7.5</w:t>
                  </w:r>
                </w:p>
              </w:tc>
              <w:tc>
                <w:tcPr>
                  <w:tcW w:w="440" w:type="pct"/>
                  <w:tcBorders>
                    <w:tl2br w:val="nil"/>
                    <w:tr2bl w:val="nil"/>
                  </w:tcBorders>
                  <w:vAlign w:val="center"/>
                </w:tcPr>
                <w:p w14:paraId="053C59CE">
                  <w:pPr>
                    <w:jc w:val="center"/>
                    <w:rPr>
                      <w:rFonts w:hint="default"/>
                      <w:color w:val="auto"/>
                      <w:sz w:val="18"/>
                      <w:szCs w:val="18"/>
                      <w:vertAlign w:val="baseline"/>
                      <w:lang w:val="en-US" w:eastAsia="zh-CN"/>
                    </w:rPr>
                  </w:pPr>
                  <w:r>
                    <w:rPr>
                      <w:rFonts w:hint="eastAsia"/>
                      <w:color w:val="auto"/>
                      <w:sz w:val="18"/>
                      <w:szCs w:val="18"/>
                      <w:vertAlign w:val="baseline"/>
                      <w:lang w:val="en-US" w:eastAsia="zh-CN"/>
                    </w:rPr>
                    <w:t>//</w:t>
                  </w:r>
                </w:p>
              </w:tc>
              <w:tc>
                <w:tcPr>
                  <w:tcW w:w="400" w:type="pct"/>
                  <w:tcBorders>
                    <w:tl2br w:val="nil"/>
                    <w:tr2bl w:val="nil"/>
                  </w:tcBorders>
                  <w:vAlign w:val="center"/>
                </w:tcPr>
                <w:p w14:paraId="614D19FE">
                  <w:pPr>
                    <w:jc w:val="center"/>
                    <w:rPr>
                      <w:rFonts w:hint="default"/>
                      <w:color w:val="auto"/>
                      <w:sz w:val="18"/>
                      <w:szCs w:val="18"/>
                      <w:lang w:val="en-US" w:eastAsia="zh-CN"/>
                    </w:rPr>
                  </w:pPr>
                  <w:r>
                    <w:rPr>
                      <w:rFonts w:hint="eastAsia"/>
                      <w:color w:val="auto"/>
                      <w:sz w:val="18"/>
                      <w:szCs w:val="18"/>
                      <w:lang w:val="en-US" w:eastAsia="zh-CN"/>
                    </w:rPr>
                    <w:t>//</w:t>
                  </w:r>
                </w:p>
              </w:tc>
              <w:tc>
                <w:tcPr>
                  <w:tcW w:w="830" w:type="pct"/>
                  <w:tcBorders>
                    <w:tl2br w:val="nil"/>
                    <w:tr2bl w:val="nil"/>
                  </w:tcBorders>
                  <w:vAlign w:val="center"/>
                </w:tcPr>
                <w:p w14:paraId="2F2FD128">
                  <w:pPr>
                    <w:jc w:val="center"/>
                    <w:rPr>
                      <w:rFonts w:hint="default"/>
                      <w:color w:val="auto"/>
                      <w:sz w:val="18"/>
                      <w:szCs w:val="18"/>
                      <w:vertAlign w:val="baseline"/>
                      <w:lang w:val="en-US" w:eastAsia="zh-CN"/>
                    </w:rPr>
                  </w:pPr>
                  <w:r>
                    <w:rPr>
                      <w:rFonts w:hint="eastAsia"/>
                      <w:color w:val="auto"/>
                      <w:sz w:val="18"/>
                      <w:szCs w:val="18"/>
                      <w:vertAlign w:val="baseline"/>
                      <w:lang w:val="en-US" w:eastAsia="zh-CN"/>
                    </w:rPr>
                    <w:t>//</w:t>
                  </w:r>
                </w:p>
              </w:tc>
            </w:tr>
            <w:tr w14:paraId="23BF34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9" w:hRule="atLeast"/>
              </w:trPr>
              <w:tc>
                <w:tcPr>
                  <w:tcW w:w="569" w:type="pct"/>
                  <w:tcBorders>
                    <w:tl2br w:val="nil"/>
                    <w:tr2bl w:val="nil"/>
                  </w:tcBorders>
                  <w:shd w:val="clear" w:color="auto" w:fill="auto"/>
                  <w:vAlign w:val="center"/>
                </w:tcPr>
                <w:p w14:paraId="5CCB6BB2">
                  <w:pPr>
                    <w:jc w:val="center"/>
                    <w:rPr>
                      <w:rFonts w:hint="default" w:ascii="Times New Roman" w:hAnsi="Times New Roman" w:eastAsia="宋体" w:cs="Times New Roman"/>
                      <w:color w:val="auto"/>
                      <w:kern w:val="2"/>
                      <w:sz w:val="18"/>
                      <w:szCs w:val="18"/>
                      <w:vertAlign w:val="baseline"/>
                      <w:lang w:val="en-US" w:eastAsia="zh-CN" w:bidi="ar-SA"/>
                    </w:rPr>
                  </w:pPr>
                  <w:r>
                    <w:rPr>
                      <w:rFonts w:hint="eastAsia"/>
                      <w:color w:val="auto"/>
                      <w:sz w:val="18"/>
                      <w:szCs w:val="18"/>
                      <w:vertAlign w:val="baseline"/>
                      <w:lang w:val="en-US" w:eastAsia="zh-CN"/>
                    </w:rPr>
                    <w:t>职工办公生活</w:t>
                  </w:r>
                </w:p>
              </w:tc>
              <w:tc>
                <w:tcPr>
                  <w:tcW w:w="867" w:type="pct"/>
                  <w:tcBorders>
                    <w:tl2br w:val="nil"/>
                    <w:tr2bl w:val="nil"/>
                  </w:tcBorders>
                  <w:shd w:val="clear" w:color="auto" w:fill="auto"/>
                  <w:vAlign w:val="center"/>
                </w:tcPr>
                <w:p w14:paraId="4B234B65">
                  <w:pPr>
                    <w:jc w:val="center"/>
                    <w:rPr>
                      <w:rFonts w:hint="default" w:ascii="Times New Roman" w:hAnsi="Times New Roman" w:eastAsia="宋体" w:cs="Times New Roman"/>
                      <w:bCs/>
                      <w:color w:val="auto"/>
                      <w:kern w:val="2"/>
                      <w:sz w:val="18"/>
                      <w:szCs w:val="18"/>
                      <w:lang w:val="en-US" w:eastAsia="zh-CN" w:bidi="ar-SA"/>
                    </w:rPr>
                  </w:pPr>
                  <w:r>
                    <w:rPr>
                      <w:rFonts w:hint="eastAsia"/>
                      <w:bCs/>
                      <w:color w:val="auto"/>
                      <w:sz w:val="18"/>
                      <w:szCs w:val="18"/>
                      <w:lang w:val="en-US" w:eastAsia="zh-CN"/>
                    </w:rPr>
                    <w:t>6</w:t>
                  </w:r>
                  <w:r>
                    <w:rPr>
                      <w:rFonts w:hint="default"/>
                      <w:bCs/>
                      <w:color w:val="auto"/>
                      <w:sz w:val="18"/>
                      <w:szCs w:val="18"/>
                      <w:lang w:val="en-US" w:eastAsia="zh-CN"/>
                    </w:rPr>
                    <w:t>0L/</w:t>
                  </w:r>
                  <w:r>
                    <w:rPr>
                      <w:rFonts w:hint="eastAsia"/>
                      <w:bCs/>
                      <w:color w:val="auto"/>
                      <w:sz w:val="18"/>
                      <w:szCs w:val="18"/>
                      <w:lang w:val="en-US" w:eastAsia="zh-CN"/>
                    </w:rPr>
                    <w:t>（</w:t>
                  </w:r>
                  <w:r>
                    <w:rPr>
                      <w:rFonts w:hint="default"/>
                      <w:bCs/>
                      <w:color w:val="auto"/>
                      <w:sz w:val="18"/>
                      <w:szCs w:val="18"/>
                      <w:lang w:val="en-US" w:eastAsia="zh-CN"/>
                    </w:rPr>
                    <w:t>p·</w:t>
                  </w:r>
                  <w:r>
                    <w:rPr>
                      <w:rFonts w:hint="eastAsia"/>
                      <w:bCs/>
                      <w:color w:val="auto"/>
                      <w:sz w:val="18"/>
                      <w:szCs w:val="18"/>
                      <w:lang w:val="en-US" w:eastAsia="zh-CN"/>
                    </w:rPr>
                    <w:t>d）</w:t>
                  </w:r>
                </w:p>
              </w:tc>
              <w:tc>
                <w:tcPr>
                  <w:tcW w:w="694" w:type="pct"/>
                  <w:tcBorders>
                    <w:tl2br w:val="nil"/>
                    <w:tr2bl w:val="nil"/>
                  </w:tcBorders>
                  <w:shd w:val="clear" w:color="auto" w:fill="auto"/>
                  <w:vAlign w:val="center"/>
                </w:tcPr>
                <w:p w14:paraId="7097B667">
                  <w:pPr>
                    <w:jc w:val="center"/>
                    <w:rPr>
                      <w:rFonts w:hint="default" w:ascii="Times New Roman" w:hAnsi="Times New Roman" w:eastAsia="宋体" w:cs="Times New Roman"/>
                      <w:bCs/>
                      <w:color w:val="auto"/>
                      <w:kern w:val="2"/>
                      <w:sz w:val="18"/>
                      <w:szCs w:val="18"/>
                      <w:lang w:val="en-US" w:eastAsia="zh-CN" w:bidi="ar-SA"/>
                    </w:rPr>
                  </w:pPr>
                  <w:r>
                    <w:rPr>
                      <w:rFonts w:hint="eastAsia"/>
                      <w:bCs/>
                      <w:color w:val="auto"/>
                      <w:sz w:val="18"/>
                      <w:szCs w:val="18"/>
                      <w:lang w:val="en-US" w:eastAsia="zh-CN"/>
                    </w:rPr>
                    <w:t>20人</w:t>
                  </w:r>
                </w:p>
              </w:tc>
              <w:tc>
                <w:tcPr>
                  <w:tcW w:w="551" w:type="pct"/>
                  <w:tcBorders>
                    <w:tl2br w:val="nil"/>
                    <w:tr2bl w:val="nil"/>
                  </w:tcBorders>
                  <w:shd w:val="clear" w:color="auto" w:fill="auto"/>
                  <w:vAlign w:val="center"/>
                </w:tcPr>
                <w:p w14:paraId="74C2859E">
                  <w:pPr>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1.2</w:t>
                  </w:r>
                </w:p>
              </w:tc>
              <w:tc>
                <w:tcPr>
                  <w:tcW w:w="646" w:type="pct"/>
                  <w:tcBorders>
                    <w:tl2br w:val="nil"/>
                    <w:tr2bl w:val="nil"/>
                  </w:tcBorders>
                  <w:shd w:val="clear" w:color="auto" w:fill="auto"/>
                  <w:vAlign w:val="center"/>
                </w:tcPr>
                <w:p w14:paraId="1E564535">
                  <w:pPr>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180</w:t>
                  </w:r>
                </w:p>
              </w:tc>
              <w:tc>
                <w:tcPr>
                  <w:tcW w:w="440" w:type="pct"/>
                  <w:tcBorders>
                    <w:tl2br w:val="nil"/>
                    <w:tr2bl w:val="nil"/>
                  </w:tcBorders>
                  <w:shd w:val="clear" w:color="auto" w:fill="auto"/>
                  <w:vAlign w:val="center"/>
                </w:tcPr>
                <w:p w14:paraId="6322EDCD">
                  <w:pPr>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0.96</w:t>
                  </w:r>
                </w:p>
              </w:tc>
              <w:tc>
                <w:tcPr>
                  <w:tcW w:w="400" w:type="pct"/>
                  <w:tcBorders>
                    <w:tl2br w:val="nil"/>
                    <w:tr2bl w:val="nil"/>
                  </w:tcBorders>
                  <w:shd w:val="clear" w:color="auto" w:fill="auto"/>
                  <w:vAlign w:val="center"/>
                </w:tcPr>
                <w:p w14:paraId="242E47A9">
                  <w:pPr>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144</w:t>
                  </w:r>
                </w:p>
              </w:tc>
              <w:tc>
                <w:tcPr>
                  <w:tcW w:w="830" w:type="pct"/>
                  <w:tcBorders>
                    <w:tl2br w:val="nil"/>
                    <w:tr2bl w:val="nil"/>
                  </w:tcBorders>
                  <w:shd w:val="clear" w:color="auto" w:fill="auto"/>
                  <w:vAlign w:val="center"/>
                </w:tcPr>
                <w:p w14:paraId="55162ACE">
                  <w:pPr>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化粪池</w:t>
                  </w:r>
                </w:p>
              </w:tc>
            </w:tr>
            <w:tr w14:paraId="11BE8C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9" w:hRule="atLeast"/>
              </w:trPr>
              <w:tc>
                <w:tcPr>
                  <w:tcW w:w="569" w:type="pct"/>
                  <w:tcBorders>
                    <w:tl2br w:val="nil"/>
                    <w:tr2bl w:val="nil"/>
                  </w:tcBorders>
                  <w:shd w:val="clear" w:color="auto" w:fill="auto"/>
                  <w:vAlign w:val="center"/>
                </w:tcPr>
                <w:p w14:paraId="095BCBC9">
                  <w:pPr>
                    <w:jc w:val="center"/>
                    <w:rPr>
                      <w:rFonts w:hint="default" w:ascii="Times New Roman" w:hAnsi="Times New Roman" w:eastAsia="宋体" w:cs="Times New Roman"/>
                      <w:color w:val="auto"/>
                      <w:kern w:val="2"/>
                      <w:sz w:val="18"/>
                      <w:szCs w:val="18"/>
                      <w:vertAlign w:val="baseline"/>
                      <w:lang w:val="en-US" w:eastAsia="zh-CN" w:bidi="ar-SA"/>
                    </w:rPr>
                  </w:pPr>
                  <w:r>
                    <w:rPr>
                      <w:rFonts w:hint="eastAsia"/>
                      <w:color w:val="auto"/>
                      <w:sz w:val="18"/>
                      <w:szCs w:val="18"/>
                      <w:vertAlign w:val="baseline"/>
                      <w:lang w:val="en-US" w:eastAsia="zh-CN"/>
                    </w:rPr>
                    <w:t>绿化</w:t>
                  </w:r>
                </w:p>
              </w:tc>
              <w:tc>
                <w:tcPr>
                  <w:tcW w:w="867" w:type="pct"/>
                  <w:tcBorders>
                    <w:tl2br w:val="nil"/>
                    <w:tr2bl w:val="nil"/>
                  </w:tcBorders>
                  <w:shd w:val="clear" w:color="auto" w:fill="auto"/>
                  <w:vAlign w:val="center"/>
                </w:tcPr>
                <w:p w14:paraId="20C5388C">
                  <w:pPr>
                    <w:jc w:val="center"/>
                    <w:rPr>
                      <w:rFonts w:hint="default" w:ascii="Times New Roman" w:hAnsi="Times New Roman" w:eastAsia="宋体" w:cs="Times New Roman"/>
                      <w:color w:val="auto"/>
                      <w:kern w:val="2"/>
                      <w:sz w:val="18"/>
                      <w:szCs w:val="18"/>
                      <w:vertAlign w:val="baseline"/>
                      <w:lang w:val="en-US" w:eastAsia="zh-CN" w:bidi="ar-SA"/>
                    </w:rPr>
                  </w:pPr>
                  <w:r>
                    <w:rPr>
                      <w:rFonts w:hint="default"/>
                      <w:bCs/>
                      <w:color w:val="auto"/>
                      <w:sz w:val="18"/>
                      <w:szCs w:val="18"/>
                      <w:lang w:val="en-US" w:eastAsia="zh-CN"/>
                    </w:rPr>
                    <w:t>0.28m</w:t>
                  </w:r>
                  <w:r>
                    <w:rPr>
                      <w:rFonts w:hint="default"/>
                      <w:bCs/>
                      <w:color w:val="auto"/>
                      <w:sz w:val="18"/>
                      <w:szCs w:val="18"/>
                      <w:vertAlign w:val="superscript"/>
                      <w:lang w:val="en-US" w:eastAsia="zh-CN"/>
                    </w:rPr>
                    <w:t>3</w:t>
                  </w:r>
                  <w:r>
                    <w:rPr>
                      <w:rFonts w:hint="default"/>
                      <w:bCs/>
                      <w:color w:val="auto"/>
                      <w:sz w:val="18"/>
                      <w:szCs w:val="18"/>
                      <w:lang w:val="en-US" w:eastAsia="zh-CN"/>
                    </w:rPr>
                    <w:t xml:space="preserve"> /(m</w:t>
                  </w:r>
                  <w:r>
                    <w:rPr>
                      <w:rFonts w:hint="default"/>
                      <w:bCs/>
                      <w:color w:val="auto"/>
                      <w:sz w:val="18"/>
                      <w:szCs w:val="18"/>
                      <w:vertAlign w:val="superscript"/>
                      <w:lang w:val="en-US" w:eastAsia="zh-CN"/>
                    </w:rPr>
                    <w:t>2</w:t>
                  </w:r>
                  <w:r>
                    <w:rPr>
                      <w:rFonts w:hint="default"/>
                      <w:bCs/>
                      <w:color w:val="auto"/>
                      <w:sz w:val="18"/>
                      <w:szCs w:val="18"/>
                      <w:lang w:val="en-US" w:eastAsia="zh-CN"/>
                    </w:rPr>
                    <w:t>·a)</w:t>
                  </w:r>
                </w:p>
              </w:tc>
              <w:tc>
                <w:tcPr>
                  <w:tcW w:w="694" w:type="pct"/>
                  <w:tcBorders>
                    <w:tl2br w:val="nil"/>
                    <w:tr2bl w:val="nil"/>
                  </w:tcBorders>
                  <w:shd w:val="clear" w:color="auto" w:fill="auto"/>
                  <w:vAlign w:val="center"/>
                </w:tcPr>
                <w:p w14:paraId="35981845">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200m</w:t>
                  </w:r>
                  <w:r>
                    <w:rPr>
                      <w:rFonts w:hint="eastAsia" w:cs="Times New Roman"/>
                      <w:color w:val="auto"/>
                      <w:kern w:val="2"/>
                      <w:sz w:val="18"/>
                      <w:szCs w:val="18"/>
                      <w:vertAlign w:val="superscript"/>
                      <w:lang w:val="en-US" w:eastAsia="zh-CN" w:bidi="ar-SA"/>
                    </w:rPr>
                    <w:t>2</w:t>
                  </w:r>
                </w:p>
              </w:tc>
              <w:tc>
                <w:tcPr>
                  <w:tcW w:w="551" w:type="pct"/>
                  <w:tcBorders>
                    <w:tl2br w:val="nil"/>
                    <w:tr2bl w:val="nil"/>
                  </w:tcBorders>
                  <w:shd w:val="clear" w:color="auto" w:fill="auto"/>
                  <w:vAlign w:val="center"/>
                </w:tcPr>
                <w:p w14:paraId="448299E7">
                  <w:pPr>
                    <w:jc w:val="center"/>
                    <w:rPr>
                      <w:rFonts w:hint="default" w:ascii="Times New Roman" w:hAnsi="Times New Roman" w:eastAsia="宋体" w:cs="Times New Roman"/>
                      <w:color w:val="auto"/>
                      <w:kern w:val="2"/>
                      <w:sz w:val="18"/>
                      <w:szCs w:val="18"/>
                      <w:vertAlign w:val="baseline"/>
                      <w:lang w:val="en-US" w:eastAsia="zh-CN" w:bidi="ar-SA"/>
                    </w:rPr>
                  </w:pPr>
                  <w:r>
                    <w:rPr>
                      <w:rFonts w:hint="eastAsia"/>
                      <w:color w:val="auto"/>
                      <w:sz w:val="18"/>
                      <w:szCs w:val="18"/>
                      <w:lang w:val="en-US" w:eastAsia="zh-CN"/>
                    </w:rPr>
                    <w:t>0.37</w:t>
                  </w:r>
                </w:p>
              </w:tc>
              <w:tc>
                <w:tcPr>
                  <w:tcW w:w="646" w:type="pct"/>
                  <w:tcBorders>
                    <w:tl2br w:val="nil"/>
                    <w:tr2bl w:val="nil"/>
                  </w:tcBorders>
                  <w:shd w:val="clear" w:color="auto" w:fill="auto"/>
                  <w:vAlign w:val="center"/>
                </w:tcPr>
                <w:p w14:paraId="7D473773">
                  <w:pPr>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56</w:t>
                  </w:r>
                </w:p>
              </w:tc>
              <w:tc>
                <w:tcPr>
                  <w:tcW w:w="440" w:type="pct"/>
                  <w:tcBorders>
                    <w:tl2br w:val="nil"/>
                    <w:tr2bl w:val="nil"/>
                  </w:tcBorders>
                  <w:shd w:val="clear" w:color="auto" w:fill="auto"/>
                  <w:vAlign w:val="center"/>
                </w:tcPr>
                <w:p w14:paraId="6072CB71">
                  <w:pPr>
                    <w:jc w:val="center"/>
                    <w:rPr>
                      <w:rFonts w:hint="default" w:ascii="Times New Roman" w:hAnsi="Times New Roman" w:eastAsia="宋体" w:cs="Times New Roman"/>
                      <w:color w:val="auto"/>
                      <w:kern w:val="2"/>
                      <w:sz w:val="18"/>
                      <w:szCs w:val="18"/>
                      <w:vertAlign w:val="baseline"/>
                      <w:lang w:val="en-US" w:eastAsia="zh-CN" w:bidi="ar-SA"/>
                    </w:rPr>
                  </w:pPr>
                  <w:r>
                    <w:rPr>
                      <w:rFonts w:hint="eastAsia"/>
                      <w:color w:val="auto"/>
                      <w:sz w:val="18"/>
                      <w:szCs w:val="18"/>
                    </w:rPr>
                    <w:t>//</w:t>
                  </w:r>
                </w:p>
              </w:tc>
              <w:tc>
                <w:tcPr>
                  <w:tcW w:w="400" w:type="pct"/>
                  <w:tcBorders>
                    <w:tl2br w:val="nil"/>
                    <w:tr2bl w:val="nil"/>
                  </w:tcBorders>
                  <w:shd w:val="clear" w:color="auto" w:fill="auto"/>
                  <w:vAlign w:val="center"/>
                </w:tcPr>
                <w:p w14:paraId="0590B83C">
                  <w:pPr>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rPr>
                    <w:t>//</w:t>
                  </w:r>
                </w:p>
              </w:tc>
              <w:tc>
                <w:tcPr>
                  <w:tcW w:w="830" w:type="pct"/>
                  <w:tcBorders>
                    <w:tl2br w:val="nil"/>
                    <w:tr2bl w:val="nil"/>
                  </w:tcBorders>
                  <w:shd w:val="clear" w:color="auto" w:fill="auto"/>
                  <w:vAlign w:val="center"/>
                </w:tcPr>
                <w:p w14:paraId="4A201F41">
                  <w:pPr>
                    <w:jc w:val="center"/>
                    <w:rPr>
                      <w:rFonts w:hint="eastAsia" w:ascii="Times New Roman" w:hAnsi="Times New Roman" w:eastAsia="宋体" w:cs="Times New Roman"/>
                      <w:color w:val="auto"/>
                      <w:kern w:val="2"/>
                      <w:sz w:val="18"/>
                      <w:szCs w:val="18"/>
                      <w:vertAlign w:val="baseline"/>
                      <w:lang w:val="en-US" w:eastAsia="zh-CN" w:bidi="ar-SA"/>
                    </w:rPr>
                  </w:pPr>
                  <w:r>
                    <w:rPr>
                      <w:rFonts w:hint="eastAsia"/>
                      <w:color w:val="auto"/>
                      <w:sz w:val="18"/>
                      <w:szCs w:val="18"/>
                      <w:lang w:val="en-US" w:eastAsia="zh-CN"/>
                    </w:rPr>
                    <w:t>自然蒸发</w:t>
                  </w:r>
                </w:p>
              </w:tc>
            </w:tr>
            <w:tr w14:paraId="7E479C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569" w:type="pct"/>
                  <w:tcBorders>
                    <w:tl2br w:val="nil"/>
                    <w:tr2bl w:val="nil"/>
                  </w:tcBorders>
                  <w:shd w:val="clear" w:color="auto" w:fill="auto"/>
                  <w:vAlign w:val="center"/>
                </w:tcPr>
                <w:p w14:paraId="77817B42">
                  <w:pPr>
                    <w:jc w:val="center"/>
                    <w:rPr>
                      <w:rFonts w:hint="default"/>
                      <w:color w:val="auto"/>
                      <w:sz w:val="18"/>
                      <w:szCs w:val="18"/>
                      <w:vertAlign w:val="baseline"/>
                      <w:lang w:val="en-US" w:eastAsia="zh-CN"/>
                    </w:rPr>
                  </w:pPr>
                  <w:r>
                    <w:rPr>
                      <w:rFonts w:hint="eastAsia"/>
                      <w:color w:val="auto"/>
                      <w:sz w:val="18"/>
                      <w:szCs w:val="18"/>
                      <w:vertAlign w:val="baseline"/>
                      <w:lang w:val="en-US" w:eastAsia="zh-CN"/>
                    </w:rPr>
                    <w:t>降尘</w:t>
                  </w:r>
                </w:p>
              </w:tc>
              <w:tc>
                <w:tcPr>
                  <w:tcW w:w="867" w:type="pct"/>
                  <w:tcBorders>
                    <w:tl2br w:val="nil"/>
                    <w:tr2bl w:val="nil"/>
                  </w:tcBorders>
                  <w:shd w:val="clear" w:color="auto" w:fill="auto"/>
                  <w:vAlign w:val="center"/>
                </w:tcPr>
                <w:p w14:paraId="462E3F93">
                  <w:pPr>
                    <w:jc w:val="center"/>
                    <w:rPr>
                      <w:rFonts w:hint="default"/>
                      <w:bCs/>
                      <w:color w:val="auto"/>
                      <w:sz w:val="18"/>
                      <w:szCs w:val="18"/>
                      <w:lang w:val="en-US" w:eastAsia="zh-CN"/>
                    </w:rPr>
                  </w:pPr>
                  <w:r>
                    <w:rPr>
                      <w:rFonts w:hint="eastAsia"/>
                      <w:bCs/>
                      <w:color w:val="auto"/>
                      <w:sz w:val="18"/>
                      <w:szCs w:val="18"/>
                      <w:lang w:val="en-US" w:eastAsia="zh-CN"/>
                    </w:rPr>
                    <w:t>1.0m</w:t>
                  </w:r>
                  <w:r>
                    <w:rPr>
                      <w:rFonts w:hint="eastAsia"/>
                      <w:bCs/>
                      <w:color w:val="auto"/>
                      <w:sz w:val="18"/>
                      <w:szCs w:val="18"/>
                      <w:vertAlign w:val="superscript"/>
                      <w:lang w:val="en-US" w:eastAsia="zh-CN"/>
                    </w:rPr>
                    <w:t>3</w:t>
                  </w:r>
                  <w:r>
                    <w:rPr>
                      <w:rFonts w:hint="eastAsia"/>
                      <w:bCs/>
                      <w:color w:val="auto"/>
                      <w:sz w:val="18"/>
                      <w:szCs w:val="18"/>
                      <w:lang w:val="en-US" w:eastAsia="zh-CN"/>
                    </w:rPr>
                    <w:t>/d</w:t>
                  </w:r>
                </w:p>
              </w:tc>
              <w:tc>
                <w:tcPr>
                  <w:tcW w:w="694" w:type="pct"/>
                  <w:tcBorders>
                    <w:tl2br w:val="nil"/>
                    <w:tr2bl w:val="nil"/>
                  </w:tcBorders>
                  <w:shd w:val="clear" w:color="auto" w:fill="auto"/>
                  <w:vAlign w:val="center"/>
                </w:tcPr>
                <w:p w14:paraId="7F750306">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551" w:type="pct"/>
                  <w:tcBorders>
                    <w:tl2br w:val="nil"/>
                    <w:tr2bl w:val="nil"/>
                  </w:tcBorders>
                  <w:shd w:val="clear" w:color="auto" w:fill="auto"/>
                  <w:vAlign w:val="center"/>
                </w:tcPr>
                <w:p w14:paraId="2D796363">
                  <w:pPr>
                    <w:jc w:val="center"/>
                    <w:rPr>
                      <w:rFonts w:hint="default"/>
                      <w:color w:val="auto"/>
                      <w:sz w:val="18"/>
                      <w:szCs w:val="18"/>
                      <w:lang w:val="en-US" w:eastAsia="zh-CN"/>
                    </w:rPr>
                  </w:pPr>
                  <w:r>
                    <w:rPr>
                      <w:rFonts w:hint="eastAsia"/>
                      <w:color w:val="auto"/>
                      <w:sz w:val="18"/>
                      <w:szCs w:val="18"/>
                      <w:lang w:val="en-US" w:eastAsia="zh-CN"/>
                    </w:rPr>
                    <w:t>1.0</w:t>
                  </w:r>
                </w:p>
              </w:tc>
              <w:tc>
                <w:tcPr>
                  <w:tcW w:w="646" w:type="pct"/>
                  <w:tcBorders>
                    <w:tl2br w:val="nil"/>
                    <w:tr2bl w:val="nil"/>
                  </w:tcBorders>
                  <w:shd w:val="clear" w:color="auto" w:fill="auto"/>
                  <w:vAlign w:val="center"/>
                </w:tcPr>
                <w:p w14:paraId="03A465FF">
                  <w:pPr>
                    <w:jc w:val="center"/>
                    <w:rPr>
                      <w:rFonts w:hint="default"/>
                      <w:color w:val="auto"/>
                      <w:sz w:val="18"/>
                      <w:szCs w:val="18"/>
                      <w:lang w:val="en-US" w:eastAsia="zh-CN"/>
                    </w:rPr>
                  </w:pPr>
                  <w:r>
                    <w:rPr>
                      <w:rFonts w:hint="eastAsia"/>
                      <w:color w:val="auto"/>
                      <w:sz w:val="18"/>
                      <w:szCs w:val="18"/>
                      <w:lang w:val="en-US" w:eastAsia="zh-CN"/>
                    </w:rPr>
                    <w:t>150</w:t>
                  </w:r>
                </w:p>
              </w:tc>
              <w:tc>
                <w:tcPr>
                  <w:tcW w:w="440" w:type="pct"/>
                  <w:tcBorders>
                    <w:tl2br w:val="nil"/>
                    <w:tr2bl w:val="nil"/>
                  </w:tcBorders>
                  <w:shd w:val="clear" w:color="auto" w:fill="auto"/>
                  <w:vAlign w:val="center"/>
                </w:tcPr>
                <w:p w14:paraId="0A814D8A">
                  <w:pPr>
                    <w:jc w:val="center"/>
                    <w:rPr>
                      <w:rFonts w:hint="default" w:eastAsia="宋体"/>
                      <w:color w:val="auto"/>
                      <w:sz w:val="18"/>
                      <w:szCs w:val="18"/>
                      <w:lang w:val="en-US" w:eastAsia="zh-CN"/>
                    </w:rPr>
                  </w:pPr>
                  <w:r>
                    <w:rPr>
                      <w:rFonts w:hint="eastAsia"/>
                      <w:color w:val="auto"/>
                      <w:sz w:val="18"/>
                      <w:szCs w:val="18"/>
                      <w:lang w:val="en-US" w:eastAsia="zh-CN"/>
                    </w:rPr>
                    <w:t>//</w:t>
                  </w:r>
                </w:p>
              </w:tc>
              <w:tc>
                <w:tcPr>
                  <w:tcW w:w="400" w:type="pct"/>
                  <w:tcBorders>
                    <w:tl2br w:val="nil"/>
                    <w:tr2bl w:val="nil"/>
                  </w:tcBorders>
                  <w:shd w:val="clear" w:color="auto" w:fill="auto"/>
                  <w:vAlign w:val="center"/>
                </w:tcPr>
                <w:p w14:paraId="615B4024">
                  <w:pPr>
                    <w:jc w:val="center"/>
                    <w:rPr>
                      <w:rFonts w:hint="default" w:eastAsia="宋体"/>
                      <w:color w:val="auto"/>
                      <w:sz w:val="18"/>
                      <w:szCs w:val="18"/>
                      <w:lang w:val="en-US" w:eastAsia="zh-CN"/>
                    </w:rPr>
                  </w:pPr>
                  <w:r>
                    <w:rPr>
                      <w:rFonts w:hint="eastAsia"/>
                      <w:color w:val="auto"/>
                      <w:sz w:val="18"/>
                      <w:szCs w:val="18"/>
                      <w:lang w:val="en-US" w:eastAsia="zh-CN"/>
                    </w:rPr>
                    <w:t>//</w:t>
                  </w:r>
                </w:p>
              </w:tc>
              <w:tc>
                <w:tcPr>
                  <w:tcW w:w="830" w:type="pct"/>
                  <w:tcBorders>
                    <w:tl2br w:val="nil"/>
                    <w:tr2bl w:val="nil"/>
                  </w:tcBorders>
                  <w:shd w:val="clear" w:color="auto" w:fill="auto"/>
                  <w:vAlign w:val="center"/>
                </w:tcPr>
                <w:p w14:paraId="3D189831">
                  <w:pPr>
                    <w:jc w:val="center"/>
                    <w:rPr>
                      <w:rFonts w:hint="default"/>
                      <w:color w:val="auto"/>
                      <w:sz w:val="18"/>
                      <w:szCs w:val="18"/>
                      <w:lang w:val="en-US" w:eastAsia="zh-CN"/>
                    </w:rPr>
                  </w:pPr>
                  <w:r>
                    <w:rPr>
                      <w:rFonts w:hint="eastAsia"/>
                      <w:color w:val="auto"/>
                      <w:sz w:val="18"/>
                      <w:szCs w:val="18"/>
                      <w:lang w:val="en-US" w:eastAsia="zh-CN"/>
                    </w:rPr>
                    <w:t>自然蒸发</w:t>
                  </w:r>
                </w:p>
              </w:tc>
            </w:tr>
            <w:tr w14:paraId="56FD6A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4" w:hRule="atLeast"/>
              </w:trPr>
              <w:tc>
                <w:tcPr>
                  <w:tcW w:w="569" w:type="pct"/>
                  <w:tcBorders>
                    <w:tl2br w:val="nil"/>
                    <w:tr2bl w:val="nil"/>
                  </w:tcBorders>
                  <w:vAlign w:val="center"/>
                </w:tcPr>
                <w:p w14:paraId="07322046">
                  <w:pPr>
                    <w:jc w:val="center"/>
                    <w:rPr>
                      <w:rFonts w:hint="eastAsia"/>
                      <w:color w:val="auto"/>
                      <w:sz w:val="18"/>
                      <w:szCs w:val="18"/>
                      <w:vertAlign w:val="baseline"/>
                      <w:lang w:val="en-US" w:eastAsia="zh-CN"/>
                    </w:rPr>
                  </w:pPr>
                  <w:r>
                    <w:rPr>
                      <w:rFonts w:hint="eastAsia"/>
                      <w:color w:val="auto"/>
                      <w:sz w:val="18"/>
                      <w:szCs w:val="18"/>
                      <w:vertAlign w:val="baseline"/>
                      <w:lang w:val="en-US" w:eastAsia="zh-CN"/>
                    </w:rPr>
                    <w:t>车辆</w:t>
                  </w:r>
                </w:p>
                <w:p w14:paraId="15E2F786">
                  <w:pPr>
                    <w:jc w:val="center"/>
                    <w:rPr>
                      <w:rFonts w:hint="default" w:ascii="Times New Roman" w:hAnsi="Times New Roman" w:eastAsia="宋体"/>
                      <w:color w:val="auto"/>
                      <w:sz w:val="18"/>
                      <w:szCs w:val="18"/>
                      <w:vertAlign w:val="baseline"/>
                      <w:lang w:val="en-US" w:eastAsia="zh-CN"/>
                    </w:rPr>
                  </w:pPr>
                  <w:r>
                    <w:rPr>
                      <w:rFonts w:hint="eastAsia"/>
                      <w:color w:val="auto"/>
                      <w:sz w:val="18"/>
                      <w:szCs w:val="18"/>
                      <w:vertAlign w:val="baseline"/>
                      <w:lang w:val="en-US" w:eastAsia="zh-CN"/>
                    </w:rPr>
                    <w:t>冲洗</w:t>
                  </w:r>
                </w:p>
              </w:tc>
              <w:tc>
                <w:tcPr>
                  <w:tcW w:w="867" w:type="pct"/>
                  <w:tcBorders>
                    <w:tl2br w:val="nil"/>
                    <w:tr2bl w:val="nil"/>
                  </w:tcBorders>
                  <w:vAlign w:val="center"/>
                </w:tcPr>
                <w:p w14:paraId="2E7C7772">
                  <w:pPr>
                    <w:jc w:val="center"/>
                    <w:rPr>
                      <w:rFonts w:hint="default" w:ascii="Times New Roman" w:hAnsi="Times New Roman" w:eastAsia="宋体"/>
                      <w:color w:val="auto"/>
                      <w:sz w:val="18"/>
                      <w:szCs w:val="18"/>
                      <w:vertAlign w:val="baseline"/>
                      <w:lang w:val="en-US" w:eastAsia="zh-CN"/>
                    </w:rPr>
                  </w:pPr>
                  <w:r>
                    <w:rPr>
                      <w:rFonts w:hint="eastAsia"/>
                      <w:color w:val="auto"/>
                      <w:sz w:val="18"/>
                      <w:szCs w:val="18"/>
                      <w:vertAlign w:val="baseline"/>
                      <w:lang w:val="en-US" w:eastAsia="zh-CN"/>
                    </w:rPr>
                    <w:t>40L/辆次</w:t>
                  </w:r>
                </w:p>
              </w:tc>
              <w:tc>
                <w:tcPr>
                  <w:tcW w:w="694" w:type="pct"/>
                  <w:tcBorders>
                    <w:tl2br w:val="nil"/>
                    <w:tr2bl w:val="nil"/>
                  </w:tcBorders>
                  <w:vAlign w:val="center"/>
                </w:tcPr>
                <w:p w14:paraId="5A64589D">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80辆/d</w:t>
                  </w:r>
                </w:p>
              </w:tc>
              <w:tc>
                <w:tcPr>
                  <w:tcW w:w="551" w:type="pct"/>
                  <w:tcBorders>
                    <w:tl2br w:val="nil"/>
                    <w:tr2bl w:val="nil"/>
                  </w:tcBorders>
                  <w:vAlign w:val="center"/>
                </w:tcPr>
                <w:p w14:paraId="6C3B768A">
                  <w:pPr>
                    <w:jc w:val="center"/>
                    <w:rPr>
                      <w:rFonts w:hint="default" w:ascii="Times New Roman" w:hAnsi="Times New Roman" w:eastAsia="宋体"/>
                      <w:color w:val="auto"/>
                      <w:sz w:val="18"/>
                      <w:szCs w:val="18"/>
                      <w:vertAlign w:val="baseline"/>
                      <w:lang w:val="en-US" w:eastAsia="zh-CN"/>
                    </w:rPr>
                  </w:pPr>
                  <w:r>
                    <w:rPr>
                      <w:rFonts w:hint="eastAsia"/>
                      <w:color w:val="auto"/>
                      <w:sz w:val="18"/>
                      <w:szCs w:val="18"/>
                      <w:vertAlign w:val="baseline"/>
                      <w:lang w:val="en-US" w:eastAsia="zh-CN"/>
                    </w:rPr>
                    <w:t>3.2</w:t>
                  </w:r>
                </w:p>
              </w:tc>
              <w:tc>
                <w:tcPr>
                  <w:tcW w:w="646" w:type="pct"/>
                  <w:tcBorders>
                    <w:tl2br w:val="nil"/>
                    <w:tr2bl w:val="nil"/>
                  </w:tcBorders>
                  <w:vAlign w:val="center"/>
                </w:tcPr>
                <w:p w14:paraId="067388C2">
                  <w:pPr>
                    <w:jc w:val="center"/>
                    <w:rPr>
                      <w:rFonts w:hint="default" w:eastAsia="宋体"/>
                      <w:color w:val="auto"/>
                      <w:sz w:val="18"/>
                      <w:szCs w:val="18"/>
                      <w:lang w:val="en-US" w:eastAsia="zh-CN"/>
                    </w:rPr>
                  </w:pPr>
                  <w:r>
                    <w:rPr>
                      <w:rFonts w:hint="eastAsia"/>
                      <w:color w:val="auto"/>
                      <w:sz w:val="18"/>
                      <w:szCs w:val="18"/>
                      <w:lang w:val="en-US" w:eastAsia="zh-CN"/>
                    </w:rPr>
                    <w:t>480</w:t>
                  </w:r>
                </w:p>
              </w:tc>
              <w:tc>
                <w:tcPr>
                  <w:tcW w:w="440" w:type="pct"/>
                  <w:tcBorders>
                    <w:tl2br w:val="nil"/>
                    <w:tr2bl w:val="nil"/>
                  </w:tcBorders>
                  <w:vAlign w:val="center"/>
                </w:tcPr>
                <w:p w14:paraId="02A57AD9">
                  <w:pPr>
                    <w:jc w:val="center"/>
                    <w:rPr>
                      <w:rFonts w:hint="default" w:ascii="Times New Roman" w:hAnsi="Times New Roman" w:eastAsia="宋体"/>
                      <w:color w:val="auto"/>
                      <w:sz w:val="18"/>
                      <w:szCs w:val="18"/>
                      <w:vertAlign w:val="baseline"/>
                      <w:lang w:val="en-US" w:eastAsia="zh-CN"/>
                    </w:rPr>
                  </w:pPr>
                  <w:r>
                    <w:rPr>
                      <w:rFonts w:hint="eastAsia"/>
                      <w:color w:val="auto"/>
                      <w:sz w:val="18"/>
                      <w:szCs w:val="18"/>
                      <w:vertAlign w:val="baseline"/>
                      <w:lang w:val="en-US" w:eastAsia="zh-CN"/>
                    </w:rPr>
                    <w:t>//</w:t>
                  </w:r>
                </w:p>
              </w:tc>
              <w:tc>
                <w:tcPr>
                  <w:tcW w:w="400" w:type="pct"/>
                  <w:tcBorders>
                    <w:tl2br w:val="nil"/>
                    <w:tr2bl w:val="nil"/>
                  </w:tcBorders>
                  <w:vAlign w:val="center"/>
                </w:tcPr>
                <w:p w14:paraId="2627B16C">
                  <w:pPr>
                    <w:jc w:val="center"/>
                    <w:rPr>
                      <w:rFonts w:hint="default" w:eastAsia="宋体"/>
                      <w:color w:val="auto"/>
                      <w:sz w:val="18"/>
                      <w:szCs w:val="18"/>
                      <w:lang w:val="en-US" w:eastAsia="zh-CN"/>
                    </w:rPr>
                  </w:pPr>
                  <w:r>
                    <w:rPr>
                      <w:rFonts w:hint="eastAsia"/>
                      <w:color w:val="auto"/>
                      <w:sz w:val="18"/>
                      <w:szCs w:val="18"/>
                      <w:lang w:val="en-US" w:eastAsia="zh-CN"/>
                    </w:rPr>
                    <w:t>//</w:t>
                  </w:r>
                </w:p>
              </w:tc>
              <w:tc>
                <w:tcPr>
                  <w:tcW w:w="830" w:type="pct"/>
                  <w:tcBorders>
                    <w:tl2br w:val="nil"/>
                    <w:tr2bl w:val="nil"/>
                  </w:tcBorders>
                  <w:vAlign w:val="center"/>
                </w:tcPr>
                <w:p w14:paraId="4060829F">
                  <w:pPr>
                    <w:jc w:val="center"/>
                    <w:rPr>
                      <w:rFonts w:hint="default" w:ascii="Times New Roman" w:hAnsi="Times New Roman" w:eastAsia="宋体"/>
                      <w:color w:val="auto"/>
                      <w:sz w:val="18"/>
                      <w:szCs w:val="18"/>
                      <w:vertAlign w:val="baseline"/>
                      <w:lang w:val="en-US" w:eastAsia="zh-CN"/>
                    </w:rPr>
                  </w:pPr>
                  <w:r>
                    <w:rPr>
                      <w:rFonts w:hint="eastAsia"/>
                      <w:color w:val="auto"/>
                      <w:sz w:val="18"/>
                      <w:szCs w:val="18"/>
                      <w:vertAlign w:val="baseline"/>
                      <w:lang w:val="en-US" w:eastAsia="zh-CN"/>
                    </w:rPr>
                    <w:t>沉淀池</w:t>
                  </w:r>
                </w:p>
              </w:tc>
            </w:tr>
            <w:tr w14:paraId="454F0C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5" w:hRule="atLeast"/>
              </w:trPr>
              <w:tc>
                <w:tcPr>
                  <w:tcW w:w="569" w:type="pct"/>
                  <w:tcBorders>
                    <w:tl2br w:val="nil"/>
                    <w:tr2bl w:val="nil"/>
                  </w:tcBorders>
                  <w:vAlign w:val="center"/>
                </w:tcPr>
                <w:p w14:paraId="1ECE532A">
                  <w:pPr>
                    <w:jc w:val="center"/>
                    <w:rPr>
                      <w:rFonts w:ascii="Times New Roman" w:hAnsi="Times New Roman"/>
                      <w:color w:val="auto"/>
                      <w:sz w:val="18"/>
                      <w:szCs w:val="18"/>
                      <w:vertAlign w:val="baseline"/>
                    </w:rPr>
                  </w:pPr>
                  <w:r>
                    <w:rPr>
                      <w:color w:val="auto"/>
                      <w:sz w:val="18"/>
                      <w:szCs w:val="18"/>
                    </w:rPr>
                    <w:t>总计</w:t>
                  </w:r>
                </w:p>
              </w:tc>
              <w:tc>
                <w:tcPr>
                  <w:tcW w:w="867" w:type="pct"/>
                  <w:tcBorders>
                    <w:tl2br w:val="nil"/>
                    <w:tr2bl w:val="nil"/>
                  </w:tcBorders>
                  <w:vAlign w:val="center"/>
                </w:tcPr>
                <w:p w14:paraId="154A9E8E">
                  <w:pPr>
                    <w:pStyle w:val="77"/>
                    <w:snapToGrid/>
                    <w:spacing w:line="240" w:lineRule="exact"/>
                    <w:ind w:left="0" w:leftChars="0" w:firstLine="0" w:firstLineChars="0"/>
                    <w:jc w:val="center"/>
                    <w:rPr>
                      <w:rFonts w:hint="default" w:ascii="Times New Roman" w:hAnsi="Times New Roman" w:eastAsia="宋体"/>
                      <w:color w:val="auto"/>
                      <w:sz w:val="18"/>
                      <w:szCs w:val="18"/>
                      <w:vertAlign w:val="baseline"/>
                      <w:lang w:val="en-US" w:eastAsia="zh-CN"/>
                    </w:rPr>
                  </w:pPr>
                  <w:r>
                    <w:rPr>
                      <w:rFonts w:hint="eastAsia" w:ascii="Times New Roman" w:hAnsi="Times New Roman"/>
                      <w:color w:val="auto"/>
                      <w:sz w:val="18"/>
                      <w:szCs w:val="18"/>
                      <w:vertAlign w:val="baseline"/>
                      <w:lang w:val="en-US" w:eastAsia="zh-CN"/>
                    </w:rPr>
                    <w:t>//</w:t>
                  </w:r>
                </w:p>
              </w:tc>
              <w:tc>
                <w:tcPr>
                  <w:tcW w:w="694" w:type="pct"/>
                  <w:tcBorders>
                    <w:tl2br w:val="nil"/>
                    <w:tr2bl w:val="nil"/>
                  </w:tcBorders>
                  <w:vAlign w:val="center"/>
                </w:tcPr>
                <w:p w14:paraId="78A78C89">
                  <w:pPr>
                    <w:pStyle w:val="77"/>
                    <w:snapToGrid/>
                    <w:spacing w:line="240" w:lineRule="exact"/>
                    <w:ind w:left="0" w:leftChars="0" w:firstLine="0" w:firstLineChars="0"/>
                    <w:jc w:val="center"/>
                    <w:rPr>
                      <w:rFonts w:hint="default" w:ascii="Times New Roman" w:hAnsi="Times New Roman" w:eastAsia="宋体"/>
                      <w:color w:val="auto"/>
                      <w:sz w:val="18"/>
                      <w:szCs w:val="18"/>
                      <w:vertAlign w:val="baseline"/>
                      <w:lang w:val="en-US" w:eastAsia="zh-CN"/>
                    </w:rPr>
                  </w:pPr>
                  <w:r>
                    <w:rPr>
                      <w:rFonts w:hint="eastAsia" w:ascii="Times New Roman" w:hAnsi="Times New Roman"/>
                      <w:color w:val="auto"/>
                      <w:sz w:val="18"/>
                      <w:szCs w:val="18"/>
                      <w:vertAlign w:val="baseline"/>
                      <w:lang w:val="en-US" w:eastAsia="zh-CN"/>
                    </w:rPr>
                    <w:t>//</w:t>
                  </w:r>
                </w:p>
              </w:tc>
              <w:tc>
                <w:tcPr>
                  <w:tcW w:w="551" w:type="pct"/>
                  <w:tcBorders>
                    <w:tl2br w:val="nil"/>
                    <w:tr2bl w:val="nil"/>
                  </w:tcBorders>
                  <w:vAlign w:val="center"/>
                </w:tcPr>
                <w:p w14:paraId="36105E23">
                  <w:pPr>
                    <w:jc w:val="center"/>
                    <w:rPr>
                      <w:rFonts w:hint="default" w:ascii="Times New Roman" w:hAnsi="Times New Roman" w:eastAsia="宋体"/>
                      <w:color w:val="auto"/>
                      <w:sz w:val="18"/>
                      <w:szCs w:val="18"/>
                      <w:vertAlign w:val="baseline"/>
                      <w:lang w:val="en-US" w:eastAsia="zh-CN"/>
                    </w:rPr>
                  </w:pPr>
                  <w:r>
                    <w:rPr>
                      <w:rFonts w:hint="eastAsia"/>
                      <w:color w:val="auto"/>
                      <w:sz w:val="18"/>
                      <w:szCs w:val="18"/>
                      <w:vertAlign w:val="baseline"/>
                      <w:lang w:val="en-US" w:eastAsia="zh-CN"/>
                    </w:rPr>
                    <w:t>323.39</w:t>
                  </w:r>
                </w:p>
              </w:tc>
              <w:tc>
                <w:tcPr>
                  <w:tcW w:w="646" w:type="pct"/>
                  <w:tcBorders>
                    <w:tl2br w:val="nil"/>
                    <w:tr2bl w:val="nil"/>
                  </w:tcBorders>
                  <w:vAlign w:val="center"/>
                </w:tcPr>
                <w:p w14:paraId="0A68AB80">
                  <w:pPr>
                    <w:jc w:val="center"/>
                    <w:rPr>
                      <w:rFonts w:hint="default" w:eastAsia="宋体"/>
                      <w:color w:val="auto"/>
                      <w:sz w:val="18"/>
                      <w:szCs w:val="18"/>
                      <w:lang w:val="en-US" w:eastAsia="zh-CN"/>
                    </w:rPr>
                  </w:pPr>
                  <w:r>
                    <w:rPr>
                      <w:rFonts w:hint="eastAsia"/>
                      <w:color w:val="auto"/>
                      <w:sz w:val="18"/>
                      <w:szCs w:val="18"/>
                      <w:lang w:val="en-US" w:eastAsia="zh-CN"/>
                    </w:rPr>
                    <w:t>48528.5</w:t>
                  </w:r>
                </w:p>
              </w:tc>
              <w:tc>
                <w:tcPr>
                  <w:tcW w:w="440" w:type="pct"/>
                  <w:tcBorders>
                    <w:tl2br w:val="nil"/>
                    <w:tr2bl w:val="nil"/>
                  </w:tcBorders>
                  <w:vAlign w:val="center"/>
                </w:tcPr>
                <w:p w14:paraId="7A86C58B">
                  <w:pPr>
                    <w:jc w:val="center"/>
                    <w:rPr>
                      <w:rFonts w:hint="default" w:ascii="Times New Roman" w:hAnsi="Times New Roman" w:eastAsia="宋体"/>
                      <w:color w:val="auto"/>
                      <w:sz w:val="18"/>
                      <w:szCs w:val="18"/>
                      <w:vertAlign w:val="baseline"/>
                      <w:lang w:val="en-US" w:eastAsia="zh-CN"/>
                    </w:rPr>
                  </w:pPr>
                  <w:r>
                    <w:rPr>
                      <w:rFonts w:hint="eastAsia"/>
                      <w:color w:val="auto"/>
                      <w:sz w:val="18"/>
                      <w:szCs w:val="18"/>
                      <w:vertAlign w:val="baseline"/>
                      <w:lang w:val="en-US" w:eastAsia="zh-CN"/>
                    </w:rPr>
                    <w:t>1.68</w:t>
                  </w:r>
                </w:p>
              </w:tc>
              <w:tc>
                <w:tcPr>
                  <w:tcW w:w="400" w:type="pct"/>
                  <w:tcBorders>
                    <w:tl2br w:val="nil"/>
                    <w:tr2bl w:val="nil"/>
                  </w:tcBorders>
                  <w:vAlign w:val="center"/>
                </w:tcPr>
                <w:p w14:paraId="71A0DDF9">
                  <w:pPr>
                    <w:jc w:val="center"/>
                    <w:rPr>
                      <w:rFonts w:hint="default" w:eastAsia="宋体"/>
                      <w:color w:val="auto"/>
                      <w:sz w:val="18"/>
                      <w:szCs w:val="18"/>
                      <w:lang w:val="en-US" w:eastAsia="zh-CN"/>
                    </w:rPr>
                  </w:pPr>
                  <w:r>
                    <w:rPr>
                      <w:rFonts w:hint="eastAsia"/>
                      <w:color w:val="auto"/>
                      <w:sz w:val="18"/>
                      <w:szCs w:val="18"/>
                      <w:lang w:val="en-US" w:eastAsia="zh-CN"/>
                    </w:rPr>
                    <w:t>252</w:t>
                  </w:r>
                </w:p>
              </w:tc>
              <w:tc>
                <w:tcPr>
                  <w:tcW w:w="830" w:type="pct"/>
                  <w:tcBorders>
                    <w:tl2br w:val="nil"/>
                    <w:tr2bl w:val="nil"/>
                  </w:tcBorders>
                  <w:vAlign w:val="center"/>
                </w:tcPr>
                <w:p w14:paraId="6C34ECC5">
                  <w:pPr>
                    <w:jc w:val="center"/>
                    <w:rPr>
                      <w:rFonts w:hint="default" w:ascii="Times New Roman" w:hAnsi="Times New Roman" w:eastAsia="宋体"/>
                      <w:color w:val="auto"/>
                      <w:sz w:val="18"/>
                      <w:szCs w:val="18"/>
                      <w:vertAlign w:val="baseline"/>
                      <w:lang w:val="en-US" w:eastAsia="zh-CN"/>
                    </w:rPr>
                  </w:pPr>
                  <w:r>
                    <w:rPr>
                      <w:rFonts w:hint="eastAsia"/>
                      <w:color w:val="auto"/>
                      <w:sz w:val="18"/>
                      <w:szCs w:val="18"/>
                      <w:vertAlign w:val="baseline"/>
                      <w:lang w:val="en-US" w:eastAsia="zh-CN"/>
                    </w:rPr>
                    <w:t>150d/a</w:t>
                  </w:r>
                </w:p>
              </w:tc>
            </w:tr>
          </w:tbl>
          <w:p w14:paraId="67A491FF">
            <w:pPr>
              <w:spacing w:line="360" w:lineRule="auto"/>
              <w:ind w:firstLine="360" w:firstLineChars="200"/>
              <w:rPr>
                <w:rFonts w:ascii="Times New Roman" w:hAnsi="Times New Roman"/>
                <w:color w:val="auto"/>
                <w:sz w:val="18"/>
                <w:szCs w:val="18"/>
              </w:rPr>
            </w:pPr>
            <w:r>
              <w:rPr>
                <w:sz w:val="18"/>
              </w:rPr>
              <w:pict>
                <v:group id="_x0000_s4413" o:spid="_x0000_s4413" o:spt="203" style="position:absolute;left:0pt;margin-left:20.15pt;margin-top:6.2pt;height:310.3pt;width:395.75pt;z-index:251729920;mso-width-relative:page;mso-height-relative:page;" coordorigin="7397,361669" coordsize="7915,6206">
                  <o:lock v:ext="edit" aspectratio="f"/>
                  <v:rect id="_x0000_s2131" o:spid="_x0000_s2131" o:spt="1" style="position:absolute;left:8585;top:366693;height:363;width:627;" filled="f" stroked="f" coordsize="21600,21600">
                    <v:path/>
                    <v:fill on="f" focussize="0,0"/>
                    <v:stroke on="f"/>
                    <v:imagedata o:title=""/>
                    <o:lock v:ext="edit" aspectratio="f"/>
                    <v:textbox>
                      <w:txbxContent>
                        <w:p w14:paraId="0CE26B4F">
                          <w:pPr>
                            <w:jc w:val="center"/>
                            <w:rPr>
                              <w:rFonts w:hint="default" w:eastAsia="宋体"/>
                              <w:sz w:val="18"/>
                              <w:szCs w:val="18"/>
                              <w:lang w:val="en-US" w:eastAsia="zh-CN"/>
                            </w:rPr>
                          </w:pPr>
                          <w:r>
                            <w:rPr>
                              <w:rFonts w:hint="eastAsia"/>
                              <w:sz w:val="18"/>
                              <w:szCs w:val="18"/>
                              <w:lang w:val="en-US" w:eastAsia="zh-CN"/>
                            </w:rPr>
                            <w:t>0.37</w:t>
                          </w:r>
                        </w:p>
                      </w:txbxContent>
                    </v:textbox>
                  </v:rect>
                  <v:shape id="_x0000_s2272" o:spid="_x0000_s2272" o:spt="38" type="#_x0000_t38" style="position:absolute;left:9875;top:363393;flip:y;height:167;width:255;" filled="f" stroked="t" coordsize="21600,21600" adj="10758">
                    <v:path arrowok="t"/>
                    <v:fill on="f" focussize="0,0"/>
                    <v:stroke color="#000000" endarrow="block"/>
                    <v:imagedata o:title=""/>
                    <o:lock v:ext="edit" aspectratio="f"/>
                  </v:shape>
                  <v:rect id="_x0000_s2270" o:spid="_x0000_s2270" o:spt="1" style="position:absolute;left:9995;top:363179;height:440;width:1010;" filled="f" stroked="f" coordsize="21600,21600">
                    <v:path/>
                    <v:fill on="f" focussize="0,0"/>
                    <v:stroke on="f"/>
                    <v:imagedata o:title=""/>
                    <o:lock v:ext="edit" aspectratio="f"/>
                    <v:textbox>
                      <w:txbxContent>
                        <w:p w14:paraId="68A79C0B">
                          <w:pPr>
                            <w:jc w:val="center"/>
                            <w:rPr>
                              <w:rFonts w:hint="default" w:eastAsia="宋体"/>
                              <w:sz w:val="18"/>
                              <w:szCs w:val="18"/>
                              <w:lang w:val="en-US" w:eastAsia="zh-CN"/>
                            </w:rPr>
                          </w:pPr>
                          <w:r>
                            <w:rPr>
                              <w:rFonts w:hint="eastAsia"/>
                              <w:sz w:val="18"/>
                              <w:szCs w:val="18"/>
                              <w:lang w:val="en-US" w:eastAsia="zh-CN"/>
                            </w:rPr>
                            <w:t>0.1</w:t>
                          </w:r>
                        </w:p>
                      </w:txbxContent>
                    </v:textbox>
                  </v:rect>
                  <v:rect id="_x0000_s2080" o:spid="_x0000_s2080" o:spt="1" style="position:absolute;left:7397;top:362764;height:800;width:976;" filled="f" stroked="f" coordsize="21600,21600">
                    <v:path/>
                    <v:fill on="f" focussize="0,0"/>
                    <v:stroke on="f"/>
                    <v:imagedata o:title=""/>
                    <o:lock v:ext="edit" aspectratio="f"/>
                    <v:textbox>
                      <w:txbxContent>
                        <w:p w14:paraId="03F2C59F">
                          <w:pPr>
                            <w:jc w:val="center"/>
                            <w:rPr>
                              <w:rFonts w:hint="eastAsia"/>
                              <w:sz w:val="18"/>
                              <w:szCs w:val="18"/>
                            </w:rPr>
                          </w:pPr>
                          <w:r>
                            <w:rPr>
                              <w:rFonts w:hint="eastAsia"/>
                              <w:sz w:val="18"/>
                              <w:szCs w:val="18"/>
                            </w:rPr>
                            <w:t>新</w:t>
                          </w:r>
                          <w:r>
                            <w:rPr>
                              <w:rFonts w:hint="eastAsia"/>
                              <w:sz w:val="18"/>
                              <w:szCs w:val="18"/>
                              <w:lang w:val="en-US" w:eastAsia="zh-CN"/>
                            </w:rPr>
                            <w:t>鲜</w:t>
                          </w:r>
                          <w:r>
                            <w:rPr>
                              <w:rFonts w:hint="eastAsia"/>
                              <w:sz w:val="18"/>
                              <w:szCs w:val="18"/>
                            </w:rPr>
                            <w:t>水</w:t>
                          </w:r>
                        </w:p>
                        <w:p w14:paraId="52ED0FFB">
                          <w:pPr>
                            <w:jc w:val="center"/>
                            <w:rPr>
                              <w:rFonts w:hint="default" w:eastAsia="宋体"/>
                              <w:sz w:val="18"/>
                              <w:szCs w:val="18"/>
                              <w:lang w:val="en-US" w:eastAsia="zh-CN"/>
                            </w:rPr>
                          </w:pPr>
                          <w:r>
                            <w:rPr>
                              <w:rFonts w:hint="eastAsia"/>
                              <w:sz w:val="18"/>
                              <w:szCs w:val="18"/>
                              <w:lang w:val="en-US" w:eastAsia="zh-CN"/>
                            </w:rPr>
                            <w:t>322.67</w:t>
                          </w:r>
                        </w:p>
                      </w:txbxContent>
                    </v:textbox>
                  </v:rect>
                  <v:rect id="_x0000_s2067" o:spid="_x0000_s2067" o:spt="1" style="position:absolute;left:8428;top:362494;height:363;width:800;" filled="f" stroked="f" coordsize="21600,21600">
                    <v:path/>
                    <v:fill on="f" focussize="0,0"/>
                    <v:stroke on="f"/>
                    <v:imagedata o:title=""/>
                    <o:lock v:ext="edit" aspectratio="f"/>
                    <v:textbox>
                      <w:txbxContent>
                        <w:p w14:paraId="59F63A1F">
                          <w:pPr>
                            <w:jc w:val="center"/>
                            <w:rPr>
                              <w:rFonts w:hint="default" w:eastAsia="宋体"/>
                              <w:sz w:val="18"/>
                              <w:szCs w:val="18"/>
                              <w:lang w:val="en-US" w:eastAsia="zh-CN"/>
                            </w:rPr>
                          </w:pPr>
                          <w:r>
                            <w:rPr>
                              <w:rFonts w:hint="eastAsia"/>
                              <w:sz w:val="18"/>
                              <w:szCs w:val="18"/>
                              <w:lang w:val="en-US" w:eastAsia="zh-CN"/>
                            </w:rPr>
                            <w:t>315.95</w:t>
                          </w:r>
                        </w:p>
                      </w:txbxContent>
                    </v:textbox>
                  </v:rect>
                  <v:shape id="_x0000_s2079" o:spid="_x0000_s2079" o:spt="32" type="#_x0000_t32" style="position:absolute;left:8415;top:362800;height:8;width:967;" filled="f" stroked="t" coordsize="21600,21600">
                    <v:path arrowok="t"/>
                    <v:fill on="f" focussize="0,0"/>
                    <v:stroke color="#000000" endarrow="block"/>
                    <v:imagedata o:title=""/>
                    <o:lock v:ext="edit" aspectratio="f"/>
                  </v:shape>
                  <v:shape id="_x0000_s2076" o:spid="_x0000_s2076" o:spt="32" type="#_x0000_t32" style="position:absolute;left:8390;top:362270;flip:x;height:5329;width:11;" filled="f" stroked="t" coordsize="21600,21600">
                    <v:path arrowok="t"/>
                    <v:fill on="f" focussize="0,0"/>
                    <v:stroke color="#000000"/>
                    <v:imagedata o:title=""/>
                    <o:lock v:ext="edit" aspectratio="f"/>
                  </v:shape>
                  <v:rect id="_x0000_s2069" o:spid="_x0000_s2069" o:spt="1" style="position:absolute;left:9410;top:362610;height:388;width:2729;" fillcolor="#FFFFFF" filled="t" stroked="t" coordsize="21600,21600">
                    <v:path/>
                    <v:fill on="t" color2="#FFFFFF" focussize="0,0"/>
                    <v:stroke color="#000000" joinstyle="miter"/>
                    <v:imagedata o:title=""/>
                    <o:lock v:ext="edit" aspectratio="f"/>
                    <v:textbox>
                      <w:txbxContent>
                        <w:p w14:paraId="6CBA38D5">
                          <w:pPr>
                            <w:jc w:val="center"/>
                            <w:rPr>
                              <w:rFonts w:hint="default" w:eastAsia="宋体"/>
                              <w:sz w:val="18"/>
                              <w:szCs w:val="18"/>
                              <w:lang w:val="en-US" w:eastAsia="zh-CN"/>
                            </w:rPr>
                          </w:pPr>
                          <w:r>
                            <w:rPr>
                              <w:rFonts w:hint="eastAsia"/>
                              <w:sz w:val="18"/>
                              <w:szCs w:val="18"/>
                              <w:lang w:val="en-US" w:eastAsia="zh-CN"/>
                            </w:rPr>
                            <w:t>混凝土、水稳土搅拌用水</w:t>
                          </w:r>
                        </w:p>
                      </w:txbxContent>
                    </v:textbox>
                  </v:rect>
                  <v:shape id="_x0000_s2075" o:spid="_x0000_s2075" o:spt="32" type="#_x0000_t32" style="position:absolute;left:12179;top:362824;flip:y;height:8;width:1582;" filled="f" stroked="t" coordsize="21600,21600">
                    <v:path arrowok="t"/>
                    <v:fill on="f" focussize="0,0"/>
                    <v:stroke color="#000000" endarrow="block"/>
                    <v:imagedata o:title=""/>
                    <o:lock v:ext="edit" aspectratio="f"/>
                  </v:shape>
                  <v:rect id="_x0000_s2068" o:spid="_x0000_s2068" o:spt="1" style="position:absolute;left:12609;top:362482;height:363;width:836;" filled="f" stroked="f" coordsize="21600,21600">
                    <v:path/>
                    <v:fill on="f" focussize="0,0"/>
                    <v:stroke on="f"/>
                    <v:imagedata o:title=""/>
                    <o:lock v:ext="edit" aspectratio="f"/>
                    <v:textbox>
                      <w:txbxContent>
                        <w:p w14:paraId="7A0109E4">
                          <w:pPr>
                            <w:jc w:val="center"/>
                            <w:rPr>
                              <w:rFonts w:hint="default" w:eastAsia="宋体"/>
                              <w:sz w:val="18"/>
                              <w:szCs w:val="18"/>
                              <w:lang w:val="en-US" w:eastAsia="zh-CN"/>
                            </w:rPr>
                          </w:pPr>
                          <w:r>
                            <w:rPr>
                              <w:rFonts w:hint="eastAsia"/>
                              <w:sz w:val="18"/>
                              <w:szCs w:val="18"/>
                              <w:lang w:val="en-US" w:eastAsia="zh-CN"/>
                            </w:rPr>
                            <w:t>316.67</w:t>
                          </w:r>
                        </w:p>
                      </w:txbxContent>
                    </v:textbox>
                  </v:rect>
                  <v:rect id="_x0000_s2087" o:spid="_x0000_s2087" o:spt="1" style="position:absolute;left:13574;top:362627;height:363;width:1259;" filled="f" stroked="f" coordsize="21600,21600">
                    <v:path/>
                    <v:fill on="f" focussize="0,0"/>
                    <v:stroke on="f"/>
                    <v:imagedata o:title=""/>
                    <o:lock v:ext="edit" aspectratio="f"/>
                    <v:textbox>
                      <w:txbxContent>
                        <w:p w14:paraId="1ACB8377">
                          <w:pPr>
                            <w:jc w:val="center"/>
                            <w:rPr>
                              <w:rFonts w:hint="default" w:eastAsia="宋体"/>
                              <w:sz w:val="18"/>
                              <w:szCs w:val="18"/>
                              <w:lang w:val="en-US" w:eastAsia="zh-CN"/>
                            </w:rPr>
                          </w:pPr>
                          <w:r>
                            <w:rPr>
                              <w:rFonts w:hint="eastAsia"/>
                              <w:sz w:val="18"/>
                              <w:szCs w:val="18"/>
                              <w:lang w:val="en-US" w:eastAsia="zh-CN"/>
                            </w:rPr>
                            <w:t>进入产品</w:t>
                          </w:r>
                        </w:p>
                      </w:txbxContent>
                    </v:textbox>
                  </v:rect>
                  <v:rect id="_x0000_s2090" o:spid="_x0000_s2090" o:spt="1" style="position:absolute;left:8563;top:363482;height:363;width:627;" filled="f" stroked="f" coordsize="21600,21600">
                    <v:path/>
                    <v:fill on="f" focussize="0,0"/>
                    <v:stroke on="f"/>
                    <v:imagedata o:title=""/>
                    <o:lock v:ext="edit" aspectratio="f"/>
                    <v:textbox>
                      <w:txbxContent>
                        <w:p w14:paraId="05EADC74">
                          <w:pPr>
                            <w:jc w:val="center"/>
                            <w:rPr>
                              <w:rFonts w:hint="default" w:eastAsia="宋体"/>
                              <w:sz w:val="18"/>
                              <w:szCs w:val="18"/>
                              <w:lang w:val="en-US" w:eastAsia="zh-CN"/>
                            </w:rPr>
                          </w:pPr>
                          <w:r>
                            <w:rPr>
                              <w:rFonts w:hint="eastAsia"/>
                              <w:sz w:val="18"/>
                              <w:szCs w:val="18"/>
                              <w:lang w:val="en-US" w:eastAsia="zh-CN"/>
                            </w:rPr>
                            <w:t>0.5</w:t>
                          </w:r>
                        </w:p>
                      </w:txbxContent>
                    </v:textbox>
                  </v:rect>
                  <v:shape id="_x0000_s2101" o:spid="_x0000_s2101" o:spt="32" type="#_x0000_t32" style="position:absolute;left:8392;top:363755;height:8;width:967;" filled="f" stroked="t" coordsize="21600,21600">
                    <v:path arrowok="t"/>
                    <v:fill on="f" focussize="0,0"/>
                    <v:stroke color="#000000" endarrow="block"/>
                    <v:imagedata o:title=""/>
                    <o:lock v:ext="edit" aspectratio="f"/>
                  </v:shape>
                  <v:rect id="_x0000_s2089" o:spid="_x0000_s2089" o:spt="1" style="position:absolute;left:9387;top:363565;height:388;width:1759;" fillcolor="#FFFFFF" filled="t" stroked="t" coordsize="21600,21600">
                    <v:path/>
                    <v:fill on="t" color2="#FFFFFF" focussize="0,0"/>
                    <v:stroke color="#000000" joinstyle="miter"/>
                    <v:imagedata o:title=""/>
                    <o:lock v:ext="edit" aspectratio="f"/>
                    <v:textbox>
                      <w:txbxContent>
                        <w:p w14:paraId="23BC7C3F">
                          <w:pPr>
                            <w:jc w:val="center"/>
                            <w:rPr>
                              <w:rFonts w:hint="default" w:eastAsia="宋体"/>
                              <w:sz w:val="18"/>
                              <w:szCs w:val="18"/>
                              <w:lang w:val="en-US" w:eastAsia="zh-CN"/>
                            </w:rPr>
                          </w:pPr>
                          <w:r>
                            <w:rPr>
                              <w:rFonts w:hint="eastAsia"/>
                              <w:sz w:val="18"/>
                              <w:szCs w:val="18"/>
                              <w:lang w:val="en-US" w:eastAsia="zh-CN"/>
                            </w:rPr>
                            <w:t>水稳搅拌机组清洗</w:t>
                          </w:r>
                        </w:p>
                      </w:txbxContent>
                    </v:textbox>
                  </v:rect>
                  <v:shape id="_x0000_s2098" o:spid="_x0000_s2098" o:spt="32" type="#_x0000_t32" style="position:absolute;left:11164;top:363733;flip:y;height:8;width:1049;" filled="f" stroked="t" coordsize="21600,21600">
                    <v:path arrowok="t"/>
                    <v:fill on="f" focussize="0,0"/>
                    <v:stroke color="#000000" endarrow="block"/>
                    <v:imagedata o:title=""/>
                    <o:lock v:ext="edit" aspectratio="f"/>
                  </v:shape>
                  <v:rect id="_x0000_s2088" o:spid="_x0000_s2088" o:spt="1" style="position:absolute;left:11312;top:363468;height:363;width:606;" filled="f" stroked="f" coordsize="21600,21600">
                    <v:path/>
                    <v:fill on="f" focussize="0,0"/>
                    <v:stroke on="f"/>
                    <v:imagedata o:title=""/>
                    <o:lock v:ext="edit" aspectratio="f"/>
                    <v:textbox>
                      <w:txbxContent>
                        <w:p w14:paraId="022335C5">
                          <w:pPr>
                            <w:jc w:val="center"/>
                            <w:rPr>
                              <w:rFonts w:hint="default" w:eastAsia="宋体"/>
                              <w:sz w:val="18"/>
                              <w:szCs w:val="18"/>
                              <w:lang w:val="en-US" w:eastAsia="zh-CN"/>
                            </w:rPr>
                          </w:pPr>
                          <w:r>
                            <w:rPr>
                              <w:rFonts w:hint="eastAsia"/>
                              <w:sz w:val="18"/>
                              <w:szCs w:val="18"/>
                              <w:lang w:val="en-US" w:eastAsia="zh-CN"/>
                            </w:rPr>
                            <w:t>0.4</w:t>
                          </w:r>
                        </w:p>
                      </w:txbxContent>
                    </v:textbox>
                  </v:rect>
                  <v:shape id="_x0000_s2105" o:spid="_x0000_s2105" o:spt="38" type="#_x0000_t38" style="position:absolute;left:9886;top:364194;flip:y;height:167;width:255;" filled="f" stroked="t" coordsize="21600,21600" adj="10758">
                    <v:path arrowok="t"/>
                    <v:fill on="f" focussize="0,0"/>
                    <v:stroke color="#000000" endarrow="block"/>
                    <v:imagedata o:title=""/>
                    <o:lock v:ext="edit" aspectratio="f"/>
                  </v:shape>
                  <v:rect id="_x0000_s2104" o:spid="_x0000_s2104" o:spt="1" style="position:absolute;left:10006;top:363980;height:440;width:1010;" filled="f" stroked="f" coordsize="21600,21600">
                    <v:path/>
                    <v:fill on="f" focussize="0,0"/>
                    <v:stroke on="f"/>
                    <v:imagedata o:title=""/>
                    <o:lock v:ext="edit" aspectratio="f"/>
                    <v:textbox>
                      <w:txbxContent>
                        <w:p w14:paraId="0F4AE093">
                          <w:pPr>
                            <w:jc w:val="center"/>
                            <w:rPr>
                              <w:rFonts w:hint="default" w:eastAsia="宋体"/>
                              <w:sz w:val="18"/>
                              <w:szCs w:val="18"/>
                              <w:lang w:val="en-US" w:eastAsia="zh-CN"/>
                            </w:rPr>
                          </w:pPr>
                          <w:r>
                            <w:rPr>
                              <w:rFonts w:hint="eastAsia"/>
                              <w:sz w:val="18"/>
                              <w:szCs w:val="18"/>
                              <w:lang w:val="en-US" w:eastAsia="zh-CN"/>
                            </w:rPr>
                            <w:t>0.08</w:t>
                          </w:r>
                        </w:p>
                      </w:txbxContent>
                    </v:textbox>
                  </v:rect>
                  <v:rect id="_x0000_s2106" o:spid="_x0000_s2106" o:spt="1" style="position:absolute;left:8574;top:364283;height:363;width:627;" filled="f" stroked="f" coordsize="21600,21600">
                    <v:path/>
                    <v:fill on="f" focussize="0,0"/>
                    <v:stroke on="f"/>
                    <v:imagedata o:title=""/>
                    <o:lock v:ext="edit" aspectratio="f"/>
                    <v:textbox>
                      <w:txbxContent>
                        <w:p w14:paraId="45EF62AD">
                          <w:pPr>
                            <w:jc w:val="center"/>
                            <w:rPr>
                              <w:rFonts w:hint="default" w:eastAsia="宋体"/>
                              <w:sz w:val="18"/>
                              <w:szCs w:val="18"/>
                              <w:lang w:val="en-US" w:eastAsia="zh-CN"/>
                            </w:rPr>
                          </w:pPr>
                          <w:r>
                            <w:rPr>
                              <w:rFonts w:hint="eastAsia"/>
                              <w:sz w:val="18"/>
                              <w:szCs w:val="18"/>
                              <w:lang w:val="en-US" w:eastAsia="zh-CN"/>
                            </w:rPr>
                            <w:t>0.4</w:t>
                          </w:r>
                        </w:p>
                      </w:txbxContent>
                    </v:textbox>
                  </v:rect>
                  <v:shape id="_x0000_s2108" o:spid="_x0000_s2108" o:spt="32" type="#_x0000_t32" style="position:absolute;left:8403;top:364556;height:8;width:967;" filled="f" stroked="t" coordsize="21600,21600">
                    <v:path arrowok="t"/>
                    <v:fill on="f" focussize="0,0"/>
                    <v:stroke color="#000000" endarrow="block"/>
                    <v:imagedata o:title=""/>
                    <o:lock v:ext="edit" aspectratio="f"/>
                  </v:shape>
                  <v:rect id="_x0000_s2110" o:spid="_x0000_s2110" o:spt="1" style="position:absolute;left:9398;top:364366;height:388;width:1759;" fillcolor="#FFFFFF" filled="t" stroked="t" coordsize="21600,21600">
                    <v:path/>
                    <v:fill on="t" color2="#FFFFFF" focussize="0,0"/>
                    <v:stroke color="#000000" joinstyle="miter"/>
                    <v:imagedata o:title=""/>
                    <o:lock v:ext="edit" aspectratio="f"/>
                    <v:textbox>
                      <w:txbxContent>
                        <w:p w14:paraId="3BAE9564">
                          <w:pPr>
                            <w:jc w:val="center"/>
                            <w:rPr>
                              <w:rFonts w:hint="default" w:eastAsia="宋体"/>
                              <w:sz w:val="18"/>
                              <w:szCs w:val="18"/>
                              <w:lang w:val="en-US" w:eastAsia="zh-CN"/>
                            </w:rPr>
                          </w:pPr>
                          <w:r>
                            <w:rPr>
                              <w:rFonts w:hint="eastAsia"/>
                              <w:sz w:val="18"/>
                              <w:szCs w:val="18"/>
                              <w:lang w:val="en-US" w:eastAsia="zh-CN"/>
                            </w:rPr>
                            <w:t>搅拌机组场地冲洗</w:t>
                          </w:r>
                        </w:p>
                      </w:txbxContent>
                    </v:textbox>
                  </v:rect>
                  <v:shape id="_x0000_s2107" o:spid="_x0000_s2107" o:spt="32" type="#_x0000_t32" style="position:absolute;left:11175;top:364534;flip:y;height:8;width:1049;" filled="f" stroked="t" coordsize="21600,21600">
                    <v:path arrowok="t"/>
                    <v:fill on="f" focussize="0,0"/>
                    <v:stroke color="#000000" endarrow="block"/>
                    <v:imagedata o:title=""/>
                    <o:lock v:ext="edit" aspectratio="f"/>
                  </v:shape>
                  <v:rect id="_x0000_s2102" o:spid="_x0000_s2102" o:spt="1" style="position:absolute;left:11323;top:364269;height:363;width:606;" filled="f" stroked="f" coordsize="21600,21600">
                    <v:path/>
                    <v:fill on="f" focussize="0,0"/>
                    <v:stroke on="f"/>
                    <v:imagedata o:title=""/>
                    <o:lock v:ext="edit" aspectratio="f"/>
                    <v:textbox>
                      <w:txbxContent>
                        <w:p w14:paraId="7AA56C4D">
                          <w:pPr>
                            <w:jc w:val="center"/>
                            <w:rPr>
                              <w:rFonts w:hint="default" w:eastAsia="宋体"/>
                              <w:sz w:val="18"/>
                              <w:szCs w:val="18"/>
                              <w:lang w:val="en-US" w:eastAsia="zh-CN"/>
                            </w:rPr>
                          </w:pPr>
                          <w:r>
                            <w:rPr>
                              <w:rFonts w:hint="eastAsia"/>
                              <w:sz w:val="18"/>
                              <w:szCs w:val="18"/>
                              <w:lang w:val="en-US" w:eastAsia="zh-CN"/>
                            </w:rPr>
                            <w:t>0.32</w:t>
                          </w:r>
                        </w:p>
                      </w:txbxContent>
                    </v:textbox>
                  </v:rect>
                  <v:rect id="_x0000_s2111" o:spid="_x0000_s2111" o:spt="1" style="position:absolute;left:13075;top:363926;height:388;width:1240;" fillcolor="#FFFFFF" filled="t" stroked="t" coordsize="21600,21600">
                    <v:path/>
                    <v:fill on="t" color2="#FFFFFF" focussize="0,0"/>
                    <v:stroke color="#000000" joinstyle="miter"/>
                    <v:imagedata o:title=""/>
                    <o:lock v:ext="edit" aspectratio="f"/>
                    <v:textbox>
                      <w:txbxContent>
                        <w:p w14:paraId="618D0194">
                          <w:pPr>
                            <w:jc w:val="center"/>
                            <w:rPr>
                              <w:rFonts w:hint="default" w:eastAsia="宋体"/>
                              <w:sz w:val="18"/>
                              <w:szCs w:val="18"/>
                              <w:lang w:val="en-US" w:eastAsia="zh-CN"/>
                            </w:rPr>
                          </w:pPr>
                          <w:r>
                            <w:rPr>
                              <w:rFonts w:hint="eastAsia"/>
                              <w:sz w:val="18"/>
                              <w:szCs w:val="18"/>
                              <w:lang w:val="en-US" w:eastAsia="zh-CN"/>
                            </w:rPr>
                            <w:t>沉淀池</w:t>
                          </w:r>
                        </w:p>
                      </w:txbxContent>
                    </v:textbox>
                  </v:rect>
                  <v:shape id="_x0000_s2112" o:spid="_x0000_s2112" o:spt="32" type="#_x0000_t32" style="position:absolute;left:12213;top:363731;flip:x;height:823;width:11;" filled="f" stroked="t" coordsize="21600,21600">
                    <v:path arrowok="t"/>
                    <v:fill on="f" focussize="0,0"/>
                    <v:stroke color="#000000"/>
                    <v:imagedata o:title=""/>
                    <o:lock v:ext="edit" aspectratio="f"/>
                  </v:shape>
                  <v:shape id="_x0000_s2113" o:spid="_x0000_s2113" o:spt="32" type="#_x0000_t32" style="position:absolute;left:12224;top:364105;flip:y;height:9;width:835;" filled="f" stroked="t" coordsize="21600,21600">
                    <v:path arrowok="t"/>
                    <v:fill on="f" focussize="0,0"/>
                    <v:stroke color="#000000" endarrow="block"/>
                    <v:imagedata o:title=""/>
                    <o:lock v:ext="edit" aspectratio="f"/>
                  </v:shape>
                  <v:rect id="_x0000_s2117" o:spid="_x0000_s2117" o:spt="1" style="position:absolute;left:12361;top:363761;height:363;width:606;" filled="f" stroked="f" coordsize="21600,21600">
                    <v:path/>
                    <v:fill on="f" focussize="0,0"/>
                    <v:stroke on="f"/>
                    <v:imagedata o:title=""/>
                    <o:lock v:ext="edit" aspectratio="f"/>
                    <v:textbox>
                      <w:txbxContent>
                        <w:p w14:paraId="0D838E71">
                          <w:pPr>
                            <w:jc w:val="center"/>
                            <w:rPr>
                              <w:rFonts w:hint="default" w:eastAsia="宋体"/>
                              <w:sz w:val="18"/>
                              <w:szCs w:val="18"/>
                              <w:lang w:val="en-US" w:eastAsia="zh-CN"/>
                            </w:rPr>
                          </w:pPr>
                          <w:r>
                            <w:rPr>
                              <w:rFonts w:hint="eastAsia"/>
                              <w:sz w:val="18"/>
                              <w:szCs w:val="18"/>
                              <w:lang w:val="en-US" w:eastAsia="zh-CN"/>
                            </w:rPr>
                            <w:t>0.72</w:t>
                          </w:r>
                        </w:p>
                      </w:txbxContent>
                    </v:textbox>
                  </v:rect>
                  <v:shape id="_x0000_s2122" o:spid="_x0000_s2122" o:spt="38" type="#_x0000_t38" style="position:absolute;left:9919;top:365758;flip:y;height:167;width:255;" filled="f" stroked="t" coordsize="21600,21600" adj="10758">
                    <v:path arrowok="t"/>
                    <v:fill on="f" focussize="0,0"/>
                    <v:stroke color="#000000" endarrow="block"/>
                    <v:imagedata o:title=""/>
                    <o:lock v:ext="edit" aspectratio="f"/>
                  </v:shape>
                  <v:rect id="_x0000_s2118" o:spid="_x0000_s2118" o:spt="1" style="position:absolute;left:10039;top:365544;height:440;width:1010;" filled="f" stroked="f" coordsize="21600,21600">
                    <v:path/>
                    <v:fill on="f" focussize="0,0"/>
                    <v:stroke on="f"/>
                    <v:imagedata o:title=""/>
                    <o:lock v:ext="edit" aspectratio="f"/>
                    <v:textbox>
                      <w:txbxContent>
                        <w:p w14:paraId="1345AD38">
                          <w:pPr>
                            <w:jc w:val="center"/>
                            <w:rPr>
                              <w:rFonts w:hint="default" w:eastAsia="宋体"/>
                              <w:sz w:val="18"/>
                              <w:szCs w:val="18"/>
                              <w:lang w:val="en-US" w:eastAsia="zh-CN"/>
                            </w:rPr>
                          </w:pPr>
                          <w:r>
                            <w:rPr>
                              <w:rFonts w:hint="eastAsia"/>
                              <w:sz w:val="18"/>
                              <w:szCs w:val="18"/>
                              <w:lang w:val="en-US" w:eastAsia="zh-CN"/>
                            </w:rPr>
                            <w:t>0.24</w:t>
                          </w:r>
                        </w:p>
                      </w:txbxContent>
                    </v:textbox>
                  </v:rect>
                  <v:rect id="_x0000_s2123" o:spid="_x0000_s2123" o:spt="1" style="position:absolute;left:8607;top:365847;height:363;width:627;" filled="f" stroked="f" coordsize="21600,21600">
                    <v:path/>
                    <v:fill on="f" focussize="0,0"/>
                    <v:stroke on="f"/>
                    <v:imagedata o:title=""/>
                    <o:lock v:ext="edit" aspectratio="f"/>
                    <v:textbox>
                      <w:txbxContent>
                        <w:p w14:paraId="410463A3">
                          <w:pPr>
                            <w:jc w:val="center"/>
                            <w:rPr>
                              <w:rFonts w:hint="default" w:eastAsia="宋体"/>
                              <w:sz w:val="18"/>
                              <w:szCs w:val="18"/>
                              <w:lang w:val="en-US" w:eastAsia="zh-CN"/>
                            </w:rPr>
                          </w:pPr>
                          <w:r>
                            <w:rPr>
                              <w:rFonts w:hint="eastAsia"/>
                              <w:sz w:val="18"/>
                              <w:szCs w:val="18"/>
                              <w:lang w:val="en-US" w:eastAsia="zh-CN"/>
                            </w:rPr>
                            <w:t>1.2</w:t>
                          </w:r>
                        </w:p>
                      </w:txbxContent>
                    </v:textbox>
                  </v:rect>
                  <v:rect id="_x0000_s2121" o:spid="_x0000_s2121" o:spt="1" style="position:absolute;left:11356;top:365833;height:363;width:606;" filled="f" stroked="f" coordsize="21600,21600">
                    <v:path/>
                    <v:fill on="f" focussize="0,0"/>
                    <v:stroke on="f"/>
                    <v:imagedata o:title=""/>
                    <o:lock v:ext="edit" aspectratio="f"/>
                    <v:textbox>
                      <w:txbxContent>
                        <w:p w14:paraId="0E187DCB">
                          <w:pPr>
                            <w:jc w:val="center"/>
                            <w:rPr>
                              <w:rFonts w:hint="default" w:eastAsia="宋体"/>
                              <w:sz w:val="18"/>
                              <w:szCs w:val="18"/>
                              <w:lang w:val="en-US" w:eastAsia="zh-CN"/>
                            </w:rPr>
                          </w:pPr>
                          <w:r>
                            <w:rPr>
                              <w:rFonts w:hint="eastAsia"/>
                              <w:sz w:val="18"/>
                              <w:szCs w:val="18"/>
                              <w:lang w:val="en-US" w:eastAsia="zh-CN"/>
                            </w:rPr>
                            <w:t>0.96</w:t>
                          </w:r>
                        </w:p>
                      </w:txbxContent>
                    </v:textbox>
                  </v:rect>
                  <v:shape id="_x0000_s2126" o:spid="_x0000_s2126" o:spt="32" type="#_x0000_t32" style="position:absolute;left:8436;top:366120;height:8;width:967;" filled="f" stroked="t" coordsize="21600,21600">
                    <v:path arrowok="t"/>
                    <v:fill on="f" focussize="0,0"/>
                    <v:stroke color="#000000" endarrow="block"/>
                    <v:imagedata o:title=""/>
                    <o:lock v:ext="edit" aspectratio="f"/>
                  </v:shape>
                  <v:rect id="_x0000_s2124" o:spid="_x0000_s2124" o:spt="1" style="position:absolute;left:9431;top:365930;height:388;width:1759;" fillcolor="#FFFFFF" filled="t" stroked="t" coordsize="21600,21600">
                    <v:path/>
                    <v:fill on="t" color2="#FFFFFF" focussize="0,0"/>
                    <v:stroke color="#000000" joinstyle="miter"/>
                    <v:imagedata o:title=""/>
                    <o:lock v:ext="edit" aspectratio="f"/>
                    <v:textbox>
                      <w:txbxContent>
                        <w:p w14:paraId="5ACA16C3">
                          <w:pPr>
                            <w:jc w:val="center"/>
                            <w:rPr>
                              <w:rFonts w:hint="default" w:eastAsia="宋体"/>
                              <w:sz w:val="18"/>
                              <w:szCs w:val="18"/>
                              <w:lang w:val="en-US" w:eastAsia="zh-CN"/>
                            </w:rPr>
                          </w:pPr>
                          <w:r>
                            <w:rPr>
                              <w:rFonts w:hint="eastAsia"/>
                              <w:sz w:val="18"/>
                              <w:szCs w:val="18"/>
                              <w:lang w:val="en-US" w:eastAsia="zh-CN"/>
                            </w:rPr>
                            <w:t>职工生活办公用水</w:t>
                          </w:r>
                        </w:p>
                      </w:txbxContent>
                    </v:textbox>
                  </v:rect>
                  <v:rect id="_x0000_s2236" o:spid="_x0000_s2236" o:spt="1" style="position:absolute;left:8550;top:365026;height:363;width:627;" filled="f" stroked="f" coordsize="21600,21600">
                    <v:path/>
                    <v:fill on="f" focussize="0,0"/>
                    <v:stroke on="f"/>
                    <v:imagedata o:title=""/>
                    <o:lock v:ext="edit" aspectratio="f"/>
                    <v:textbox>
                      <w:txbxContent>
                        <w:p w14:paraId="3D1730B7">
                          <w:pPr>
                            <w:jc w:val="center"/>
                            <w:rPr>
                              <w:rFonts w:hint="default" w:eastAsia="宋体"/>
                              <w:sz w:val="18"/>
                              <w:szCs w:val="18"/>
                              <w:lang w:val="en-US" w:eastAsia="zh-CN"/>
                            </w:rPr>
                          </w:pPr>
                          <w:r>
                            <w:rPr>
                              <w:rFonts w:hint="eastAsia"/>
                              <w:sz w:val="18"/>
                              <w:szCs w:val="18"/>
                              <w:lang w:val="en-US" w:eastAsia="zh-CN"/>
                            </w:rPr>
                            <w:t>3.2</w:t>
                          </w:r>
                        </w:p>
                      </w:txbxContent>
                    </v:textbox>
                  </v:rect>
                  <v:shape id="_x0000_s2125" o:spid="_x0000_s2125" o:spt="32" type="#_x0000_t32" style="position:absolute;left:11208;top:366098;flip:y;height:8;width:1049;" filled="f" stroked="t" coordsize="21600,21600">
                    <v:path arrowok="t"/>
                    <v:fill on="f" focussize="0,0"/>
                    <v:stroke color="#000000" endarrow="block"/>
                    <v:imagedata o:title=""/>
                    <o:lock v:ext="edit" aspectratio="f"/>
                  </v:shape>
                  <v:shape id="_x0000_s2165" o:spid="_x0000_s2165" o:spt="32" type="#_x0000_t32" style="position:absolute;left:8414;top:366966;height:8;width:967;" filled="f" stroked="t" coordsize="21600,21600">
                    <v:path arrowok="t"/>
                    <v:fill on="f" focussize="0,0"/>
                    <v:stroke color="#000000" endarrow="block"/>
                    <v:imagedata o:title=""/>
                    <o:lock v:ext="edit" aspectratio="f"/>
                  </v:shape>
                  <v:rect id="_x0000_s2214" o:spid="_x0000_s2214" o:spt="1" style="position:absolute;left:11324;top:367428;height:440;width:1010;" filled="f" stroked="f" coordsize="21600,21600">
                    <v:path/>
                    <v:fill on="f" focussize="0,0"/>
                    <v:stroke on="f"/>
                    <v:imagedata o:title=""/>
                    <o:lock v:ext="edit" aspectratio="f"/>
                    <v:textbox>
                      <w:txbxContent>
                        <w:p w14:paraId="0F391D1F">
                          <w:pPr>
                            <w:jc w:val="center"/>
                            <w:rPr>
                              <w:rFonts w:hint="default" w:eastAsia="宋体"/>
                              <w:sz w:val="18"/>
                              <w:szCs w:val="18"/>
                              <w:lang w:val="en-US" w:eastAsia="zh-CN"/>
                            </w:rPr>
                          </w:pPr>
                          <w:r>
                            <w:rPr>
                              <w:rFonts w:hint="eastAsia"/>
                              <w:sz w:val="18"/>
                              <w:szCs w:val="18"/>
                              <w:lang w:val="en-US" w:eastAsia="zh-CN"/>
                            </w:rPr>
                            <w:t>自然蒸发</w:t>
                          </w:r>
                        </w:p>
                      </w:txbxContent>
                    </v:textbox>
                  </v:rect>
                  <v:rect id="_x0000_s2225" o:spid="_x0000_s2225" o:spt="1" style="position:absolute;left:9386;top:367487;height:388;width:1759;" fillcolor="#FFFFFF" filled="t" stroked="t" coordsize="21600,21600">
                    <v:path/>
                    <v:fill on="t" color2="#FFFFFF" focussize="0,0"/>
                    <v:stroke color="#000000" joinstyle="miter"/>
                    <v:imagedata o:title=""/>
                    <o:lock v:ext="edit" aspectratio="f"/>
                    <v:textbox>
                      <w:txbxContent>
                        <w:p w14:paraId="623F985A">
                          <w:pPr>
                            <w:jc w:val="center"/>
                            <w:rPr>
                              <w:rFonts w:hint="default" w:eastAsia="宋体"/>
                              <w:sz w:val="18"/>
                              <w:szCs w:val="18"/>
                              <w:lang w:val="en-US" w:eastAsia="zh-CN"/>
                            </w:rPr>
                          </w:pPr>
                          <w:r>
                            <w:rPr>
                              <w:rFonts w:hint="eastAsia"/>
                              <w:sz w:val="18"/>
                              <w:szCs w:val="18"/>
                              <w:lang w:val="en-US" w:eastAsia="zh-CN"/>
                            </w:rPr>
                            <w:t>降尘用水</w:t>
                          </w:r>
                        </w:p>
                      </w:txbxContent>
                    </v:textbox>
                  </v:rect>
                  <v:rect id="_x0000_s2245" o:spid="_x0000_s2245" o:spt="1" style="position:absolute;left:13298;top:363511;height:363;width:1259;" filled="f" stroked="f" coordsize="21600,21600">
                    <v:path/>
                    <v:fill on="f" focussize="0,0"/>
                    <v:stroke on="f"/>
                    <v:imagedata o:title=""/>
                    <o:lock v:ext="edit" aspectratio="f"/>
                    <v:textbox>
                      <w:txbxContent>
                        <w:p w14:paraId="25AE236C">
                          <w:pPr>
                            <w:jc w:val="center"/>
                            <w:rPr>
                              <w:rFonts w:hint="default" w:eastAsia="宋体"/>
                              <w:sz w:val="18"/>
                              <w:szCs w:val="18"/>
                              <w:lang w:val="en-US" w:eastAsia="zh-CN"/>
                            </w:rPr>
                          </w:pPr>
                          <w:r>
                            <w:rPr>
                              <w:rFonts w:hint="eastAsia"/>
                              <w:sz w:val="18"/>
                              <w:szCs w:val="18"/>
                              <w:lang w:val="en-US" w:eastAsia="zh-CN"/>
                            </w:rPr>
                            <w:t>回用</w:t>
                          </w:r>
                        </w:p>
                      </w:txbxContent>
                    </v:textbox>
                  </v:rect>
                  <v:shape id="_x0000_s2303" o:spid="_x0000_s2303" o:spt="32" type="#_x0000_t32" style="position:absolute;left:12866;top:366308;flip:x;height:255;width:11;" filled="f" stroked="t" coordsize="21600,21600">
                    <v:path arrowok="t"/>
                    <v:fill on="f" focussize="0,0"/>
                    <v:stroke color="#000000" dashstyle="1 1" endcap="round"/>
                    <v:imagedata o:title=""/>
                    <o:lock v:ext="edit" aspectratio="f"/>
                  </v:shape>
                  <v:shape id="_x0000_s2316" o:spid="_x0000_s2316" o:spt="32" type="#_x0000_t32" style="position:absolute;left:11139;top:365334;flip:y;height:8;width:2268;" filled="f" stroked="t" coordsize="21600,21600">
                    <v:path arrowok="t"/>
                    <v:fill on="f" focussize="0,0"/>
                    <v:stroke color="#000000"/>
                    <v:imagedata o:title=""/>
                    <o:lock v:ext="edit" aspectratio="f"/>
                  </v:shape>
                  <v:shape id="_x0000_s2317" o:spid="_x0000_s2317" o:spt="32" type="#_x0000_t32" style="position:absolute;left:11139;top:365403;flip:y;height:8;width:2381;" filled="f" stroked="t" coordsize="21600,21600">
                    <v:path arrowok="t"/>
                    <v:fill on="f" focussize="0,0"/>
                    <v:stroke color="#000000" startarrow="block"/>
                    <v:imagedata o:title=""/>
                    <o:lock v:ext="edit" aspectratio="f"/>
                  </v:shape>
                  <v:rect id="_x0000_s2318" o:spid="_x0000_s2318" o:spt="1" style="position:absolute;left:9178;top:362981;height:363;width:606;" filled="f" stroked="f" coordsize="21600,21600">
                    <v:path/>
                    <v:fill on="f" focussize="0,0"/>
                    <v:stroke on="f"/>
                    <v:imagedata o:title=""/>
                    <o:lock v:ext="edit" aspectratio="f"/>
                    <v:textbox>
                      <w:txbxContent>
                        <w:p w14:paraId="5C72DBD4">
                          <w:pPr>
                            <w:jc w:val="center"/>
                            <w:rPr>
                              <w:rFonts w:hint="default" w:eastAsia="宋体"/>
                              <w:sz w:val="18"/>
                              <w:szCs w:val="18"/>
                              <w:lang w:val="en-US" w:eastAsia="zh-CN"/>
                            </w:rPr>
                          </w:pPr>
                          <w:r>
                            <w:rPr>
                              <w:rFonts w:hint="eastAsia"/>
                              <w:sz w:val="18"/>
                              <w:szCs w:val="18"/>
                              <w:lang w:val="en-US" w:eastAsia="zh-CN"/>
                            </w:rPr>
                            <w:t>0.72</w:t>
                          </w:r>
                        </w:p>
                      </w:txbxContent>
                    </v:textbox>
                  </v:rect>
                  <v:shape id="_x0000_s2050" o:spid="_x0000_s2050" o:spt="32" type="#_x0000_t32" style="position:absolute;left:13402;top:364333;flip:x y;height:1009;width:6;" filled="f" stroked="t" coordsize="21600,21600">
                    <v:path arrowok="t"/>
                    <v:fill on="f" focussize="0,0"/>
                    <v:stroke color="#000000" endarrow="block"/>
                    <v:imagedata o:title=""/>
                    <o:lock v:ext="edit" aspectratio="f"/>
                  </v:shape>
                  <v:shape id="_x0000_s2052" o:spid="_x0000_s2052" o:spt="32" type="#_x0000_t32" style="position:absolute;left:13488;top:364345;flip:x y;height:1049;width:6;" filled="f" stroked="t" coordsize="21600,21600">
                    <v:path arrowok="t"/>
                    <v:fill on="f" focussize="0,0"/>
                    <v:stroke color="#000000"/>
                    <v:imagedata o:title=""/>
                    <o:lock v:ext="edit" aspectratio="f"/>
                  </v:shape>
                  <v:rect id="_x0000_s2053" o:spid="_x0000_s2053" o:spt="1" style="position:absolute;left:13451;top:365356;height:363;width:1259;" filled="f" stroked="f" coordsize="21600,21600">
                    <v:path/>
                    <v:fill on="f" focussize="0,0"/>
                    <v:stroke on="f"/>
                    <v:imagedata o:title=""/>
                    <o:lock v:ext="edit" aspectratio="f"/>
                    <v:textbox>
                      <w:txbxContent>
                        <w:p w14:paraId="04935AC7">
                          <w:pPr>
                            <w:jc w:val="center"/>
                            <w:rPr>
                              <w:rFonts w:hint="default" w:eastAsia="宋体"/>
                              <w:sz w:val="18"/>
                              <w:szCs w:val="18"/>
                              <w:lang w:val="en-US" w:eastAsia="zh-CN"/>
                            </w:rPr>
                          </w:pPr>
                          <w:r>
                            <w:rPr>
                              <w:rFonts w:hint="eastAsia"/>
                              <w:sz w:val="18"/>
                              <w:szCs w:val="18"/>
                              <w:lang w:val="en-US" w:eastAsia="zh-CN"/>
                            </w:rPr>
                            <w:t>初期雨水</w:t>
                          </w:r>
                        </w:p>
                      </w:txbxContent>
                    </v:textbox>
                  </v:rect>
                  <v:shape id="_x0000_s2054" o:spid="_x0000_s2054" o:spt="32" type="#_x0000_t32" style="position:absolute;left:14012;top:365094;flip:x y;height:260;width:5;" filled="f" stroked="t" coordsize="21600,21600">
                    <v:path arrowok="t"/>
                    <v:fill on="f" focussize="0,0"/>
                    <v:stroke color="#000000" endarrow="block"/>
                    <v:imagedata o:title=""/>
                    <o:lock v:ext="edit" aspectratio="f"/>
                  </v:shape>
                  <v:rect id="_x0000_s2055" o:spid="_x0000_s2055" o:spt="1" style="position:absolute;left:14078;top:363864;height:728;width:1235;" filled="f" stroked="f" coordsize="21600,21600">
                    <v:path/>
                    <v:fill on="f" focussize="0,0"/>
                    <v:stroke on="f"/>
                    <v:imagedata o:title=""/>
                    <o:lock v:ext="edit" aspectratio="f"/>
                    <v:textbox>
                      <w:txbxContent>
                        <w:p w14:paraId="117E54AE">
                          <w:pPr>
                            <w:jc w:val="center"/>
                            <w:rPr>
                              <w:rFonts w:hint="default" w:eastAsia="宋体"/>
                              <w:sz w:val="18"/>
                              <w:szCs w:val="18"/>
                              <w:lang w:val="en-US" w:eastAsia="zh-CN"/>
                            </w:rPr>
                          </w:pPr>
                          <w:r>
                            <w:rPr>
                              <w:rFonts w:hint="eastAsia"/>
                              <w:sz w:val="18"/>
                              <w:szCs w:val="18"/>
                              <w:lang w:val="en-US" w:eastAsia="zh-CN"/>
                            </w:rPr>
                            <w:t>兼顾洗车循环水池</w:t>
                          </w:r>
                        </w:p>
                      </w:txbxContent>
                    </v:textbox>
                  </v:rect>
                  <v:rect id="_x0000_s2051" o:spid="_x0000_s2051" o:spt="1" style="position:absolute;left:8405;top:361977;height:363;width:725;" filled="f" stroked="f" coordsize="21600,21600">
                    <v:path/>
                    <v:fill on="f" focussize="0,0"/>
                    <v:stroke on="f"/>
                    <v:imagedata o:title=""/>
                    <o:lock v:ext="edit" aspectratio="f"/>
                    <v:textbox>
                      <w:txbxContent>
                        <w:p w14:paraId="01F4454B">
                          <w:pPr>
                            <w:jc w:val="center"/>
                            <w:rPr>
                              <w:rFonts w:hint="default" w:eastAsia="宋体"/>
                              <w:sz w:val="18"/>
                              <w:szCs w:val="18"/>
                              <w:lang w:val="en-US" w:eastAsia="zh-CN"/>
                            </w:rPr>
                          </w:pPr>
                          <w:r>
                            <w:rPr>
                              <w:rFonts w:hint="eastAsia"/>
                              <w:sz w:val="18"/>
                              <w:szCs w:val="18"/>
                              <w:lang w:val="en-US" w:eastAsia="zh-CN"/>
                            </w:rPr>
                            <w:t>0.05</w:t>
                          </w:r>
                        </w:p>
                      </w:txbxContent>
                    </v:textbox>
                  </v:rect>
                  <v:shape id="_x0000_s2081" o:spid="_x0000_s2081" o:spt="32" type="#_x0000_t32" style="position:absolute;left:8392;top:362250;height:8;width:967;" filled="f" stroked="t" coordsize="21600,21600">
                    <v:path arrowok="t"/>
                    <v:fill on="f" focussize="0,0"/>
                    <v:stroke color="#000000" endarrow="block"/>
                    <v:imagedata o:title=""/>
                    <o:lock v:ext="edit" aspectratio="f"/>
                  </v:shape>
                  <v:rect id="_x0000_s2073" o:spid="_x0000_s2073" o:spt="1" style="position:absolute;left:9387;top:362060;height:388;width:1759;" fillcolor="#FFFFFF" filled="t" stroked="t" coordsize="21600,21600">
                    <v:path/>
                    <v:fill on="t" color2="#FFFFFF" focussize="0,0"/>
                    <v:stroke color="#000000" joinstyle="miter"/>
                    <v:imagedata o:title=""/>
                    <o:lock v:ext="edit" aspectratio="f"/>
                    <v:textbox>
                      <w:txbxContent>
                        <w:p w14:paraId="77C0F8D3">
                          <w:pPr>
                            <w:jc w:val="center"/>
                            <w:rPr>
                              <w:rFonts w:hint="default" w:eastAsia="宋体"/>
                              <w:sz w:val="18"/>
                              <w:szCs w:val="18"/>
                              <w:lang w:val="en-US" w:eastAsia="zh-CN"/>
                            </w:rPr>
                          </w:pPr>
                          <w:r>
                            <w:rPr>
                              <w:rFonts w:hint="eastAsia"/>
                              <w:sz w:val="18"/>
                              <w:szCs w:val="18"/>
                              <w:lang w:val="en-US" w:eastAsia="zh-CN"/>
                            </w:rPr>
                            <w:t>沥青烟气冷凝器</w:t>
                          </w:r>
                        </w:p>
                      </w:txbxContent>
                    </v:textbox>
                  </v:rect>
                  <v:shape id="_x0000_s2085" o:spid="_x0000_s2085" o:spt="38" type="#_x0000_t38" style="position:absolute;left:10777;top:361883;flip:y;height:167;width:255;" filled="f" stroked="t" coordsize="21600,21600" adj="10758">
                    <v:path arrowok="t"/>
                    <v:fill on="f" focussize="0,0"/>
                    <v:stroke color="#000000" endarrow="block"/>
                    <v:imagedata o:title=""/>
                    <o:lock v:ext="edit" aspectratio="f"/>
                  </v:shape>
                  <v:rect id="_x0000_s2083" o:spid="_x0000_s2083" o:spt="1" style="position:absolute;left:10897;top:361669;height:440;width:1010;" filled="f" stroked="f" coordsize="21600,21600">
                    <v:path/>
                    <v:fill on="f" focussize="0,0"/>
                    <v:stroke on="f"/>
                    <v:imagedata o:title=""/>
                    <o:lock v:ext="edit" aspectratio="f"/>
                    <v:textbox>
                      <w:txbxContent>
                        <w:p w14:paraId="5D874878">
                          <w:pPr>
                            <w:jc w:val="center"/>
                            <w:rPr>
                              <w:rFonts w:hint="default" w:eastAsia="宋体"/>
                              <w:sz w:val="18"/>
                              <w:szCs w:val="18"/>
                              <w:lang w:val="en-US" w:eastAsia="zh-CN"/>
                            </w:rPr>
                          </w:pPr>
                          <w:r>
                            <w:rPr>
                              <w:rFonts w:hint="eastAsia"/>
                              <w:sz w:val="18"/>
                              <w:szCs w:val="18"/>
                              <w:lang w:val="en-US" w:eastAsia="zh-CN"/>
                            </w:rPr>
                            <w:t>损耗0.05</w:t>
                          </w:r>
                        </w:p>
                      </w:txbxContent>
                    </v:textbox>
                  </v:rect>
                  <v:rect id="_x0000_s2091" o:spid="_x0000_s2091" o:spt="1" style="position:absolute;left:11733;top:362067;height:388;width:1240;" fillcolor="#FFFFFF" filled="t" stroked="t" coordsize="21600,21600">
                    <v:path/>
                    <v:fill on="t" color2="#FFFFFF" focussize="0,0"/>
                    <v:stroke color="#000000" joinstyle="miter"/>
                    <v:imagedata o:title=""/>
                    <o:lock v:ext="edit" aspectratio="f"/>
                    <v:textbox>
                      <w:txbxContent>
                        <w:p w14:paraId="08633970">
                          <w:pPr>
                            <w:jc w:val="center"/>
                            <w:rPr>
                              <w:rFonts w:hint="default" w:eastAsia="宋体"/>
                              <w:sz w:val="18"/>
                              <w:szCs w:val="18"/>
                              <w:lang w:val="en-US" w:eastAsia="zh-CN"/>
                            </w:rPr>
                          </w:pPr>
                          <w:r>
                            <w:rPr>
                              <w:rFonts w:hint="eastAsia"/>
                              <w:sz w:val="18"/>
                              <w:szCs w:val="18"/>
                              <w:lang w:val="en-US" w:eastAsia="zh-CN"/>
                            </w:rPr>
                            <w:t>循环系统</w:t>
                          </w:r>
                        </w:p>
                      </w:txbxContent>
                    </v:textbox>
                  </v:rect>
                  <v:shape id="_x0000_s2093" o:spid="_x0000_s2093" o:spt="32" type="#_x0000_t32" style="position:absolute;left:11142;top:362221;flip:y;height:3;width:575;" filled="f" stroked="t" coordsize="21600,21600">
                    <v:path arrowok="t"/>
                    <v:fill on="f" focussize="0,0"/>
                    <v:stroke color="#000000" endarrow="block"/>
                    <v:imagedata o:title=""/>
                    <o:lock v:ext="edit" aspectratio="f"/>
                  </v:shape>
                  <v:shape id="_x0000_s2095" o:spid="_x0000_s2095" o:spt="32" type="#_x0000_t32" style="position:absolute;left:11153;top:362311;flip:y;height:3;width:575;" filled="f" stroked="t" coordsize="21600,21600">
                    <v:path arrowok="t"/>
                    <v:fill on="f" focussize="0,0"/>
                    <v:stroke color="#000000" startarrow="block"/>
                    <v:imagedata o:title=""/>
                    <o:lock v:ext="edit" aspectratio="f"/>
                  </v:shape>
                  <v:rect id="_x0000_s2096" o:spid="_x0000_s2096" o:spt="1" style="position:absolute;left:11123;top:361920;height:721;width:692;" filled="f" stroked="f" coordsize="21600,21600">
                    <v:path/>
                    <v:fill on="f" focussize="0,0"/>
                    <v:stroke on="f"/>
                    <v:imagedata o:title=""/>
                    <o:lock v:ext="edit" aspectratio="f"/>
                    <v:textbox>
                      <w:txbxContent>
                        <w:p w14:paraId="60F9A77F">
                          <w:pPr>
                            <w:keepNext w:val="0"/>
                            <w:keepLines w:val="0"/>
                            <w:pageBreakBefore w:val="0"/>
                            <w:widowControl w:val="0"/>
                            <w:kinsoku/>
                            <w:wordWrap/>
                            <w:overflowPunct/>
                            <w:topLinePunct w:val="0"/>
                            <w:bidi w:val="0"/>
                            <w:adjustRightInd/>
                            <w:snapToGrid/>
                            <w:spacing w:line="280" w:lineRule="exact"/>
                            <w:jc w:val="center"/>
                            <w:textAlignment w:val="auto"/>
                            <w:rPr>
                              <w:rFonts w:hint="eastAsia"/>
                              <w:sz w:val="18"/>
                              <w:szCs w:val="18"/>
                              <w:lang w:val="en-US" w:eastAsia="zh-CN"/>
                            </w:rPr>
                          </w:pPr>
                          <w:r>
                            <w:rPr>
                              <w:rFonts w:hint="eastAsia"/>
                              <w:sz w:val="18"/>
                              <w:szCs w:val="18"/>
                              <w:lang w:val="en-US" w:eastAsia="zh-CN"/>
                            </w:rPr>
                            <w:t>5</w:t>
                          </w:r>
                        </w:p>
                        <w:p w14:paraId="5BE2F102">
                          <w:pPr>
                            <w:keepNext w:val="0"/>
                            <w:keepLines w:val="0"/>
                            <w:pageBreakBefore w:val="0"/>
                            <w:widowControl w:val="0"/>
                            <w:kinsoku/>
                            <w:wordWrap/>
                            <w:overflowPunct/>
                            <w:topLinePunct w:val="0"/>
                            <w:bidi w:val="0"/>
                            <w:adjustRightInd/>
                            <w:snapToGrid/>
                            <w:spacing w:line="280" w:lineRule="exact"/>
                            <w:jc w:val="center"/>
                            <w:textAlignment w:val="auto"/>
                            <w:rPr>
                              <w:rFonts w:hint="default"/>
                              <w:sz w:val="18"/>
                              <w:szCs w:val="18"/>
                              <w:lang w:val="en-US" w:eastAsia="zh-CN"/>
                            </w:rPr>
                          </w:pPr>
                          <w:r>
                            <w:rPr>
                              <w:rFonts w:hint="eastAsia"/>
                              <w:sz w:val="18"/>
                              <w:szCs w:val="18"/>
                              <w:lang w:val="en-US" w:eastAsia="zh-CN"/>
                            </w:rPr>
                            <w:t>循环</w:t>
                          </w:r>
                        </w:p>
                      </w:txbxContent>
                    </v:textbox>
                  </v:rect>
                  <v:shape id="_x0000_s2056" o:spid="_x0000_s2056" o:spt="32" type="#_x0000_t32" style="position:absolute;left:12879;top:366314;height:405;width:4;" filled="f" stroked="t" coordsize="21600,21600">
                    <v:path arrowok="t"/>
                    <v:fill on="f" focussize="0,0"/>
                    <v:stroke color="#000000" endarrow="block"/>
                    <v:imagedata o:title=""/>
                    <o:lock v:ext="edit" aspectratio="f"/>
                  </v:shape>
                  <v:rect id="_x0000_s2082" o:spid="_x0000_s2082" o:spt="1" style="position:absolute;left:12488;top:366673;height:875;width:1259;" filled="f" stroked="f" coordsize="21600,21600">
                    <v:path/>
                    <v:fill on="f" focussize="0,0"/>
                    <v:stroke on="f"/>
                    <v:imagedata o:title=""/>
                    <o:lock v:ext="edit" aspectratio="f"/>
                    <v:textbox>
                      <w:txbxContent>
                        <w:p w14:paraId="0AE29928">
                          <w:pPr>
                            <w:jc w:val="center"/>
                            <w:rPr>
                              <w:rFonts w:hint="default" w:eastAsia="宋体"/>
                              <w:sz w:val="18"/>
                              <w:szCs w:val="18"/>
                              <w:lang w:val="en-US" w:eastAsia="zh-CN"/>
                            </w:rPr>
                          </w:pPr>
                          <w:r>
                            <w:rPr>
                              <w:rFonts w:hint="eastAsia"/>
                              <w:sz w:val="18"/>
                              <w:szCs w:val="18"/>
                              <w:lang w:val="en-US" w:eastAsia="zh-CN"/>
                            </w:rPr>
                            <w:t>定期清掏由附近村民拉走施肥</w:t>
                          </w:r>
                        </w:p>
                      </w:txbxContent>
                    </v:textbox>
                  </v:rect>
                  <v:shape id="_x0000_s2097" o:spid="_x0000_s2097" o:spt="32" type="#_x0000_t32" style="position:absolute;left:14023;top:364323;flip:x y;height:260;width:5;" filled="f" stroked="t" coordsize="21600,21600">
                    <v:path arrowok="t"/>
                    <v:fill on="f" focussize="0,0"/>
                    <v:stroke color="#000000" endarrow="block"/>
                    <v:imagedata o:title=""/>
                    <o:lock v:ext="edit" aspectratio="f"/>
                  </v:shape>
                  <v:rect id="_x0000_s2099" o:spid="_x0000_s2099" o:spt="1" style="position:absolute;left:13643;top:364622;height:388;width:1240;" fillcolor="#FFFFFF" filled="t" stroked="t" coordsize="21600,21600">
                    <v:path/>
                    <v:fill on="t" color2="#FFFFFF" focussize="0,0"/>
                    <v:stroke color="#000000" joinstyle="miter"/>
                    <v:imagedata o:title=""/>
                    <o:lock v:ext="edit" aspectratio="f"/>
                    <v:textbox>
                      <w:txbxContent>
                        <w:p w14:paraId="4EE2AAA1">
                          <w:pPr>
                            <w:jc w:val="center"/>
                            <w:rPr>
                              <w:rFonts w:hint="default" w:eastAsia="宋体"/>
                              <w:sz w:val="18"/>
                              <w:szCs w:val="18"/>
                              <w:lang w:val="en-US" w:eastAsia="zh-CN"/>
                            </w:rPr>
                          </w:pPr>
                          <w:r>
                            <w:rPr>
                              <w:rFonts w:hint="eastAsia"/>
                              <w:sz w:val="18"/>
                              <w:szCs w:val="18"/>
                              <w:lang w:val="en-US" w:eastAsia="zh-CN"/>
                            </w:rPr>
                            <w:t>初期雨水池</w:t>
                          </w:r>
                        </w:p>
                      </w:txbxContent>
                    </v:textbox>
                  </v:rect>
                  <v:rect id="_x0000_s2127" o:spid="_x0000_s2127" o:spt="1" style="position:absolute;left:12262;top:365896;height:388;width:1240;" fillcolor="#FFFFFF" filled="t" stroked="t" coordsize="21600,21600">
                    <v:path/>
                    <v:fill on="t" color2="#FFFFFF" focussize="0,0"/>
                    <v:stroke color="#000000" joinstyle="miter"/>
                    <v:imagedata o:title=""/>
                    <o:lock v:ext="edit" aspectratio="f"/>
                    <v:textbox>
                      <w:txbxContent>
                        <w:p w14:paraId="6D84A1B2">
                          <w:pPr>
                            <w:jc w:val="center"/>
                            <w:rPr>
                              <w:rFonts w:hint="default" w:eastAsia="宋体"/>
                              <w:sz w:val="18"/>
                              <w:szCs w:val="18"/>
                              <w:lang w:val="en-US" w:eastAsia="zh-CN"/>
                            </w:rPr>
                          </w:pPr>
                          <w:r>
                            <w:rPr>
                              <w:rFonts w:hint="eastAsia"/>
                              <w:sz w:val="18"/>
                              <w:szCs w:val="18"/>
                              <w:lang w:val="en-US" w:eastAsia="zh-CN"/>
                            </w:rPr>
                            <w:t>化粪池</w:t>
                          </w:r>
                        </w:p>
                      </w:txbxContent>
                    </v:textbox>
                  </v:rect>
                  <v:shape id="_x0000_s2129" o:spid="_x0000_s2129" o:spt="38" type="#_x0000_t38" style="position:absolute;left:11205;top:366873;flip:y;height:167;width:255;" filled="f" stroked="t" coordsize="21600,21600" adj="10758">
                    <v:path arrowok="t"/>
                    <v:fill on="f" focussize="0,0"/>
                    <v:stroke color="#000000" endarrow="block"/>
                    <v:imagedata o:title=""/>
                    <o:lock v:ext="edit" aspectratio="f"/>
                  </v:shape>
                  <v:rect id="_x0000_s2128" o:spid="_x0000_s2128" o:spt="1" style="position:absolute;left:11347;top:366717;height:440;width:1010;" filled="f" stroked="f" coordsize="21600,21600">
                    <v:path/>
                    <v:fill on="f" focussize="0,0"/>
                    <v:stroke on="f"/>
                    <v:imagedata o:title=""/>
                    <o:lock v:ext="edit" aspectratio="f"/>
                    <v:textbox>
                      <w:txbxContent>
                        <w:p w14:paraId="75F4070E">
                          <w:pPr>
                            <w:jc w:val="center"/>
                            <w:rPr>
                              <w:rFonts w:hint="default" w:eastAsia="宋体"/>
                              <w:sz w:val="18"/>
                              <w:szCs w:val="18"/>
                              <w:lang w:val="en-US" w:eastAsia="zh-CN"/>
                            </w:rPr>
                          </w:pPr>
                          <w:r>
                            <w:rPr>
                              <w:rFonts w:hint="eastAsia"/>
                              <w:sz w:val="18"/>
                              <w:szCs w:val="18"/>
                              <w:lang w:val="en-US" w:eastAsia="zh-CN"/>
                            </w:rPr>
                            <w:t>自然蒸发</w:t>
                          </w:r>
                        </w:p>
                      </w:txbxContent>
                    </v:textbox>
                  </v:rect>
                  <v:rect id="_x0000_s2163" o:spid="_x0000_s2163" o:spt="1" style="position:absolute;left:9409;top:366776;height:388;width:1759;" fillcolor="#FFFFFF" filled="t" stroked="t" coordsize="21600,21600">
                    <v:path/>
                    <v:fill on="t" color2="#FFFFFF" focussize="0,0"/>
                    <v:stroke color="#000000" joinstyle="miter"/>
                    <v:imagedata o:title=""/>
                    <o:lock v:ext="edit" aspectratio="f"/>
                    <v:textbox>
                      <w:txbxContent>
                        <w:p w14:paraId="04DF3A88">
                          <w:pPr>
                            <w:jc w:val="center"/>
                            <w:rPr>
                              <w:rFonts w:hint="default" w:eastAsia="宋体"/>
                              <w:sz w:val="18"/>
                              <w:szCs w:val="18"/>
                              <w:lang w:val="en-US" w:eastAsia="zh-CN"/>
                            </w:rPr>
                          </w:pPr>
                          <w:r>
                            <w:rPr>
                              <w:rFonts w:hint="eastAsia"/>
                              <w:sz w:val="18"/>
                              <w:szCs w:val="18"/>
                              <w:lang w:val="en-US" w:eastAsia="zh-CN"/>
                            </w:rPr>
                            <w:t>绿化用水</w:t>
                          </w:r>
                        </w:p>
                      </w:txbxContent>
                    </v:textbox>
                  </v:rect>
                  <v:shape id="_x0000_s2181" o:spid="_x0000_s2181" o:spt="38" type="#_x0000_t38" style="position:absolute;left:11182;top:367584;flip:y;height:167;width:255;" filled="f" stroked="t" coordsize="21600,21600" adj="10758">
                    <v:path arrowok="t"/>
                    <v:fill on="f" focussize="0,0"/>
                    <v:stroke color="#000000" endarrow="block"/>
                    <v:imagedata o:title=""/>
                    <o:lock v:ext="edit" aspectratio="f"/>
                  </v:shape>
                  <v:rect id="_x0000_s2227" o:spid="_x0000_s2227" o:spt="1" style="position:absolute;left:11311;top:364909;height:440;width:1010;" filled="f" stroked="f" coordsize="21600,21600">
                    <v:path/>
                    <v:fill on="f" focussize="0,0"/>
                    <v:stroke on="f"/>
                    <v:imagedata o:title=""/>
                    <o:lock v:ext="edit" aspectratio="f"/>
                    <v:textbox>
                      <w:txbxContent>
                        <w:p w14:paraId="792E0488">
                          <w:pPr>
                            <w:jc w:val="center"/>
                            <w:rPr>
                              <w:rFonts w:hint="default" w:eastAsia="宋体"/>
                              <w:sz w:val="18"/>
                              <w:szCs w:val="18"/>
                              <w:lang w:val="en-US" w:eastAsia="zh-CN"/>
                            </w:rPr>
                          </w:pPr>
                          <w:r>
                            <w:rPr>
                              <w:rFonts w:hint="eastAsia"/>
                              <w:sz w:val="18"/>
                              <w:szCs w:val="18"/>
                              <w:lang w:val="en-US" w:eastAsia="zh-CN"/>
                            </w:rPr>
                            <w:t>循环使用</w:t>
                          </w:r>
                        </w:p>
                      </w:txbxContent>
                    </v:textbox>
                  </v:rect>
                  <v:rect id="_x0000_s2226" o:spid="_x0000_s2226" o:spt="1" style="position:absolute;left:9351;top:365121;height:388;width:1759;" fillcolor="#FFFFFF" filled="t" stroked="t" coordsize="21600,21600">
                    <v:path/>
                    <v:fill on="t" color2="#FFFFFF" focussize="0,0"/>
                    <v:stroke color="#000000" joinstyle="miter"/>
                    <v:imagedata o:title=""/>
                    <o:lock v:ext="edit" aspectratio="f"/>
                    <v:textbox>
                      <w:txbxContent>
                        <w:p w14:paraId="3FBB0CAF">
                          <w:pPr>
                            <w:jc w:val="center"/>
                            <w:rPr>
                              <w:rFonts w:hint="default" w:eastAsia="宋体"/>
                              <w:sz w:val="18"/>
                              <w:szCs w:val="18"/>
                              <w:lang w:val="en-US" w:eastAsia="zh-CN"/>
                            </w:rPr>
                          </w:pPr>
                          <w:r>
                            <w:rPr>
                              <w:rFonts w:hint="eastAsia"/>
                              <w:sz w:val="18"/>
                              <w:szCs w:val="18"/>
                              <w:lang w:val="en-US" w:eastAsia="zh-CN"/>
                            </w:rPr>
                            <w:t>车辆冲洗补水</w:t>
                          </w:r>
                        </w:p>
                      </w:txbxContent>
                    </v:textbox>
                  </v:rect>
                  <v:shape id="_x0000_s2237" o:spid="_x0000_s2237" o:spt="32" type="#_x0000_t32" style="position:absolute;left:8379;top:365299;height:8;width:967;" filled="f" stroked="t" coordsize="21600,21600">
                    <v:path arrowok="t"/>
                    <v:fill on="f" focussize="0,0"/>
                    <v:stroke color="#000000" endarrow="block"/>
                    <v:imagedata o:title=""/>
                    <o:lock v:ext="edit" aspectratio="f"/>
                  </v:shape>
                  <v:rect id="_x0000_s2238" o:spid="_x0000_s2238" o:spt="1" style="position:absolute;left:8597;top:367403;height:363;width:627;" filled="f" stroked="f" coordsize="21600,21600">
                    <v:path/>
                    <v:fill on="f" focussize="0,0"/>
                    <v:stroke on="f"/>
                    <v:imagedata o:title=""/>
                    <o:lock v:ext="edit" aspectratio="f"/>
                    <v:textbox>
                      <w:txbxContent>
                        <w:p w14:paraId="39F53672">
                          <w:pPr>
                            <w:jc w:val="center"/>
                            <w:rPr>
                              <w:rFonts w:hint="default" w:eastAsia="宋体"/>
                              <w:sz w:val="18"/>
                              <w:szCs w:val="18"/>
                              <w:lang w:val="en-US" w:eastAsia="zh-CN"/>
                            </w:rPr>
                          </w:pPr>
                          <w:r>
                            <w:rPr>
                              <w:rFonts w:hint="eastAsia"/>
                              <w:sz w:val="18"/>
                              <w:szCs w:val="18"/>
                              <w:lang w:val="en-US" w:eastAsia="zh-CN"/>
                            </w:rPr>
                            <w:t>1.0</w:t>
                          </w:r>
                        </w:p>
                      </w:txbxContent>
                    </v:textbox>
                  </v:rect>
                  <v:shape id="_x0000_s2241" o:spid="_x0000_s2241" o:spt="32" type="#_x0000_t32" style="position:absolute;left:8426;top:367676;height:8;width:967;" filled="f" stroked="t" coordsize="21600,21600">
                    <v:path arrowok="t"/>
                    <v:fill on="f" focussize="0,0"/>
                    <v:stroke color="#000000" endarrow="block"/>
                    <v:imagedata o:title=""/>
                    <o:lock v:ext="edit" aspectratio="f"/>
                  </v:shape>
                  <v:shape id="_x0000_s2242" o:spid="_x0000_s2242" o:spt="32" type="#_x0000_t32" style="position:absolute;left:13715;top:363265;flip:x;height:680;width:11;" filled="f" stroked="t" coordsize="21600,21600">
                    <v:path arrowok="t"/>
                    <v:fill on="f" focussize="0,0"/>
                    <v:stroke color="#000000" dashstyle="1 1" endcap="round"/>
                    <v:imagedata o:title=""/>
                    <o:lock v:ext="edit" aspectratio="f"/>
                  </v:shape>
                  <v:shape id="_x0000_s2243" o:spid="_x0000_s2243" o:spt="32" type="#_x0000_t32" style="position:absolute;left:9123;top:362826;height:418;width:1;" filled="f" stroked="t" coordsize="21600,21600">
                    <v:path arrowok="t"/>
                    <v:fill on="f" focussize="0,0"/>
                    <v:stroke color="#000000" dashstyle="1 1" endcap="round" startarrow="block"/>
                    <v:imagedata o:title=""/>
                    <o:lock v:ext="edit" aspectratio="f"/>
                  </v:shape>
                  <v:shape id="_x0000_s2244" o:spid="_x0000_s2244" o:spt="32" type="#_x0000_t32" style="position:absolute;left:9111;top:363253;flip:x;height:0;width:4612;" filled="f" stroked="t" coordsize="21600,21600">
                    <v:path arrowok="t"/>
                    <v:fill on="f" focussize="0,0"/>
                    <v:stroke color="#000000" dashstyle="1 1" endcap="round"/>
                    <v:imagedata o:title=""/>
                    <o:lock v:ext="edit" aspectratio="f"/>
                  </v:shape>
                </v:group>
              </w:pict>
            </w:r>
          </w:p>
          <w:p w14:paraId="118BAB3E">
            <w:pPr>
              <w:spacing w:line="360" w:lineRule="auto"/>
              <w:ind w:firstLine="360" w:firstLineChars="200"/>
              <w:rPr>
                <w:rFonts w:ascii="Times New Roman" w:hAnsi="Times New Roman"/>
                <w:color w:val="auto"/>
                <w:sz w:val="18"/>
                <w:szCs w:val="18"/>
              </w:rPr>
            </w:pPr>
          </w:p>
          <w:p w14:paraId="598153FF">
            <w:pPr>
              <w:spacing w:line="360" w:lineRule="auto"/>
              <w:ind w:firstLine="360" w:firstLineChars="200"/>
              <w:rPr>
                <w:rFonts w:ascii="Times New Roman" w:hAnsi="Times New Roman"/>
                <w:color w:val="auto"/>
                <w:sz w:val="18"/>
                <w:szCs w:val="18"/>
              </w:rPr>
            </w:pPr>
          </w:p>
          <w:p w14:paraId="4C1EACA8">
            <w:pPr>
              <w:spacing w:line="360" w:lineRule="auto"/>
              <w:ind w:firstLine="360" w:firstLineChars="200"/>
              <w:rPr>
                <w:rFonts w:ascii="Times New Roman" w:hAnsi="Times New Roman"/>
                <w:color w:val="auto"/>
                <w:sz w:val="18"/>
                <w:szCs w:val="18"/>
              </w:rPr>
            </w:pPr>
          </w:p>
          <w:p w14:paraId="51043BCF">
            <w:pPr>
              <w:spacing w:line="360" w:lineRule="auto"/>
              <w:ind w:firstLine="360" w:firstLineChars="200"/>
              <w:rPr>
                <w:rFonts w:ascii="Times New Roman" w:hAnsi="Times New Roman"/>
                <w:color w:val="auto"/>
                <w:sz w:val="18"/>
                <w:szCs w:val="18"/>
              </w:rPr>
            </w:pPr>
          </w:p>
          <w:p w14:paraId="64907A03">
            <w:pPr>
              <w:spacing w:line="360" w:lineRule="auto"/>
              <w:ind w:firstLine="360" w:firstLineChars="200"/>
              <w:rPr>
                <w:rFonts w:ascii="Times New Roman" w:hAnsi="Times New Roman"/>
                <w:color w:val="auto"/>
                <w:sz w:val="18"/>
                <w:szCs w:val="18"/>
              </w:rPr>
            </w:pPr>
          </w:p>
          <w:p w14:paraId="78C4AD60">
            <w:pPr>
              <w:spacing w:line="360" w:lineRule="auto"/>
              <w:ind w:firstLine="360" w:firstLineChars="200"/>
              <w:rPr>
                <w:rFonts w:ascii="Times New Roman" w:hAnsi="Times New Roman"/>
                <w:color w:val="auto"/>
                <w:sz w:val="18"/>
                <w:szCs w:val="18"/>
              </w:rPr>
            </w:pPr>
          </w:p>
          <w:p w14:paraId="5B494BAA">
            <w:pPr>
              <w:spacing w:line="360" w:lineRule="auto"/>
              <w:ind w:firstLine="360" w:firstLineChars="200"/>
              <w:rPr>
                <w:rFonts w:ascii="Times New Roman" w:hAnsi="Times New Roman"/>
                <w:color w:val="auto"/>
                <w:sz w:val="18"/>
                <w:szCs w:val="18"/>
              </w:rPr>
            </w:pPr>
          </w:p>
          <w:p w14:paraId="29FDC762">
            <w:pPr>
              <w:spacing w:line="360" w:lineRule="auto"/>
              <w:ind w:firstLine="360" w:firstLineChars="200"/>
              <w:rPr>
                <w:rFonts w:ascii="Times New Roman" w:hAnsi="Times New Roman"/>
                <w:color w:val="auto"/>
                <w:sz w:val="18"/>
                <w:szCs w:val="18"/>
              </w:rPr>
            </w:pPr>
          </w:p>
          <w:p w14:paraId="42B0FC9C">
            <w:pPr>
              <w:spacing w:line="360" w:lineRule="auto"/>
              <w:ind w:firstLine="360" w:firstLineChars="200"/>
              <w:rPr>
                <w:rFonts w:ascii="Times New Roman" w:hAnsi="Times New Roman"/>
                <w:color w:val="auto"/>
                <w:sz w:val="18"/>
                <w:szCs w:val="18"/>
              </w:rPr>
            </w:pPr>
          </w:p>
          <w:p w14:paraId="33995ACA">
            <w:pPr>
              <w:spacing w:line="360" w:lineRule="auto"/>
              <w:ind w:firstLine="360" w:firstLineChars="200"/>
              <w:rPr>
                <w:rFonts w:ascii="Times New Roman" w:hAnsi="Times New Roman"/>
                <w:color w:val="auto"/>
                <w:sz w:val="18"/>
                <w:szCs w:val="18"/>
              </w:rPr>
            </w:pPr>
          </w:p>
          <w:p w14:paraId="2DE39244">
            <w:pPr>
              <w:pStyle w:val="77"/>
              <w:snapToGrid/>
              <w:spacing w:line="240" w:lineRule="exact"/>
              <w:ind w:firstLine="361"/>
              <w:jc w:val="center"/>
              <w:rPr>
                <w:rFonts w:ascii="Times New Roman" w:hAnsi="Times New Roman"/>
                <w:color w:val="auto"/>
                <w:sz w:val="18"/>
                <w:szCs w:val="18"/>
              </w:rPr>
            </w:pPr>
          </w:p>
          <w:p w14:paraId="6DDEDB7C">
            <w:pPr>
              <w:pStyle w:val="77"/>
              <w:snapToGrid/>
              <w:spacing w:line="240" w:lineRule="exact"/>
              <w:ind w:firstLine="361"/>
              <w:jc w:val="center"/>
              <w:rPr>
                <w:rFonts w:ascii="Times New Roman" w:hAnsi="Times New Roman"/>
                <w:color w:val="auto"/>
                <w:sz w:val="18"/>
                <w:szCs w:val="18"/>
              </w:rPr>
            </w:pPr>
          </w:p>
          <w:p w14:paraId="2ADB8529">
            <w:pPr>
              <w:spacing w:line="360" w:lineRule="auto"/>
              <w:ind w:firstLine="420" w:firstLineChars="200"/>
              <w:rPr>
                <w:color w:val="auto"/>
                <w:szCs w:val="21"/>
              </w:rPr>
            </w:pPr>
          </w:p>
          <w:p w14:paraId="16EC2B61">
            <w:pPr>
              <w:spacing w:line="360" w:lineRule="auto"/>
              <w:ind w:firstLine="420" w:firstLineChars="200"/>
              <w:rPr>
                <w:color w:val="auto"/>
                <w:szCs w:val="21"/>
              </w:rPr>
            </w:pPr>
          </w:p>
          <w:p w14:paraId="6BB62AD5">
            <w:pPr>
              <w:spacing w:line="360" w:lineRule="auto"/>
              <w:ind w:firstLine="420" w:firstLineChars="200"/>
              <w:rPr>
                <w:color w:val="auto"/>
                <w:szCs w:val="21"/>
              </w:rPr>
            </w:pPr>
          </w:p>
          <w:p w14:paraId="71901927">
            <w:pPr>
              <w:snapToGrid w:val="0"/>
              <w:jc w:val="center"/>
              <w:rPr>
                <w:rFonts w:hAnsiTheme="minorEastAsia" w:eastAsiaTheme="minorEastAsia"/>
                <w:b/>
                <w:color w:val="auto"/>
                <w:sz w:val="18"/>
                <w:szCs w:val="18"/>
              </w:rPr>
            </w:pPr>
          </w:p>
          <w:p w14:paraId="54E1A4C4">
            <w:pPr>
              <w:snapToGrid w:val="0"/>
              <w:jc w:val="center"/>
              <w:rPr>
                <w:rFonts w:hAnsiTheme="minorEastAsia" w:eastAsiaTheme="minorEastAsia"/>
                <w:b/>
                <w:color w:val="auto"/>
                <w:sz w:val="18"/>
                <w:szCs w:val="18"/>
              </w:rPr>
            </w:pPr>
          </w:p>
          <w:p w14:paraId="3519B044">
            <w:pPr>
              <w:snapToGrid w:val="0"/>
              <w:jc w:val="center"/>
              <w:rPr>
                <w:rFonts w:hAnsiTheme="minorEastAsia" w:eastAsiaTheme="minorEastAsia"/>
                <w:b/>
                <w:color w:val="auto"/>
                <w:sz w:val="18"/>
                <w:szCs w:val="18"/>
              </w:rPr>
            </w:pPr>
          </w:p>
          <w:p w14:paraId="657009A4">
            <w:pPr>
              <w:snapToGrid w:val="0"/>
              <w:jc w:val="center"/>
              <w:rPr>
                <w:rFonts w:hAnsiTheme="minorEastAsia" w:eastAsiaTheme="minorEastAsia"/>
                <w:b/>
                <w:color w:val="auto"/>
                <w:sz w:val="18"/>
                <w:szCs w:val="18"/>
              </w:rPr>
            </w:pPr>
          </w:p>
          <w:p w14:paraId="4E26330E">
            <w:pPr>
              <w:snapToGrid w:val="0"/>
              <w:jc w:val="center"/>
              <w:rPr>
                <w:rFonts w:hAnsiTheme="minorEastAsia" w:eastAsiaTheme="minorEastAsia"/>
                <w:b/>
                <w:color w:val="auto"/>
                <w:sz w:val="18"/>
                <w:szCs w:val="18"/>
              </w:rPr>
            </w:pPr>
          </w:p>
          <w:p w14:paraId="692BF3DD">
            <w:pPr>
              <w:snapToGrid w:val="0"/>
              <w:jc w:val="center"/>
              <w:rPr>
                <w:rFonts w:hAnsiTheme="minorEastAsia" w:eastAsiaTheme="minorEastAsia"/>
                <w:b/>
                <w:color w:val="auto"/>
                <w:sz w:val="18"/>
                <w:szCs w:val="18"/>
              </w:rPr>
            </w:pPr>
          </w:p>
          <w:p w14:paraId="4B175D9F">
            <w:pPr>
              <w:snapToGrid w:val="0"/>
              <w:jc w:val="center"/>
              <w:rPr>
                <w:rFonts w:hAnsiTheme="minorEastAsia" w:eastAsiaTheme="minorEastAsia"/>
                <w:b/>
                <w:color w:val="auto"/>
                <w:sz w:val="18"/>
                <w:szCs w:val="18"/>
              </w:rPr>
            </w:pPr>
          </w:p>
          <w:p w14:paraId="5FE49886">
            <w:pPr>
              <w:snapToGrid w:val="0"/>
              <w:jc w:val="center"/>
              <w:rPr>
                <w:rFonts w:hAnsiTheme="minorEastAsia" w:eastAsiaTheme="minorEastAsia"/>
                <w:b/>
                <w:color w:val="auto"/>
                <w:sz w:val="18"/>
                <w:szCs w:val="18"/>
              </w:rPr>
            </w:pPr>
          </w:p>
          <w:p w14:paraId="71C419D7">
            <w:pPr>
              <w:snapToGrid w:val="0"/>
              <w:jc w:val="center"/>
              <w:rPr>
                <w:rFonts w:hAnsiTheme="minorEastAsia" w:eastAsiaTheme="minorEastAsia"/>
                <w:b/>
                <w:color w:val="auto"/>
                <w:sz w:val="18"/>
                <w:szCs w:val="18"/>
              </w:rPr>
            </w:pPr>
          </w:p>
          <w:p w14:paraId="270E7FC4">
            <w:pPr>
              <w:snapToGrid w:val="0"/>
              <w:jc w:val="center"/>
              <w:rPr>
                <w:rFonts w:hAnsiTheme="minorEastAsia" w:eastAsiaTheme="minorEastAsia"/>
                <w:b/>
                <w:color w:val="auto"/>
                <w:sz w:val="18"/>
                <w:szCs w:val="18"/>
              </w:rPr>
            </w:pPr>
            <w:r>
              <w:rPr>
                <w:rFonts w:hAnsiTheme="minorEastAsia" w:eastAsiaTheme="minorEastAsia"/>
                <w:b/>
                <w:color w:val="auto"/>
                <w:sz w:val="18"/>
                <w:szCs w:val="18"/>
              </w:rPr>
              <w:t>图</w:t>
            </w:r>
            <w:r>
              <w:rPr>
                <w:rFonts w:eastAsiaTheme="minorEastAsia"/>
                <w:b/>
                <w:color w:val="auto"/>
                <w:sz w:val="18"/>
                <w:szCs w:val="18"/>
              </w:rPr>
              <w:t xml:space="preserve">2-1  </w:t>
            </w:r>
            <w:r>
              <w:rPr>
                <w:rFonts w:hint="eastAsia" w:eastAsiaTheme="minorEastAsia"/>
                <w:b/>
                <w:color w:val="auto"/>
                <w:sz w:val="18"/>
                <w:szCs w:val="18"/>
              </w:rPr>
              <w:t xml:space="preserve">  </w:t>
            </w:r>
            <w:r>
              <w:rPr>
                <w:rFonts w:hAnsiTheme="minorEastAsia" w:eastAsiaTheme="minorEastAsia"/>
                <w:b/>
                <w:color w:val="auto"/>
                <w:sz w:val="18"/>
                <w:szCs w:val="18"/>
              </w:rPr>
              <w:t>本项目水平衡图（</w:t>
            </w:r>
            <w:r>
              <w:rPr>
                <w:rFonts w:eastAsiaTheme="minorEastAsia"/>
                <w:b/>
                <w:color w:val="auto"/>
                <w:sz w:val="18"/>
                <w:szCs w:val="18"/>
              </w:rPr>
              <w:t>m</w:t>
            </w:r>
            <w:r>
              <w:rPr>
                <w:rFonts w:eastAsiaTheme="minorEastAsia"/>
                <w:b/>
                <w:color w:val="auto"/>
                <w:sz w:val="18"/>
                <w:szCs w:val="18"/>
                <w:vertAlign w:val="superscript"/>
              </w:rPr>
              <w:t>3</w:t>
            </w:r>
            <w:r>
              <w:rPr>
                <w:rFonts w:eastAsiaTheme="minorEastAsia"/>
                <w:b/>
                <w:color w:val="auto"/>
                <w:sz w:val="18"/>
                <w:szCs w:val="18"/>
              </w:rPr>
              <w:t>/d</w:t>
            </w:r>
            <w:r>
              <w:rPr>
                <w:rFonts w:hAnsiTheme="minorEastAsia" w:eastAsiaTheme="minorEastAsia"/>
                <w:b/>
                <w:color w:val="auto"/>
                <w:sz w:val="18"/>
                <w:szCs w:val="18"/>
              </w:rPr>
              <w:t>）</w:t>
            </w:r>
          </w:p>
          <w:p w14:paraId="09520D46">
            <w:pPr>
              <w:snapToGrid w:val="0"/>
              <w:jc w:val="both"/>
              <w:rPr>
                <w:rFonts w:hAnsiTheme="minorEastAsia" w:eastAsiaTheme="minorEastAsia"/>
                <w:b/>
                <w:color w:val="auto"/>
                <w:sz w:val="18"/>
                <w:szCs w:val="18"/>
              </w:rPr>
            </w:pPr>
          </w:p>
          <w:p w14:paraId="64E6A529">
            <w:pPr>
              <w:spacing w:line="360" w:lineRule="auto"/>
              <w:ind w:firstLine="420" w:firstLineChars="200"/>
              <w:rPr>
                <w:rFonts w:hint="eastAsia"/>
                <w:color w:val="auto"/>
                <w:szCs w:val="21"/>
              </w:rPr>
            </w:pPr>
            <w:r>
              <w:rPr>
                <w:rFonts w:hint="eastAsia"/>
                <w:color w:val="auto"/>
                <w:szCs w:val="21"/>
              </w:rPr>
              <w:t>综上分析，本项目用水量为</w:t>
            </w:r>
            <w:r>
              <w:rPr>
                <w:rFonts w:hint="eastAsia"/>
                <w:color w:val="auto"/>
                <w:szCs w:val="21"/>
                <w:lang w:val="en-US" w:eastAsia="zh-CN"/>
              </w:rPr>
              <w:t>48400.5</w:t>
            </w:r>
            <w:r>
              <w:rPr>
                <w:rFonts w:hint="eastAsia"/>
                <w:color w:val="auto"/>
                <w:szCs w:val="21"/>
              </w:rPr>
              <w:t>m</w:t>
            </w:r>
            <w:r>
              <w:rPr>
                <w:rFonts w:hint="eastAsia"/>
                <w:color w:val="auto"/>
                <w:szCs w:val="21"/>
                <w:vertAlign w:val="superscript"/>
              </w:rPr>
              <w:t>3</w:t>
            </w:r>
            <w:r>
              <w:rPr>
                <w:rFonts w:hint="eastAsia"/>
                <w:color w:val="auto"/>
                <w:szCs w:val="21"/>
              </w:rPr>
              <w:t>/a，废水产生量为</w:t>
            </w:r>
            <w:r>
              <w:rPr>
                <w:rFonts w:hint="eastAsia"/>
                <w:color w:val="auto"/>
                <w:szCs w:val="21"/>
                <w:lang w:val="en-US" w:eastAsia="zh-CN"/>
              </w:rPr>
              <w:t>252</w:t>
            </w:r>
            <w:r>
              <w:rPr>
                <w:rFonts w:hint="eastAsia"/>
                <w:color w:val="auto"/>
                <w:szCs w:val="21"/>
              </w:rPr>
              <w:t>m</w:t>
            </w:r>
            <w:r>
              <w:rPr>
                <w:rFonts w:hint="eastAsia"/>
                <w:color w:val="auto"/>
                <w:szCs w:val="21"/>
                <w:vertAlign w:val="superscript"/>
              </w:rPr>
              <w:t>3</w:t>
            </w:r>
            <w:r>
              <w:rPr>
                <w:rFonts w:hint="eastAsia"/>
                <w:color w:val="auto"/>
                <w:szCs w:val="21"/>
              </w:rPr>
              <w:t>/a。</w:t>
            </w:r>
          </w:p>
          <w:p w14:paraId="65D7FF44">
            <w:pPr>
              <w:snapToGrid w:val="0"/>
              <w:spacing w:line="360" w:lineRule="auto"/>
              <w:ind w:firstLine="420" w:firstLineChars="200"/>
              <w:rPr>
                <w:rFonts w:hint="eastAsia"/>
                <w:bCs/>
                <w:color w:val="auto"/>
                <w:szCs w:val="21"/>
                <w:lang w:val="en-US" w:eastAsia="zh-CN"/>
              </w:rPr>
            </w:pPr>
            <w:r>
              <w:rPr>
                <w:rFonts w:hint="eastAsia"/>
                <w:b w:val="0"/>
                <w:bCs/>
                <w:color w:val="auto"/>
                <w:szCs w:val="21"/>
                <w:lang w:val="en-US" w:eastAsia="zh-CN"/>
              </w:rPr>
              <w:t>2.7.2供热：</w:t>
            </w:r>
            <w:r>
              <w:rPr>
                <w:rFonts w:hint="eastAsia"/>
                <w:bCs/>
                <w:color w:val="auto"/>
                <w:szCs w:val="21"/>
                <w:lang w:val="en-US" w:eastAsia="zh-CN"/>
              </w:rPr>
              <w:t>本项目热沥青搅拌系统采用燃轻质柴油燃烧器提供热源；导热油炉使用轻质柴油燃烧提供热源。本项目冬季不生产，留守值班人员办公区采用电暖器。</w:t>
            </w:r>
          </w:p>
          <w:p w14:paraId="22AFDEF8">
            <w:pPr>
              <w:snapToGrid w:val="0"/>
              <w:spacing w:line="360" w:lineRule="auto"/>
              <w:ind w:firstLine="422" w:firstLineChars="200"/>
              <w:rPr>
                <w:rFonts w:hint="default"/>
                <w:b/>
                <w:bCs w:val="0"/>
                <w:color w:val="auto"/>
                <w:szCs w:val="21"/>
                <w:lang w:val="en-US" w:eastAsia="zh-CN"/>
              </w:rPr>
            </w:pPr>
            <w:r>
              <w:rPr>
                <w:rFonts w:hint="eastAsia"/>
                <w:b/>
                <w:bCs w:val="0"/>
                <w:color w:val="auto"/>
                <w:szCs w:val="21"/>
                <w:lang w:val="en-US" w:eastAsia="zh-CN"/>
              </w:rPr>
              <w:t>2.8沥青混凝土单位产品能耗指标</w:t>
            </w:r>
          </w:p>
          <w:p w14:paraId="4F31CF86">
            <w:pPr>
              <w:snapToGrid w:val="0"/>
              <w:spacing w:line="360" w:lineRule="auto"/>
              <w:ind w:firstLine="420" w:firstLineChars="200"/>
              <w:rPr>
                <w:rFonts w:hint="eastAsia"/>
                <w:bCs/>
                <w:color w:val="0070C0"/>
                <w:szCs w:val="21"/>
                <w:lang w:val="en-US" w:eastAsia="zh-CN"/>
              </w:rPr>
            </w:pPr>
            <w:r>
              <w:rPr>
                <w:rFonts w:hint="eastAsia"/>
                <w:bCs/>
                <w:color w:val="auto"/>
                <w:szCs w:val="21"/>
                <w:lang w:val="en-US" w:eastAsia="zh-CN"/>
              </w:rPr>
              <w:t>根据企业提供的项目用水量、用电量及轻质柴油用量，参考《综合能耗计算通则》（GB/T 2589-2020）中的折标准煤系数进行估算，详见下表。</w:t>
            </w:r>
          </w:p>
          <w:p w14:paraId="29E3B8E1">
            <w:pPr>
              <w:pStyle w:val="77"/>
              <w:snapToGrid/>
              <w:spacing w:line="240" w:lineRule="exact"/>
              <w:ind w:firstLine="361"/>
              <w:jc w:val="center"/>
              <w:rPr>
                <w:rFonts w:ascii="Times New Roman" w:hAnsi="Times New Roman"/>
                <w:color w:val="auto"/>
                <w:sz w:val="18"/>
                <w:szCs w:val="18"/>
              </w:rPr>
            </w:pPr>
            <w:r>
              <w:rPr>
                <w:rFonts w:ascii="Times New Roman" w:hAnsi="Times New Roman"/>
                <w:color w:val="auto"/>
                <w:sz w:val="18"/>
                <w:szCs w:val="18"/>
              </w:rPr>
              <w:t>表2</w:t>
            </w:r>
            <w:r>
              <w:rPr>
                <w:rFonts w:hint="eastAsia" w:ascii="Times New Roman" w:hAnsi="Times New Roman"/>
                <w:color w:val="auto"/>
                <w:sz w:val="18"/>
                <w:szCs w:val="18"/>
                <w:lang w:val="en-US" w:eastAsia="zh-CN"/>
              </w:rPr>
              <w:t>.8</w:t>
            </w:r>
            <w:r>
              <w:rPr>
                <w:rFonts w:ascii="Times New Roman" w:hAnsi="Times New Roman"/>
                <w:color w:val="auto"/>
                <w:sz w:val="18"/>
                <w:szCs w:val="18"/>
              </w:rPr>
              <w:t>-</w:t>
            </w:r>
            <w:r>
              <w:rPr>
                <w:rFonts w:hint="eastAsia" w:ascii="Times New Roman" w:hAnsi="Times New Roman"/>
                <w:color w:val="auto"/>
                <w:sz w:val="18"/>
                <w:szCs w:val="18"/>
                <w:lang w:val="en-US" w:eastAsia="zh-CN"/>
              </w:rPr>
              <w:t>1</w:t>
            </w:r>
            <w:r>
              <w:rPr>
                <w:rFonts w:ascii="Times New Roman" w:hAnsi="Times New Roman"/>
                <w:color w:val="auto"/>
                <w:sz w:val="18"/>
                <w:szCs w:val="18"/>
              </w:rPr>
              <w:t xml:space="preserve">    </w:t>
            </w:r>
            <w:r>
              <w:rPr>
                <w:rFonts w:hint="eastAsia" w:ascii="Times New Roman" w:hAnsi="Times New Roman"/>
                <w:color w:val="auto"/>
                <w:sz w:val="18"/>
                <w:szCs w:val="18"/>
                <w:lang w:val="en-US" w:eastAsia="zh-CN"/>
              </w:rPr>
              <w:t>用热单元燃料使用情况</w:t>
            </w:r>
            <w:r>
              <w:rPr>
                <w:rFonts w:ascii="Times New Roman" w:hAnsi="Times New Roman"/>
                <w:color w:val="auto"/>
                <w:sz w:val="18"/>
                <w:szCs w:val="18"/>
              </w:rPr>
              <w:t>一览表</w:t>
            </w:r>
          </w:p>
          <w:tbl>
            <w:tblPr>
              <w:tblStyle w:val="48"/>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29"/>
              <w:gridCol w:w="1533"/>
              <w:gridCol w:w="1126"/>
              <w:gridCol w:w="1374"/>
              <w:gridCol w:w="1256"/>
              <w:gridCol w:w="1897"/>
            </w:tblGrid>
            <w:tr w14:paraId="548181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517" w:type="pct"/>
                  <w:tcBorders>
                    <w:tl2br w:val="nil"/>
                    <w:tr2bl w:val="nil"/>
                  </w:tcBorders>
                  <w:vAlign w:val="center"/>
                </w:tcPr>
                <w:p w14:paraId="769554D0">
                  <w:pPr>
                    <w:jc w:val="center"/>
                    <w:rPr>
                      <w:rFonts w:hint="eastAsia" w:eastAsia="宋体"/>
                      <w:color w:val="auto"/>
                      <w:sz w:val="18"/>
                      <w:szCs w:val="18"/>
                      <w:lang w:val="en-US" w:eastAsia="zh-CN"/>
                    </w:rPr>
                  </w:pPr>
                  <w:r>
                    <w:rPr>
                      <w:rFonts w:hint="eastAsia"/>
                      <w:color w:val="auto"/>
                      <w:sz w:val="18"/>
                      <w:szCs w:val="18"/>
                      <w:lang w:val="en-US" w:eastAsia="zh-CN"/>
                    </w:rPr>
                    <w:t>序号</w:t>
                  </w:r>
                </w:p>
              </w:tc>
              <w:tc>
                <w:tcPr>
                  <w:tcW w:w="956" w:type="pct"/>
                  <w:tcBorders>
                    <w:tl2br w:val="nil"/>
                    <w:tr2bl w:val="nil"/>
                  </w:tcBorders>
                  <w:vAlign w:val="center"/>
                </w:tcPr>
                <w:p w14:paraId="431E4066">
                  <w:pPr>
                    <w:jc w:val="center"/>
                    <w:rPr>
                      <w:rFonts w:hint="default" w:eastAsia="宋体"/>
                      <w:color w:val="auto"/>
                      <w:sz w:val="18"/>
                      <w:szCs w:val="18"/>
                      <w:lang w:val="en-US" w:eastAsia="zh-CN"/>
                    </w:rPr>
                  </w:pPr>
                  <w:r>
                    <w:rPr>
                      <w:rFonts w:hint="eastAsia"/>
                      <w:color w:val="auto"/>
                      <w:sz w:val="18"/>
                      <w:szCs w:val="18"/>
                      <w:lang w:val="en-US" w:eastAsia="zh-CN"/>
                    </w:rPr>
                    <w:t>用热单元</w:t>
                  </w:r>
                </w:p>
              </w:tc>
              <w:tc>
                <w:tcPr>
                  <w:tcW w:w="702" w:type="pct"/>
                  <w:tcBorders>
                    <w:tl2br w:val="nil"/>
                    <w:tr2bl w:val="nil"/>
                  </w:tcBorders>
                  <w:vAlign w:val="center"/>
                </w:tcPr>
                <w:p w14:paraId="3A41882E">
                  <w:pPr>
                    <w:jc w:val="center"/>
                    <w:rPr>
                      <w:rFonts w:hint="default"/>
                      <w:color w:val="auto"/>
                      <w:sz w:val="18"/>
                      <w:szCs w:val="18"/>
                      <w:lang w:val="en-US" w:eastAsia="zh-CN"/>
                    </w:rPr>
                  </w:pPr>
                  <w:r>
                    <w:rPr>
                      <w:rFonts w:hint="eastAsia"/>
                      <w:color w:val="auto"/>
                      <w:sz w:val="18"/>
                      <w:szCs w:val="18"/>
                      <w:lang w:val="en-US" w:eastAsia="zh-CN"/>
                    </w:rPr>
                    <w:t>燃料名称</w:t>
                  </w:r>
                </w:p>
              </w:tc>
              <w:tc>
                <w:tcPr>
                  <w:tcW w:w="857" w:type="pct"/>
                  <w:tcBorders>
                    <w:tl2br w:val="nil"/>
                    <w:tr2bl w:val="nil"/>
                  </w:tcBorders>
                  <w:vAlign w:val="center"/>
                </w:tcPr>
                <w:p w14:paraId="51B67270">
                  <w:pPr>
                    <w:jc w:val="center"/>
                    <w:rPr>
                      <w:rFonts w:hint="default" w:eastAsia="宋体"/>
                      <w:color w:val="auto"/>
                      <w:sz w:val="18"/>
                      <w:szCs w:val="18"/>
                      <w:lang w:val="en-US" w:eastAsia="zh-CN"/>
                    </w:rPr>
                  </w:pPr>
                  <w:r>
                    <w:rPr>
                      <w:rFonts w:hint="eastAsia"/>
                      <w:color w:val="auto"/>
                      <w:sz w:val="18"/>
                      <w:szCs w:val="18"/>
                      <w:lang w:val="en-US" w:eastAsia="zh-CN"/>
                    </w:rPr>
                    <w:t>工作时间（h/a）</w:t>
                  </w:r>
                </w:p>
              </w:tc>
              <w:tc>
                <w:tcPr>
                  <w:tcW w:w="783" w:type="pct"/>
                  <w:tcBorders>
                    <w:tl2br w:val="nil"/>
                    <w:tr2bl w:val="nil"/>
                  </w:tcBorders>
                  <w:vAlign w:val="center"/>
                </w:tcPr>
                <w:p w14:paraId="2AF36044">
                  <w:pPr>
                    <w:jc w:val="center"/>
                    <w:rPr>
                      <w:rFonts w:hint="default" w:ascii="Times New Roman" w:hAnsi="Times New Roman" w:eastAsia="宋体"/>
                      <w:color w:val="auto"/>
                      <w:sz w:val="18"/>
                      <w:szCs w:val="18"/>
                      <w:vertAlign w:val="baseline"/>
                      <w:lang w:val="en-US" w:eastAsia="zh-CN"/>
                    </w:rPr>
                  </w:pPr>
                  <w:r>
                    <w:rPr>
                      <w:rFonts w:hint="eastAsia"/>
                      <w:color w:val="auto"/>
                      <w:sz w:val="18"/>
                      <w:szCs w:val="18"/>
                      <w:vertAlign w:val="baseline"/>
                      <w:lang w:val="en-US" w:eastAsia="zh-CN"/>
                    </w:rPr>
                    <w:t>燃料消耗量</w:t>
                  </w:r>
                  <w:r>
                    <w:rPr>
                      <w:rFonts w:hint="eastAsia"/>
                      <w:color w:val="auto"/>
                      <w:sz w:val="18"/>
                      <w:szCs w:val="18"/>
                      <w:lang w:val="en-US" w:eastAsia="zh-CN"/>
                    </w:rPr>
                    <w:t>t/a</w:t>
                  </w:r>
                </w:p>
              </w:tc>
              <w:tc>
                <w:tcPr>
                  <w:tcW w:w="1183" w:type="pct"/>
                  <w:tcBorders>
                    <w:tl2br w:val="nil"/>
                    <w:tr2bl w:val="nil"/>
                  </w:tcBorders>
                  <w:vAlign w:val="center"/>
                </w:tcPr>
                <w:p w14:paraId="414E7D86">
                  <w:pPr>
                    <w:jc w:val="center"/>
                    <w:rPr>
                      <w:rFonts w:hint="eastAsia" w:ascii="Times New Roman" w:hAnsi="Times New Roman" w:eastAsia="宋体"/>
                      <w:color w:val="auto"/>
                      <w:sz w:val="18"/>
                      <w:szCs w:val="18"/>
                      <w:vertAlign w:val="baseline"/>
                      <w:lang w:val="en-US" w:eastAsia="zh-CN"/>
                    </w:rPr>
                  </w:pPr>
                  <w:r>
                    <w:rPr>
                      <w:rFonts w:hint="eastAsia"/>
                      <w:color w:val="auto"/>
                      <w:sz w:val="18"/>
                      <w:szCs w:val="18"/>
                      <w:vertAlign w:val="baseline"/>
                      <w:lang w:val="en-US" w:eastAsia="zh-CN"/>
                    </w:rPr>
                    <w:t>备注</w:t>
                  </w:r>
                </w:p>
              </w:tc>
            </w:tr>
            <w:tr w14:paraId="1BD49C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17" w:type="pct"/>
                  <w:tcBorders>
                    <w:tl2br w:val="nil"/>
                    <w:tr2bl w:val="nil"/>
                  </w:tcBorders>
                  <w:vAlign w:val="center"/>
                </w:tcPr>
                <w:p w14:paraId="7755B140">
                  <w:pPr>
                    <w:jc w:val="center"/>
                    <w:rPr>
                      <w:rFonts w:hint="default"/>
                      <w:color w:val="auto"/>
                      <w:sz w:val="18"/>
                      <w:szCs w:val="18"/>
                      <w:vertAlign w:val="baseline"/>
                      <w:lang w:val="en-US" w:eastAsia="zh-CN"/>
                    </w:rPr>
                  </w:pPr>
                  <w:r>
                    <w:rPr>
                      <w:rFonts w:hint="eastAsia"/>
                      <w:color w:val="auto"/>
                      <w:sz w:val="18"/>
                      <w:szCs w:val="18"/>
                      <w:vertAlign w:val="baseline"/>
                      <w:lang w:val="en-US" w:eastAsia="zh-CN"/>
                    </w:rPr>
                    <w:t>1</w:t>
                  </w:r>
                </w:p>
              </w:tc>
              <w:tc>
                <w:tcPr>
                  <w:tcW w:w="956" w:type="pct"/>
                  <w:tcBorders>
                    <w:tl2br w:val="nil"/>
                    <w:tr2bl w:val="nil"/>
                  </w:tcBorders>
                  <w:vAlign w:val="center"/>
                </w:tcPr>
                <w:p w14:paraId="463CAFBC">
                  <w:pPr>
                    <w:jc w:val="center"/>
                    <w:rPr>
                      <w:rFonts w:hint="default"/>
                      <w:color w:val="auto"/>
                      <w:sz w:val="18"/>
                      <w:szCs w:val="18"/>
                      <w:lang w:val="en-US" w:eastAsia="zh-CN"/>
                    </w:rPr>
                  </w:pPr>
                  <w:r>
                    <w:rPr>
                      <w:rFonts w:hint="eastAsia"/>
                      <w:color w:val="auto"/>
                      <w:sz w:val="18"/>
                      <w:szCs w:val="18"/>
                      <w:lang w:val="en-US" w:eastAsia="zh-CN"/>
                    </w:rPr>
                    <w:t>导热油炉</w:t>
                  </w:r>
                </w:p>
              </w:tc>
              <w:tc>
                <w:tcPr>
                  <w:tcW w:w="702" w:type="pct"/>
                  <w:tcBorders>
                    <w:tl2br w:val="nil"/>
                    <w:tr2bl w:val="nil"/>
                  </w:tcBorders>
                  <w:vAlign w:val="center"/>
                </w:tcPr>
                <w:p w14:paraId="3CB1FCF4">
                  <w:pPr>
                    <w:jc w:val="center"/>
                    <w:rPr>
                      <w:rFonts w:hint="default"/>
                      <w:color w:val="auto"/>
                      <w:sz w:val="18"/>
                      <w:szCs w:val="18"/>
                      <w:lang w:val="en-US" w:eastAsia="zh-CN"/>
                    </w:rPr>
                  </w:pPr>
                  <w:r>
                    <w:rPr>
                      <w:rFonts w:hint="eastAsia"/>
                      <w:color w:val="auto"/>
                      <w:sz w:val="18"/>
                      <w:szCs w:val="18"/>
                      <w:lang w:val="en-US" w:eastAsia="zh-CN"/>
                    </w:rPr>
                    <w:t>轻质柴油</w:t>
                  </w:r>
                </w:p>
              </w:tc>
              <w:tc>
                <w:tcPr>
                  <w:tcW w:w="857" w:type="pct"/>
                  <w:tcBorders>
                    <w:tl2br w:val="nil"/>
                    <w:tr2bl w:val="nil"/>
                  </w:tcBorders>
                  <w:vAlign w:val="center"/>
                </w:tcPr>
                <w:p w14:paraId="7A50D6FA">
                  <w:pPr>
                    <w:jc w:val="center"/>
                    <w:rPr>
                      <w:rFonts w:hint="default"/>
                      <w:color w:val="auto"/>
                      <w:sz w:val="18"/>
                      <w:szCs w:val="18"/>
                      <w:lang w:val="en-US" w:eastAsia="zh-CN"/>
                    </w:rPr>
                  </w:pPr>
                  <w:r>
                    <w:rPr>
                      <w:rFonts w:hint="eastAsia"/>
                      <w:color w:val="auto"/>
                      <w:sz w:val="18"/>
                      <w:szCs w:val="18"/>
                      <w:lang w:val="en-US" w:eastAsia="zh-CN"/>
                    </w:rPr>
                    <w:t>1200</w:t>
                  </w:r>
                </w:p>
              </w:tc>
              <w:tc>
                <w:tcPr>
                  <w:tcW w:w="783" w:type="pct"/>
                  <w:tcBorders>
                    <w:tl2br w:val="nil"/>
                    <w:tr2bl w:val="nil"/>
                  </w:tcBorders>
                  <w:vAlign w:val="center"/>
                </w:tcPr>
                <w:p w14:paraId="642B6E52">
                  <w:pPr>
                    <w:jc w:val="center"/>
                    <w:rPr>
                      <w:rFonts w:hint="default" w:eastAsia="宋体"/>
                      <w:color w:val="auto"/>
                      <w:sz w:val="18"/>
                      <w:szCs w:val="18"/>
                      <w:lang w:val="en-US" w:eastAsia="zh-CN"/>
                    </w:rPr>
                  </w:pPr>
                  <w:r>
                    <w:rPr>
                      <w:rFonts w:hint="eastAsia"/>
                      <w:color w:val="auto"/>
                      <w:sz w:val="18"/>
                      <w:szCs w:val="18"/>
                      <w:lang w:val="en-US" w:eastAsia="zh-CN"/>
                    </w:rPr>
                    <w:t>57.6</w:t>
                  </w:r>
                </w:p>
              </w:tc>
              <w:tc>
                <w:tcPr>
                  <w:tcW w:w="1183" w:type="pct"/>
                  <w:tcBorders>
                    <w:tl2br w:val="nil"/>
                    <w:tr2bl w:val="nil"/>
                  </w:tcBorders>
                  <w:vAlign w:val="center"/>
                </w:tcPr>
                <w:p w14:paraId="0B1C00B0">
                  <w:pPr>
                    <w:jc w:val="center"/>
                    <w:rPr>
                      <w:rFonts w:hint="default" w:ascii="Times New Roman" w:hAnsi="Times New Roman"/>
                      <w:color w:val="auto"/>
                      <w:sz w:val="18"/>
                      <w:szCs w:val="18"/>
                      <w:vertAlign w:val="baseline"/>
                      <w:lang w:val="en-US"/>
                    </w:rPr>
                  </w:pPr>
                </w:p>
              </w:tc>
            </w:tr>
            <w:tr w14:paraId="28E1CC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17" w:type="pct"/>
                  <w:tcBorders>
                    <w:tl2br w:val="nil"/>
                    <w:tr2bl w:val="nil"/>
                  </w:tcBorders>
                  <w:vAlign w:val="center"/>
                </w:tcPr>
                <w:p w14:paraId="4E082260">
                  <w:pPr>
                    <w:jc w:val="center"/>
                    <w:rPr>
                      <w:rFonts w:hint="default"/>
                      <w:color w:val="auto"/>
                      <w:sz w:val="18"/>
                      <w:szCs w:val="18"/>
                      <w:vertAlign w:val="baseline"/>
                      <w:lang w:val="en-US" w:eastAsia="zh-CN"/>
                    </w:rPr>
                  </w:pPr>
                  <w:r>
                    <w:rPr>
                      <w:rFonts w:hint="eastAsia"/>
                      <w:color w:val="auto"/>
                      <w:sz w:val="18"/>
                      <w:szCs w:val="18"/>
                      <w:vertAlign w:val="baseline"/>
                      <w:lang w:val="en-US" w:eastAsia="zh-CN"/>
                    </w:rPr>
                    <w:t>2</w:t>
                  </w:r>
                </w:p>
              </w:tc>
              <w:tc>
                <w:tcPr>
                  <w:tcW w:w="956" w:type="pct"/>
                  <w:tcBorders>
                    <w:tl2br w:val="nil"/>
                    <w:tr2bl w:val="nil"/>
                  </w:tcBorders>
                  <w:vAlign w:val="center"/>
                </w:tcPr>
                <w:p w14:paraId="2C867D20">
                  <w:pPr>
                    <w:jc w:val="center"/>
                    <w:rPr>
                      <w:rFonts w:hint="default"/>
                      <w:color w:val="auto"/>
                      <w:sz w:val="18"/>
                      <w:szCs w:val="18"/>
                      <w:lang w:val="en-US" w:eastAsia="zh-CN"/>
                    </w:rPr>
                  </w:pPr>
                  <w:r>
                    <w:rPr>
                      <w:rFonts w:hint="eastAsia"/>
                      <w:color w:val="auto"/>
                      <w:sz w:val="18"/>
                      <w:szCs w:val="18"/>
                      <w:lang w:val="en-US" w:eastAsia="zh-CN"/>
                    </w:rPr>
                    <w:t>沥青加热</w:t>
                  </w:r>
                </w:p>
              </w:tc>
              <w:tc>
                <w:tcPr>
                  <w:tcW w:w="702" w:type="pct"/>
                  <w:tcBorders>
                    <w:tl2br w:val="nil"/>
                    <w:tr2bl w:val="nil"/>
                  </w:tcBorders>
                  <w:vAlign w:val="center"/>
                </w:tcPr>
                <w:p w14:paraId="4E794712">
                  <w:pPr>
                    <w:jc w:val="center"/>
                    <w:rPr>
                      <w:rFonts w:hint="default"/>
                      <w:color w:val="auto"/>
                      <w:sz w:val="18"/>
                      <w:szCs w:val="18"/>
                      <w:lang w:val="en-US" w:eastAsia="zh-CN"/>
                    </w:rPr>
                  </w:pPr>
                  <w:r>
                    <w:rPr>
                      <w:rFonts w:hint="eastAsia"/>
                      <w:color w:val="auto"/>
                      <w:sz w:val="18"/>
                      <w:szCs w:val="18"/>
                      <w:lang w:val="en-US" w:eastAsia="zh-CN"/>
                    </w:rPr>
                    <w:t>-</w:t>
                  </w:r>
                </w:p>
              </w:tc>
              <w:tc>
                <w:tcPr>
                  <w:tcW w:w="857" w:type="pct"/>
                  <w:tcBorders>
                    <w:tl2br w:val="nil"/>
                    <w:tr2bl w:val="nil"/>
                  </w:tcBorders>
                  <w:vAlign w:val="center"/>
                </w:tcPr>
                <w:p w14:paraId="370A689E">
                  <w:pPr>
                    <w:jc w:val="center"/>
                    <w:rPr>
                      <w:rFonts w:hint="default"/>
                      <w:color w:val="auto"/>
                      <w:sz w:val="18"/>
                      <w:szCs w:val="18"/>
                      <w:lang w:val="en-US" w:eastAsia="zh-CN"/>
                    </w:rPr>
                  </w:pPr>
                  <w:r>
                    <w:rPr>
                      <w:rFonts w:hint="eastAsia"/>
                      <w:color w:val="auto"/>
                      <w:sz w:val="18"/>
                      <w:szCs w:val="18"/>
                      <w:lang w:val="en-US" w:eastAsia="zh-CN"/>
                    </w:rPr>
                    <w:t>1200</w:t>
                  </w:r>
                </w:p>
              </w:tc>
              <w:tc>
                <w:tcPr>
                  <w:tcW w:w="783" w:type="pct"/>
                  <w:tcBorders>
                    <w:tl2br w:val="nil"/>
                    <w:tr2bl w:val="nil"/>
                  </w:tcBorders>
                  <w:vAlign w:val="center"/>
                </w:tcPr>
                <w:p w14:paraId="3D8E3A0A">
                  <w:pPr>
                    <w:jc w:val="center"/>
                    <w:rPr>
                      <w:rFonts w:hint="default" w:eastAsia="宋体"/>
                      <w:color w:val="auto"/>
                      <w:sz w:val="18"/>
                      <w:szCs w:val="18"/>
                      <w:lang w:val="en-US" w:eastAsia="zh-CN"/>
                    </w:rPr>
                  </w:pPr>
                  <w:r>
                    <w:rPr>
                      <w:rFonts w:hint="eastAsia"/>
                      <w:color w:val="auto"/>
                      <w:sz w:val="18"/>
                      <w:szCs w:val="18"/>
                      <w:lang w:val="en-US" w:eastAsia="zh-CN"/>
                    </w:rPr>
                    <w:t>-</w:t>
                  </w:r>
                </w:p>
              </w:tc>
              <w:tc>
                <w:tcPr>
                  <w:tcW w:w="1183" w:type="pct"/>
                  <w:tcBorders>
                    <w:tl2br w:val="nil"/>
                    <w:tr2bl w:val="nil"/>
                  </w:tcBorders>
                  <w:vAlign w:val="center"/>
                </w:tcPr>
                <w:p w14:paraId="436054D2">
                  <w:pPr>
                    <w:jc w:val="center"/>
                    <w:rPr>
                      <w:rFonts w:hint="default" w:ascii="Times New Roman" w:hAnsi="Times New Roman" w:eastAsia="宋体"/>
                      <w:color w:val="auto"/>
                      <w:sz w:val="18"/>
                      <w:szCs w:val="18"/>
                      <w:vertAlign w:val="baseline"/>
                      <w:lang w:val="en-US" w:eastAsia="zh-CN"/>
                    </w:rPr>
                  </w:pPr>
                  <w:r>
                    <w:rPr>
                      <w:rFonts w:hint="eastAsia"/>
                      <w:color w:val="auto"/>
                      <w:sz w:val="18"/>
                      <w:szCs w:val="18"/>
                      <w:vertAlign w:val="baseline"/>
                      <w:lang w:val="en-US" w:eastAsia="zh-CN"/>
                    </w:rPr>
                    <w:t>由导热油炉中的导热油间接加热</w:t>
                  </w:r>
                </w:p>
              </w:tc>
            </w:tr>
            <w:tr w14:paraId="1F330F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17" w:type="pct"/>
                  <w:tcBorders>
                    <w:tl2br w:val="nil"/>
                    <w:tr2bl w:val="nil"/>
                  </w:tcBorders>
                  <w:vAlign w:val="center"/>
                </w:tcPr>
                <w:p w14:paraId="26F1F924">
                  <w:pPr>
                    <w:jc w:val="center"/>
                    <w:rPr>
                      <w:rFonts w:hint="default"/>
                      <w:color w:val="auto"/>
                      <w:sz w:val="18"/>
                      <w:szCs w:val="18"/>
                      <w:vertAlign w:val="baseline"/>
                      <w:lang w:val="en-US" w:eastAsia="zh-CN"/>
                    </w:rPr>
                  </w:pPr>
                  <w:r>
                    <w:rPr>
                      <w:rFonts w:hint="eastAsia"/>
                      <w:color w:val="auto"/>
                      <w:sz w:val="18"/>
                      <w:szCs w:val="18"/>
                      <w:vertAlign w:val="baseline"/>
                      <w:lang w:val="en-US" w:eastAsia="zh-CN"/>
                    </w:rPr>
                    <w:t>3</w:t>
                  </w:r>
                </w:p>
              </w:tc>
              <w:tc>
                <w:tcPr>
                  <w:tcW w:w="956" w:type="pct"/>
                  <w:tcBorders>
                    <w:tl2br w:val="nil"/>
                    <w:tr2bl w:val="nil"/>
                  </w:tcBorders>
                  <w:vAlign w:val="center"/>
                </w:tcPr>
                <w:p w14:paraId="6FAE9148">
                  <w:pPr>
                    <w:jc w:val="center"/>
                    <w:rPr>
                      <w:rFonts w:hint="default"/>
                      <w:color w:val="auto"/>
                      <w:sz w:val="18"/>
                      <w:szCs w:val="18"/>
                      <w:lang w:val="en-US" w:eastAsia="zh-CN"/>
                    </w:rPr>
                  </w:pPr>
                  <w:r>
                    <w:rPr>
                      <w:rFonts w:hint="eastAsia"/>
                      <w:color w:val="auto"/>
                      <w:sz w:val="18"/>
                      <w:szCs w:val="18"/>
                      <w:lang w:val="en-US" w:eastAsia="zh-CN"/>
                    </w:rPr>
                    <w:t>骨料干燥</w:t>
                  </w:r>
                </w:p>
              </w:tc>
              <w:tc>
                <w:tcPr>
                  <w:tcW w:w="702" w:type="pct"/>
                  <w:tcBorders>
                    <w:tl2br w:val="nil"/>
                    <w:tr2bl w:val="nil"/>
                  </w:tcBorders>
                  <w:vAlign w:val="center"/>
                </w:tcPr>
                <w:p w14:paraId="65FACA95">
                  <w:pPr>
                    <w:jc w:val="center"/>
                    <w:rPr>
                      <w:rFonts w:hint="default"/>
                      <w:color w:val="auto"/>
                      <w:sz w:val="18"/>
                      <w:szCs w:val="18"/>
                      <w:lang w:val="en-US" w:eastAsia="zh-CN"/>
                    </w:rPr>
                  </w:pPr>
                  <w:r>
                    <w:rPr>
                      <w:rFonts w:hint="eastAsia"/>
                      <w:color w:val="auto"/>
                      <w:sz w:val="18"/>
                      <w:szCs w:val="18"/>
                      <w:lang w:val="en-US" w:eastAsia="zh-CN"/>
                    </w:rPr>
                    <w:t>轻质柴油</w:t>
                  </w:r>
                </w:p>
              </w:tc>
              <w:tc>
                <w:tcPr>
                  <w:tcW w:w="857" w:type="pct"/>
                  <w:tcBorders>
                    <w:tl2br w:val="nil"/>
                    <w:tr2bl w:val="nil"/>
                  </w:tcBorders>
                  <w:vAlign w:val="center"/>
                </w:tcPr>
                <w:p w14:paraId="58285E19">
                  <w:pPr>
                    <w:jc w:val="center"/>
                    <w:rPr>
                      <w:rFonts w:hint="default"/>
                      <w:color w:val="auto"/>
                      <w:sz w:val="18"/>
                      <w:szCs w:val="18"/>
                      <w:lang w:val="en-US" w:eastAsia="zh-CN"/>
                    </w:rPr>
                  </w:pPr>
                  <w:r>
                    <w:rPr>
                      <w:rFonts w:hint="eastAsia"/>
                      <w:color w:val="auto"/>
                      <w:sz w:val="18"/>
                      <w:szCs w:val="18"/>
                      <w:lang w:val="en-US" w:eastAsia="zh-CN"/>
                    </w:rPr>
                    <w:t>1200</w:t>
                  </w:r>
                </w:p>
              </w:tc>
              <w:tc>
                <w:tcPr>
                  <w:tcW w:w="783" w:type="pct"/>
                  <w:tcBorders>
                    <w:tl2br w:val="nil"/>
                    <w:tr2bl w:val="nil"/>
                  </w:tcBorders>
                  <w:vAlign w:val="center"/>
                </w:tcPr>
                <w:p w14:paraId="5A0596FF">
                  <w:pPr>
                    <w:jc w:val="center"/>
                    <w:rPr>
                      <w:rFonts w:hint="default" w:eastAsia="宋体"/>
                      <w:color w:val="auto"/>
                      <w:sz w:val="18"/>
                      <w:szCs w:val="18"/>
                      <w:lang w:val="en-US" w:eastAsia="zh-CN"/>
                    </w:rPr>
                  </w:pPr>
                  <w:r>
                    <w:rPr>
                      <w:rFonts w:hint="eastAsia"/>
                      <w:color w:val="auto"/>
                      <w:sz w:val="18"/>
                      <w:szCs w:val="18"/>
                      <w:lang w:val="en-US" w:eastAsia="zh-CN"/>
                    </w:rPr>
                    <w:t>182</w:t>
                  </w:r>
                </w:p>
              </w:tc>
              <w:tc>
                <w:tcPr>
                  <w:tcW w:w="1183" w:type="pct"/>
                  <w:tcBorders>
                    <w:tl2br w:val="nil"/>
                    <w:tr2bl w:val="nil"/>
                  </w:tcBorders>
                  <w:vAlign w:val="center"/>
                </w:tcPr>
                <w:p w14:paraId="31556EF7">
                  <w:pPr>
                    <w:jc w:val="center"/>
                    <w:rPr>
                      <w:rFonts w:hint="default" w:ascii="Times New Roman" w:hAnsi="Times New Roman"/>
                      <w:color w:val="auto"/>
                      <w:sz w:val="18"/>
                      <w:szCs w:val="18"/>
                      <w:vertAlign w:val="baseline"/>
                      <w:lang w:val="en-US"/>
                    </w:rPr>
                  </w:pPr>
                </w:p>
              </w:tc>
            </w:tr>
            <w:tr w14:paraId="4C1E0D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17" w:type="pct"/>
                  <w:tcBorders>
                    <w:tl2br w:val="nil"/>
                    <w:tr2bl w:val="nil"/>
                  </w:tcBorders>
                  <w:vAlign w:val="center"/>
                </w:tcPr>
                <w:p w14:paraId="4534C4A4">
                  <w:pPr>
                    <w:jc w:val="center"/>
                    <w:rPr>
                      <w:rFonts w:hint="default"/>
                      <w:color w:val="auto"/>
                      <w:sz w:val="18"/>
                      <w:szCs w:val="18"/>
                      <w:vertAlign w:val="baseline"/>
                      <w:lang w:val="en-US" w:eastAsia="zh-CN"/>
                    </w:rPr>
                  </w:pPr>
                </w:p>
              </w:tc>
              <w:tc>
                <w:tcPr>
                  <w:tcW w:w="956" w:type="pct"/>
                  <w:tcBorders>
                    <w:tl2br w:val="nil"/>
                    <w:tr2bl w:val="nil"/>
                  </w:tcBorders>
                  <w:vAlign w:val="center"/>
                </w:tcPr>
                <w:p w14:paraId="357153B4">
                  <w:pPr>
                    <w:jc w:val="center"/>
                    <w:rPr>
                      <w:rFonts w:hint="default"/>
                      <w:color w:val="auto"/>
                      <w:sz w:val="18"/>
                      <w:szCs w:val="18"/>
                      <w:lang w:val="en-US" w:eastAsia="zh-CN"/>
                    </w:rPr>
                  </w:pPr>
                  <w:r>
                    <w:rPr>
                      <w:rFonts w:hint="eastAsia"/>
                      <w:color w:val="auto"/>
                      <w:sz w:val="18"/>
                      <w:szCs w:val="18"/>
                      <w:lang w:val="en-US" w:eastAsia="zh-CN"/>
                    </w:rPr>
                    <w:t>合计</w:t>
                  </w:r>
                </w:p>
              </w:tc>
              <w:tc>
                <w:tcPr>
                  <w:tcW w:w="702" w:type="pct"/>
                  <w:tcBorders>
                    <w:tl2br w:val="nil"/>
                    <w:tr2bl w:val="nil"/>
                  </w:tcBorders>
                  <w:vAlign w:val="center"/>
                </w:tcPr>
                <w:p w14:paraId="3E64CB9F">
                  <w:pPr>
                    <w:jc w:val="center"/>
                    <w:rPr>
                      <w:rFonts w:hint="default"/>
                      <w:color w:val="auto"/>
                      <w:sz w:val="18"/>
                      <w:szCs w:val="18"/>
                      <w:lang w:val="en-US" w:eastAsia="zh-CN"/>
                    </w:rPr>
                  </w:pPr>
                  <w:r>
                    <w:rPr>
                      <w:rFonts w:hint="eastAsia"/>
                      <w:color w:val="auto"/>
                      <w:sz w:val="18"/>
                      <w:szCs w:val="18"/>
                      <w:lang w:val="en-US" w:eastAsia="zh-CN"/>
                    </w:rPr>
                    <w:t>轻质柴油</w:t>
                  </w:r>
                </w:p>
              </w:tc>
              <w:tc>
                <w:tcPr>
                  <w:tcW w:w="857" w:type="pct"/>
                  <w:tcBorders>
                    <w:tl2br w:val="nil"/>
                    <w:tr2bl w:val="nil"/>
                  </w:tcBorders>
                  <w:vAlign w:val="center"/>
                </w:tcPr>
                <w:p w14:paraId="4E60A176">
                  <w:pPr>
                    <w:jc w:val="center"/>
                    <w:rPr>
                      <w:rFonts w:hint="default"/>
                      <w:color w:val="auto"/>
                      <w:sz w:val="18"/>
                      <w:szCs w:val="18"/>
                      <w:lang w:val="en-US" w:eastAsia="zh-CN"/>
                    </w:rPr>
                  </w:pPr>
                </w:p>
              </w:tc>
              <w:tc>
                <w:tcPr>
                  <w:tcW w:w="783" w:type="pct"/>
                  <w:tcBorders>
                    <w:tl2br w:val="nil"/>
                    <w:tr2bl w:val="nil"/>
                  </w:tcBorders>
                  <w:vAlign w:val="center"/>
                </w:tcPr>
                <w:p w14:paraId="22017554">
                  <w:pPr>
                    <w:jc w:val="center"/>
                    <w:rPr>
                      <w:rFonts w:hint="default" w:eastAsia="宋体"/>
                      <w:color w:val="auto"/>
                      <w:sz w:val="18"/>
                      <w:szCs w:val="18"/>
                      <w:lang w:val="en-US" w:eastAsia="zh-CN"/>
                    </w:rPr>
                  </w:pPr>
                  <w:r>
                    <w:rPr>
                      <w:rFonts w:hint="eastAsia"/>
                      <w:color w:val="auto"/>
                      <w:sz w:val="18"/>
                      <w:szCs w:val="18"/>
                      <w:lang w:val="en-US" w:eastAsia="zh-CN"/>
                    </w:rPr>
                    <w:t>239.6</w:t>
                  </w:r>
                </w:p>
              </w:tc>
              <w:tc>
                <w:tcPr>
                  <w:tcW w:w="1183" w:type="pct"/>
                  <w:tcBorders>
                    <w:tl2br w:val="nil"/>
                    <w:tr2bl w:val="nil"/>
                  </w:tcBorders>
                  <w:vAlign w:val="center"/>
                </w:tcPr>
                <w:p w14:paraId="69960136">
                  <w:pPr>
                    <w:jc w:val="center"/>
                    <w:rPr>
                      <w:rFonts w:hint="default" w:ascii="Times New Roman" w:hAnsi="Times New Roman"/>
                      <w:color w:val="auto"/>
                      <w:sz w:val="18"/>
                      <w:szCs w:val="18"/>
                      <w:vertAlign w:val="baseline"/>
                      <w:lang w:val="en-US"/>
                    </w:rPr>
                  </w:pPr>
                </w:p>
              </w:tc>
            </w:tr>
          </w:tbl>
          <w:p w14:paraId="28C5AE08">
            <w:pPr>
              <w:snapToGrid w:val="0"/>
              <w:spacing w:line="360" w:lineRule="auto"/>
              <w:ind w:firstLine="420" w:firstLineChars="200"/>
              <w:rPr>
                <w:rFonts w:hint="default"/>
                <w:bCs/>
                <w:color w:val="auto"/>
                <w:szCs w:val="21"/>
                <w:lang w:val="en-US" w:eastAsia="zh-CN"/>
              </w:rPr>
            </w:pPr>
            <w:r>
              <w:rPr>
                <w:rFonts w:hint="eastAsia"/>
                <w:bCs/>
                <w:color w:val="auto"/>
                <w:szCs w:val="21"/>
                <w:lang w:val="en-US" w:eastAsia="zh-CN"/>
              </w:rPr>
              <w:t>由上表可知，本项目沥青混凝土生产线年消耗轻质柴油约239.6t，则单位产品油（轻质柴油）耗量约为7.99kg/t-（沥青混凝土产品）。</w:t>
            </w:r>
          </w:p>
          <w:p w14:paraId="2D006CA4">
            <w:pPr>
              <w:pStyle w:val="77"/>
              <w:snapToGrid/>
              <w:spacing w:line="240" w:lineRule="exact"/>
              <w:ind w:firstLine="361"/>
              <w:jc w:val="center"/>
              <w:rPr>
                <w:rFonts w:ascii="Times New Roman" w:hAnsi="Times New Roman"/>
                <w:color w:val="auto"/>
                <w:sz w:val="18"/>
                <w:szCs w:val="18"/>
              </w:rPr>
            </w:pPr>
            <w:r>
              <w:rPr>
                <w:rFonts w:ascii="Times New Roman" w:hAnsi="Times New Roman"/>
                <w:color w:val="auto"/>
                <w:sz w:val="18"/>
                <w:szCs w:val="18"/>
              </w:rPr>
              <w:t>表2</w:t>
            </w:r>
            <w:r>
              <w:rPr>
                <w:rFonts w:hint="eastAsia" w:ascii="Times New Roman" w:hAnsi="Times New Roman"/>
                <w:color w:val="auto"/>
                <w:sz w:val="18"/>
                <w:szCs w:val="18"/>
                <w:lang w:val="en-US" w:eastAsia="zh-CN"/>
              </w:rPr>
              <w:t>.8</w:t>
            </w:r>
            <w:r>
              <w:rPr>
                <w:rFonts w:ascii="Times New Roman" w:hAnsi="Times New Roman"/>
                <w:color w:val="auto"/>
                <w:sz w:val="18"/>
                <w:szCs w:val="18"/>
              </w:rPr>
              <w:t>-</w:t>
            </w:r>
            <w:r>
              <w:rPr>
                <w:rFonts w:hint="eastAsia" w:ascii="Times New Roman" w:hAnsi="Times New Roman"/>
                <w:color w:val="auto"/>
                <w:sz w:val="18"/>
                <w:szCs w:val="18"/>
                <w:lang w:val="en-US" w:eastAsia="zh-CN"/>
              </w:rPr>
              <w:t>2</w:t>
            </w:r>
            <w:r>
              <w:rPr>
                <w:rFonts w:ascii="Times New Roman" w:hAnsi="Times New Roman"/>
                <w:color w:val="auto"/>
                <w:sz w:val="18"/>
                <w:szCs w:val="18"/>
              </w:rPr>
              <w:t xml:space="preserve">    </w:t>
            </w:r>
            <w:r>
              <w:rPr>
                <w:rFonts w:hint="eastAsia" w:ascii="Times New Roman" w:hAnsi="Times New Roman"/>
                <w:color w:val="auto"/>
                <w:sz w:val="18"/>
                <w:szCs w:val="18"/>
                <w:lang w:val="en-US" w:eastAsia="zh-CN"/>
              </w:rPr>
              <w:t>项目综合能耗</w:t>
            </w:r>
            <w:r>
              <w:rPr>
                <w:rFonts w:ascii="Times New Roman" w:hAnsi="Times New Roman"/>
                <w:color w:val="auto"/>
                <w:sz w:val="18"/>
                <w:szCs w:val="18"/>
              </w:rPr>
              <w:t>一览表</w:t>
            </w:r>
          </w:p>
          <w:tbl>
            <w:tblPr>
              <w:tblStyle w:val="4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62"/>
              <w:gridCol w:w="637"/>
              <w:gridCol w:w="1017"/>
              <w:gridCol w:w="1451"/>
              <w:gridCol w:w="1323"/>
              <w:gridCol w:w="2028"/>
            </w:tblGrid>
            <w:tr w14:paraId="47BF9D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74" w:type="pct"/>
                  <w:vMerge w:val="restart"/>
                  <w:tcBorders>
                    <w:tl2br w:val="nil"/>
                    <w:tr2bl w:val="nil"/>
                  </w:tcBorders>
                  <w:vAlign w:val="center"/>
                </w:tcPr>
                <w:p w14:paraId="5C157BE1">
                  <w:pPr>
                    <w:jc w:val="center"/>
                    <w:rPr>
                      <w:rFonts w:hint="default" w:eastAsia="宋体"/>
                      <w:color w:val="auto"/>
                      <w:sz w:val="18"/>
                      <w:szCs w:val="18"/>
                      <w:lang w:val="en-US" w:eastAsia="zh-CN"/>
                    </w:rPr>
                  </w:pPr>
                  <w:r>
                    <w:rPr>
                      <w:rFonts w:hint="eastAsia"/>
                      <w:color w:val="auto"/>
                      <w:sz w:val="18"/>
                      <w:szCs w:val="18"/>
                      <w:lang w:val="en-US" w:eastAsia="zh-CN"/>
                    </w:rPr>
                    <w:t>类别</w:t>
                  </w:r>
                </w:p>
              </w:tc>
              <w:tc>
                <w:tcPr>
                  <w:tcW w:w="397" w:type="pct"/>
                  <w:vMerge w:val="restart"/>
                  <w:tcBorders>
                    <w:tl2br w:val="nil"/>
                    <w:tr2bl w:val="nil"/>
                  </w:tcBorders>
                  <w:vAlign w:val="center"/>
                </w:tcPr>
                <w:p w14:paraId="331A9CBA">
                  <w:pPr>
                    <w:jc w:val="center"/>
                    <w:rPr>
                      <w:rFonts w:hint="eastAsia" w:eastAsia="宋体"/>
                      <w:color w:val="auto"/>
                      <w:sz w:val="18"/>
                      <w:szCs w:val="18"/>
                      <w:lang w:val="en-US" w:eastAsia="zh-CN"/>
                    </w:rPr>
                  </w:pPr>
                  <w:r>
                    <w:rPr>
                      <w:rFonts w:hint="eastAsia"/>
                      <w:color w:val="auto"/>
                      <w:sz w:val="18"/>
                      <w:szCs w:val="18"/>
                      <w:lang w:val="en-US" w:eastAsia="zh-CN"/>
                    </w:rPr>
                    <w:t>名称</w:t>
                  </w:r>
                </w:p>
              </w:tc>
              <w:tc>
                <w:tcPr>
                  <w:tcW w:w="634" w:type="pct"/>
                  <w:vMerge w:val="restart"/>
                  <w:tcBorders>
                    <w:tl2br w:val="nil"/>
                    <w:tr2bl w:val="nil"/>
                  </w:tcBorders>
                  <w:vAlign w:val="center"/>
                </w:tcPr>
                <w:p w14:paraId="11BA4569">
                  <w:pPr>
                    <w:jc w:val="center"/>
                    <w:rPr>
                      <w:rFonts w:hint="default" w:eastAsia="宋体"/>
                      <w:color w:val="auto"/>
                      <w:sz w:val="18"/>
                      <w:szCs w:val="18"/>
                      <w:lang w:val="en-US" w:eastAsia="zh-CN"/>
                    </w:rPr>
                  </w:pPr>
                  <w:r>
                    <w:rPr>
                      <w:rFonts w:hint="eastAsia"/>
                      <w:color w:val="auto"/>
                      <w:sz w:val="18"/>
                      <w:szCs w:val="18"/>
                      <w:lang w:val="en-US" w:eastAsia="zh-CN"/>
                    </w:rPr>
                    <w:t>年消耗量</w:t>
                  </w:r>
                </w:p>
              </w:tc>
              <w:tc>
                <w:tcPr>
                  <w:tcW w:w="1729" w:type="pct"/>
                  <w:gridSpan w:val="2"/>
                  <w:tcBorders>
                    <w:tl2br w:val="nil"/>
                    <w:tr2bl w:val="nil"/>
                  </w:tcBorders>
                  <w:vAlign w:val="center"/>
                </w:tcPr>
                <w:p w14:paraId="3EAEE846">
                  <w:pPr>
                    <w:jc w:val="center"/>
                    <w:rPr>
                      <w:rFonts w:hint="eastAsia" w:ascii="Times New Roman" w:hAnsi="Times New Roman" w:eastAsia="宋体"/>
                      <w:color w:val="auto"/>
                      <w:sz w:val="18"/>
                      <w:szCs w:val="18"/>
                      <w:vertAlign w:val="baseline"/>
                      <w:lang w:val="en-US" w:eastAsia="zh-CN"/>
                    </w:rPr>
                  </w:pPr>
                  <w:r>
                    <w:rPr>
                      <w:rFonts w:hint="eastAsia"/>
                      <w:color w:val="auto"/>
                      <w:sz w:val="18"/>
                      <w:szCs w:val="18"/>
                      <w:vertAlign w:val="baseline"/>
                      <w:lang w:val="en-US" w:eastAsia="zh-CN"/>
                    </w:rPr>
                    <w:t>当量值</w:t>
                  </w:r>
                </w:p>
              </w:tc>
              <w:tc>
                <w:tcPr>
                  <w:tcW w:w="1264" w:type="pct"/>
                  <w:vMerge w:val="restart"/>
                  <w:tcBorders>
                    <w:tl2br w:val="nil"/>
                    <w:tr2bl w:val="nil"/>
                  </w:tcBorders>
                  <w:vAlign w:val="center"/>
                </w:tcPr>
                <w:p w14:paraId="31AB5B94">
                  <w:pPr>
                    <w:jc w:val="center"/>
                    <w:rPr>
                      <w:rFonts w:hint="eastAsia"/>
                      <w:color w:val="auto"/>
                      <w:sz w:val="18"/>
                      <w:szCs w:val="18"/>
                      <w:vertAlign w:val="baseline"/>
                      <w:lang w:val="en-US" w:eastAsia="zh-CN"/>
                    </w:rPr>
                  </w:pPr>
                  <w:r>
                    <w:rPr>
                      <w:rFonts w:hint="eastAsia"/>
                      <w:color w:val="auto"/>
                      <w:sz w:val="18"/>
                      <w:szCs w:val="18"/>
                      <w:vertAlign w:val="baseline"/>
                      <w:lang w:val="en-US" w:eastAsia="zh-CN"/>
                    </w:rPr>
                    <w:t>单位产品</w:t>
                  </w:r>
                </w:p>
                <w:p w14:paraId="74FA6D91">
                  <w:pPr>
                    <w:jc w:val="center"/>
                    <w:rPr>
                      <w:rFonts w:hint="default" w:ascii="Times New Roman" w:hAnsi="Times New Roman" w:eastAsia="宋体"/>
                      <w:color w:val="auto"/>
                      <w:sz w:val="18"/>
                      <w:szCs w:val="18"/>
                      <w:vertAlign w:val="baseline"/>
                      <w:lang w:val="en-US" w:eastAsia="zh-CN"/>
                    </w:rPr>
                  </w:pPr>
                  <w:r>
                    <w:rPr>
                      <w:rFonts w:hint="eastAsia"/>
                      <w:color w:val="auto"/>
                      <w:sz w:val="18"/>
                      <w:szCs w:val="18"/>
                      <w:vertAlign w:val="baseline"/>
                      <w:lang w:val="en-US" w:eastAsia="zh-CN"/>
                    </w:rPr>
                    <w:t>能耗指标</w:t>
                  </w:r>
                </w:p>
              </w:tc>
            </w:tr>
            <w:tr w14:paraId="57321B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74" w:type="pct"/>
                  <w:vMerge w:val="continue"/>
                  <w:tcBorders>
                    <w:tl2br w:val="nil"/>
                    <w:tr2bl w:val="nil"/>
                  </w:tcBorders>
                  <w:vAlign w:val="center"/>
                </w:tcPr>
                <w:p w14:paraId="76130F2C">
                  <w:pPr>
                    <w:pStyle w:val="77"/>
                    <w:snapToGrid/>
                    <w:spacing w:line="240" w:lineRule="exact"/>
                    <w:jc w:val="center"/>
                    <w:rPr>
                      <w:rFonts w:ascii="Times New Roman" w:hAnsi="Times New Roman"/>
                      <w:color w:val="auto"/>
                      <w:sz w:val="18"/>
                      <w:szCs w:val="18"/>
                      <w:vertAlign w:val="baseline"/>
                    </w:rPr>
                  </w:pPr>
                </w:p>
              </w:tc>
              <w:tc>
                <w:tcPr>
                  <w:tcW w:w="397" w:type="pct"/>
                  <w:vMerge w:val="continue"/>
                  <w:tcBorders>
                    <w:tl2br w:val="nil"/>
                    <w:tr2bl w:val="nil"/>
                  </w:tcBorders>
                  <w:vAlign w:val="center"/>
                </w:tcPr>
                <w:p w14:paraId="62812207">
                  <w:pPr>
                    <w:pStyle w:val="77"/>
                    <w:snapToGrid/>
                    <w:spacing w:line="240" w:lineRule="exact"/>
                    <w:jc w:val="center"/>
                    <w:rPr>
                      <w:rFonts w:ascii="Times New Roman" w:hAnsi="Times New Roman"/>
                      <w:color w:val="auto"/>
                      <w:sz w:val="18"/>
                      <w:szCs w:val="18"/>
                      <w:vertAlign w:val="baseline"/>
                    </w:rPr>
                  </w:pPr>
                </w:p>
              </w:tc>
              <w:tc>
                <w:tcPr>
                  <w:tcW w:w="634" w:type="pct"/>
                  <w:vMerge w:val="continue"/>
                  <w:tcBorders>
                    <w:tl2br w:val="nil"/>
                    <w:tr2bl w:val="nil"/>
                  </w:tcBorders>
                  <w:vAlign w:val="center"/>
                </w:tcPr>
                <w:p w14:paraId="474AEC7A">
                  <w:pPr>
                    <w:pStyle w:val="77"/>
                    <w:snapToGrid/>
                    <w:spacing w:line="240" w:lineRule="exact"/>
                    <w:jc w:val="center"/>
                    <w:rPr>
                      <w:rFonts w:ascii="Times New Roman" w:hAnsi="Times New Roman"/>
                      <w:color w:val="auto"/>
                      <w:sz w:val="18"/>
                      <w:szCs w:val="18"/>
                      <w:vertAlign w:val="baseline"/>
                    </w:rPr>
                  </w:pPr>
                </w:p>
              </w:tc>
              <w:tc>
                <w:tcPr>
                  <w:tcW w:w="904" w:type="pct"/>
                  <w:tcBorders>
                    <w:tl2br w:val="nil"/>
                    <w:tr2bl w:val="nil"/>
                  </w:tcBorders>
                  <w:vAlign w:val="center"/>
                </w:tcPr>
                <w:p w14:paraId="070DC0E4">
                  <w:pPr>
                    <w:jc w:val="center"/>
                    <w:rPr>
                      <w:rFonts w:hint="default" w:ascii="Times New Roman" w:hAnsi="Times New Roman" w:eastAsia="宋体"/>
                      <w:color w:val="auto"/>
                      <w:sz w:val="18"/>
                      <w:szCs w:val="18"/>
                      <w:vertAlign w:val="baseline"/>
                      <w:lang w:val="en-US" w:eastAsia="zh-CN"/>
                    </w:rPr>
                  </w:pPr>
                  <w:r>
                    <w:rPr>
                      <w:rFonts w:hint="eastAsia"/>
                      <w:color w:val="auto"/>
                      <w:sz w:val="18"/>
                      <w:szCs w:val="18"/>
                      <w:vertAlign w:val="baseline"/>
                      <w:lang w:val="en-US" w:eastAsia="zh-CN"/>
                    </w:rPr>
                    <w:t>折标系数</w:t>
                  </w:r>
                </w:p>
              </w:tc>
              <w:tc>
                <w:tcPr>
                  <w:tcW w:w="824" w:type="pct"/>
                  <w:tcBorders>
                    <w:tl2br w:val="nil"/>
                    <w:tr2bl w:val="nil"/>
                  </w:tcBorders>
                  <w:vAlign w:val="center"/>
                </w:tcPr>
                <w:p w14:paraId="6396F983">
                  <w:pPr>
                    <w:jc w:val="center"/>
                    <w:rPr>
                      <w:rFonts w:hint="default" w:eastAsia="宋体"/>
                      <w:color w:val="auto"/>
                      <w:sz w:val="18"/>
                      <w:szCs w:val="18"/>
                      <w:lang w:val="en-US" w:eastAsia="zh-CN"/>
                    </w:rPr>
                  </w:pPr>
                  <w:r>
                    <w:rPr>
                      <w:rFonts w:hint="eastAsia"/>
                      <w:color w:val="auto"/>
                      <w:sz w:val="18"/>
                      <w:szCs w:val="18"/>
                      <w:lang w:val="en-US" w:eastAsia="zh-CN"/>
                    </w:rPr>
                    <w:t>标煤量</w:t>
                  </w:r>
                </w:p>
              </w:tc>
              <w:tc>
                <w:tcPr>
                  <w:tcW w:w="1264" w:type="pct"/>
                  <w:vMerge w:val="continue"/>
                  <w:tcBorders>
                    <w:tl2br w:val="nil"/>
                    <w:tr2bl w:val="nil"/>
                  </w:tcBorders>
                  <w:vAlign w:val="center"/>
                </w:tcPr>
                <w:p w14:paraId="3FE7065D">
                  <w:pPr>
                    <w:jc w:val="center"/>
                    <w:rPr>
                      <w:rFonts w:ascii="Times New Roman" w:hAnsi="Times New Roman"/>
                      <w:color w:val="auto"/>
                      <w:sz w:val="18"/>
                      <w:szCs w:val="18"/>
                      <w:vertAlign w:val="baseline"/>
                    </w:rPr>
                  </w:pPr>
                </w:p>
              </w:tc>
            </w:tr>
            <w:tr w14:paraId="351B2E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74" w:type="pct"/>
                  <w:vMerge w:val="restart"/>
                  <w:tcBorders>
                    <w:tl2br w:val="nil"/>
                    <w:tr2bl w:val="nil"/>
                  </w:tcBorders>
                  <w:vAlign w:val="center"/>
                </w:tcPr>
                <w:p w14:paraId="7D51E306">
                  <w:pPr>
                    <w:jc w:val="center"/>
                    <w:rPr>
                      <w:rFonts w:hint="default"/>
                      <w:color w:val="auto"/>
                      <w:sz w:val="18"/>
                      <w:szCs w:val="18"/>
                      <w:vertAlign w:val="baseline"/>
                      <w:lang w:val="en-US" w:eastAsia="zh-CN"/>
                    </w:rPr>
                  </w:pPr>
                  <w:r>
                    <w:rPr>
                      <w:rFonts w:hint="eastAsia"/>
                      <w:color w:val="auto"/>
                      <w:sz w:val="18"/>
                      <w:szCs w:val="18"/>
                      <w:vertAlign w:val="baseline"/>
                      <w:lang w:val="en-US" w:eastAsia="zh-CN"/>
                    </w:rPr>
                    <w:t>一期工程（沥青混凝土3万t/a）</w:t>
                  </w:r>
                </w:p>
              </w:tc>
              <w:tc>
                <w:tcPr>
                  <w:tcW w:w="397" w:type="pct"/>
                  <w:tcBorders>
                    <w:tl2br w:val="nil"/>
                    <w:tr2bl w:val="nil"/>
                  </w:tcBorders>
                  <w:vAlign w:val="center"/>
                </w:tcPr>
                <w:p w14:paraId="40B003D4">
                  <w:pPr>
                    <w:jc w:val="center"/>
                    <w:rPr>
                      <w:rFonts w:hint="default"/>
                      <w:color w:val="auto"/>
                      <w:sz w:val="18"/>
                      <w:szCs w:val="18"/>
                      <w:lang w:val="en-US" w:eastAsia="zh-CN"/>
                    </w:rPr>
                  </w:pPr>
                  <w:r>
                    <w:rPr>
                      <w:rFonts w:hint="eastAsia"/>
                      <w:color w:val="auto"/>
                      <w:sz w:val="18"/>
                      <w:szCs w:val="18"/>
                      <w:lang w:val="en-US" w:eastAsia="zh-CN"/>
                    </w:rPr>
                    <w:t>电</w:t>
                  </w:r>
                </w:p>
              </w:tc>
              <w:tc>
                <w:tcPr>
                  <w:tcW w:w="634" w:type="pct"/>
                  <w:tcBorders>
                    <w:tl2br w:val="nil"/>
                    <w:tr2bl w:val="nil"/>
                  </w:tcBorders>
                  <w:vAlign w:val="center"/>
                </w:tcPr>
                <w:p w14:paraId="6CB1287C">
                  <w:pPr>
                    <w:jc w:val="center"/>
                    <w:rPr>
                      <w:rFonts w:hint="default"/>
                      <w:color w:val="auto"/>
                      <w:sz w:val="18"/>
                      <w:szCs w:val="18"/>
                      <w:lang w:val="en-US" w:eastAsia="zh-CN"/>
                    </w:rPr>
                  </w:pPr>
                  <w:r>
                    <w:rPr>
                      <w:rFonts w:hint="eastAsia"/>
                      <w:color w:val="auto"/>
                      <w:sz w:val="18"/>
                      <w:szCs w:val="18"/>
                      <w:lang w:val="en-US" w:eastAsia="zh-CN"/>
                    </w:rPr>
                    <w:t>2.5万kWh</w:t>
                  </w:r>
                </w:p>
              </w:tc>
              <w:tc>
                <w:tcPr>
                  <w:tcW w:w="904" w:type="pct"/>
                  <w:tcBorders>
                    <w:tl2br w:val="nil"/>
                    <w:tr2bl w:val="nil"/>
                  </w:tcBorders>
                  <w:vAlign w:val="center"/>
                </w:tcPr>
                <w:p w14:paraId="2C47CC90">
                  <w:pPr>
                    <w:jc w:val="center"/>
                    <w:rPr>
                      <w:rFonts w:hint="default" w:eastAsia="宋体"/>
                      <w:color w:val="auto"/>
                      <w:sz w:val="18"/>
                      <w:szCs w:val="18"/>
                      <w:lang w:val="en-US" w:eastAsia="zh-CN"/>
                    </w:rPr>
                  </w:pPr>
                  <w:r>
                    <w:rPr>
                      <w:rFonts w:hint="eastAsia"/>
                      <w:color w:val="auto"/>
                      <w:sz w:val="18"/>
                      <w:szCs w:val="18"/>
                      <w:lang w:val="en-US" w:eastAsia="zh-CN"/>
                    </w:rPr>
                    <w:t>0.1229kgec/kWh</w:t>
                  </w:r>
                </w:p>
              </w:tc>
              <w:tc>
                <w:tcPr>
                  <w:tcW w:w="824" w:type="pct"/>
                  <w:tcBorders>
                    <w:tl2br w:val="nil"/>
                    <w:tr2bl w:val="nil"/>
                  </w:tcBorders>
                  <w:vAlign w:val="center"/>
                </w:tcPr>
                <w:p w14:paraId="0DDB48D7">
                  <w:pPr>
                    <w:jc w:val="center"/>
                    <w:rPr>
                      <w:rFonts w:hint="default" w:eastAsia="宋体"/>
                      <w:color w:val="auto"/>
                      <w:sz w:val="18"/>
                      <w:szCs w:val="18"/>
                      <w:lang w:val="en-US" w:eastAsia="zh-CN"/>
                    </w:rPr>
                  </w:pPr>
                  <w:r>
                    <w:rPr>
                      <w:rFonts w:hint="eastAsia"/>
                      <w:color w:val="auto"/>
                      <w:sz w:val="18"/>
                      <w:szCs w:val="18"/>
                      <w:lang w:val="en-US" w:eastAsia="zh-CN"/>
                    </w:rPr>
                    <w:t>3072.5kgec</w:t>
                  </w:r>
                </w:p>
              </w:tc>
              <w:tc>
                <w:tcPr>
                  <w:tcW w:w="1264" w:type="pct"/>
                  <w:vMerge w:val="restart"/>
                  <w:tcBorders>
                    <w:tl2br w:val="nil"/>
                    <w:tr2bl w:val="nil"/>
                  </w:tcBorders>
                  <w:vAlign w:val="center"/>
                </w:tcPr>
                <w:p w14:paraId="13D0C84C">
                  <w:pPr>
                    <w:jc w:val="center"/>
                    <w:rPr>
                      <w:rFonts w:hint="default" w:ascii="Times New Roman" w:hAnsi="Times New Roman" w:eastAsia="宋体"/>
                      <w:color w:val="auto"/>
                      <w:sz w:val="18"/>
                      <w:szCs w:val="18"/>
                      <w:vertAlign w:val="baseline"/>
                      <w:lang w:val="en-US" w:eastAsia="zh-CN"/>
                    </w:rPr>
                  </w:pPr>
                  <w:r>
                    <w:rPr>
                      <w:rFonts w:hint="eastAsia"/>
                      <w:color w:val="auto"/>
                      <w:sz w:val="18"/>
                      <w:szCs w:val="18"/>
                      <w:vertAlign w:val="baseline"/>
                      <w:lang w:val="en-US" w:eastAsia="zh-CN"/>
                    </w:rPr>
                    <w:t>11.74kgec/t-产品（沥青混凝土）</w:t>
                  </w:r>
                </w:p>
              </w:tc>
            </w:tr>
            <w:tr w14:paraId="5565E0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74" w:type="pct"/>
                  <w:vMerge w:val="continue"/>
                  <w:tcBorders>
                    <w:tl2br w:val="nil"/>
                    <w:tr2bl w:val="nil"/>
                  </w:tcBorders>
                  <w:vAlign w:val="center"/>
                </w:tcPr>
                <w:p w14:paraId="7E9D82C2">
                  <w:pPr>
                    <w:jc w:val="center"/>
                    <w:rPr>
                      <w:rFonts w:hint="default"/>
                      <w:color w:val="auto"/>
                      <w:sz w:val="18"/>
                      <w:szCs w:val="18"/>
                      <w:vertAlign w:val="baseline"/>
                      <w:lang w:val="en-US" w:eastAsia="zh-CN"/>
                    </w:rPr>
                  </w:pPr>
                </w:p>
              </w:tc>
              <w:tc>
                <w:tcPr>
                  <w:tcW w:w="397" w:type="pct"/>
                  <w:tcBorders>
                    <w:tl2br w:val="nil"/>
                    <w:tr2bl w:val="nil"/>
                  </w:tcBorders>
                  <w:vAlign w:val="center"/>
                </w:tcPr>
                <w:p w14:paraId="44E636AA">
                  <w:pPr>
                    <w:jc w:val="center"/>
                    <w:rPr>
                      <w:rFonts w:hint="default"/>
                      <w:color w:val="auto"/>
                      <w:sz w:val="18"/>
                      <w:szCs w:val="18"/>
                      <w:lang w:val="en-US" w:eastAsia="zh-CN"/>
                    </w:rPr>
                  </w:pPr>
                  <w:r>
                    <w:rPr>
                      <w:rFonts w:hint="eastAsia"/>
                      <w:color w:val="auto"/>
                      <w:sz w:val="18"/>
                      <w:szCs w:val="18"/>
                      <w:lang w:val="en-US" w:eastAsia="zh-CN"/>
                    </w:rPr>
                    <w:t>水</w:t>
                  </w:r>
                </w:p>
              </w:tc>
              <w:tc>
                <w:tcPr>
                  <w:tcW w:w="634" w:type="pct"/>
                  <w:tcBorders>
                    <w:tl2br w:val="nil"/>
                    <w:tr2bl w:val="nil"/>
                  </w:tcBorders>
                  <w:vAlign w:val="center"/>
                </w:tcPr>
                <w:p w14:paraId="328DF938">
                  <w:pPr>
                    <w:jc w:val="center"/>
                    <w:rPr>
                      <w:rFonts w:hint="default"/>
                      <w:color w:val="auto"/>
                      <w:sz w:val="18"/>
                      <w:szCs w:val="18"/>
                      <w:lang w:val="en-US" w:eastAsia="zh-CN"/>
                    </w:rPr>
                  </w:pPr>
                  <w:r>
                    <w:rPr>
                      <w:rFonts w:hint="eastAsia"/>
                      <w:color w:val="auto"/>
                      <w:sz w:val="18"/>
                      <w:szCs w:val="18"/>
                      <w:lang w:val="en-US" w:eastAsia="zh-CN"/>
                    </w:rPr>
                    <w:t>75m</w:t>
                  </w:r>
                  <w:r>
                    <w:rPr>
                      <w:rFonts w:hint="eastAsia"/>
                      <w:color w:val="auto"/>
                      <w:sz w:val="18"/>
                      <w:szCs w:val="18"/>
                      <w:vertAlign w:val="superscript"/>
                      <w:lang w:val="en-US" w:eastAsia="zh-CN"/>
                    </w:rPr>
                    <w:t>3</w:t>
                  </w:r>
                </w:p>
              </w:tc>
              <w:tc>
                <w:tcPr>
                  <w:tcW w:w="904" w:type="pct"/>
                  <w:tcBorders>
                    <w:tl2br w:val="nil"/>
                    <w:tr2bl w:val="nil"/>
                  </w:tcBorders>
                  <w:vAlign w:val="center"/>
                </w:tcPr>
                <w:p w14:paraId="691D1F86">
                  <w:pPr>
                    <w:jc w:val="center"/>
                    <w:rPr>
                      <w:rFonts w:hint="default" w:eastAsia="宋体"/>
                      <w:color w:val="auto"/>
                      <w:sz w:val="18"/>
                      <w:szCs w:val="18"/>
                      <w:lang w:val="en-US" w:eastAsia="zh-CN"/>
                    </w:rPr>
                  </w:pPr>
                  <w:r>
                    <w:rPr>
                      <w:rFonts w:hint="eastAsia"/>
                      <w:color w:val="auto"/>
                      <w:sz w:val="18"/>
                      <w:szCs w:val="18"/>
                      <w:lang w:val="en-US" w:eastAsia="zh-CN"/>
                    </w:rPr>
                    <w:t>0.2571gec/t</w:t>
                  </w:r>
                </w:p>
              </w:tc>
              <w:tc>
                <w:tcPr>
                  <w:tcW w:w="824" w:type="pct"/>
                  <w:tcBorders>
                    <w:tl2br w:val="nil"/>
                    <w:tr2bl w:val="nil"/>
                  </w:tcBorders>
                  <w:vAlign w:val="center"/>
                </w:tcPr>
                <w:p w14:paraId="4230ABEF">
                  <w:pPr>
                    <w:jc w:val="center"/>
                    <w:rPr>
                      <w:rFonts w:hint="default" w:eastAsia="宋体"/>
                      <w:color w:val="auto"/>
                      <w:sz w:val="18"/>
                      <w:szCs w:val="18"/>
                      <w:lang w:val="en-US" w:eastAsia="zh-CN"/>
                    </w:rPr>
                  </w:pPr>
                  <w:r>
                    <w:rPr>
                      <w:rFonts w:hint="eastAsia"/>
                      <w:color w:val="auto"/>
                      <w:sz w:val="18"/>
                      <w:szCs w:val="18"/>
                      <w:lang w:val="en-US" w:eastAsia="zh-CN"/>
                    </w:rPr>
                    <w:t>19.28kgec</w:t>
                  </w:r>
                </w:p>
              </w:tc>
              <w:tc>
                <w:tcPr>
                  <w:tcW w:w="1264" w:type="pct"/>
                  <w:vMerge w:val="continue"/>
                  <w:tcBorders>
                    <w:tl2br w:val="nil"/>
                    <w:tr2bl w:val="nil"/>
                  </w:tcBorders>
                  <w:vAlign w:val="center"/>
                </w:tcPr>
                <w:p w14:paraId="1370F67C">
                  <w:pPr>
                    <w:jc w:val="center"/>
                    <w:rPr>
                      <w:rFonts w:hint="default" w:ascii="Times New Roman" w:hAnsi="Times New Roman"/>
                      <w:color w:val="auto"/>
                      <w:sz w:val="18"/>
                      <w:szCs w:val="18"/>
                      <w:vertAlign w:val="baseline"/>
                      <w:lang w:val="en-US"/>
                    </w:rPr>
                  </w:pPr>
                </w:p>
              </w:tc>
            </w:tr>
            <w:tr w14:paraId="4DEEEC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74" w:type="pct"/>
                  <w:vMerge w:val="continue"/>
                  <w:tcBorders>
                    <w:tl2br w:val="nil"/>
                    <w:tr2bl w:val="nil"/>
                  </w:tcBorders>
                  <w:vAlign w:val="center"/>
                </w:tcPr>
                <w:p w14:paraId="4536A414">
                  <w:pPr>
                    <w:jc w:val="center"/>
                    <w:rPr>
                      <w:rFonts w:hint="default"/>
                      <w:color w:val="auto"/>
                      <w:sz w:val="18"/>
                      <w:szCs w:val="18"/>
                      <w:vertAlign w:val="baseline"/>
                      <w:lang w:val="en-US" w:eastAsia="zh-CN"/>
                    </w:rPr>
                  </w:pPr>
                </w:p>
              </w:tc>
              <w:tc>
                <w:tcPr>
                  <w:tcW w:w="397" w:type="pct"/>
                  <w:tcBorders>
                    <w:tl2br w:val="nil"/>
                    <w:tr2bl w:val="nil"/>
                  </w:tcBorders>
                  <w:vAlign w:val="center"/>
                </w:tcPr>
                <w:p w14:paraId="04CB9FD1">
                  <w:pPr>
                    <w:jc w:val="center"/>
                    <w:rPr>
                      <w:rFonts w:hint="default"/>
                      <w:color w:val="auto"/>
                      <w:sz w:val="18"/>
                      <w:szCs w:val="18"/>
                      <w:lang w:val="en-US" w:eastAsia="zh-CN"/>
                    </w:rPr>
                  </w:pPr>
                  <w:r>
                    <w:rPr>
                      <w:rFonts w:hint="eastAsia"/>
                      <w:color w:val="auto"/>
                      <w:sz w:val="18"/>
                      <w:szCs w:val="18"/>
                      <w:lang w:val="en-US" w:eastAsia="zh-CN"/>
                    </w:rPr>
                    <w:t>轻质柴油</w:t>
                  </w:r>
                </w:p>
              </w:tc>
              <w:tc>
                <w:tcPr>
                  <w:tcW w:w="634" w:type="pct"/>
                  <w:tcBorders>
                    <w:tl2br w:val="nil"/>
                    <w:tr2bl w:val="nil"/>
                  </w:tcBorders>
                  <w:vAlign w:val="center"/>
                </w:tcPr>
                <w:p w14:paraId="173348BA">
                  <w:pPr>
                    <w:jc w:val="center"/>
                    <w:rPr>
                      <w:rFonts w:hint="default"/>
                      <w:color w:val="auto"/>
                      <w:sz w:val="18"/>
                      <w:szCs w:val="18"/>
                      <w:lang w:val="en-US" w:eastAsia="zh-CN"/>
                    </w:rPr>
                  </w:pPr>
                  <w:r>
                    <w:rPr>
                      <w:rFonts w:hint="eastAsia"/>
                      <w:color w:val="auto"/>
                      <w:sz w:val="18"/>
                      <w:szCs w:val="18"/>
                      <w:lang w:val="en-US" w:eastAsia="zh-CN"/>
                    </w:rPr>
                    <w:t>239.6t/a</w:t>
                  </w:r>
                </w:p>
              </w:tc>
              <w:tc>
                <w:tcPr>
                  <w:tcW w:w="904" w:type="pct"/>
                  <w:tcBorders>
                    <w:tl2br w:val="nil"/>
                    <w:tr2bl w:val="nil"/>
                  </w:tcBorders>
                  <w:vAlign w:val="center"/>
                </w:tcPr>
                <w:p w14:paraId="581D02FD">
                  <w:pPr>
                    <w:jc w:val="center"/>
                    <w:rPr>
                      <w:rFonts w:hint="default" w:eastAsia="宋体"/>
                      <w:color w:val="auto"/>
                      <w:sz w:val="18"/>
                      <w:szCs w:val="18"/>
                      <w:lang w:val="en-US" w:eastAsia="zh-CN"/>
                    </w:rPr>
                  </w:pPr>
                  <w:r>
                    <w:rPr>
                      <w:rFonts w:hint="eastAsia"/>
                      <w:color w:val="auto"/>
                      <w:sz w:val="18"/>
                      <w:szCs w:val="18"/>
                      <w:lang w:val="en-US" w:eastAsia="zh-CN"/>
                    </w:rPr>
                    <w:t>1.4571kgec/kg</w:t>
                  </w:r>
                </w:p>
              </w:tc>
              <w:tc>
                <w:tcPr>
                  <w:tcW w:w="824" w:type="pct"/>
                  <w:tcBorders>
                    <w:tl2br w:val="nil"/>
                    <w:tr2bl w:val="nil"/>
                  </w:tcBorders>
                  <w:vAlign w:val="center"/>
                </w:tcPr>
                <w:p w14:paraId="20DD1BD9">
                  <w:pPr>
                    <w:jc w:val="center"/>
                    <w:rPr>
                      <w:rFonts w:hint="default" w:eastAsia="宋体"/>
                      <w:color w:val="auto"/>
                      <w:sz w:val="18"/>
                      <w:szCs w:val="18"/>
                      <w:lang w:val="en-US" w:eastAsia="zh-CN"/>
                    </w:rPr>
                  </w:pPr>
                  <w:r>
                    <w:rPr>
                      <w:rFonts w:hint="eastAsia"/>
                      <w:color w:val="auto"/>
                      <w:sz w:val="18"/>
                      <w:szCs w:val="18"/>
                      <w:lang w:val="en-US" w:eastAsia="zh-CN"/>
                    </w:rPr>
                    <w:t>349121.16kgec</w:t>
                  </w:r>
                </w:p>
              </w:tc>
              <w:tc>
                <w:tcPr>
                  <w:tcW w:w="1264" w:type="pct"/>
                  <w:vMerge w:val="continue"/>
                  <w:tcBorders>
                    <w:tl2br w:val="nil"/>
                    <w:tr2bl w:val="nil"/>
                  </w:tcBorders>
                  <w:vAlign w:val="center"/>
                </w:tcPr>
                <w:p w14:paraId="2A7805DA">
                  <w:pPr>
                    <w:jc w:val="center"/>
                    <w:rPr>
                      <w:rFonts w:hint="default" w:ascii="Times New Roman" w:hAnsi="Times New Roman"/>
                      <w:color w:val="auto"/>
                      <w:sz w:val="18"/>
                      <w:szCs w:val="18"/>
                      <w:vertAlign w:val="baseline"/>
                      <w:lang w:val="en-US"/>
                    </w:rPr>
                  </w:pPr>
                </w:p>
              </w:tc>
            </w:tr>
            <w:tr w14:paraId="233FEF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74" w:type="pct"/>
                  <w:vMerge w:val="continue"/>
                  <w:tcBorders>
                    <w:tl2br w:val="nil"/>
                    <w:tr2bl w:val="nil"/>
                  </w:tcBorders>
                  <w:vAlign w:val="center"/>
                </w:tcPr>
                <w:p w14:paraId="2B9273B3">
                  <w:pPr>
                    <w:jc w:val="center"/>
                    <w:rPr>
                      <w:rFonts w:hint="default"/>
                      <w:color w:val="auto"/>
                      <w:sz w:val="18"/>
                      <w:szCs w:val="18"/>
                      <w:vertAlign w:val="baseline"/>
                      <w:lang w:val="en-US" w:eastAsia="zh-CN"/>
                    </w:rPr>
                  </w:pPr>
                </w:p>
              </w:tc>
              <w:tc>
                <w:tcPr>
                  <w:tcW w:w="397" w:type="pct"/>
                  <w:tcBorders>
                    <w:tl2br w:val="nil"/>
                    <w:tr2bl w:val="nil"/>
                  </w:tcBorders>
                  <w:vAlign w:val="center"/>
                </w:tcPr>
                <w:p w14:paraId="306D96E8">
                  <w:pPr>
                    <w:jc w:val="center"/>
                    <w:rPr>
                      <w:rFonts w:hint="default"/>
                      <w:color w:val="auto"/>
                      <w:sz w:val="18"/>
                      <w:szCs w:val="18"/>
                      <w:lang w:val="en-US" w:eastAsia="zh-CN"/>
                    </w:rPr>
                  </w:pPr>
                  <w:r>
                    <w:rPr>
                      <w:rFonts w:hint="eastAsia"/>
                      <w:color w:val="auto"/>
                      <w:sz w:val="18"/>
                      <w:szCs w:val="18"/>
                      <w:lang w:val="en-US" w:eastAsia="zh-CN"/>
                    </w:rPr>
                    <w:t>小计</w:t>
                  </w:r>
                </w:p>
              </w:tc>
              <w:tc>
                <w:tcPr>
                  <w:tcW w:w="634" w:type="pct"/>
                  <w:tcBorders>
                    <w:tl2br w:val="nil"/>
                    <w:tr2bl w:val="nil"/>
                  </w:tcBorders>
                  <w:vAlign w:val="center"/>
                </w:tcPr>
                <w:p w14:paraId="5CA845B4">
                  <w:pPr>
                    <w:jc w:val="center"/>
                    <w:rPr>
                      <w:rFonts w:hint="default"/>
                      <w:color w:val="auto"/>
                      <w:sz w:val="18"/>
                      <w:szCs w:val="18"/>
                      <w:lang w:val="en-US" w:eastAsia="zh-CN"/>
                    </w:rPr>
                  </w:pPr>
                  <w:r>
                    <w:rPr>
                      <w:rFonts w:hint="eastAsia"/>
                      <w:color w:val="auto"/>
                      <w:sz w:val="18"/>
                      <w:szCs w:val="18"/>
                      <w:lang w:val="en-US" w:eastAsia="zh-CN"/>
                    </w:rPr>
                    <w:t>//</w:t>
                  </w:r>
                </w:p>
              </w:tc>
              <w:tc>
                <w:tcPr>
                  <w:tcW w:w="904" w:type="pct"/>
                  <w:tcBorders>
                    <w:tl2br w:val="nil"/>
                    <w:tr2bl w:val="nil"/>
                  </w:tcBorders>
                  <w:vAlign w:val="center"/>
                </w:tcPr>
                <w:p w14:paraId="34451749">
                  <w:pPr>
                    <w:jc w:val="center"/>
                    <w:rPr>
                      <w:rFonts w:hint="default" w:eastAsia="宋体"/>
                      <w:color w:val="auto"/>
                      <w:sz w:val="18"/>
                      <w:szCs w:val="18"/>
                      <w:lang w:val="en-US" w:eastAsia="zh-CN"/>
                    </w:rPr>
                  </w:pPr>
                  <w:r>
                    <w:rPr>
                      <w:rFonts w:hint="eastAsia"/>
                      <w:color w:val="auto"/>
                      <w:sz w:val="18"/>
                      <w:szCs w:val="18"/>
                      <w:lang w:val="en-US" w:eastAsia="zh-CN"/>
                    </w:rPr>
                    <w:t>//</w:t>
                  </w:r>
                </w:p>
              </w:tc>
              <w:tc>
                <w:tcPr>
                  <w:tcW w:w="824" w:type="pct"/>
                  <w:tcBorders>
                    <w:tl2br w:val="nil"/>
                    <w:tr2bl w:val="nil"/>
                  </w:tcBorders>
                  <w:vAlign w:val="center"/>
                </w:tcPr>
                <w:p w14:paraId="53E96B6E">
                  <w:pPr>
                    <w:jc w:val="center"/>
                    <w:rPr>
                      <w:rFonts w:hint="default" w:eastAsia="宋体"/>
                      <w:color w:val="auto"/>
                      <w:sz w:val="18"/>
                      <w:szCs w:val="18"/>
                      <w:lang w:val="en-US" w:eastAsia="zh-CN"/>
                    </w:rPr>
                  </w:pPr>
                  <w:r>
                    <w:rPr>
                      <w:rFonts w:hint="eastAsia"/>
                      <w:color w:val="auto"/>
                      <w:sz w:val="18"/>
                      <w:szCs w:val="18"/>
                      <w:lang w:val="en-US" w:eastAsia="zh-CN"/>
                    </w:rPr>
                    <w:t>352212.94kgec</w:t>
                  </w:r>
                </w:p>
              </w:tc>
              <w:tc>
                <w:tcPr>
                  <w:tcW w:w="1264" w:type="pct"/>
                  <w:vMerge w:val="continue"/>
                  <w:tcBorders>
                    <w:tl2br w:val="nil"/>
                    <w:tr2bl w:val="nil"/>
                  </w:tcBorders>
                  <w:vAlign w:val="center"/>
                </w:tcPr>
                <w:p w14:paraId="1D57DBEF">
                  <w:pPr>
                    <w:jc w:val="center"/>
                    <w:rPr>
                      <w:rFonts w:hint="default" w:ascii="Times New Roman" w:hAnsi="Times New Roman"/>
                      <w:color w:val="auto"/>
                      <w:sz w:val="18"/>
                      <w:szCs w:val="18"/>
                      <w:vertAlign w:val="baseline"/>
                      <w:lang w:val="en-US"/>
                    </w:rPr>
                  </w:pPr>
                </w:p>
              </w:tc>
            </w:tr>
          </w:tbl>
          <w:p w14:paraId="59A97260">
            <w:pPr>
              <w:snapToGrid w:val="0"/>
              <w:spacing w:line="360" w:lineRule="auto"/>
              <w:ind w:firstLine="420" w:firstLineChars="200"/>
              <w:rPr>
                <w:rFonts w:hint="default"/>
                <w:bCs/>
                <w:color w:val="auto"/>
                <w:szCs w:val="21"/>
                <w:lang w:val="en-US" w:eastAsia="zh-CN"/>
              </w:rPr>
            </w:pPr>
            <w:r>
              <w:rPr>
                <w:rFonts w:hint="eastAsia"/>
                <w:bCs/>
                <w:color w:val="auto"/>
                <w:szCs w:val="21"/>
                <w:lang w:val="en-US" w:eastAsia="zh-CN"/>
              </w:rPr>
              <w:t>综上可知，本项目沥青混凝土单位产品综合能耗为11.74kgec/t，参考《沥青混合料单位产品能源消耗限额》（DB11/T 1149-2022），本项目沥青混凝土单位产品综合能耗满足DB11/T 1149-2022表2中新建、改建沥青混合料生产企业单位产品综合能耗准入值规定的限定要求（≤11.9kgec/t）。</w:t>
            </w:r>
          </w:p>
        </w:tc>
      </w:tr>
      <w:tr w14:paraId="0627B9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71" w:hRule="atLeast"/>
          <w:jc w:val="center"/>
        </w:trPr>
        <w:tc>
          <w:tcPr>
            <w:tcW w:w="726" w:type="dxa"/>
            <w:vAlign w:val="center"/>
          </w:tcPr>
          <w:p w14:paraId="54F5A802">
            <w:pPr>
              <w:pStyle w:val="41"/>
              <w:adjustRightInd w:val="0"/>
              <w:snapToGrid w:val="0"/>
              <w:spacing w:before="0" w:beforeAutospacing="0" w:after="0" w:afterAutospacing="0"/>
              <w:jc w:val="center"/>
              <w:rPr>
                <w:rFonts w:ascii="Times New Roman" w:hAnsi="Times New Roman"/>
                <w:color w:val="auto"/>
                <w:sz w:val="21"/>
                <w:szCs w:val="21"/>
              </w:rPr>
            </w:pPr>
            <w:r>
              <w:rPr>
                <w:rFonts w:ascii="Times New Roman" w:hAnsi="Times New Roman"/>
                <w:color w:val="auto"/>
                <w:sz w:val="21"/>
                <w:szCs w:val="21"/>
              </w:rPr>
              <w:t>工艺流程和产排污环节</w:t>
            </w:r>
          </w:p>
        </w:tc>
        <w:tc>
          <w:tcPr>
            <w:tcW w:w="8264" w:type="dxa"/>
          </w:tcPr>
          <w:p w14:paraId="43EDDBDC">
            <w:pPr>
              <w:snapToGrid w:val="0"/>
              <w:spacing w:line="360" w:lineRule="auto"/>
              <w:ind w:firstLine="422" w:firstLineChars="200"/>
              <w:rPr>
                <w:rFonts w:hint="default"/>
                <w:b/>
                <w:bCs w:val="0"/>
                <w:color w:val="auto"/>
                <w:szCs w:val="21"/>
                <w:lang w:val="en-US" w:eastAsia="zh-CN"/>
              </w:rPr>
            </w:pPr>
            <w:r>
              <w:rPr>
                <w:rFonts w:hint="eastAsia"/>
                <w:b/>
                <w:bCs w:val="0"/>
                <w:color w:val="auto"/>
                <w:szCs w:val="21"/>
                <w:lang w:val="en-US" w:eastAsia="zh-CN"/>
              </w:rPr>
              <w:t>2.8生产工艺流程和产排污环节</w:t>
            </w:r>
          </w:p>
          <w:p w14:paraId="7DCA3808">
            <w:pPr>
              <w:snapToGrid w:val="0"/>
              <w:spacing w:line="360" w:lineRule="auto"/>
              <w:ind w:firstLine="422" w:firstLineChars="200"/>
              <w:rPr>
                <w:bCs/>
                <w:color w:val="auto"/>
                <w:szCs w:val="21"/>
              </w:rPr>
            </w:pPr>
            <w:r>
              <w:rPr>
                <w:rFonts w:hint="eastAsia"/>
                <w:b/>
                <w:bCs w:val="0"/>
                <w:color w:val="auto"/>
                <w:szCs w:val="21"/>
                <w:lang w:val="en-US" w:eastAsia="zh-CN"/>
              </w:rPr>
              <w:t>2.8.1施工期</w:t>
            </w:r>
            <w:r>
              <w:rPr>
                <w:rFonts w:hint="eastAsia"/>
                <w:bCs/>
                <w:color w:val="auto"/>
                <w:szCs w:val="21"/>
                <w:lang w:val="en-US" w:eastAsia="zh-CN"/>
              </w:rPr>
              <w:t xml:space="preserve"> </w:t>
            </w:r>
          </w:p>
          <w:p w14:paraId="5152A6E4">
            <w:pPr>
              <w:snapToGrid w:val="0"/>
              <w:spacing w:line="360" w:lineRule="auto"/>
              <w:ind w:firstLine="420" w:firstLineChars="200"/>
              <w:rPr>
                <w:bCs/>
                <w:color w:val="auto"/>
                <w:szCs w:val="21"/>
              </w:rPr>
            </w:pPr>
            <w:r>
              <w:rPr>
                <w:rFonts w:hint="eastAsia"/>
                <w:bCs/>
                <w:color w:val="auto"/>
                <w:szCs w:val="21"/>
                <w:lang w:val="en-US" w:eastAsia="zh-CN"/>
              </w:rPr>
              <w:t xml:space="preserve">本项目施工期较短，工程量小。在项目施工期可能产生的环境问题主要是储运工程、环保工程以及其他配套设施的建设、施工机械噪声污染，施工期间废水、物料粉尘、装修废气及固体废物等排放造成的污染。 </w:t>
            </w:r>
          </w:p>
          <w:p w14:paraId="02486B28">
            <w:pPr>
              <w:snapToGrid w:val="0"/>
              <w:spacing w:line="360" w:lineRule="auto"/>
              <w:ind w:firstLine="420" w:firstLineChars="200"/>
              <w:rPr>
                <w:bCs/>
                <w:color w:val="auto"/>
                <w:szCs w:val="21"/>
              </w:rPr>
            </w:pPr>
            <w:r>
              <w:rPr>
                <w:rFonts w:hint="eastAsia"/>
                <w:bCs/>
                <w:color w:val="auto"/>
                <w:szCs w:val="21"/>
                <w:lang w:val="en-US" w:eastAsia="zh-CN"/>
              </w:rPr>
              <w:t xml:space="preserve">施工废气主要为施工扬尘、汽车尾气；机械噪声来源于机械设备噪声、汽车运输噪声等；废水来源于车辆冲洗、施工人员生活等；固体废物来源于废土方、建筑垃圾、施工人员生活垃圾等。 </w:t>
            </w:r>
          </w:p>
          <w:p w14:paraId="331576B9">
            <w:pPr>
              <w:snapToGrid w:val="0"/>
              <w:spacing w:line="360" w:lineRule="auto"/>
              <w:ind w:firstLine="422" w:firstLineChars="200"/>
              <w:rPr>
                <w:b/>
                <w:bCs w:val="0"/>
                <w:color w:val="auto"/>
                <w:szCs w:val="21"/>
              </w:rPr>
            </w:pPr>
            <w:r>
              <w:rPr>
                <w:rFonts w:hint="eastAsia"/>
                <w:b/>
                <w:bCs w:val="0"/>
                <w:color w:val="auto"/>
                <w:szCs w:val="21"/>
                <w:lang w:val="en-US" w:eastAsia="zh-CN"/>
              </w:rPr>
              <w:t xml:space="preserve">2.8.2营运期 </w:t>
            </w:r>
          </w:p>
          <w:p w14:paraId="7B18B64C">
            <w:pPr>
              <w:snapToGrid w:val="0"/>
              <w:spacing w:line="360" w:lineRule="auto"/>
              <w:ind w:firstLine="420" w:firstLineChars="200"/>
              <w:rPr>
                <w:rFonts w:hint="eastAsia"/>
                <w:bCs/>
                <w:color w:val="auto"/>
                <w:szCs w:val="21"/>
                <w:lang w:val="en-US" w:eastAsia="zh-CN"/>
              </w:rPr>
            </w:pPr>
            <w:r>
              <w:rPr>
                <w:rFonts w:hint="eastAsia"/>
                <w:bCs/>
                <w:color w:val="auto"/>
                <w:szCs w:val="21"/>
                <w:lang w:val="en-US" w:eastAsia="zh-CN"/>
              </w:rPr>
              <w:t>2.8.2.1沥青混凝土生产线</w:t>
            </w:r>
          </w:p>
          <w:p w14:paraId="332BD1D1">
            <w:pPr>
              <w:snapToGrid w:val="0"/>
              <w:spacing w:line="360" w:lineRule="auto"/>
              <w:ind w:firstLine="420" w:firstLineChars="200"/>
              <w:rPr>
                <w:rFonts w:hint="eastAsia" w:hAnsi="宋体"/>
                <w:bCs/>
                <w:szCs w:val="21"/>
              </w:rPr>
            </w:pPr>
            <w:r>
              <w:rPr>
                <w:rFonts w:hint="eastAsia" w:hAnsi="宋体"/>
                <w:bCs/>
                <w:szCs w:val="21"/>
              </w:rPr>
              <w:t>沥青混凝土主要由石油沥青和骨料（石料</w:t>
            </w:r>
            <w:r>
              <w:rPr>
                <w:rFonts w:hint="eastAsia" w:hAnsi="宋体"/>
                <w:bCs/>
                <w:szCs w:val="21"/>
                <w:lang w:eastAsia="zh-CN"/>
              </w:rPr>
              <w:t>、</w:t>
            </w:r>
            <w:r>
              <w:rPr>
                <w:rFonts w:hint="eastAsia" w:hAnsi="宋体"/>
                <w:bCs/>
                <w:szCs w:val="21"/>
                <w:lang w:val="en-US" w:eastAsia="zh-CN"/>
              </w:rPr>
              <w:t>机制砂</w:t>
            </w:r>
            <w:r>
              <w:rPr>
                <w:rFonts w:hint="eastAsia" w:hAnsi="宋体"/>
                <w:bCs/>
                <w:szCs w:val="21"/>
              </w:rPr>
              <w:t>）混合搅拌而成。其工艺流程可分为原辅材料运输及储存、原材料预处理、物料输送、搅拌、产品储存及运输等。</w:t>
            </w:r>
          </w:p>
          <w:p w14:paraId="2848B668">
            <w:pPr>
              <w:snapToGrid w:val="0"/>
              <w:spacing w:line="360" w:lineRule="auto"/>
              <w:ind w:firstLine="420" w:firstLineChars="200"/>
              <w:rPr>
                <w:rFonts w:hint="eastAsia" w:hAnsi="宋体"/>
                <w:bCs/>
                <w:szCs w:val="21"/>
              </w:rPr>
            </w:pPr>
            <w:r>
              <w:rPr>
                <w:rFonts w:hint="eastAsia" w:hAnsi="宋体"/>
                <w:bCs/>
                <w:szCs w:val="21"/>
              </w:rPr>
              <w:t>（1）原材料运输及储存</w:t>
            </w:r>
          </w:p>
          <w:p w14:paraId="5147859C">
            <w:pPr>
              <w:snapToGrid w:val="0"/>
              <w:spacing w:line="360" w:lineRule="auto"/>
              <w:ind w:firstLine="420" w:firstLineChars="200"/>
              <w:rPr>
                <w:rFonts w:hint="eastAsia" w:hAnsi="宋体"/>
                <w:bCs/>
                <w:szCs w:val="21"/>
              </w:rPr>
            </w:pPr>
            <w:r>
              <w:rPr>
                <w:rFonts w:hint="eastAsia" w:hAnsi="宋体"/>
                <w:bCs/>
                <w:szCs w:val="21"/>
              </w:rPr>
              <w:t>项目主要原材料包括骨料（</w:t>
            </w:r>
            <w:r>
              <w:rPr>
                <w:rFonts w:hint="eastAsia" w:hAnsi="宋体"/>
                <w:bCs/>
                <w:szCs w:val="21"/>
                <w:lang w:val="en-US" w:eastAsia="zh-CN"/>
              </w:rPr>
              <w:t>石料</w:t>
            </w:r>
            <w:r>
              <w:rPr>
                <w:rFonts w:hint="eastAsia" w:hAnsi="宋体"/>
                <w:bCs/>
                <w:szCs w:val="21"/>
              </w:rPr>
              <w:t>、</w:t>
            </w:r>
            <w:r>
              <w:rPr>
                <w:rFonts w:hint="eastAsia" w:hAnsi="宋体"/>
                <w:bCs/>
                <w:szCs w:val="21"/>
                <w:lang w:val="en-US" w:eastAsia="zh-CN"/>
              </w:rPr>
              <w:t>机制砂</w:t>
            </w:r>
            <w:r>
              <w:rPr>
                <w:rFonts w:hint="eastAsia" w:hAnsi="宋体"/>
                <w:bCs/>
                <w:szCs w:val="21"/>
              </w:rPr>
              <w:t>）、沥青、矿粉，</w:t>
            </w:r>
            <w:r>
              <w:rPr>
                <w:rFonts w:hint="eastAsia" w:hAnsi="宋体"/>
                <w:bCs/>
                <w:szCs w:val="21"/>
                <w:lang w:val="en-US" w:eastAsia="zh-CN"/>
              </w:rPr>
              <w:t>外均</w:t>
            </w:r>
            <w:r>
              <w:rPr>
                <w:rFonts w:hint="eastAsia" w:hAnsi="宋体"/>
                <w:bCs/>
                <w:szCs w:val="21"/>
              </w:rPr>
              <w:t>外购，由供货方采用汽运入厂，矿粉采用密闭式罐车运输，沥青由专用运输车辆运输，以减少运输扬尘。设</w:t>
            </w:r>
            <w:r>
              <w:rPr>
                <w:rFonts w:hint="eastAsia" w:hAnsi="宋体"/>
                <w:bCs/>
                <w:szCs w:val="21"/>
                <w:lang w:val="en-US" w:eastAsia="zh-CN"/>
              </w:rPr>
              <w:t>2</w:t>
            </w:r>
            <w:r>
              <w:rPr>
                <w:rFonts w:hint="eastAsia" w:hAnsi="宋体"/>
                <w:bCs/>
                <w:szCs w:val="21"/>
              </w:rPr>
              <w:t>座</w:t>
            </w:r>
            <w:r>
              <w:rPr>
                <w:rFonts w:hint="eastAsia" w:hAnsi="宋体"/>
                <w:bCs/>
                <w:szCs w:val="21"/>
                <w:lang w:val="en-US" w:eastAsia="zh-CN"/>
              </w:rPr>
              <w:t>10</w:t>
            </w:r>
            <w:r>
              <w:rPr>
                <w:rFonts w:hint="eastAsia" w:hAnsi="宋体"/>
                <w:bCs/>
                <w:szCs w:val="21"/>
              </w:rPr>
              <w:t>0</w:t>
            </w:r>
            <w:r>
              <w:rPr>
                <w:rFonts w:hint="eastAsia" w:hAnsi="宋体"/>
                <w:bCs/>
                <w:szCs w:val="21"/>
                <w:lang w:val="en-US" w:eastAsia="zh-CN"/>
              </w:rPr>
              <w:t>m</w:t>
            </w:r>
            <w:r>
              <w:rPr>
                <w:rFonts w:hint="eastAsia" w:hAnsi="宋体"/>
                <w:bCs/>
                <w:szCs w:val="21"/>
                <w:vertAlign w:val="superscript"/>
                <w:lang w:val="en-US" w:eastAsia="zh-CN"/>
              </w:rPr>
              <w:t>3</w:t>
            </w:r>
            <w:r>
              <w:rPr>
                <w:rFonts w:hint="eastAsia" w:hAnsi="宋体"/>
                <w:bCs/>
                <w:szCs w:val="21"/>
              </w:rPr>
              <w:t>矿粉筒仓，矿粉由罐车自备的气力输送机输送入筒仓内储存；沥青经车辆自带的沥青泵经密闭管道泵入沥青储罐储存</w:t>
            </w:r>
            <w:r>
              <w:rPr>
                <w:rFonts w:hint="eastAsia" w:hAnsi="宋体"/>
                <w:bCs/>
                <w:szCs w:val="21"/>
                <w:lang w:eastAsia="zh-CN"/>
              </w:rPr>
              <w:t>，</w:t>
            </w:r>
            <w:r>
              <w:rPr>
                <w:rFonts w:hint="eastAsia" w:hAnsi="宋体"/>
                <w:bCs/>
                <w:szCs w:val="21"/>
                <w:lang w:val="en-US" w:eastAsia="zh-CN"/>
              </w:rPr>
              <w:t>共设置3座50t的沥青加热储罐</w:t>
            </w:r>
            <w:r>
              <w:rPr>
                <w:rFonts w:hint="eastAsia" w:hAnsi="宋体"/>
                <w:bCs/>
                <w:szCs w:val="21"/>
              </w:rPr>
              <w:t>。</w:t>
            </w:r>
          </w:p>
          <w:p w14:paraId="62EA5C2F">
            <w:pPr>
              <w:snapToGrid w:val="0"/>
              <w:spacing w:line="360" w:lineRule="auto"/>
              <w:ind w:firstLine="420" w:firstLineChars="200"/>
              <w:rPr>
                <w:rFonts w:hint="eastAsia" w:hAnsi="宋体"/>
                <w:bCs/>
                <w:szCs w:val="21"/>
              </w:rPr>
            </w:pPr>
            <w:r>
              <w:rPr>
                <w:rFonts w:hint="eastAsia" w:hAnsi="宋体"/>
                <w:bCs/>
                <w:szCs w:val="21"/>
              </w:rPr>
              <w:t>（2）原材料预处理</w:t>
            </w:r>
          </w:p>
          <w:p w14:paraId="14C54005">
            <w:pPr>
              <w:snapToGrid w:val="0"/>
              <w:spacing w:line="360" w:lineRule="auto"/>
              <w:ind w:firstLine="420" w:firstLineChars="200"/>
              <w:rPr>
                <w:rFonts w:hint="eastAsia" w:hAnsi="宋体"/>
                <w:bCs/>
                <w:szCs w:val="21"/>
              </w:rPr>
            </w:pPr>
            <w:r>
              <w:rPr>
                <w:rFonts w:hint="eastAsia" w:hAnsi="宋体"/>
                <w:bCs/>
                <w:szCs w:val="21"/>
              </w:rPr>
              <w:t>①沥青预处理流程：沥青是石油化工厂热解石油气原料时得到的副产品，本项目沥青原料外购成品沥青，由罐车运入厂区，通过沥青泵和密闭管道将沥青输送到沥青罐，使用导热油炉将沥青间接加热，使其加热至120~160℃，生产时按一定比例由沥青泵输入搅拌仓与骨料混合进行搅拌。</w:t>
            </w:r>
          </w:p>
          <w:p w14:paraId="7190C4EA">
            <w:pPr>
              <w:snapToGrid w:val="0"/>
              <w:spacing w:line="360" w:lineRule="auto"/>
              <w:ind w:firstLine="420" w:firstLineChars="200"/>
              <w:rPr>
                <w:rFonts w:hint="eastAsia" w:hAnsi="宋体"/>
                <w:bCs/>
                <w:szCs w:val="21"/>
              </w:rPr>
            </w:pPr>
            <w:r>
              <w:rPr>
                <w:rFonts w:hint="eastAsia" w:hAnsi="宋体"/>
                <w:bCs/>
                <w:szCs w:val="21"/>
              </w:rPr>
              <w:t>②骨料烘干预处理：满足产品规格需要的骨料（</w:t>
            </w:r>
            <w:r>
              <w:rPr>
                <w:rFonts w:hint="eastAsia" w:hAnsi="宋体"/>
                <w:bCs/>
                <w:szCs w:val="21"/>
                <w:lang w:val="en-US" w:eastAsia="zh-CN"/>
              </w:rPr>
              <w:t>石料、机制砂</w:t>
            </w:r>
            <w:r>
              <w:rPr>
                <w:rFonts w:hint="eastAsia" w:hAnsi="宋体"/>
                <w:bCs/>
                <w:szCs w:val="21"/>
              </w:rPr>
              <w:t>）从</w:t>
            </w:r>
            <w:r>
              <w:rPr>
                <w:rFonts w:hint="eastAsia" w:hAnsi="宋体"/>
                <w:bCs/>
                <w:szCs w:val="21"/>
                <w:lang w:val="en-US" w:eastAsia="zh-CN"/>
              </w:rPr>
              <w:t>供货厂区</w:t>
            </w:r>
            <w:r>
              <w:rPr>
                <w:rFonts w:hint="eastAsia" w:hAnsi="宋体"/>
                <w:bCs/>
                <w:szCs w:val="21"/>
              </w:rPr>
              <w:t>运送到</w:t>
            </w:r>
            <w:r>
              <w:rPr>
                <w:rFonts w:hint="eastAsia" w:hAnsi="宋体"/>
                <w:bCs/>
                <w:szCs w:val="21"/>
                <w:lang w:val="en-US" w:eastAsia="zh-CN"/>
              </w:rPr>
              <w:t>本项目储</w:t>
            </w:r>
            <w:r>
              <w:rPr>
                <w:rFonts w:hint="eastAsia" w:hAnsi="宋体"/>
                <w:bCs/>
                <w:szCs w:val="21"/>
              </w:rPr>
              <w:t>料库</w:t>
            </w:r>
            <w:r>
              <w:rPr>
                <w:rFonts w:hint="eastAsia" w:hAnsi="宋体"/>
                <w:bCs/>
                <w:szCs w:val="21"/>
                <w:lang w:val="en-US" w:eastAsia="zh-CN"/>
              </w:rPr>
              <w:t>内</w:t>
            </w:r>
            <w:r>
              <w:rPr>
                <w:rFonts w:hint="eastAsia" w:hAnsi="宋体"/>
                <w:bCs/>
                <w:szCs w:val="21"/>
                <w:lang w:eastAsia="zh-CN"/>
              </w:rPr>
              <w:t>。</w:t>
            </w:r>
            <w:r>
              <w:rPr>
                <w:rFonts w:hint="eastAsia" w:hAnsi="宋体"/>
                <w:bCs/>
                <w:szCs w:val="21"/>
              </w:rPr>
              <w:t>由装载机分别将一定比例的</w:t>
            </w:r>
            <w:r>
              <w:rPr>
                <w:rFonts w:hint="eastAsia" w:hAnsi="宋体"/>
                <w:bCs/>
                <w:szCs w:val="21"/>
                <w:lang w:val="en-US" w:eastAsia="zh-CN"/>
              </w:rPr>
              <w:t>石料和机制砂</w:t>
            </w:r>
            <w:r>
              <w:rPr>
                <w:rFonts w:hint="eastAsia" w:hAnsi="宋体"/>
                <w:bCs/>
                <w:szCs w:val="21"/>
              </w:rPr>
              <w:t>加入冷料仓。为使沥青混凝土混合料不至于因过快冷却造成运输上的不便，骨料在拌合前进行加热处理，冷料仓内的骨料通过封闭式皮带送入烘干滚筒内，滚筒采取逆料流加热方式，燃烧器火焰从滚筒出料口一端喷入，高温烟气逆料流方向穿过滚筒，热量由骨料吸收后，废气从排气筒排出。为了使冷骨料加热均匀，滚筒不停转动，滚筒内的提升叶片不断将骨料提起和抛下。</w:t>
            </w:r>
          </w:p>
          <w:p w14:paraId="018C4401">
            <w:pPr>
              <w:snapToGrid w:val="0"/>
              <w:spacing w:line="360" w:lineRule="auto"/>
              <w:ind w:firstLine="420" w:firstLineChars="200"/>
              <w:rPr>
                <w:rFonts w:hint="eastAsia" w:hAnsi="宋体"/>
                <w:bCs/>
                <w:szCs w:val="21"/>
              </w:rPr>
            </w:pPr>
            <w:r>
              <w:rPr>
                <w:rFonts w:hint="eastAsia" w:hAnsi="宋体"/>
                <w:bCs/>
                <w:szCs w:val="21"/>
              </w:rPr>
              <w:t>③骨料筛分处理：加热后的骨料由提升机送到粒度检控系统内进行振动筛分，符合粒径要求的骨料经计量后进入搅拌仓；少数粒径不合规格的骨料被分离后由专门出口排出，</w:t>
            </w:r>
            <w:r>
              <w:rPr>
                <w:rFonts w:hint="eastAsia" w:hAnsi="宋体"/>
                <w:bCs/>
                <w:szCs w:val="21"/>
                <w:lang w:val="en-US" w:eastAsia="zh-CN"/>
              </w:rPr>
              <w:t>混入石料产品外售</w:t>
            </w:r>
            <w:r>
              <w:rPr>
                <w:rFonts w:hint="eastAsia" w:hAnsi="宋体"/>
                <w:bCs/>
                <w:szCs w:val="21"/>
              </w:rPr>
              <w:t>。烘干滚筒、筛分均为密闭工作，烘干和筛选过程产生的粉尘由配套的布袋式除尘器处理后由排气筒排放。</w:t>
            </w:r>
          </w:p>
          <w:p w14:paraId="4586E304">
            <w:pPr>
              <w:snapToGrid w:val="0"/>
              <w:spacing w:line="360" w:lineRule="auto"/>
              <w:ind w:firstLine="420" w:firstLineChars="200"/>
              <w:rPr>
                <w:rFonts w:hint="eastAsia" w:hAnsi="宋体"/>
                <w:bCs/>
                <w:szCs w:val="21"/>
              </w:rPr>
            </w:pPr>
            <w:r>
              <w:rPr>
                <w:rFonts w:hint="eastAsia" w:hAnsi="宋体"/>
                <w:bCs/>
                <w:szCs w:val="21"/>
              </w:rPr>
              <w:t>（3）物料输送</w:t>
            </w:r>
          </w:p>
          <w:p w14:paraId="79B24362">
            <w:pPr>
              <w:snapToGrid w:val="0"/>
              <w:spacing w:line="360" w:lineRule="auto"/>
              <w:ind w:firstLine="420" w:firstLineChars="200"/>
              <w:rPr>
                <w:rFonts w:hint="eastAsia" w:hAnsi="宋体"/>
                <w:bCs/>
                <w:szCs w:val="21"/>
              </w:rPr>
            </w:pPr>
            <w:r>
              <w:rPr>
                <w:rFonts w:hint="eastAsia" w:hAnsi="宋体"/>
                <w:bCs/>
                <w:szCs w:val="21"/>
              </w:rPr>
              <w:t>经预处理后的热骨料、沥青经计量后输送至密闭式搅拌仓内，矿粉经计量后由螺旋输送器通过管道输送至搅拌仓内。</w:t>
            </w:r>
          </w:p>
          <w:p w14:paraId="334BDCF8">
            <w:pPr>
              <w:snapToGrid w:val="0"/>
              <w:spacing w:line="360" w:lineRule="auto"/>
              <w:ind w:firstLine="420" w:firstLineChars="200"/>
              <w:rPr>
                <w:rFonts w:hint="eastAsia" w:hAnsi="宋体"/>
                <w:bCs/>
                <w:szCs w:val="21"/>
              </w:rPr>
            </w:pPr>
            <w:r>
              <w:rPr>
                <w:rFonts w:hint="eastAsia" w:hAnsi="宋体"/>
                <w:bCs/>
                <w:szCs w:val="21"/>
              </w:rPr>
              <w:t>（4）搅拌及成品运输</w:t>
            </w:r>
          </w:p>
          <w:p w14:paraId="61EB6DAF">
            <w:pPr>
              <w:snapToGrid w:val="0"/>
              <w:spacing w:line="360" w:lineRule="auto"/>
              <w:ind w:firstLine="420" w:firstLineChars="200"/>
              <w:rPr>
                <w:rFonts w:hint="eastAsia"/>
                <w:bCs/>
                <w:color w:val="auto"/>
                <w:szCs w:val="21"/>
                <w:lang w:val="en-US" w:eastAsia="zh-CN"/>
              </w:rPr>
            </w:pPr>
            <w:r>
              <w:rPr>
                <w:rFonts w:hint="eastAsia" w:hAnsi="宋体"/>
                <w:bCs/>
                <w:szCs w:val="21"/>
              </w:rPr>
              <w:t>采用密闭搅拌仓，骨料、矿粉、沥青等充分搅拌后生产出沥青混凝土，由搅拌仓出料口</w:t>
            </w:r>
            <w:r>
              <w:rPr>
                <w:rFonts w:hint="eastAsia" w:hAnsi="宋体"/>
                <w:bCs/>
                <w:szCs w:val="21"/>
                <w:lang w:val="en-US" w:eastAsia="zh-CN"/>
              </w:rPr>
              <w:t>直接</w:t>
            </w:r>
            <w:r>
              <w:rPr>
                <w:rFonts w:hint="eastAsia" w:hAnsi="宋体"/>
                <w:bCs/>
                <w:szCs w:val="21"/>
              </w:rPr>
              <w:t>装入运输车辆外运，生产出料过程为间断式。</w:t>
            </w:r>
          </w:p>
          <w:p w14:paraId="5A23B16C">
            <w:pPr>
              <w:snapToGrid w:val="0"/>
              <w:spacing w:line="360" w:lineRule="auto"/>
              <w:ind w:firstLine="420" w:firstLineChars="200"/>
              <w:rPr>
                <w:rFonts w:hint="eastAsia"/>
                <w:bCs/>
                <w:color w:val="auto"/>
                <w:szCs w:val="21"/>
                <w:lang w:val="en-US" w:eastAsia="zh-CN"/>
              </w:rPr>
            </w:pPr>
            <w:r>
              <w:rPr>
                <w:rFonts w:hint="eastAsia"/>
                <w:bCs/>
                <w:color w:val="auto"/>
                <w:szCs w:val="21"/>
                <w:lang w:val="en-US" w:eastAsia="zh-CN"/>
              </w:rPr>
              <w:t>2.8.2.2混凝土生产线</w:t>
            </w:r>
          </w:p>
          <w:p w14:paraId="6A75B5AF">
            <w:pPr>
              <w:snapToGrid w:val="0"/>
              <w:spacing w:line="360" w:lineRule="auto"/>
              <w:ind w:firstLine="420" w:firstLineChars="200"/>
              <w:rPr>
                <w:rFonts w:hint="eastAsia"/>
                <w:bCs/>
                <w:color w:val="auto"/>
                <w:szCs w:val="21"/>
                <w:lang w:val="en-US" w:eastAsia="zh-CN"/>
              </w:rPr>
            </w:pPr>
            <w:r>
              <w:rPr>
                <w:rFonts w:hint="eastAsia"/>
                <w:bCs/>
                <w:color w:val="auto"/>
                <w:szCs w:val="21"/>
                <w:lang w:val="en-US" w:eastAsia="zh-CN"/>
              </w:rPr>
              <w:t>①原辅料储存：本项目生产所需要的原料有水泥、粉煤灰、石子、矿粉、水、外加剂等。其中水泥、粉煤灰、矿粉等粉状原料采用专用的罐装车运输到厂区后，由其自带的输送泵输送至相应原料筒仓内储存，输送过程中产生的粉尘经仓顶除尘器处理后达标排放；外加剂为水剂，由运输车辆运至厂区的外加剂贮罐中储存；砂子和石子均是供货单位经过供货单位水洗后、含土量极低的合格原料。原料进厂后，按照原料布置分区装卸。砂石棚内设有洒水装置，以降低装卸及转载过程中的扬尘。该工序产尘环节为砂石装卸及堆放扬尘、粉料进料时仓顶呼吸孔产生的粉尘。</w:t>
            </w:r>
          </w:p>
          <w:p w14:paraId="436AF109">
            <w:pPr>
              <w:snapToGrid w:val="0"/>
              <w:spacing w:line="360" w:lineRule="auto"/>
              <w:ind w:firstLine="420" w:firstLineChars="200"/>
              <w:rPr>
                <w:rFonts w:hint="eastAsia"/>
                <w:bCs/>
                <w:color w:val="auto"/>
                <w:szCs w:val="21"/>
                <w:lang w:val="en-US" w:eastAsia="zh-CN"/>
              </w:rPr>
            </w:pPr>
            <w:r>
              <w:rPr>
                <w:rFonts w:hint="eastAsia"/>
                <w:bCs/>
                <w:color w:val="auto"/>
                <w:szCs w:val="21"/>
                <w:lang w:val="en-US" w:eastAsia="zh-CN"/>
              </w:rPr>
              <w:t>②加料：分区堆存的原料由装载机铲入砂石投料口，投料口为地下坑式设置，砂、投料口下部设有计量设施，经计量后的砂石通过密闭皮带输送至搅拌机投料口。水泥、粉煤灰等粉状原料则通过螺旋输送机密闭上料至搅拌机内。搅拌用水及外加剂采用压力供水及水泵上料。该工序主要砂石投料转载、皮带输送、投料产生的粉尘。整个过程均采用计算机监控，全程自动化操作。</w:t>
            </w:r>
          </w:p>
          <w:p w14:paraId="2308A669">
            <w:pPr>
              <w:snapToGrid w:val="0"/>
              <w:spacing w:line="360" w:lineRule="auto"/>
              <w:ind w:firstLine="420" w:firstLineChars="200"/>
              <w:rPr>
                <w:rFonts w:hint="eastAsia"/>
                <w:bCs/>
                <w:color w:val="auto"/>
                <w:szCs w:val="21"/>
                <w:lang w:val="en-US" w:eastAsia="zh-CN"/>
              </w:rPr>
            </w:pPr>
            <w:r>
              <w:rPr>
                <w:rFonts w:hint="eastAsia"/>
                <w:bCs/>
                <w:color w:val="auto"/>
                <w:szCs w:val="21"/>
                <w:lang w:val="en-US" w:eastAsia="zh-CN"/>
              </w:rPr>
              <w:t>③搅拌：各种原料经计量之后进入搅拌机进行强制搅拌。经现场踏勘，搅拌机投料口设置有挡帘，以降低砂石投料转载产生的粉尘，投料口上方设置有集尘罩，投料、搅拌工序产生的粉尘由集尘罩收集后由相应布袋收尘器处理，经处理后达标排放。搅拌过程采用电脑控制，从而保证混凝土的品质。</w:t>
            </w:r>
          </w:p>
          <w:p w14:paraId="134F279C">
            <w:pPr>
              <w:snapToGrid w:val="0"/>
              <w:spacing w:line="360" w:lineRule="auto"/>
              <w:ind w:firstLine="420" w:firstLineChars="200"/>
              <w:rPr>
                <w:rFonts w:hint="eastAsia"/>
                <w:bCs/>
                <w:color w:val="auto"/>
                <w:szCs w:val="21"/>
                <w:lang w:val="en-US" w:eastAsia="zh-CN"/>
              </w:rPr>
            </w:pPr>
            <w:r>
              <w:rPr>
                <w:rFonts w:hint="eastAsia"/>
                <w:bCs/>
                <w:color w:val="auto"/>
                <w:szCs w:val="21"/>
                <w:lang w:val="en-US" w:eastAsia="zh-CN"/>
              </w:rPr>
              <w:t>搅拌机工作原理：在搅拌机内相互反转的两根搅拌轴的搅拌下，受到浆片周向、径向、轴向力的作用，使物料一边相互产生挤压、磨擦、剪切、对流从而进行剧烈的拌合，一边向出料口推移，当物料到达机内的出料口时，各种物料已相互得到均匀地拌合，并具有压实所需要的含水量。</w:t>
            </w:r>
          </w:p>
          <w:p w14:paraId="5FC5390B">
            <w:pPr>
              <w:snapToGrid w:val="0"/>
              <w:spacing w:line="360" w:lineRule="auto"/>
              <w:ind w:firstLine="420" w:firstLineChars="200"/>
              <w:rPr>
                <w:rFonts w:hint="eastAsia"/>
                <w:bCs/>
                <w:color w:val="auto"/>
                <w:szCs w:val="21"/>
                <w:lang w:val="en-US" w:eastAsia="zh-CN"/>
              </w:rPr>
            </w:pPr>
            <w:r>
              <w:rPr>
                <w:rFonts w:hint="eastAsia"/>
                <w:bCs/>
                <w:color w:val="auto"/>
                <w:szCs w:val="21"/>
                <w:lang w:val="en-US" w:eastAsia="zh-CN"/>
              </w:rPr>
              <w:t>为保证搅拌机处于良好的搅拌状态，根据相应的技术规程，当搅拌机停机后进行清洗。清洗废水其废水排入沉淀池处理后循环使用，不外排。</w:t>
            </w:r>
          </w:p>
          <w:p w14:paraId="0F1BEB78">
            <w:pPr>
              <w:snapToGrid w:val="0"/>
              <w:spacing w:line="360" w:lineRule="auto"/>
              <w:ind w:firstLine="420" w:firstLineChars="200"/>
              <w:rPr>
                <w:rFonts w:hint="eastAsia"/>
                <w:bCs/>
                <w:color w:val="auto"/>
                <w:szCs w:val="21"/>
                <w:lang w:val="en-US" w:eastAsia="zh-CN"/>
              </w:rPr>
            </w:pPr>
            <w:r>
              <w:rPr>
                <w:rFonts w:hint="eastAsia"/>
                <w:bCs/>
                <w:color w:val="auto"/>
                <w:szCs w:val="21"/>
                <w:lang w:val="en-US" w:eastAsia="zh-CN"/>
              </w:rPr>
              <w:t>④成品：产出的混凝土成品及水泥稳定土成品由运输车直接装运，送往施工工地。</w:t>
            </w:r>
          </w:p>
          <w:p w14:paraId="23A7B450">
            <w:pPr>
              <w:snapToGrid w:val="0"/>
              <w:spacing w:line="360" w:lineRule="auto"/>
              <w:ind w:firstLine="420" w:firstLineChars="200"/>
              <w:rPr>
                <w:rFonts w:hint="default"/>
                <w:bCs/>
                <w:color w:val="auto"/>
                <w:szCs w:val="21"/>
                <w:lang w:val="en-US" w:eastAsia="zh-CN"/>
              </w:rPr>
            </w:pPr>
            <w:r>
              <w:rPr>
                <w:rFonts w:hint="eastAsia"/>
                <w:bCs/>
                <w:color w:val="auto"/>
                <w:szCs w:val="21"/>
                <w:lang w:val="en-US" w:eastAsia="zh-CN"/>
              </w:rPr>
              <w:t>2.8.2.3水稳土</w:t>
            </w:r>
          </w:p>
          <w:p w14:paraId="6549FA3F">
            <w:pPr>
              <w:snapToGrid w:val="0"/>
              <w:spacing w:line="360" w:lineRule="auto"/>
              <w:ind w:firstLine="420" w:firstLineChars="200"/>
              <w:rPr>
                <w:rFonts w:hint="eastAsia"/>
                <w:bCs/>
                <w:color w:val="auto"/>
                <w:szCs w:val="21"/>
                <w:lang w:val="en-US" w:eastAsia="zh-CN"/>
              </w:rPr>
            </w:pPr>
            <w:r>
              <w:rPr>
                <w:rFonts w:hint="eastAsia"/>
                <w:bCs/>
                <w:color w:val="auto"/>
                <w:szCs w:val="21"/>
                <w:lang w:val="en-US" w:eastAsia="zh-CN"/>
              </w:rPr>
              <w:t>利用外购的机制砂、本工程生产的石料以及外购水泥等，经封闭式皮带输送机送至水稳土搅拌机组。其中水泥料由专业水泥罐车输送至厂区，卸入1座水泥筒仓，经称量后由螺旋输送机送至水稳土搅拌机；设置配套料仓，储存砂石料，称量后由封闭式皮带输送机送至水稳土搅拌机。成品水稳土不做储存，直接卸入罐车或泵车后，运至施工工地。</w:t>
            </w:r>
          </w:p>
          <w:p w14:paraId="43F7EFA2">
            <w:pPr>
              <w:snapToGrid w:val="0"/>
              <w:spacing w:line="360" w:lineRule="auto"/>
              <w:ind w:firstLine="420" w:firstLineChars="200"/>
              <w:rPr>
                <w:bCs/>
                <w:color w:val="auto"/>
                <w:szCs w:val="21"/>
              </w:rPr>
            </w:pPr>
            <w:r>
              <w:rPr>
                <w:rFonts w:hint="eastAsia"/>
                <w:bCs/>
                <w:color w:val="auto"/>
                <w:szCs w:val="21"/>
                <w:lang w:val="en-US" w:eastAsia="zh-CN"/>
              </w:rPr>
              <w:t xml:space="preserve">运营过程中涉及到废水、废气、噪声、固废等污染物产生。 </w:t>
            </w:r>
          </w:p>
          <w:p w14:paraId="53ADB4FC">
            <w:pPr>
              <w:snapToGrid w:val="0"/>
              <w:spacing w:line="360" w:lineRule="auto"/>
              <w:ind w:firstLine="420" w:firstLineChars="200"/>
              <w:rPr>
                <w:bCs/>
                <w:color w:val="0000FF"/>
                <w:szCs w:val="21"/>
              </w:rPr>
            </w:pPr>
            <w:r>
              <w:rPr>
                <w:rFonts w:hint="eastAsia"/>
                <w:bCs/>
                <w:color w:val="auto"/>
                <w:szCs w:val="21"/>
                <w:lang w:val="en-US" w:eastAsia="zh-CN"/>
              </w:rPr>
              <w:t xml:space="preserve">废气：营运期主要大气污染因素包括原料堆存装卸扬尘、骨料烘干筛分及燃烧器混合废气、导热油炉烟气、沥青预处理及搅拌废气、混凝土搅拌废气、水稳土搅拌废气、粉料暂存粉尘、柴油储罐呼吸废气、物料输送转载扬尘、运输扬尘等； </w:t>
            </w:r>
          </w:p>
          <w:p w14:paraId="2204ED87">
            <w:pPr>
              <w:snapToGrid w:val="0"/>
              <w:spacing w:line="360" w:lineRule="auto"/>
              <w:ind w:firstLine="420" w:firstLineChars="200"/>
              <w:rPr>
                <w:rFonts w:hint="eastAsia"/>
                <w:bCs/>
                <w:color w:val="auto"/>
                <w:szCs w:val="21"/>
                <w:lang w:val="en-US" w:eastAsia="zh-CN"/>
              </w:rPr>
            </w:pPr>
            <w:r>
              <w:rPr>
                <w:rFonts w:hint="eastAsia"/>
                <w:bCs/>
                <w:color w:val="auto"/>
                <w:szCs w:val="21"/>
                <w:lang w:val="en-US" w:eastAsia="zh-CN"/>
              </w:rPr>
              <w:t>废水：营运期产生的废水主要包括搅拌机组冲洗废水、搅拌机组场地冲洗废水、生活污水、洗车废水、初期雨水等；</w:t>
            </w:r>
          </w:p>
          <w:p w14:paraId="0C23668B">
            <w:pPr>
              <w:snapToGrid w:val="0"/>
              <w:spacing w:line="360" w:lineRule="auto"/>
              <w:ind w:firstLine="420" w:firstLineChars="200"/>
              <w:rPr>
                <w:rFonts w:hint="eastAsia"/>
                <w:bCs/>
                <w:color w:val="auto"/>
                <w:szCs w:val="21"/>
                <w:lang w:val="en-US" w:eastAsia="zh-CN"/>
              </w:rPr>
            </w:pPr>
            <w:r>
              <w:rPr>
                <w:rFonts w:hint="eastAsia"/>
                <w:bCs/>
                <w:color w:val="auto"/>
                <w:szCs w:val="21"/>
                <w:lang w:val="en-US" w:eastAsia="zh-CN"/>
              </w:rPr>
              <w:t xml:space="preserve">噪声：营运期噪声主要来源于生产运行设备等产生的设备噪声，车辆噪声等； </w:t>
            </w:r>
          </w:p>
          <w:p w14:paraId="2442C4EA">
            <w:pPr>
              <w:snapToGrid w:val="0"/>
              <w:spacing w:line="360" w:lineRule="auto"/>
              <w:ind w:firstLine="420" w:firstLineChars="200"/>
              <w:rPr>
                <w:rFonts w:hint="eastAsia"/>
                <w:bCs/>
                <w:color w:val="auto"/>
                <w:szCs w:val="21"/>
                <w:lang w:val="en-US" w:eastAsia="zh-CN"/>
              </w:rPr>
            </w:pPr>
            <w:r>
              <w:rPr>
                <w:rFonts w:hint="eastAsia"/>
                <w:bCs/>
                <w:color w:val="auto"/>
                <w:szCs w:val="21"/>
                <w:lang w:val="en-US" w:eastAsia="zh-CN"/>
              </w:rPr>
              <w:t>固废废物：营运期固体废物主要包括除尘灰、废石料、滴漏沥青及拌合残渣、废渣、沉渣、废滤袋、废矿物油、废油桶、废活性炭、废导热油、生活垃圾、废棉纱以及含油抹布等。</w:t>
            </w:r>
          </w:p>
          <w:p w14:paraId="500FE3BA">
            <w:pPr>
              <w:snapToGrid w:val="0"/>
              <w:spacing w:line="360" w:lineRule="auto"/>
              <w:ind w:firstLine="420" w:firstLineChars="200"/>
              <w:rPr>
                <w:rFonts w:hint="eastAsia"/>
                <w:bCs/>
                <w:color w:val="auto"/>
                <w:szCs w:val="21"/>
                <w:lang w:val="en-US" w:eastAsia="zh-CN"/>
              </w:rPr>
            </w:pPr>
          </w:p>
          <w:p w14:paraId="6A99B9A8">
            <w:pPr>
              <w:snapToGrid w:val="0"/>
              <w:spacing w:line="360" w:lineRule="auto"/>
              <w:ind w:firstLine="420" w:firstLineChars="200"/>
              <w:rPr>
                <w:rFonts w:hint="eastAsia"/>
                <w:bCs/>
                <w:color w:val="auto"/>
                <w:szCs w:val="21"/>
                <w:lang w:val="en-US" w:eastAsia="zh-CN"/>
              </w:rPr>
            </w:pPr>
          </w:p>
          <w:p w14:paraId="44912C59">
            <w:pPr>
              <w:snapToGrid w:val="0"/>
              <w:spacing w:line="360" w:lineRule="auto"/>
              <w:ind w:firstLine="420" w:firstLineChars="200"/>
              <w:rPr>
                <w:rFonts w:hint="eastAsia"/>
                <w:bCs/>
                <w:color w:val="auto"/>
                <w:szCs w:val="21"/>
                <w:lang w:val="en-US" w:eastAsia="zh-CN"/>
              </w:rPr>
            </w:pPr>
          </w:p>
          <w:p w14:paraId="37D4F0E6">
            <w:pPr>
              <w:snapToGrid w:val="0"/>
              <w:spacing w:line="360" w:lineRule="auto"/>
              <w:ind w:firstLine="420" w:firstLineChars="200"/>
              <w:rPr>
                <w:rFonts w:hint="eastAsia"/>
                <w:bCs/>
                <w:color w:val="auto"/>
                <w:szCs w:val="21"/>
                <w:lang w:val="en-US" w:eastAsia="zh-CN"/>
              </w:rPr>
            </w:pPr>
          </w:p>
          <w:p w14:paraId="39CFFAAA">
            <w:pPr>
              <w:snapToGrid w:val="0"/>
              <w:spacing w:line="360" w:lineRule="auto"/>
              <w:ind w:firstLine="420" w:firstLineChars="200"/>
              <w:rPr>
                <w:rFonts w:hint="eastAsia"/>
                <w:bCs/>
                <w:color w:val="auto"/>
                <w:szCs w:val="21"/>
                <w:lang w:val="en-US" w:eastAsia="zh-CN"/>
              </w:rPr>
            </w:pPr>
          </w:p>
          <w:p w14:paraId="0E9E8790">
            <w:pPr>
              <w:snapToGrid w:val="0"/>
              <w:spacing w:line="360" w:lineRule="auto"/>
              <w:ind w:firstLine="420" w:firstLineChars="200"/>
              <w:rPr>
                <w:rFonts w:hint="eastAsia"/>
                <w:bCs/>
                <w:color w:val="auto"/>
                <w:szCs w:val="21"/>
                <w:lang w:val="en-US" w:eastAsia="zh-CN"/>
              </w:rPr>
            </w:pPr>
          </w:p>
          <w:p w14:paraId="1663D9A8">
            <w:pPr>
              <w:snapToGrid w:val="0"/>
              <w:spacing w:line="360" w:lineRule="auto"/>
              <w:ind w:firstLine="420" w:firstLineChars="200"/>
              <w:rPr>
                <w:rFonts w:hint="eastAsia"/>
                <w:bCs/>
                <w:color w:val="auto"/>
                <w:szCs w:val="21"/>
                <w:lang w:val="en-US" w:eastAsia="zh-CN"/>
              </w:rPr>
            </w:pPr>
          </w:p>
          <w:p w14:paraId="24D57E78">
            <w:pPr>
              <w:snapToGrid w:val="0"/>
              <w:spacing w:line="360" w:lineRule="auto"/>
              <w:ind w:firstLine="420" w:firstLineChars="200"/>
              <w:rPr>
                <w:rFonts w:hint="eastAsia"/>
                <w:bCs/>
                <w:color w:val="auto"/>
                <w:szCs w:val="21"/>
                <w:lang w:val="en-US" w:eastAsia="zh-CN"/>
              </w:rPr>
            </w:pPr>
          </w:p>
          <w:p w14:paraId="026A7C42">
            <w:pPr>
              <w:snapToGrid w:val="0"/>
              <w:spacing w:line="360" w:lineRule="auto"/>
              <w:ind w:firstLine="420" w:firstLineChars="200"/>
              <w:rPr>
                <w:rFonts w:hint="eastAsia"/>
                <w:bCs/>
                <w:color w:val="auto"/>
                <w:szCs w:val="21"/>
                <w:lang w:val="en-US" w:eastAsia="zh-CN"/>
              </w:rPr>
            </w:pPr>
          </w:p>
          <w:p w14:paraId="4DD25FC3">
            <w:pPr>
              <w:snapToGrid w:val="0"/>
              <w:spacing w:line="360" w:lineRule="auto"/>
              <w:ind w:firstLine="420" w:firstLineChars="200"/>
              <w:rPr>
                <w:rFonts w:hint="eastAsia"/>
                <w:bCs/>
                <w:color w:val="auto"/>
                <w:szCs w:val="21"/>
                <w:lang w:val="en-US" w:eastAsia="zh-CN"/>
              </w:rPr>
            </w:pPr>
          </w:p>
          <w:p w14:paraId="30AF9928">
            <w:pPr>
              <w:snapToGrid w:val="0"/>
              <w:spacing w:line="360" w:lineRule="auto"/>
              <w:ind w:firstLine="420" w:firstLineChars="200"/>
              <w:rPr>
                <w:rFonts w:hint="eastAsia"/>
                <w:bCs/>
                <w:color w:val="auto"/>
                <w:szCs w:val="21"/>
                <w:lang w:val="en-US" w:eastAsia="zh-CN"/>
              </w:rPr>
            </w:pPr>
          </w:p>
          <w:p w14:paraId="48BEBD5E">
            <w:pPr>
              <w:snapToGrid w:val="0"/>
              <w:spacing w:line="360" w:lineRule="auto"/>
              <w:ind w:firstLine="420" w:firstLineChars="200"/>
              <w:rPr>
                <w:rFonts w:hint="eastAsia"/>
                <w:bCs/>
                <w:color w:val="auto"/>
                <w:szCs w:val="21"/>
                <w:lang w:val="en-US" w:eastAsia="zh-CN"/>
              </w:rPr>
            </w:pPr>
          </w:p>
          <w:p w14:paraId="5EAA5CC6">
            <w:pPr>
              <w:snapToGrid w:val="0"/>
              <w:spacing w:line="360" w:lineRule="auto"/>
              <w:ind w:firstLine="420" w:firstLineChars="200"/>
              <w:rPr>
                <w:rFonts w:hint="eastAsia"/>
                <w:bCs/>
                <w:color w:val="auto"/>
                <w:szCs w:val="21"/>
                <w:lang w:val="en-US" w:eastAsia="zh-CN"/>
              </w:rPr>
            </w:pPr>
          </w:p>
          <w:p w14:paraId="12726204">
            <w:pPr>
              <w:snapToGrid w:val="0"/>
              <w:spacing w:line="360" w:lineRule="auto"/>
              <w:ind w:firstLine="420" w:firstLineChars="200"/>
              <w:rPr>
                <w:rFonts w:hint="eastAsia"/>
                <w:bCs/>
                <w:color w:val="auto"/>
                <w:szCs w:val="21"/>
                <w:lang w:val="en-US" w:eastAsia="zh-CN"/>
              </w:rPr>
            </w:pPr>
            <w:r>
              <w:rPr>
                <w:sz w:val="21"/>
              </w:rPr>
              <w:pict>
                <v:group id="_x0000_s2057" o:spid="_x0000_s2057" o:spt="203" style="position:absolute;left:0pt;margin-left:8.15pt;margin-top:12.85pt;height:363.7pt;width:408.9pt;z-index:251709440;mso-width-relative:page;mso-height-relative:page;" coordorigin="2436,278666" coordsize="8178,7274">
                  <o:lock v:ext="edit" aspectratio="f"/>
                  <v:rect id="_x0000_s2936" o:spid="_x0000_s2936" o:spt="1" style="position:absolute;left:2851;top:280109;height:710;width:1205;" filled="f" stroked="t" coordsize="21600,21600">
                    <v:path/>
                    <v:fill on="f" focussize="0,0"/>
                    <v:stroke color="#000000" joinstyle="miter" dashstyle="1 1" endcap="square"/>
                    <v:imagedata o:title=""/>
                    <o:lock v:ext="edit" aspectratio="f"/>
                    <v:textbox>
                      <w:txbxContent>
                        <w:p w14:paraId="4B98FE87">
                          <w:pPr>
                            <w:jc w:val="center"/>
                            <w:rPr>
                              <w:rFonts w:hint="eastAsia"/>
                              <w:lang w:val="en-US" w:eastAsia="zh-CN"/>
                            </w:rPr>
                          </w:pPr>
                          <w:r>
                            <w:rPr>
                              <w:rFonts w:hint="eastAsia"/>
                              <w:lang w:val="en-US" w:eastAsia="zh-CN"/>
                            </w:rPr>
                            <w:t>储料库</w:t>
                          </w:r>
                        </w:p>
                        <w:p w14:paraId="3885DF6D">
                          <w:pPr>
                            <w:jc w:val="center"/>
                            <w:rPr>
                              <w:rFonts w:hint="default"/>
                              <w:lang w:val="en-US" w:eastAsia="zh-CN"/>
                            </w:rPr>
                          </w:pPr>
                          <w:r>
                            <w:rPr>
                              <w:rFonts w:hint="eastAsia"/>
                              <w:lang w:val="en-US" w:eastAsia="zh-CN"/>
                            </w:rPr>
                            <w:t>石料、砂</w:t>
                          </w:r>
                        </w:p>
                      </w:txbxContent>
                    </v:textbox>
                  </v:rect>
                  <v:rect id="_x0000_s2940" o:spid="_x0000_s2940" o:spt="1" style="position:absolute;left:4677;top:280404;height:451;width:1251;" fillcolor="#FFFFFF" filled="t" stroked="t" coordsize="21600,21600">
                    <v:path/>
                    <v:fill on="t" color2="#FFFFFF" focussize="0,0"/>
                    <v:stroke color="#000000" joinstyle="miter"/>
                    <v:imagedata o:title=""/>
                    <o:lock v:ext="edit" aspectratio="f"/>
                    <v:textbox>
                      <w:txbxContent>
                        <w:p w14:paraId="42896540">
                          <w:pPr>
                            <w:jc w:val="center"/>
                            <w:rPr>
                              <w:rFonts w:hint="default" w:eastAsia="宋体"/>
                              <w:lang w:val="en-US" w:eastAsia="zh-CN"/>
                            </w:rPr>
                          </w:pPr>
                          <w:r>
                            <w:rPr>
                              <w:rFonts w:hint="eastAsia"/>
                              <w:lang w:val="en-US" w:eastAsia="zh-CN"/>
                            </w:rPr>
                            <w:t>冷骨料仓</w:t>
                          </w:r>
                        </w:p>
                      </w:txbxContent>
                    </v:textbox>
                  </v:rect>
                  <v:line id="_x0000_s2941" o:spid="_x0000_s2941" o:spt="20" style="position:absolute;left:4091;top:280628;height:1;width:567;" filled="f" stroked="t" coordsize="21600,21600">
                    <v:path arrowok="t"/>
                    <v:fill on="f" focussize="0,0"/>
                    <v:stroke color="#000000" endarrow="open"/>
                    <v:imagedata o:title=""/>
                    <o:lock v:ext="edit" aspectratio="f"/>
                  </v:line>
                  <v:line id="_x0000_s2944" o:spid="_x0000_s2944" o:spt="20" style="position:absolute;left:5298;top:280032;flip:x y;height:383;width:11;" filled="f" stroked="t" coordsize="21600,21600">
                    <v:path arrowok="t"/>
                    <v:fill on="f" focussize="0,0"/>
                    <v:stroke color="#000000" dashstyle="dash" endarrow="open"/>
                    <v:imagedata o:title=""/>
                    <o:lock v:ext="edit" aspectratio="f"/>
                  </v:line>
                  <v:rect id="_x0000_s2946" o:spid="_x0000_s2946" o:spt="1" style="position:absolute;left:4444;top:279602;height:451;width:2016;" filled="f" stroked="f" coordsize="21600,21600">
                    <v:path/>
                    <v:fill on="f" focussize="0,0"/>
                    <v:stroke on="f"/>
                    <v:imagedata o:title=""/>
                    <o:lock v:ext="edit" aspectratio="f"/>
                    <v:textbox>
                      <w:txbxContent>
                        <w:p w14:paraId="5ABE554D">
                          <w:pPr>
                            <w:jc w:val="center"/>
                            <w:rPr>
                              <w:rFonts w:hint="default" w:eastAsia="宋体"/>
                              <w:lang w:val="en-US" w:eastAsia="zh-CN"/>
                            </w:rPr>
                          </w:pPr>
                          <w:r>
                            <w:rPr>
                              <w:rFonts w:hint="eastAsia"/>
                              <w:lang w:val="en-US" w:eastAsia="zh-CN"/>
                            </w:rPr>
                            <w:t>G颗粒物；N</w:t>
                          </w:r>
                        </w:p>
                      </w:txbxContent>
                    </v:textbox>
                  </v:rect>
                  <v:rect id="_x0000_s2950" o:spid="_x0000_s2950" o:spt="1" style="position:absolute;left:3937;top:280245;height:451;width:921;" filled="f" stroked="f" coordsize="21600,21600">
                    <v:path/>
                    <v:fill on="f" focussize="0,0"/>
                    <v:stroke on="f"/>
                    <v:imagedata o:title=""/>
                    <o:lock v:ext="edit" aspectratio="f"/>
                    <v:textbox>
                      <w:txbxContent>
                        <w:p w14:paraId="3B574745">
                          <w:pPr>
                            <w:jc w:val="center"/>
                            <w:rPr>
                              <w:rFonts w:hint="default" w:eastAsia="宋体"/>
                              <w:lang w:val="en-US" w:eastAsia="zh-CN"/>
                            </w:rPr>
                          </w:pPr>
                          <w:r>
                            <w:rPr>
                              <w:rFonts w:hint="eastAsia"/>
                              <w:lang w:val="en-US" w:eastAsia="zh-CN"/>
                            </w:rPr>
                            <w:t>装载机</w:t>
                          </w:r>
                        </w:p>
                      </w:txbxContent>
                    </v:textbox>
                  </v:rect>
                  <v:line id="_x0000_s2952" o:spid="_x0000_s2952" o:spt="20" style="position:absolute;left:5952;top:280639;height:1;width:850;" filled="f" stroked="t" coordsize="21600,21600">
                    <v:path arrowok="t"/>
                    <v:fill on="f" focussize="0,0"/>
                    <v:stroke color="#000000" endarrow="open"/>
                    <v:imagedata o:title=""/>
                    <o:lock v:ext="edit" aspectratio="f"/>
                  </v:line>
                  <v:rect id="_x0000_s2951" o:spid="_x0000_s2951" o:spt="1" style="position:absolute;left:5843;top:280302;height:834;width:1169;" filled="f" stroked="f" coordsize="21600,21600">
                    <v:path/>
                    <v:fill on="f" focussize="0,0"/>
                    <v:stroke on="f"/>
                    <v:imagedata o:title=""/>
                    <o:lock v:ext="edit" aspectratio="f"/>
                    <v:textbox>
                      <w:txbxContent>
                        <w:p w14:paraId="58C6A39C">
                          <w:pPr>
                            <w:jc w:val="center"/>
                            <w:rPr>
                              <w:rFonts w:hint="default" w:eastAsia="宋体"/>
                              <w:lang w:val="en-US" w:eastAsia="zh-CN"/>
                            </w:rPr>
                          </w:pPr>
                          <w:r>
                            <w:rPr>
                              <w:rFonts w:hint="eastAsia"/>
                              <w:lang w:val="en-US" w:eastAsia="zh-CN"/>
                            </w:rPr>
                            <w:t>封闭式皮带输送机</w:t>
                          </w:r>
                        </w:p>
                      </w:txbxContent>
                    </v:textbox>
                  </v:rect>
                  <v:rect id="_x0000_s2953" o:spid="_x0000_s2953" o:spt="1" style="position:absolute;left:6820;top:280415;height:451;width:1251;" fillcolor="#FFFFFF" filled="t" stroked="t" coordsize="21600,21600">
                    <v:path/>
                    <v:fill on="t" color2="#FFFFFF" focussize="0,0"/>
                    <v:stroke color="#000000" joinstyle="miter"/>
                    <v:imagedata o:title=""/>
                    <o:lock v:ext="edit" aspectratio="f"/>
                    <v:textbox>
                      <w:txbxContent>
                        <w:p w14:paraId="5D3F84AC">
                          <w:pPr>
                            <w:jc w:val="center"/>
                            <w:rPr>
                              <w:rFonts w:hint="default" w:eastAsia="宋体"/>
                              <w:lang w:val="en-US" w:eastAsia="zh-CN"/>
                            </w:rPr>
                          </w:pPr>
                          <w:r>
                            <w:rPr>
                              <w:rFonts w:hint="eastAsia"/>
                              <w:lang w:val="en-US" w:eastAsia="zh-CN"/>
                            </w:rPr>
                            <w:t>骨料烘干</w:t>
                          </w:r>
                        </w:p>
                      </w:txbxContent>
                    </v:textbox>
                  </v:rect>
                  <v:line id="_x0000_s2954" o:spid="_x0000_s2954" o:spt="20" style="position:absolute;left:7429;top:280876;height:554;width:6;" filled="f" stroked="t" coordsize="21600,21600">
                    <v:path arrowok="t"/>
                    <v:fill on="f" focussize="0,0"/>
                    <v:stroke color="#000000" endarrow="open"/>
                    <v:imagedata o:title=""/>
                    <o:lock v:ext="edit" aspectratio="f"/>
                  </v:line>
                  <v:line id="_x0000_s2955" o:spid="_x0000_s2955" o:spt="20" style="position:absolute;left:7429;top:279862;height:554;width:6;" filled="f" stroked="t" coordsize="21600,21600">
                    <v:path arrowok="t"/>
                    <v:fill on="f" focussize="0,0"/>
                    <v:stroke color="#000000" endarrow="open"/>
                    <v:imagedata o:title=""/>
                    <o:lock v:ext="edit" aspectratio="f"/>
                  </v:line>
                  <v:rect id="_x0000_s2956" o:spid="_x0000_s2956" o:spt="1" style="position:absolute;left:6832;top:279400;height:451;width:1251;" fillcolor="#FFFFFF" filled="t" stroked="t" coordsize="21600,21600">
                    <v:path/>
                    <v:fill on="t" color2="#FFFFFF" focussize="0,0"/>
                    <v:stroke color="#000000" joinstyle="miter"/>
                    <v:imagedata o:title=""/>
                    <o:lock v:ext="edit" aspectratio="f"/>
                    <v:textbox>
                      <w:txbxContent>
                        <w:p w14:paraId="687D5D1A">
                          <w:pPr>
                            <w:jc w:val="center"/>
                            <w:rPr>
                              <w:rFonts w:hint="default" w:eastAsia="宋体"/>
                              <w:lang w:val="en-US" w:eastAsia="zh-CN"/>
                            </w:rPr>
                          </w:pPr>
                          <w:r>
                            <w:rPr>
                              <w:rFonts w:hint="eastAsia"/>
                              <w:lang w:val="en-US" w:eastAsia="zh-CN"/>
                            </w:rPr>
                            <w:t>燃烧器</w:t>
                          </w:r>
                        </w:p>
                      </w:txbxContent>
                    </v:textbox>
                  </v:rect>
                  <v:line id="_x0000_s2957" o:spid="_x0000_s2957" o:spt="20" style="position:absolute;left:7435;top:279105;flip:x;height:295;width:5;" filled="f" stroked="t" coordsize="21600,21600">
                    <v:path arrowok="t"/>
                    <v:fill on="f" focussize="0,0"/>
                    <v:stroke color="#000000" endarrow="open"/>
                    <v:imagedata o:title=""/>
                    <o:lock v:ext="edit" aspectratio="f"/>
                  </v:line>
                  <v:rect id="_x0000_s2958" o:spid="_x0000_s2958" o:spt="1" style="position:absolute;left:6846;top:278666;height:451;width:1249;" filled="f" stroked="t" coordsize="21600,21600">
                    <v:path/>
                    <v:fill on="f" focussize="0,0"/>
                    <v:stroke color="#000000" joinstyle="miter"/>
                    <v:imagedata o:title=""/>
                    <o:lock v:ext="edit" aspectratio="f"/>
                    <v:textbox>
                      <w:txbxContent>
                        <w:p w14:paraId="3DF0C782">
                          <w:pPr>
                            <w:jc w:val="center"/>
                            <w:rPr>
                              <w:rFonts w:hint="default" w:eastAsia="宋体"/>
                              <w:lang w:val="en-US" w:eastAsia="zh-CN"/>
                            </w:rPr>
                          </w:pPr>
                          <w:r>
                            <w:rPr>
                              <w:rFonts w:hint="eastAsia"/>
                              <w:lang w:val="en-US" w:eastAsia="zh-CN"/>
                            </w:rPr>
                            <w:t>柴油储罐</w:t>
                          </w:r>
                        </w:p>
                      </w:txbxContent>
                    </v:textbox>
                  </v:rect>
                  <v:line id="_x0000_s2959" o:spid="_x0000_s2959" o:spt="20" style="position:absolute;left:8152;top:279580;flip:y;height:1;width:451;" filled="f" stroked="t" coordsize="21600,21600">
                    <v:path arrowok="t"/>
                    <v:fill on="f" focussize="0,0"/>
                    <v:stroke color="#000000" dashstyle="dash" endarrow="open"/>
                    <v:imagedata o:title=""/>
                    <o:lock v:ext="edit" aspectratio="f"/>
                  </v:line>
                  <v:rect id="_x0000_s2960" o:spid="_x0000_s2960" o:spt="1" style="position:absolute;left:8496;top:279365;height:451;width:2118;" filled="f" stroked="f" coordsize="21600,21600">
                    <v:path/>
                    <v:fill on="f" focussize="0,0"/>
                    <v:stroke on="f"/>
                    <v:imagedata o:title=""/>
                    <o:lock v:ext="edit" aspectratio="f"/>
                    <v:textbox>
                      <w:txbxContent>
                        <w:p w14:paraId="3E4A7163">
                          <w:pPr>
                            <w:jc w:val="center"/>
                            <w:rPr>
                              <w:rFonts w:hint="default" w:eastAsia="宋体"/>
                              <w:lang w:val="en-US" w:eastAsia="zh-CN"/>
                            </w:rPr>
                          </w:pPr>
                          <w:r>
                            <w:rPr>
                              <w:rFonts w:hint="eastAsia"/>
                              <w:lang w:val="en-US" w:eastAsia="zh-CN"/>
                            </w:rPr>
                            <w:t>G颗粒物、SO</w:t>
                          </w:r>
                          <w:r>
                            <w:rPr>
                              <w:rFonts w:hint="eastAsia"/>
                              <w:vertAlign w:val="subscript"/>
                              <w:lang w:val="en-US" w:eastAsia="zh-CN"/>
                            </w:rPr>
                            <w:t>2</w:t>
                          </w:r>
                          <w:r>
                            <w:rPr>
                              <w:rFonts w:hint="eastAsia"/>
                              <w:lang w:val="en-US" w:eastAsia="zh-CN"/>
                            </w:rPr>
                            <w:t>、NO</w:t>
                          </w:r>
                          <w:r>
                            <w:rPr>
                              <w:rFonts w:hint="eastAsia"/>
                              <w:vertAlign w:val="subscript"/>
                              <w:lang w:val="en-US" w:eastAsia="zh-CN"/>
                            </w:rPr>
                            <w:t>x</w:t>
                          </w:r>
                        </w:p>
                      </w:txbxContent>
                    </v:textbox>
                  </v:rect>
                  <v:line id="_x0000_s2962" o:spid="_x0000_s2962" o:spt="20" style="position:absolute;left:8095;top:280606;flip:y;height:1;width:451;" filled="f" stroked="t" coordsize="21600,21600">
                    <v:path arrowok="t"/>
                    <v:fill on="f" focussize="0,0"/>
                    <v:stroke color="#000000" dashstyle="dash" endarrow="open"/>
                    <v:imagedata o:title=""/>
                    <o:lock v:ext="edit" aspectratio="f"/>
                  </v:line>
                  <v:rect id="_x0000_s2961" o:spid="_x0000_s2961" o:spt="1" style="position:absolute;left:8439;top:280391;height:451;width:1679;" filled="f" stroked="f" coordsize="21600,21600">
                    <v:path/>
                    <v:fill on="f" focussize="0,0"/>
                    <v:stroke on="f"/>
                    <v:imagedata o:title=""/>
                    <o:lock v:ext="edit" aspectratio="f"/>
                    <v:textbox>
                      <w:txbxContent>
                        <w:p w14:paraId="6B1D14C8">
                          <w:pPr>
                            <w:jc w:val="center"/>
                            <w:rPr>
                              <w:rFonts w:hint="default" w:eastAsia="宋体"/>
                              <w:lang w:val="en-US" w:eastAsia="zh-CN"/>
                            </w:rPr>
                          </w:pPr>
                          <w:r>
                            <w:rPr>
                              <w:rFonts w:hint="eastAsia"/>
                              <w:lang w:val="en-US" w:eastAsia="zh-CN"/>
                            </w:rPr>
                            <w:t>G颗粒物</w:t>
                          </w:r>
                        </w:p>
                      </w:txbxContent>
                    </v:textbox>
                  </v:rect>
                  <v:rect id="_x0000_s2963" o:spid="_x0000_s2963" o:spt="1" style="position:absolute;left:6843;top:281441;height:451;width:1251;" fillcolor="#FFFFFF" filled="t" stroked="t" coordsize="21600,21600">
                    <v:path/>
                    <v:fill on="t" color2="#FFFFFF" focussize="0,0"/>
                    <v:stroke color="#000000" joinstyle="miter"/>
                    <v:imagedata o:title=""/>
                    <o:lock v:ext="edit" aspectratio="f"/>
                    <v:textbox>
                      <w:txbxContent>
                        <w:p w14:paraId="2250B7C1">
                          <w:pPr>
                            <w:jc w:val="center"/>
                            <w:rPr>
                              <w:rFonts w:hint="default" w:eastAsia="宋体"/>
                              <w:lang w:val="en-US" w:eastAsia="zh-CN"/>
                            </w:rPr>
                          </w:pPr>
                          <w:r>
                            <w:rPr>
                              <w:rFonts w:hint="eastAsia"/>
                              <w:lang w:val="en-US" w:eastAsia="zh-CN"/>
                            </w:rPr>
                            <w:t>筛分</w:t>
                          </w:r>
                        </w:p>
                      </w:txbxContent>
                    </v:textbox>
                  </v:rect>
                  <v:line id="_x0000_s2964" o:spid="_x0000_s2964" o:spt="20" style="position:absolute;left:7452;top:281902;height:554;width:6;" filled="f" stroked="t" coordsize="21600,21600">
                    <v:path arrowok="t"/>
                    <v:fill on="f" focussize="0,0"/>
                    <v:stroke color="#000000" endarrow="open"/>
                    <v:imagedata o:title=""/>
                    <o:lock v:ext="edit" aspectratio="f"/>
                  </v:line>
                  <v:line id="_x0000_s2966" o:spid="_x0000_s2966" o:spt="20" style="position:absolute;left:8118;top:281678;flip:y;height:1;width:451;" filled="f" stroked="t" coordsize="21600,21600">
                    <v:path arrowok="t"/>
                    <v:fill on="f" focussize="0,0"/>
                    <v:stroke color="#000000" dashstyle="dash" endarrow="open"/>
                    <v:imagedata o:title=""/>
                    <o:lock v:ext="edit" aspectratio="f"/>
                  </v:line>
                  <v:rect id="_x0000_s2965" o:spid="_x0000_s2965" o:spt="1" style="position:absolute;left:8462;top:281463;height:778;width:1679;" filled="f" stroked="f" coordsize="21600,21600">
                    <v:path/>
                    <v:fill on="f" focussize="0,0"/>
                    <v:stroke on="f"/>
                    <v:imagedata o:title=""/>
                    <o:lock v:ext="edit" aspectratio="f"/>
                    <v:textbox>
                      <w:txbxContent>
                        <w:p w14:paraId="480F9ECC">
                          <w:pPr>
                            <w:jc w:val="center"/>
                            <w:rPr>
                              <w:rFonts w:hint="eastAsia"/>
                              <w:lang w:val="en-US" w:eastAsia="zh-CN"/>
                            </w:rPr>
                          </w:pPr>
                          <w:r>
                            <w:rPr>
                              <w:rFonts w:hint="eastAsia"/>
                              <w:lang w:val="en-US" w:eastAsia="zh-CN"/>
                            </w:rPr>
                            <w:t>G颗粒物；N；</w:t>
                          </w:r>
                        </w:p>
                        <w:p w14:paraId="6CE37729">
                          <w:pPr>
                            <w:jc w:val="center"/>
                            <w:rPr>
                              <w:rFonts w:hint="default"/>
                              <w:lang w:val="en-US" w:eastAsia="zh-CN"/>
                            </w:rPr>
                          </w:pPr>
                          <w:r>
                            <w:rPr>
                              <w:rFonts w:hint="eastAsia"/>
                              <w:lang w:val="en-US" w:eastAsia="zh-CN"/>
                            </w:rPr>
                            <w:t>S筛下物</w:t>
                          </w:r>
                        </w:p>
                      </w:txbxContent>
                    </v:textbox>
                  </v:rect>
                  <v:rect id="_x0000_s2967" o:spid="_x0000_s2967" o:spt="1" style="position:absolute;left:6854;top:282445;height:451;width:1251;" fillcolor="#FFFFFF" filled="t" stroked="t" coordsize="21600,21600">
                    <v:path/>
                    <v:fill on="t" color2="#FFFFFF" focussize="0,0"/>
                    <v:stroke color="#000000" joinstyle="miter"/>
                    <v:imagedata o:title=""/>
                    <o:lock v:ext="edit" aspectratio="f"/>
                    <v:textbox>
                      <w:txbxContent>
                        <w:p w14:paraId="589CDB27">
                          <w:pPr>
                            <w:jc w:val="center"/>
                            <w:rPr>
                              <w:rFonts w:hint="default" w:eastAsia="宋体"/>
                              <w:lang w:val="en-US" w:eastAsia="zh-CN"/>
                            </w:rPr>
                          </w:pPr>
                          <w:r>
                            <w:rPr>
                              <w:rFonts w:hint="eastAsia"/>
                              <w:lang w:val="en-US" w:eastAsia="zh-CN"/>
                            </w:rPr>
                            <w:t>热骨料仓</w:t>
                          </w:r>
                        </w:p>
                      </w:txbxContent>
                    </v:textbox>
                  </v:rect>
                  <v:line id="_x0000_s2968" o:spid="_x0000_s2968" o:spt="20" style="position:absolute;left:7463;top:282895;height:554;width:6;" filled="f" stroked="t" coordsize="21600,21600">
                    <v:path arrowok="t"/>
                    <v:fill on="f" focussize="0,0"/>
                    <v:stroke color="#000000" endarrow="open"/>
                    <v:imagedata o:title=""/>
                    <o:lock v:ext="edit" aspectratio="f"/>
                  </v:line>
                  <v:line id="_x0000_s2969" o:spid="_x0000_s2969" o:spt="20" style="position:absolute;left:7474;top:283937;height:554;width:6;" filled="f" stroked="t" coordsize="21600,21600">
                    <v:path arrowok="t"/>
                    <v:fill on="f" focussize="0,0"/>
                    <v:stroke color="#000000" endarrow="open"/>
                    <v:imagedata o:title=""/>
                    <o:lock v:ext="edit" aspectratio="f"/>
                  </v:line>
                  <v:rect id="_x0000_s2970" o:spid="_x0000_s2970" o:spt="1" style="position:absolute;left:6876;top:283449;height:451;width:1251;" fillcolor="#FFFFFF" filled="t" stroked="t" coordsize="21600,21600">
                    <v:path/>
                    <v:fill on="t" color2="#FFFFFF" focussize="0,0"/>
                    <v:stroke color="#000000" joinstyle="miter"/>
                    <v:imagedata o:title=""/>
                    <o:lock v:ext="edit" aspectratio="f"/>
                    <v:textbox>
                      <w:txbxContent>
                        <w:p w14:paraId="243D37AD">
                          <w:pPr>
                            <w:jc w:val="center"/>
                            <w:rPr>
                              <w:rFonts w:hint="default" w:eastAsia="宋体"/>
                              <w:lang w:val="en-US" w:eastAsia="zh-CN"/>
                            </w:rPr>
                          </w:pPr>
                          <w:r>
                            <w:rPr>
                              <w:rFonts w:hint="eastAsia"/>
                              <w:lang w:val="en-US" w:eastAsia="zh-CN"/>
                            </w:rPr>
                            <w:t>计量称重</w:t>
                          </w:r>
                        </w:p>
                      </w:txbxContent>
                    </v:textbox>
                  </v:rect>
                  <v:line id="_x0000_s2972" o:spid="_x0000_s2972" o:spt="20" style="position:absolute;left:9229;top:282082;flip:x;height:373;width:5;" filled="f" stroked="t" coordsize="21600,21600">
                    <v:path arrowok="t"/>
                    <v:fill on="f" focussize="0,0"/>
                    <v:stroke color="#000000" endarrow="open"/>
                    <v:imagedata o:title=""/>
                    <o:lock v:ext="edit" aspectratio="f"/>
                  </v:line>
                  <v:rect id="_x0000_s2973" o:spid="_x0000_s2973" o:spt="1" style="position:absolute;left:8428;top:282467;height:778;width:1679;" filled="f" stroked="f" coordsize="21600,21600">
                    <v:path/>
                    <v:fill on="f" focussize="0,0"/>
                    <v:stroke on="f"/>
                    <v:imagedata o:title=""/>
                    <o:lock v:ext="edit" aspectratio="f"/>
                    <v:textbox>
                      <w:txbxContent>
                        <w:p w14:paraId="0B1DC487">
                          <w:pPr>
                            <w:jc w:val="center"/>
                            <w:rPr>
                              <w:rFonts w:hint="default"/>
                              <w:lang w:val="en-US" w:eastAsia="zh-CN"/>
                            </w:rPr>
                          </w:pPr>
                          <w:r>
                            <w:rPr>
                              <w:rFonts w:hint="eastAsia"/>
                              <w:lang w:val="en-US" w:eastAsia="zh-CN"/>
                            </w:rPr>
                            <w:t>混入石料产品外售</w:t>
                          </w:r>
                        </w:p>
                      </w:txbxContent>
                    </v:textbox>
                  </v:rect>
                  <v:rect id="_x0000_s2974" o:spid="_x0000_s2974" o:spt="1" style="position:absolute;left:6900;top:284486;height:451;width:1251;" fillcolor="#FFFFFF" filled="t" stroked="t" coordsize="21600,21600">
                    <v:path/>
                    <v:fill on="t" color2="#FFFFFF" focussize="0,0"/>
                    <v:stroke color="#000000" joinstyle="miter"/>
                    <v:imagedata o:title=""/>
                    <o:lock v:ext="edit" aspectratio="f"/>
                    <v:textbox>
                      <w:txbxContent>
                        <w:p w14:paraId="52676FAA">
                          <w:pPr>
                            <w:jc w:val="center"/>
                            <w:rPr>
                              <w:rFonts w:hint="default" w:eastAsia="宋体"/>
                              <w:lang w:val="en-US" w:eastAsia="zh-CN"/>
                            </w:rPr>
                          </w:pPr>
                          <w:r>
                            <w:rPr>
                              <w:rFonts w:hint="eastAsia"/>
                              <w:lang w:val="en-US" w:eastAsia="zh-CN"/>
                            </w:rPr>
                            <w:t>搅拌机组</w:t>
                          </w:r>
                        </w:p>
                      </w:txbxContent>
                    </v:textbox>
                  </v:rect>
                  <v:line id="_x0000_s2975" o:spid="_x0000_s2975" o:spt="20" style="position:absolute;left:7509;top:284947;height:554;width:6;" filled="f" stroked="t" coordsize="21600,21600">
                    <v:path arrowok="t"/>
                    <v:fill on="f" focussize="0,0"/>
                    <v:stroke color="#000000" endarrow="open"/>
                    <v:imagedata o:title=""/>
                    <o:lock v:ext="edit" aspectratio="f"/>
                  </v:line>
                  <v:rect id="_x0000_s2976" o:spid="_x0000_s2976" o:spt="1" style="position:absolute;left:6911;top:285490;height:451;width:1251;" fillcolor="#FFFFFF" filled="t" stroked="t" coordsize="21600,21600">
                    <v:path/>
                    <v:fill on="t" color2="#FFFFFF" focussize="0,0"/>
                    <v:stroke color="#000000" joinstyle="miter"/>
                    <v:imagedata o:title=""/>
                    <o:lock v:ext="edit" aspectratio="f"/>
                    <v:textbox>
                      <w:txbxContent>
                        <w:p w14:paraId="461072AE">
                          <w:pPr>
                            <w:jc w:val="center"/>
                            <w:rPr>
                              <w:rFonts w:hint="default" w:eastAsia="宋体"/>
                              <w:lang w:val="en-US" w:eastAsia="zh-CN"/>
                            </w:rPr>
                          </w:pPr>
                          <w:r>
                            <w:rPr>
                              <w:rFonts w:hint="eastAsia"/>
                              <w:lang w:val="en-US" w:eastAsia="zh-CN"/>
                            </w:rPr>
                            <w:t>装车外运</w:t>
                          </w:r>
                        </w:p>
                      </w:txbxContent>
                    </v:textbox>
                  </v:rect>
                  <v:line id="_x0000_s2982" o:spid="_x0000_s2982" o:spt="20" style="position:absolute;left:8197;top:284690;flip:y;height:1;width:451;" filled="f" stroked="t" coordsize="21600,21600">
                    <v:path arrowok="t"/>
                    <v:fill on="f" focussize="0,0"/>
                    <v:stroke color="#000000" dashstyle="dash" endarrow="open"/>
                    <v:imagedata o:title=""/>
                    <o:lock v:ext="edit" aspectratio="f"/>
                  </v:line>
                  <v:rect id="_x0000_s2981" o:spid="_x0000_s2981" o:spt="1" style="position:absolute;left:8541;top:284475;height:1432;width:1679;" filled="f" stroked="f" coordsize="21600,21600">
                    <v:path/>
                    <v:fill on="f" focussize="0,0"/>
                    <v:stroke on="f"/>
                    <v:imagedata o:title=""/>
                    <o:lock v:ext="edit" aspectratio="f"/>
                    <v:textbox>
                      <w:txbxContent>
                        <w:p w14:paraId="59DDB3E8">
                          <w:pPr>
                            <w:jc w:val="center"/>
                            <w:rPr>
                              <w:rFonts w:hint="default"/>
                              <w:lang w:val="en-US" w:eastAsia="zh-CN"/>
                            </w:rPr>
                          </w:pPr>
                          <w:r>
                            <w:rPr>
                              <w:rFonts w:hint="eastAsia"/>
                              <w:lang w:val="en-US" w:eastAsia="zh-CN"/>
                            </w:rPr>
                            <w:t>G颗粒物、沥青烟、苯并[a]芘、非甲烷总烃；N；W冲洗废水</w:t>
                          </w:r>
                        </w:p>
                      </w:txbxContent>
                    </v:textbox>
                  </v:rect>
                  <v:rect id="_x0000_s2987" o:spid="_x0000_s2987" o:spt="1" style="position:absolute;left:4711;top:282389;height:451;width:1251;" fillcolor="#FFFFFF" filled="t" stroked="t" coordsize="21600,21600">
                    <v:path/>
                    <v:fill on="t" color2="#FFFFFF" focussize="0,0"/>
                    <v:stroke color="#000000" joinstyle="miter"/>
                    <v:imagedata o:title=""/>
                    <o:lock v:ext="edit" aspectratio="f"/>
                    <v:textbox>
                      <w:txbxContent>
                        <w:p w14:paraId="3973A724">
                          <w:pPr>
                            <w:jc w:val="center"/>
                            <w:rPr>
                              <w:rFonts w:hint="default" w:eastAsia="宋体"/>
                              <w:lang w:val="en-US" w:eastAsia="zh-CN"/>
                            </w:rPr>
                          </w:pPr>
                          <w:r>
                            <w:rPr>
                              <w:rFonts w:hint="eastAsia"/>
                              <w:lang w:val="en-US" w:eastAsia="zh-CN"/>
                            </w:rPr>
                            <w:t>矿粉筒仓</w:t>
                          </w:r>
                        </w:p>
                      </w:txbxContent>
                    </v:textbox>
                  </v:rect>
                  <v:line id="_x0000_s2986" o:spid="_x0000_s2986" o:spt="20" style="position:absolute;left:5332;top:282017;flip:x y;height:383;width:11;" filled="f" stroked="t" coordsize="21600,21600">
                    <v:path arrowok="t"/>
                    <v:fill on="f" focussize="0,0"/>
                    <v:stroke color="#000000" dashstyle="dash" endarrow="open"/>
                    <v:imagedata o:title=""/>
                    <o:lock v:ext="edit" aspectratio="f"/>
                  </v:line>
                  <v:rect id="_x0000_s2985" o:spid="_x0000_s2985" o:spt="1" style="position:absolute;left:4478;top:281587;height:451;width:2016;" filled="f" stroked="f" coordsize="21600,21600">
                    <v:path/>
                    <v:fill on="f" focussize="0,0"/>
                    <v:stroke on="f"/>
                    <v:imagedata o:title=""/>
                    <o:lock v:ext="edit" aspectratio="f"/>
                    <v:textbox>
                      <w:txbxContent>
                        <w:p w14:paraId="54370903">
                          <w:pPr>
                            <w:jc w:val="center"/>
                            <w:rPr>
                              <w:rFonts w:hint="default" w:eastAsia="宋体"/>
                              <w:lang w:val="en-US" w:eastAsia="zh-CN"/>
                            </w:rPr>
                          </w:pPr>
                          <w:r>
                            <w:rPr>
                              <w:rFonts w:hint="eastAsia"/>
                              <w:lang w:val="en-US" w:eastAsia="zh-CN"/>
                            </w:rPr>
                            <w:t>G颗粒物</w:t>
                          </w:r>
                        </w:p>
                      </w:txbxContent>
                    </v:textbox>
                  </v:rect>
                  <v:line id="_x0000_s2988" o:spid="_x0000_s2988" o:spt="20" style="position:absolute;left:5355;top:282872;height:554;width:6;" filled="f" stroked="t" coordsize="21600,21600">
                    <v:path arrowok="t"/>
                    <v:fill on="f" focussize="0,0"/>
                    <v:stroke color="#000000" endarrow="open"/>
                    <v:imagedata o:title=""/>
                    <o:lock v:ext="edit" aspectratio="f"/>
                  </v:line>
                  <v:rect id="_x0000_s2989" o:spid="_x0000_s2989" o:spt="1" style="position:absolute;left:4665;top:283426;height:451;width:1487;" fillcolor="#FFFFFF" filled="t" stroked="t" coordsize="21600,21600">
                    <v:path/>
                    <v:fill on="t" color2="#FFFFFF" focussize="0,0"/>
                    <v:stroke color="#000000" joinstyle="miter"/>
                    <v:imagedata o:title=""/>
                    <o:lock v:ext="edit" aspectratio="f"/>
                    <v:textbox>
                      <w:txbxContent>
                        <w:p w14:paraId="669B9426">
                          <w:pPr>
                            <w:jc w:val="center"/>
                            <w:rPr>
                              <w:rFonts w:hint="default" w:eastAsia="宋体"/>
                              <w:lang w:val="en-US" w:eastAsia="zh-CN"/>
                            </w:rPr>
                          </w:pPr>
                          <w:r>
                            <w:rPr>
                              <w:rFonts w:hint="eastAsia"/>
                              <w:lang w:val="en-US" w:eastAsia="zh-CN"/>
                            </w:rPr>
                            <w:t>螺旋输送机</w:t>
                          </w:r>
                        </w:p>
                      </w:txbxContent>
                    </v:textbox>
                  </v:rect>
                  <v:line id="_x0000_s2990" o:spid="_x0000_s2990" o:spt="20" style="position:absolute;left:5361;top:283887;flip:x;height:779;width:6;" filled="f" stroked="t" coordsize="21600,21600">
                    <v:path arrowok="t"/>
                    <v:fill on="f" focussize="0,0"/>
                    <v:stroke color="#000000"/>
                    <v:imagedata o:title=""/>
                    <o:lock v:ext="edit" aspectratio="f"/>
                  </v:line>
                  <v:line id="_x0000_s2992" o:spid="_x0000_s2992" o:spt="20" style="position:absolute;left:4173;top:284814;flip:y;height:9;width:2755;" filled="f" stroked="t" coordsize="21600,21600">
                    <v:path arrowok="t"/>
                    <v:fill on="f" focussize="0,0"/>
                    <v:stroke color="#000000" endarrow="open"/>
                    <v:imagedata o:title=""/>
                    <o:lock v:ext="edit" aspectratio="f"/>
                  </v:line>
                  <v:line id="_x0000_s2991" o:spid="_x0000_s2991" o:spt="20" style="position:absolute;left:5356;top:284679;flip:y;height:9;width:1572;" filled="f" stroked="t" coordsize="21600,21600">
                    <v:path arrowok="t"/>
                    <v:fill on="f" focussize="0,0"/>
                    <v:stroke color="#000000" endarrow="open"/>
                    <v:imagedata o:title=""/>
                    <o:lock v:ext="edit" aspectratio="f"/>
                  </v:line>
                  <v:rect id="_x0000_s2993" o:spid="_x0000_s2993" o:spt="1" style="position:absolute;left:2885;top:284621;height:451;width:1251;" fillcolor="#FFFFFF" filled="t" stroked="t" coordsize="21600,21600">
                    <v:path/>
                    <v:fill on="t" color2="#FFFFFF" focussize="0,0"/>
                    <v:stroke color="#000000" joinstyle="miter"/>
                    <v:imagedata o:title=""/>
                    <o:lock v:ext="edit" aspectratio="f"/>
                    <v:textbox>
                      <w:txbxContent>
                        <w:p w14:paraId="7A1DE080">
                          <w:pPr>
                            <w:jc w:val="center"/>
                            <w:rPr>
                              <w:rFonts w:hint="default" w:eastAsia="宋体"/>
                              <w:lang w:val="en-US" w:eastAsia="zh-CN"/>
                            </w:rPr>
                          </w:pPr>
                          <w:r>
                            <w:rPr>
                              <w:rFonts w:hint="eastAsia"/>
                              <w:lang w:val="en-US" w:eastAsia="zh-CN"/>
                            </w:rPr>
                            <w:t>沥青泵</w:t>
                          </w:r>
                        </w:p>
                      </w:txbxContent>
                    </v:textbox>
                  </v:rect>
                  <v:rect id="_x0000_s2994" o:spid="_x0000_s2994" o:spt="1" style="position:absolute;left:2772;top:282389;height:451;width:1430;" fillcolor="#FFFFFF" filled="t" stroked="t" coordsize="21600,21600">
                    <v:path/>
                    <v:fill on="t" color2="#FFFFFF" focussize="0,0"/>
                    <v:stroke color="#000000" joinstyle="miter"/>
                    <v:imagedata o:title=""/>
                    <o:lock v:ext="edit" aspectratio="f"/>
                    <v:textbox>
                      <w:txbxContent>
                        <w:p w14:paraId="725D78B6">
                          <w:pPr>
                            <w:jc w:val="center"/>
                            <w:rPr>
                              <w:rFonts w:hint="default" w:eastAsia="宋体"/>
                              <w:lang w:val="en-US" w:eastAsia="zh-CN"/>
                            </w:rPr>
                          </w:pPr>
                          <w:r>
                            <w:rPr>
                              <w:rFonts w:hint="eastAsia"/>
                              <w:lang w:val="en-US" w:eastAsia="zh-CN"/>
                            </w:rPr>
                            <w:t>导热油炉</w:t>
                          </w:r>
                        </w:p>
                      </w:txbxContent>
                    </v:textbox>
                  </v:rect>
                  <v:line id="_x0000_s2995" o:spid="_x0000_s2995" o:spt="20" style="position:absolute;left:3506;top:282872;height:554;width:6;" filled="f" stroked="t" coordsize="21600,21600">
                    <v:path arrowok="t"/>
                    <v:fill on="f" focussize="0,0"/>
                    <v:stroke color="#000000" endarrow="open"/>
                    <v:imagedata o:title=""/>
                    <o:lock v:ext="edit" aspectratio="f"/>
                  </v:line>
                  <v:line id="_x0000_s2997" o:spid="_x0000_s2997" o:spt="20" style="position:absolute;left:3517;top:283887;height:723;width:6;" filled="f" stroked="t" coordsize="21600,21600">
                    <v:path arrowok="t"/>
                    <v:fill on="f" focussize="0,0"/>
                    <v:stroke color="#000000" endarrow="open"/>
                    <v:imagedata o:title=""/>
                    <o:lock v:ext="edit" aspectratio="f"/>
                  </v:line>
                  <v:rect id="_x0000_s2996" o:spid="_x0000_s2996" o:spt="1" style="position:absolute;left:2737;top:283426;height:451;width:1566;" fillcolor="#FFFFFF" filled="t" stroked="t" coordsize="21600,21600">
                    <v:path/>
                    <v:fill on="t" color2="#FFFFFF" focussize="0,0"/>
                    <v:stroke color="#000000" joinstyle="miter"/>
                    <v:imagedata o:title=""/>
                    <o:lock v:ext="edit" aspectratio="f"/>
                    <v:textbox>
                      <w:txbxContent>
                        <w:p w14:paraId="1740680B">
                          <w:pPr>
                            <w:jc w:val="center"/>
                            <w:rPr>
                              <w:rFonts w:hint="default" w:eastAsia="宋体"/>
                              <w:lang w:val="en-US" w:eastAsia="zh-CN"/>
                            </w:rPr>
                          </w:pPr>
                          <w:r>
                            <w:rPr>
                              <w:rFonts w:hint="eastAsia"/>
                              <w:lang w:val="en-US" w:eastAsia="zh-CN"/>
                            </w:rPr>
                            <w:t>加热沥青储罐</w:t>
                          </w:r>
                        </w:p>
                      </w:txbxContent>
                    </v:textbox>
                  </v:rect>
                  <v:line id="_x0000_s3000" o:spid="_x0000_s3000" o:spt="20" style="position:absolute;left:2999;top:281823;height:554;width:6;" filled="f" stroked="t" coordsize="21600,21600">
                    <v:path arrowok="t"/>
                    <v:fill on="f" focussize="0,0"/>
                    <v:stroke color="#000000" endarrow="open"/>
                    <v:imagedata o:title=""/>
                    <o:lock v:ext="edit" aspectratio="f"/>
                  </v:line>
                  <v:line id="_x0000_s2998" o:spid="_x0000_s2998" o:spt="20" style="position:absolute;left:3707;top:281983;flip:x y;height:383;width:11;" filled="f" stroked="t" coordsize="21600,21600">
                    <v:path arrowok="t"/>
                    <v:fill on="f" focussize="0,0"/>
                    <v:stroke color="#000000" dashstyle="dash" endarrow="open"/>
                    <v:imagedata o:title=""/>
                    <o:lock v:ext="edit" aspectratio="f"/>
                  </v:line>
                  <v:rect id="_x0000_s2999" o:spid="_x0000_s2999" o:spt="1" style="position:absolute;left:3205;top:281227;height:743;width:1454;" filled="f" stroked="f" coordsize="21600,21600">
                    <v:path/>
                    <v:fill on="f" focussize="0,0"/>
                    <v:stroke on="f"/>
                    <v:imagedata o:title=""/>
                    <o:lock v:ext="edit" aspectratio="f"/>
                    <v:textbox>
                      <w:txbxContent>
                        <w:p w14:paraId="6C1CC3C0">
                          <w:pPr>
                            <w:jc w:val="center"/>
                            <w:rPr>
                              <w:rFonts w:hint="eastAsia"/>
                              <w:lang w:val="en-US" w:eastAsia="zh-CN"/>
                            </w:rPr>
                          </w:pPr>
                          <w:r>
                            <w:rPr>
                              <w:rFonts w:hint="eastAsia"/>
                              <w:lang w:val="en-US" w:eastAsia="zh-CN"/>
                            </w:rPr>
                            <w:t>G颗粒物、</w:t>
                          </w:r>
                        </w:p>
                        <w:p w14:paraId="18395580">
                          <w:pPr>
                            <w:jc w:val="center"/>
                            <w:rPr>
                              <w:rFonts w:hint="default" w:eastAsia="宋体"/>
                              <w:lang w:val="en-US" w:eastAsia="zh-CN"/>
                            </w:rPr>
                          </w:pPr>
                          <w:r>
                            <w:rPr>
                              <w:rFonts w:hint="eastAsia"/>
                              <w:lang w:val="en-US" w:eastAsia="zh-CN"/>
                            </w:rPr>
                            <w:t>SO</w:t>
                          </w:r>
                          <w:r>
                            <w:rPr>
                              <w:rFonts w:hint="eastAsia"/>
                              <w:vertAlign w:val="subscript"/>
                              <w:lang w:val="en-US" w:eastAsia="zh-CN"/>
                            </w:rPr>
                            <w:t>2</w:t>
                          </w:r>
                          <w:r>
                            <w:rPr>
                              <w:rFonts w:hint="eastAsia"/>
                              <w:lang w:val="en-US" w:eastAsia="zh-CN"/>
                            </w:rPr>
                            <w:t>、NO</w:t>
                          </w:r>
                          <w:r>
                            <w:rPr>
                              <w:rFonts w:hint="eastAsia"/>
                              <w:vertAlign w:val="subscript"/>
                              <w:lang w:val="en-US" w:eastAsia="zh-CN"/>
                            </w:rPr>
                            <w:t>x</w:t>
                          </w:r>
                        </w:p>
                      </w:txbxContent>
                    </v:textbox>
                  </v:rect>
                  <v:rect id="_x0000_s3001" o:spid="_x0000_s3001" o:spt="1" style="position:absolute;left:2436;top:281023;height:789;width:957;" filled="f" stroked="t" coordsize="21600,21600">
                    <v:path/>
                    <v:fill on="f" focussize="0,0"/>
                    <v:stroke color="#000000" joinstyle="miter"/>
                    <v:imagedata o:title=""/>
                    <o:lock v:ext="edit" aspectratio="f"/>
                    <v:textbox>
                      <w:txbxContent>
                        <w:p w14:paraId="61CC7409">
                          <w:pPr>
                            <w:jc w:val="center"/>
                            <w:rPr>
                              <w:rFonts w:hint="default" w:eastAsia="宋体"/>
                              <w:lang w:val="en-US" w:eastAsia="zh-CN"/>
                            </w:rPr>
                          </w:pPr>
                          <w:r>
                            <w:rPr>
                              <w:rFonts w:hint="eastAsia"/>
                              <w:lang w:val="en-US" w:eastAsia="zh-CN"/>
                            </w:rPr>
                            <w:t>轻质柴油储罐</w:t>
                          </w:r>
                        </w:p>
                      </w:txbxContent>
                    </v:textbox>
                  </v:rect>
                  <v:line id="_x0000_s3002" o:spid="_x0000_s3002" o:spt="20" style="position:absolute;left:3921;top:283166;flip:y;height:249;width:11;" filled="f" stroked="t" coordsize="21600,21600">
                    <v:path arrowok="t"/>
                    <v:fill on="f" focussize="0,0"/>
                    <v:stroke color="#000000" dashstyle="dash" endarrow="open"/>
                    <v:imagedata o:title=""/>
                    <o:lock v:ext="edit" aspectratio="f"/>
                  </v:line>
                  <v:rect id="_x0000_s3003" o:spid="_x0000_s3003" o:spt="1" style="position:absolute;left:3568;top:282829;height:948;width:1679;" filled="f" stroked="f" coordsize="21600,21600">
                    <v:path/>
                    <v:fill on="f" focussize="0,0"/>
                    <v:stroke on="f"/>
                    <v:imagedata o:title=""/>
                    <o:lock v:ext="edit" aspectratio="f"/>
                    <v:textbox>
                      <w:txbxContent>
                        <w:p w14:paraId="21A6257E">
                          <w:pPr>
                            <w:jc w:val="center"/>
                            <w:rPr>
                              <w:rFonts w:hint="default"/>
                              <w:lang w:val="en-US" w:eastAsia="zh-CN"/>
                            </w:rPr>
                          </w:pPr>
                          <w:r>
                            <w:rPr>
                              <w:rFonts w:hint="eastAsia"/>
                              <w:lang w:val="en-US" w:eastAsia="zh-CN"/>
                            </w:rPr>
                            <w:t>G沥青烟、苯并[a]芘、非甲烷总烃</w:t>
                          </w:r>
                        </w:p>
                      </w:txbxContent>
                    </v:textbox>
                  </v:rect>
                  <v:rect id="_x0000_s3004" o:spid="_x0000_s3004" o:spt="1" style="position:absolute;left:5054;top:284824;height:451;width:921;" filled="f" stroked="f" coordsize="21600,21600">
                    <v:path/>
                    <v:fill on="f" focussize="0,0"/>
                    <v:stroke on="f"/>
                    <v:imagedata o:title=""/>
                    <o:lock v:ext="edit" aspectratio="f"/>
                    <v:textbox>
                      <w:txbxContent>
                        <w:p w14:paraId="286E8C8B">
                          <w:pPr>
                            <w:jc w:val="center"/>
                            <w:rPr>
                              <w:rFonts w:hint="default" w:eastAsia="宋体"/>
                              <w:lang w:val="en-US" w:eastAsia="zh-CN"/>
                            </w:rPr>
                          </w:pPr>
                          <w:r>
                            <w:rPr>
                              <w:rFonts w:hint="eastAsia"/>
                              <w:lang w:val="en-US" w:eastAsia="zh-CN"/>
                            </w:rPr>
                            <w:t>计量</w:t>
                          </w:r>
                        </w:p>
                      </w:txbxContent>
                    </v:textbox>
                  </v:rect>
                </v:group>
              </w:pict>
            </w:r>
          </w:p>
          <w:p w14:paraId="7BDC7312">
            <w:pPr>
              <w:snapToGrid w:val="0"/>
              <w:spacing w:line="360" w:lineRule="auto"/>
              <w:ind w:firstLine="420" w:firstLineChars="200"/>
              <w:rPr>
                <w:rFonts w:hint="eastAsia"/>
                <w:bCs/>
                <w:color w:val="auto"/>
                <w:szCs w:val="21"/>
                <w:lang w:val="en-US" w:eastAsia="zh-CN"/>
              </w:rPr>
            </w:pPr>
          </w:p>
          <w:p w14:paraId="6B15BFD8">
            <w:pPr>
              <w:widowControl w:val="0"/>
              <w:numPr>
                <w:ilvl w:val="0"/>
                <w:numId w:val="0"/>
              </w:numPr>
              <w:snapToGrid w:val="0"/>
              <w:spacing w:line="360" w:lineRule="auto"/>
              <w:jc w:val="both"/>
              <w:rPr>
                <w:rFonts w:hint="eastAsia" w:hAnsi="宋体"/>
                <w:bCs/>
                <w:szCs w:val="21"/>
              </w:rPr>
            </w:pPr>
          </w:p>
          <w:p w14:paraId="7DBFA7A9">
            <w:pPr>
              <w:widowControl w:val="0"/>
              <w:numPr>
                <w:ilvl w:val="0"/>
                <w:numId w:val="0"/>
              </w:numPr>
              <w:snapToGrid w:val="0"/>
              <w:spacing w:line="360" w:lineRule="auto"/>
              <w:jc w:val="both"/>
              <w:rPr>
                <w:rFonts w:hint="eastAsia" w:hAnsi="宋体"/>
                <w:bCs/>
                <w:szCs w:val="21"/>
              </w:rPr>
            </w:pPr>
          </w:p>
          <w:p w14:paraId="7CBC4432">
            <w:pPr>
              <w:widowControl w:val="0"/>
              <w:numPr>
                <w:ilvl w:val="0"/>
                <w:numId w:val="0"/>
              </w:numPr>
              <w:snapToGrid w:val="0"/>
              <w:spacing w:line="360" w:lineRule="auto"/>
              <w:jc w:val="both"/>
              <w:rPr>
                <w:rFonts w:hint="eastAsia" w:hAnsi="宋体"/>
                <w:bCs/>
                <w:szCs w:val="21"/>
              </w:rPr>
            </w:pPr>
          </w:p>
          <w:p w14:paraId="78E4B13D">
            <w:pPr>
              <w:widowControl w:val="0"/>
              <w:numPr>
                <w:ilvl w:val="0"/>
                <w:numId w:val="0"/>
              </w:numPr>
              <w:snapToGrid w:val="0"/>
              <w:spacing w:line="360" w:lineRule="auto"/>
              <w:jc w:val="both"/>
              <w:rPr>
                <w:rFonts w:hint="eastAsia" w:hAnsi="宋体"/>
                <w:bCs/>
                <w:szCs w:val="21"/>
              </w:rPr>
            </w:pPr>
          </w:p>
          <w:p w14:paraId="6818E308">
            <w:pPr>
              <w:widowControl w:val="0"/>
              <w:numPr>
                <w:ilvl w:val="0"/>
                <w:numId w:val="0"/>
              </w:numPr>
              <w:snapToGrid w:val="0"/>
              <w:spacing w:line="360" w:lineRule="auto"/>
              <w:jc w:val="both"/>
              <w:rPr>
                <w:rFonts w:hint="eastAsia" w:hAnsi="宋体"/>
                <w:bCs/>
                <w:szCs w:val="21"/>
              </w:rPr>
            </w:pPr>
          </w:p>
          <w:p w14:paraId="1B98FE45">
            <w:pPr>
              <w:widowControl w:val="0"/>
              <w:numPr>
                <w:ilvl w:val="0"/>
                <w:numId w:val="0"/>
              </w:numPr>
              <w:snapToGrid w:val="0"/>
              <w:spacing w:line="360" w:lineRule="auto"/>
              <w:jc w:val="both"/>
              <w:rPr>
                <w:rFonts w:hint="eastAsia" w:hAnsi="宋体"/>
                <w:bCs/>
                <w:szCs w:val="21"/>
              </w:rPr>
            </w:pPr>
          </w:p>
          <w:p w14:paraId="1FFBF09E">
            <w:pPr>
              <w:widowControl w:val="0"/>
              <w:numPr>
                <w:ilvl w:val="0"/>
                <w:numId w:val="0"/>
              </w:numPr>
              <w:snapToGrid w:val="0"/>
              <w:spacing w:line="360" w:lineRule="auto"/>
              <w:jc w:val="both"/>
              <w:rPr>
                <w:rFonts w:hint="eastAsia" w:hAnsi="宋体"/>
                <w:bCs/>
                <w:szCs w:val="21"/>
              </w:rPr>
            </w:pPr>
          </w:p>
          <w:p w14:paraId="0FBFF446">
            <w:pPr>
              <w:widowControl w:val="0"/>
              <w:numPr>
                <w:ilvl w:val="0"/>
                <w:numId w:val="0"/>
              </w:numPr>
              <w:snapToGrid w:val="0"/>
              <w:spacing w:line="360" w:lineRule="auto"/>
              <w:jc w:val="both"/>
              <w:rPr>
                <w:rFonts w:hint="eastAsia" w:hAnsi="宋体"/>
                <w:bCs/>
                <w:szCs w:val="21"/>
              </w:rPr>
            </w:pPr>
          </w:p>
          <w:p w14:paraId="3DAF0A42">
            <w:pPr>
              <w:widowControl w:val="0"/>
              <w:numPr>
                <w:ilvl w:val="0"/>
                <w:numId w:val="0"/>
              </w:numPr>
              <w:snapToGrid w:val="0"/>
              <w:spacing w:line="360" w:lineRule="auto"/>
              <w:jc w:val="both"/>
              <w:rPr>
                <w:rFonts w:hint="eastAsia" w:hAnsi="宋体"/>
                <w:bCs/>
                <w:szCs w:val="21"/>
              </w:rPr>
            </w:pPr>
          </w:p>
          <w:p w14:paraId="58863C7A">
            <w:pPr>
              <w:widowControl w:val="0"/>
              <w:numPr>
                <w:ilvl w:val="0"/>
                <w:numId w:val="0"/>
              </w:numPr>
              <w:snapToGrid w:val="0"/>
              <w:spacing w:line="360" w:lineRule="auto"/>
              <w:jc w:val="both"/>
              <w:rPr>
                <w:rFonts w:hint="eastAsia" w:hAnsi="宋体"/>
                <w:bCs/>
                <w:szCs w:val="21"/>
              </w:rPr>
            </w:pPr>
          </w:p>
          <w:p w14:paraId="6AF64E72">
            <w:pPr>
              <w:widowControl w:val="0"/>
              <w:numPr>
                <w:ilvl w:val="0"/>
                <w:numId w:val="0"/>
              </w:numPr>
              <w:snapToGrid w:val="0"/>
              <w:spacing w:line="360" w:lineRule="auto"/>
              <w:jc w:val="both"/>
              <w:rPr>
                <w:rFonts w:hint="eastAsia" w:hAnsi="宋体"/>
                <w:bCs/>
                <w:szCs w:val="21"/>
              </w:rPr>
            </w:pPr>
          </w:p>
          <w:p w14:paraId="34315BB9">
            <w:pPr>
              <w:widowControl w:val="0"/>
              <w:numPr>
                <w:ilvl w:val="0"/>
                <w:numId w:val="0"/>
              </w:numPr>
              <w:snapToGrid w:val="0"/>
              <w:spacing w:line="360" w:lineRule="auto"/>
              <w:jc w:val="both"/>
              <w:rPr>
                <w:rFonts w:hint="eastAsia" w:hAnsi="宋体"/>
                <w:bCs/>
                <w:szCs w:val="21"/>
              </w:rPr>
            </w:pPr>
          </w:p>
          <w:p w14:paraId="41EE5ED2">
            <w:pPr>
              <w:widowControl w:val="0"/>
              <w:numPr>
                <w:ilvl w:val="0"/>
                <w:numId w:val="0"/>
              </w:numPr>
              <w:snapToGrid w:val="0"/>
              <w:spacing w:line="360" w:lineRule="auto"/>
              <w:jc w:val="both"/>
              <w:rPr>
                <w:rFonts w:hint="eastAsia" w:hAnsi="宋体"/>
                <w:bCs/>
                <w:szCs w:val="21"/>
              </w:rPr>
            </w:pPr>
          </w:p>
          <w:p w14:paraId="1554C51E">
            <w:pPr>
              <w:widowControl w:val="0"/>
              <w:numPr>
                <w:ilvl w:val="0"/>
                <w:numId w:val="0"/>
              </w:numPr>
              <w:snapToGrid w:val="0"/>
              <w:spacing w:line="360" w:lineRule="auto"/>
              <w:jc w:val="both"/>
              <w:rPr>
                <w:rFonts w:hint="eastAsia" w:hAnsi="宋体"/>
                <w:bCs/>
                <w:szCs w:val="21"/>
              </w:rPr>
            </w:pPr>
          </w:p>
          <w:p w14:paraId="4B639618">
            <w:pPr>
              <w:widowControl w:val="0"/>
              <w:numPr>
                <w:ilvl w:val="0"/>
                <w:numId w:val="0"/>
              </w:numPr>
              <w:snapToGrid w:val="0"/>
              <w:spacing w:line="360" w:lineRule="auto"/>
              <w:jc w:val="center"/>
              <w:rPr>
                <w:rFonts w:hint="default" w:ascii="Times New Roman" w:hAnsi="Times New Roman" w:cs="Times New Roman"/>
                <w:b/>
                <w:bCs w:val="0"/>
                <w:sz w:val="18"/>
                <w:szCs w:val="18"/>
                <w:lang w:val="en-US" w:eastAsia="zh-CN"/>
              </w:rPr>
            </w:pPr>
          </w:p>
          <w:p w14:paraId="67C87092">
            <w:pPr>
              <w:widowControl w:val="0"/>
              <w:numPr>
                <w:ilvl w:val="0"/>
                <w:numId w:val="0"/>
              </w:numPr>
              <w:snapToGrid w:val="0"/>
              <w:spacing w:line="360" w:lineRule="auto"/>
              <w:jc w:val="center"/>
              <w:rPr>
                <w:rFonts w:hint="default" w:ascii="Times New Roman" w:hAnsi="Times New Roman" w:cs="Times New Roman"/>
                <w:b/>
                <w:bCs w:val="0"/>
                <w:sz w:val="18"/>
                <w:szCs w:val="18"/>
                <w:lang w:val="en-US" w:eastAsia="zh-CN"/>
              </w:rPr>
            </w:pPr>
          </w:p>
          <w:p w14:paraId="42545BB3">
            <w:pPr>
              <w:widowControl w:val="0"/>
              <w:numPr>
                <w:ilvl w:val="0"/>
                <w:numId w:val="0"/>
              </w:numPr>
              <w:snapToGrid w:val="0"/>
              <w:spacing w:line="360" w:lineRule="auto"/>
              <w:jc w:val="center"/>
              <w:rPr>
                <w:rFonts w:hint="default" w:ascii="Times New Roman" w:hAnsi="Times New Roman" w:cs="Times New Roman"/>
                <w:b/>
                <w:bCs w:val="0"/>
                <w:sz w:val="18"/>
                <w:szCs w:val="18"/>
                <w:lang w:val="en-US" w:eastAsia="zh-CN"/>
              </w:rPr>
            </w:pPr>
          </w:p>
          <w:p w14:paraId="30AD5F11">
            <w:pPr>
              <w:widowControl w:val="0"/>
              <w:numPr>
                <w:ilvl w:val="0"/>
                <w:numId w:val="0"/>
              </w:numPr>
              <w:snapToGrid w:val="0"/>
              <w:spacing w:line="360" w:lineRule="auto"/>
              <w:jc w:val="center"/>
              <w:rPr>
                <w:rFonts w:hint="default" w:ascii="Times New Roman" w:hAnsi="Times New Roman" w:cs="Times New Roman"/>
                <w:b/>
                <w:bCs w:val="0"/>
                <w:sz w:val="18"/>
                <w:szCs w:val="18"/>
                <w:lang w:val="en-US" w:eastAsia="zh-CN"/>
              </w:rPr>
            </w:pPr>
          </w:p>
          <w:p w14:paraId="21C09BF9">
            <w:pPr>
              <w:widowControl w:val="0"/>
              <w:numPr>
                <w:ilvl w:val="0"/>
                <w:numId w:val="0"/>
              </w:numPr>
              <w:snapToGrid w:val="0"/>
              <w:spacing w:line="360" w:lineRule="auto"/>
              <w:jc w:val="center"/>
              <w:rPr>
                <w:rFonts w:hint="default" w:ascii="Times New Roman" w:hAnsi="Times New Roman" w:cs="Times New Roman"/>
                <w:b/>
                <w:bCs w:val="0"/>
                <w:sz w:val="18"/>
                <w:szCs w:val="18"/>
                <w:lang w:val="en-US" w:eastAsia="zh-CN"/>
              </w:rPr>
            </w:pPr>
          </w:p>
          <w:p w14:paraId="26D4C786">
            <w:pPr>
              <w:widowControl w:val="0"/>
              <w:numPr>
                <w:ilvl w:val="0"/>
                <w:numId w:val="0"/>
              </w:numPr>
              <w:snapToGrid w:val="0"/>
              <w:spacing w:line="360" w:lineRule="auto"/>
              <w:jc w:val="center"/>
              <w:rPr>
                <w:rFonts w:hint="default" w:ascii="Times New Roman" w:hAnsi="Times New Roman" w:cs="Times New Roman"/>
                <w:b/>
                <w:bCs w:val="0"/>
                <w:sz w:val="18"/>
                <w:szCs w:val="18"/>
                <w:lang w:val="en-US" w:eastAsia="zh-CN"/>
              </w:rPr>
            </w:pPr>
          </w:p>
          <w:p w14:paraId="2F8444F7">
            <w:pPr>
              <w:widowControl w:val="0"/>
              <w:numPr>
                <w:ilvl w:val="0"/>
                <w:numId w:val="0"/>
              </w:numPr>
              <w:snapToGrid w:val="0"/>
              <w:spacing w:line="360" w:lineRule="auto"/>
              <w:jc w:val="center"/>
              <w:rPr>
                <w:rFonts w:hint="default" w:ascii="Times New Roman" w:hAnsi="Times New Roman" w:cs="Times New Roman"/>
                <w:b/>
                <w:bCs w:val="0"/>
                <w:sz w:val="18"/>
                <w:szCs w:val="18"/>
                <w:lang w:val="en-US" w:eastAsia="zh-CN"/>
              </w:rPr>
            </w:pPr>
            <w:r>
              <w:rPr>
                <w:rFonts w:hint="default" w:ascii="Times New Roman" w:hAnsi="Times New Roman" w:cs="Times New Roman"/>
                <w:b/>
                <w:bCs w:val="0"/>
                <w:sz w:val="18"/>
                <w:szCs w:val="18"/>
                <w:lang w:val="en-US" w:eastAsia="zh-CN"/>
              </w:rPr>
              <w:t>图2-</w:t>
            </w:r>
            <w:r>
              <w:rPr>
                <w:rFonts w:hint="eastAsia" w:cs="Times New Roman"/>
                <w:b/>
                <w:bCs w:val="0"/>
                <w:sz w:val="18"/>
                <w:szCs w:val="18"/>
                <w:lang w:val="en-US" w:eastAsia="zh-CN"/>
              </w:rPr>
              <w:t>2</w:t>
            </w:r>
            <w:r>
              <w:rPr>
                <w:rFonts w:hint="default" w:ascii="Times New Roman" w:hAnsi="Times New Roman" w:cs="Times New Roman"/>
                <w:b/>
                <w:bCs w:val="0"/>
                <w:sz w:val="18"/>
                <w:szCs w:val="18"/>
                <w:lang w:val="en-US" w:eastAsia="zh-CN"/>
              </w:rPr>
              <w:t xml:space="preserve">    运营期沥青混凝土生产工艺流程及产排污环节图</w:t>
            </w:r>
          </w:p>
          <w:p w14:paraId="4B1C4374">
            <w:pPr>
              <w:widowControl w:val="0"/>
              <w:numPr>
                <w:ilvl w:val="0"/>
                <w:numId w:val="0"/>
              </w:numPr>
              <w:snapToGrid w:val="0"/>
              <w:spacing w:line="360" w:lineRule="auto"/>
              <w:jc w:val="center"/>
              <w:rPr>
                <w:rFonts w:hint="default" w:ascii="Times New Roman" w:hAnsi="Times New Roman" w:cs="Times New Roman"/>
                <w:b/>
                <w:bCs w:val="0"/>
                <w:sz w:val="18"/>
                <w:szCs w:val="18"/>
                <w:lang w:val="en-US" w:eastAsia="zh-CN"/>
              </w:rPr>
            </w:pPr>
          </w:p>
          <w:p w14:paraId="2EB459CD">
            <w:pPr>
              <w:widowControl w:val="0"/>
              <w:numPr>
                <w:ilvl w:val="0"/>
                <w:numId w:val="0"/>
              </w:numPr>
              <w:snapToGrid w:val="0"/>
              <w:spacing w:line="360" w:lineRule="auto"/>
              <w:jc w:val="center"/>
              <w:rPr>
                <w:rFonts w:hint="default" w:ascii="Times New Roman" w:hAnsi="Times New Roman" w:cs="Times New Roman"/>
                <w:b/>
                <w:bCs w:val="0"/>
                <w:sz w:val="18"/>
                <w:szCs w:val="18"/>
                <w:lang w:val="en-US" w:eastAsia="zh-CN"/>
              </w:rPr>
            </w:pPr>
          </w:p>
          <w:p w14:paraId="6BBEEB71">
            <w:pPr>
              <w:widowControl w:val="0"/>
              <w:numPr>
                <w:ilvl w:val="0"/>
                <w:numId w:val="0"/>
              </w:numPr>
              <w:snapToGrid w:val="0"/>
              <w:spacing w:line="360" w:lineRule="auto"/>
              <w:jc w:val="center"/>
              <w:rPr>
                <w:rFonts w:hint="default" w:ascii="Times New Roman" w:hAnsi="Times New Roman" w:cs="Times New Roman"/>
                <w:b/>
                <w:bCs w:val="0"/>
                <w:sz w:val="18"/>
                <w:szCs w:val="18"/>
                <w:lang w:val="en-US" w:eastAsia="zh-CN"/>
              </w:rPr>
            </w:pPr>
          </w:p>
          <w:p w14:paraId="431B1B5A">
            <w:pPr>
              <w:widowControl w:val="0"/>
              <w:numPr>
                <w:ilvl w:val="0"/>
                <w:numId w:val="0"/>
              </w:numPr>
              <w:snapToGrid w:val="0"/>
              <w:spacing w:line="360" w:lineRule="auto"/>
              <w:jc w:val="center"/>
              <w:rPr>
                <w:rFonts w:hint="default" w:ascii="Times New Roman" w:hAnsi="Times New Roman" w:cs="Times New Roman"/>
                <w:b/>
                <w:bCs w:val="0"/>
                <w:sz w:val="18"/>
                <w:szCs w:val="18"/>
                <w:lang w:val="en-US" w:eastAsia="zh-CN"/>
              </w:rPr>
            </w:pPr>
          </w:p>
          <w:p w14:paraId="3D272E65">
            <w:pPr>
              <w:widowControl w:val="0"/>
              <w:numPr>
                <w:ilvl w:val="0"/>
                <w:numId w:val="0"/>
              </w:numPr>
              <w:snapToGrid w:val="0"/>
              <w:spacing w:line="360" w:lineRule="auto"/>
              <w:jc w:val="center"/>
              <w:rPr>
                <w:rFonts w:hint="default" w:ascii="Times New Roman" w:hAnsi="Times New Roman" w:cs="Times New Roman"/>
                <w:b/>
                <w:bCs w:val="0"/>
                <w:sz w:val="18"/>
                <w:szCs w:val="18"/>
                <w:lang w:val="en-US" w:eastAsia="zh-CN"/>
              </w:rPr>
            </w:pPr>
          </w:p>
          <w:p w14:paraId="181F56B9">
            <w:pPr>
              <w:widowControl w:val="0"/>
              <w:numPr>
                <w:ilvl w:val="0"/>
                <w:numId w:val="0"/>
              </w:numPr>
              <w:snapToGrid w:val="0"/>
              <w:spacing w:line="360" w:lineRule="auto"/>
              <w:jc w:val="center"/>
              <w:rPr>
                <w:rFonts w:hint="default" w:ascii="Times New Roman" w:hAnsi="Times New Roman" w:cs="Times New Roman"/>
                <w:b/>
                <w:bCs w:val="0"/>
                <w:sz w:val="18"/>
                <w:szCs w:val="18"/>
                <w:lang w:val="en-US" w:eastAsia="zh-CN"/>
              </w:rPr>
            </w:pPr>
          </w:p>
          <w:p w14:paraId="3884ABEF">
            <w:pPr>
              <w:widowControl w:val="0"/>
              <w:numPr>
                <w:ilvl w:val="0"/>
                <w:numId w:val="0"/>
              </w:numPr>
              <w:snapToGrid w:val="0"/>
              <w:spacing w:line="360" w:lineRule="auto"/>
              <w:jc w:val="center"/>
              <w:rPr>
                <w:rFonts w:hint="default" w:ascii="Times New Roman" w:hAnsi="Times New Roman" w:cs="Times New Roman"/>
                <w:b/>
                <w:bCs w:val="0"/>
                <w:sz w:val="18"/>
                <w:szCs w:val="18"/>
                <w:lang w:val="en-US" w:eastAsia="zh-CN"/>
              </w:rPr>
            </w:pPr>
          </w:p>
          <w:p w14:paraId="1F5A507B">
            <w:pPr>
              <w:widowControl w:val="0"/>
              <w:numPr>
                <w:ilvl w:val="0"/>
                <w:numId w:val="0"/>
              </w:numPr>
              <w:snapToGrid w:val="0"/>
              <w:spacing w:line="360" w:lineRule="auto"/>
              <w:jc w:val="center"/>
              <w:rPr>
                <w:rFonts w:hint="default" w:ascii="Times New Roman" w:hAnsi="Times New Roman" w:cs="Times New Roman"/>
                <w:b/>
                <w:bCs w:val="0"/>
                <w:sz w:val="18"/>
                <w:szCs w:val="18"/>
                <w:lang w:val="en-US" w:eastAsia="zh-CN"/>
              </w:rPr>
            </w:pPr>
          </w:p>
          <w:p w14:paraId="78583354">
            <w:pPr>
              <w:widowControl w:val="0"/>
              <w:numPr>
                <w:ilvl w:val="0"/>
                <w:numId w:val="0"/>
              </w:numPr>
              <w:snapToGrid w:val="0"/>
              <w:spacing w:line="360" w:lineRule="auto"/>
              <w:jc w:val="center"/>
              <w:rPr>
                <w:rFonts w:hint="default" w:ascii="Times New Roman" w:hAnsi="Times New Roman" w:cs="Times New Roman"/>
                <w:b/>
                <w:bCs w:val="0"/>
                <w:sz w:val="18"/>
                <w:szCs w:val="18"/>
                <w:lang w:val="en-US" w:eastAsia="zh-CN"/>
              </w:rPr>
            </w:pPr>
          </w:p>
          <w:p w14:paraId="6AC98A92">
            <w:pPr>
              <w:widowControl w:val="0"/>
              <w:numPr>
                <w:ilvl w:val="0"/>
                <w:numId w:val="0"/>
              </w:numPr>
              <w:snapToGrid w:val="0"/>
              <w:spacing w:line="360" w:lineRule="auto"/>
              <w:jc w:val="center"/>
              <w:rPr>
                <w:rFonts w:hint="default" w:ascii="Times New Roman" w:hAnsi="Times New Roman" w:cs="Times New Roman"/>
                <w:b/>
                <w:bCs w:val="0"/>
                <w:sz w:val="18"/>
                <w:szCs w:val="18"/>
                <w:lang w:val="en-US" w:eastAsia="zh-CN"/>
              </w:rPr>
            </w:pPr>
          </w:p>
          <w:p w14:paraId="0314A895">
            <w:pPr>
              <w:widowControl w:val="0"/>
              <w:numPr>
                <w:ilvl w:val="0"/>
                <w:numId w:val="0"/>
              </w:numPr>
              <w:snapToGrid w:val="0"/>
              <w:spacing w:line="360" w:lineRule="auto"/>
              <w:jc w:val="center"/>
              <w:rPr>
                <w:rFonts w:hint="default" w:ascii="Times New Roman" w:hAnsi="Times New Roman" w:cs="Times New Roman"/>
                <w:b/>
                <w:bCs w:val="0"/>
                <w:sz w:val="18"/>
                <w:szCs w:val="18"/>
                <w:lang w:val="en-US" w:eastAsia="zh-CN"/>
              </w:rPr>
            </w:pPr>
          </w:p>
          <w:p w14:paraId="38D3FB17">
            <w:pPr>
              <w:widowControl w:val="0"/>
              <w:numPr>
                <w:ilvl w:val="0"/>
                <w:numId w:val="0"/>
              </w:numPr>
              <w:snapToGrid w:val="0"/>
              <w:spacing w:line="360" w:lineRule="auto"/>
              <w:jc w:val="center"/>
              <w:rPr>
                <w:rFonts w:hint="default" w:ascii="Times New Roman" w:hAnsi="Times New Roman" w:cs="Times New Roman"/>
                <w:b/>
                <w:bCs w:val="0"/>
                <w:sz w:val="18"/>
                <w:szCs w:val="18"/>
                <w:lang w:val="en-US" w:eastAsia="zh-CN"/>
              </w:rPr>
            </w:pPr>
          </w:p>
          <w:p w14:paraId="17F0C95A">
            <w:pPr>
              <w:widowControl w:val="0"/>
              <w:numPr>
                <w:ilvl w:val="0"/>
                <w:numId w:val="0"/>
              </w:numPr>
              <w:snapToGrid w:val="0"/>
              <w:spacing w:line="360" w:lineRule="auto"/>
              <w:jc w:val="center"/>
              <w:rPr>
                <w:rFonts w:hint="default" w:ascii="Times New Roman" w:hAnsi="Times New Roman" w:cs="Times New Roman"/>
                <w:b/>
                <w:bCs w:val="0"/>
                <w:sz w:val="18"/>
                <w:szCs w:val="18"/>
                <w:lang w:val="en-US" w:eastAsia="zh-CN"/>
              </w:rPr>
            </w:pPr>
          </w:p>
          <w:p w14:paraId="7E7C7CC2">
            <w:pPr>
              <w:widowControl w:val="0"/>
              <w:numPr>
                <w:ilvl w:val="0"/>
                <w:numId w:val="0"/>
              </w:numPr>
              <w:snapToGrid w:val="0"/>
              <w:spacing w:line="360" w:lineRule="auto"/>
              <w:jc w:val="center"/>
              <w:rPr>
                <w:rFonts w:hint="default" w:ascii="Times New Roman" w:hAnsi="Times New Roman" w:cs="Times New Roman"/>
                <w:b/>
                <w:bCs w:val="0"/>
                <w:sz w:val="18"/>
                <w:szCs w:val="18"/>
                <w:lang w:val="en-US" w:eastAsia="zh-CN"/>
              </w:rPr>
            </w:pPr>
          </w:p>
          <w:p w14:paraId="7F6B228E">
            <w:pPr>
              <w:widowControl w:val="0"/>
              <w:numPr>
                <w:ilvl w:val="0"/>
                <w:numId w:val="0"/>
              </w:numPr>
              <w:snapToGrid w:val="0"/>
              <w:spacing w:line="360" w:lineRule="auto"/>
              <w:jc w:val="center"/>
              <w:rPr>
                <w:rFonts w:hint="default" w:ascii="Times New Roman" w:hAnsi="Times New Roman" w:cs="Times New Roman"/>
                <w:b/>
                <w:bCs w:val="0"/>
                <w:sz w:val="18"/>
                <w:szCs w:val="18"/>
                <w:lang w:val="en-US" w:eastAsia="zh-CN"/>
              </w:rPr>
            </w:pPr>
          </w:p>
          <w:p w14:paraId="7ABBAF40">
            <w:pPr>
              <w:widowControl w:val="0"/>
              <w:numPr>
                <w:ilvl w:val="0"/>
                <w:numId w:val="0"/>
              </w:numPr>
              <w:snapToGrid w:val="0"/>
              <w:spacing w:line="360" w:lineRule="auto"/>
              <w:jc w:val="center"/>
              <w:rPr>
                <w:rFonts w:hint="default" w:ascii="Times New Roman" w:hAnsi="Times New Roman" w:cs="Times New Roman"/>
                <w:b/>
                <w:bCs w:val="0"/>
                <w:sz w:val="18"/>
                <w:szCs w:val="18"/>
                <w:lang w:val="en-US" w:eastAsia="zh-CN"/>
              </w:rPr>
            </w:pPr>
          </w:p>
          <w:p w14:paraId="2C75CEA5">
            <w:pPr>
              <w:widowControl w:val="0"/>
              <w:numPr>
                <w:ilvl w:val="0"/>
                <w:numId w:val="0"/>
              </w:numPr>
              <w:snapToGrid w:val="0"/>
              <w:spacing w:line="360" w:lineRule="auto"/>
              <w:jc w:val="center"/>
              <w:rPr>
                <w:rFonts w:hint="default" w:ascii="Times New Roman" w:hAnsi="Times New Roman" w:cs="Times New Roman"/>
                <w:b/>
                <w:bCs w:val="0"/>
                <w:sz w:val="18"/>
                <w:szCs w:val="18"/>
                <w:lang w:val="en-US" w:eastAsia="zh-CN"/>
              </w:rPr>
            </w:pPr>
          </w:p>
          <w:p w14:paraId="4175F6D9">
            <w:pPr>
              <w:widowControl w:val="0"/>
              <w:numPr>
                <w:ilvl w:val="0"/>
                <w:numId w:val="0"/>
              </w:numPr>
              <w:snapToGrid w:val="0"/>
              <w:spacing w:line="360" w:lineRule="auto"/>
              <w:jc w:val="center"/>
              <w:rPr>
                <w:rFonts w:hint="default" w:ascii="Times New Roman" w:hAnsi="Times New Roman" w:cs="Times New Roman"/>
                <w:b/>
                <w:bCs w:val="0"/>
                <w:sz w:val="18"/>
                <w:szCs w:val="18"/>
                <w:lang w:val="en-US" w:eastAsia="zh-CN"/>
              </w:rPr>
            </w:pPr>
            <w:r>
              <w:rPr>
                <w:sz w:val="24"/>
              </w:rPr>
              <w:pict>
                <v:group id="_x0000_s2365" o:spid="_x0000_s2365" o:spt="203" style="position:absolute;left:0pt;margin-left:4.05pt;margin-top:5.3pt;height:569.8pt;width:415.2pt;z-index:251668480;mso-width-relative:page;mso-height-relative:page;" coordorigin="5007,430125" coordsize="8304,11396">
                  <o:lock v:ext="edit" aspectratio="f"/>
                  <v:rect id="_x0000_s2103" o:spid="_x0000_s2103" o:spt="1" style="position:absolute;left:7579;top:430125;flip:x y;height:477;width:870;" filled="f" stroked="f" coordsize="21600,21600">
                    <v:path/>
                    <v:fill on="f" focussize="0,0"/>
                    <v:stroke on="f"/>
                    <v:imagedata o:title=""/>
                    <o:lock v:ext="edit" aspectratio="f"/>
                    <v:textbox>
                      <w:txbxContent>
                        <w:p w14:paraId="1367DBF0">
                          <w:pPr>
                            <w:jc w:val="center"/>
                          </w:pPr>
                          <w:r>
                            <w:t>G</w:t>
                          </w:r>
                        </w:p>
                      </w:txbxContent>
                    </v:textbox>
                  </v:rect>
                  <v:rect id="_x0000_s2109" o:spid="_x0000_s2109" o:spt="1" style="position:absolute;left:9849;top:430235;flip:x y;height:477;width:870;" filled="f" stroked="f" coordsize="21600,21600">
                    <v:path/>
                    <v:fill on="f" focussize="0,0"/>
                    <v:stroke on="f"/>
                    <v:imagedata o:title=""/>
                    <o:lock v:ext="edit" aspectratio="f"/>
                    <v:textbox>
                      <w:txbxContent>
                        <w:p w14:paraId="5D074ABD">
                          <w:pPr>
                            <w:jc w:val="center"/>
                          </w:pPr>
                          <w:r>
                            <w:t>N</w:t>
                          </w:r>
                        </w:p>
                      </w:txbxContent>
                    </v:textbox>
                  </v:rect>
                  <v:rect id="_x0000_s2116" o:spid="_x0000_s2116" o:spt="1" style="position:absolute;left:8178;top:437371;flip:x y;height:477;width:2174;" filled="f" stroked="f" coordsize="21600,21600">
                    <v:path/>
                    <v:fill on="f" focussize="0,0"/>
                    <v:stroke on="f"/>
                    <v:imagedata o:title=""/>
                    <o:lock v:ext="edit" aspectratio="f"/>
                    <v:textbox>
                      <w:txbxContent>
                        <w:p w14:paraId="2A6E9D40">
                          <w:pPr>
                            <w:rPr>
                              <w:vertAlign w:val="subscript"/>
                            </w:rPr>
                          </w:pPr>
                          <w:r>
                            <w:rPr>
                              <w:rFonts w:hint="eastAsia"/>
                            </w:rPr>
                            <w:t>G、N、W</w:t>
                          </w:r>
                        </w:p>
                      </w:txbxContent>
                    </v:textbox>
                  </v:rect>
                  <v:rect id="_x0000_s2119" o:spid="_x0000_s2119" o:spt="1" style="position:absolute;left:7276;top:430978;height:1545;width:1393;" filled="f" stroked="t" coordsize="21600,21600">
                    <v:path/>
                    <v:fill on="f" focussize="0,0"/>
                    <v:stroke color="#000000" joinstyle="miter" dashstyle="dash"/>
                    <v:imagedata o:title=""/>
                    <o:lock v:ext="edit" aspectratio="f"/>
                  </v:rect>
                  <v:rect id="_x0000_s2133" o:spid="_x0000_s2133" o:spt="1" style="position:absolute;left:10052;top:431058;height:1726;width:495;" filled="f" stroked="t" coordsize="21600,21600">
                    <v:path/>
                    <v:fill on="f" focussize="0,0"/>
                    <v:stroke color="#000000" joinstyle="miter"/>
                    <v:imagedata o:title=""/>
                    <o:lock v:ext="edit" aspectratio="f"/>
                    <v:textbox>
                      <w:txbxContent>
                        <w:p w14:paraId="3E31857A">
                          <w:r>
                            <w:rPr>
                              <w:rFonts w:hAnsi="宋体"/>
                            </w:rPr>
                            <w:t>皮带输送机</w:t>
                          </w:r>
                        </w:p>
                      </w:txbxContent>
                    </v:textbox>
                  </v:rect>
                  <v:rect id="_x0000_s2135" o:spid="_x0000_s2135" o:spt="1" style="position:absolute;left:6330;top:431215;height:1140;width:539;" filled="f" stroked="t" coordsize="21600,21600">
                    <v:path/>
                    <v:fill on="f" focussize="0,0"/>
                    <v:stroke color="#000000" joinstyle="miter"/>
                    <v:imagedata o:title=""/>
                    <o:lock v:ext="edit" aspectratio="f"/>
                    <v:textbox>
                      <w:txbxContent>
                        <w:p w14:paraId="182519AA">
                          <w:r>
                            <w:rPr>
                              <w:rFonts w:hAnsi="宋体"/>
                            </w:rPr>
                            <w:t>运输车</w:t>
                          </w:r>
                        </w:p>
                      </w:txbxContent>
                    </v:textbox>
                  </v:rect>
                  <v:rect id="_x0000_s2138" o:spid="_x0000_s2138" o:spt="1" style="position:absolute;left:9060;top:431013;height:1634;width:495;" filled="f" stroked="t" coordsize="21600,21600">
                    <v:path/>
                    <v:fill on="f" focussize="0,0"/>
                    <v:stroke color="#000000" joinstyle="miter"/>
                    <v:imagedata o:title=""/>
                    <o:lock v:ext="edit" aspectratio="f"/>
                    <v:textbox>
                      <w:txbxContent>
                        <w:p w14:paraId="3FDE68ED"/>
                        <w:p w14:paraId="0913EB4E">
                          <w:r>
                            <w:rPr>
                              <w:rFonts w:hAnsi="宋体"/>
                            </w:rPr>
                            <w:t>配</w:t>
                          </w:r>
                        </w:p>
                        <w:p w14:paraId="1C61E56B">
                          <w:r>
                            <w:rPr>
                              <w:rFonts w:hAnsi="宋体"/>
                            </w:rPr>
                            <w:t>料站</w:t>
                          </w:r>
                        </w:p>
                      </w:txbxContent>
                    </v:textbox>
                  </v:rect>
                  <v:line id="箭头 333" o:spid="_x0000_s2150" o:spt="20" style="position:absolute;left:8007;top:430528;flip:y;height:450;width:1;" filled="f" stroked="t" coordsize="21600,21600">
                    <v:path arrowok="t"/>
                    <v:fill on="f" focussize="0,0"/>
                    <v:stroke color="#000000" dashstyle="dash" endarrow="block"/>
                    <v:imagedata o:title=""/>
                    <o:lock v:ext="edit" aspectratio="f"/>
                  </v:line>
                  <v:line id="箭头 319" o:spid="_x0000_s2151" o:spt="20" style="position:absolute;left:5832;top:431380;height:1;width:510;" filled="f" stroked="t" coordsize="21600,21600">
                    <v:path arrowok="t"/>
                    <v:fill on="f" focussize="0,0"/>
                    <v:stroke color="#000000" endarrow="block"/>
                    <v:imagedata o:title=""/>
                    <o:lock v:ext="edit" aspectratio="f"/>
                  </v:line>
                  <v:line id="箭头 333" o:spid="_x0000_s2152" o:spt="20" style="position:absolute;left:7137;top:431681;flip:y;height:601;width:1;" filled="f" stroked="t" coordsize="21600,21600">
                    <v:path arrowok="t"/>
                    <v:fill on="f" focussize="0,0"/>
                    <v:stroke color="#000000" dashstyle="dash" endarrow="block"/>
                    <v:imagedata o:title=""/>
                    <o:lock v:ext="edit" aspectratio="f"/>
                  </v:line>
                  <v:rect id="_x0000_s2162" o:spid="_x0000_s2162" o:spt="1" style="position:absolute;left:6897;top:431390;flip:x y;height:477;width:870;" filled="f" stroked="f" coordsize="21600,21600">
                    <v:path/>
                    <v:fill on="f" focussize="0,0"/>
                    <v:stroke on="f"/>
                    <v:imagedata o:title=""/>
                    <o:lock v:ext="edit" aspectratio="f"/>
                    <v:textbox>
                      <w:txbxContent>
                        <w:p w14:paraId="091517A3">
                          <w:r>
                            <w:t>G</w:t>
                          </w:r>
                        </w:p>
                      </w:txbxContent>
                    </v:textbox>
                  </v:rect>
                  <v:rect id="_x0000_s2175" o:spid="_x0000_s2175" o:spt="1" style="position:absolute;left:7363;top:431088;height:448;width:1244;" filled="f" stroked="t" coordsize="21600,21600">
                    <v:path/>
                    <v:fill on="f" focussize="0,0"/>
                    <v:stroke color="#000000" joinstyle="miter"/>
                    <v:imagedata o:title=""/>
                    <o:lock v:ext="edit" aspectratio="f"/>
                    <v:textbox>
                      <w:txbxContent>
                        <w:p w14:paraId="088E6FAC">
                          <w:pPr>
                            <w:jc w:val="center"/>
                          </w:pPr>
                          <w:r>
                            <w:rPr>
                              <w:rFonts w:hAnsi="宋体"/>
                            </w:rPr>
                            <w:t>砂堆场</w:t>
                          </w:r>
                        </w:p>
                      </w:txbxContent>
                    </v:textbox>
                  </v:rect>
                  <v:line id="箭头 275" o:spid="_x0000_s2176" o:spt="20" style="position:absolute;left:6883;top:431319;height:1;width:465;" filled="f" stroked="t" coordsize="21600,21600">
                    <v:path arrowok="t"/>
                    <v:fill on="f" focussize="0,0"/>
                    <v:stroke color="#000000" endarrow="block"/>
                    <v:imagedata o:title=""/>
                    <o:lock v:ext="edit" aspectratio="f"/>
                  </v:line>
                  <v:rect id="_x0000_s2189" o:spid="_x0000_s2189" o:spt="1" style="position:absolute;left:5054;top:431179;height:433;width:765;" filled="f" stroked="t" coordsize="21600,21600">
                    <v:path/>
                    <v:fill on="f" focussize="0,0"/>
                    <v:stroke color="#000000" joinstyle="miter"/>
                    <v:imagedata o:title=""/>
                    <o:lock v:ext="edit" aspectratio="f"/>
                    <v:textbox>
                      <w:txbxContent>
                        <w:p w14:paraId="73E998A9">
                          <w:r>
                            <w:rPr>
                              <w:rFonts w:hAnsi="宋体"/>
                            </w:rPr>
                            <w:t>石子</w:t>
                          </w:r>
                        </w:p>
                      </w:txbxContent>
                    </v:textbox>
                  </v:rect>
                  <v:line id="箭头 333" o:spid="_x0000_s2198" o:spt="20" style="position:absolute;left:10272;top:430588;flip:y;height:450;width:1;" filled="f" stroked="t" coordsize="21600,21600">
                    <v:path arrowok="t"/>
                    <v:fill on="f" focussize="0,0"/>
                    <v:stroke color="#000000" dashstyle="dash" endarrow="block"/>
                    <v:imagedata o:title=""/>
                    <o:lock v:ext="edit" aspectratio="f"/>
                  </v:line>
                  <v:rect id="_x0000_s2200" o:spid="_x0000_s2200" o:spt="1" style="position:absolute;left:5009;top:432886;height:436;width:765;" filled="f" stroked="t" coordsize="21600,21600">
                    <v:path/>
                    <v:fill on="f" focussize="0,0"/>
                    <v:stroke color="#000000" joinstyle="miter"/>
                    <v:imagedata o:title=""/>
                    <o:lock v:ext="edit" aspectratio="f"/>
                    <v:textbox>
                      <w:txbxContent>
                        <w:p w14:paraId="2624F156">
                          <w:r>
                            <w:rPr>
                              <w:rFonts w:hAnsi="宋体"/>
                            </w:rPr>
                            <w:t>水泥</w:t>
                          </w:r>
                        </w:p>
                      </w:txbxContent>
                    </v:textbox>
                  </v:rect>
                  <v:rect id="_x0000_s2201" o:spid="_x0000_s2201" o:spt="1" style="position:absolute;left:5007;top:434810;height:477;width:782;" filled="f" stroked="t" coordsize="21600,21600">
                    <v:path/>
                    <v:fill on="f" focussize="0,0"/>
                    <v:stroke color="#000000" joinstyle="miter"/>
                    <v:imagedata o:title=""/>
                    <o:lock v:ext="edit" aspectratio="f"/>
                    <v:textbox>
                      <w:txbxContent>
                        <w:p w14:paraId="3F4B1E00">
                          <w:r>
                            <w:rPr>
                              <w:rFonts w:hAnsi="宋体"/>
                            </w:rPr>
                            <w:t>矿粉</w:t>
                          </w:r>
                        </w:p>
                      </w:txbxContent>
                    </v:textbox>
                  </v:rect>
                  <v:rect id="_x0000_s2204" o:spid="_x0000_s2204" o:spt="1" style="position:absolute;left:9402;top:432215;flip:x y;height:477;width:870;" filled="f" stroked="f" coordsize="21600,21600">
                    <v:path/>
                    <v:fill on="f" focussize="0,0"/>
                    <v:stroke on="f"/>
                    <v:imagedata o:title=""/>
                    <o:lock v:ext="edit" aspectratio="f"/>
                    <v:textbox>
                      <w:txbxContent>
                        <w:p w14:paraId="410A7785">
                          <w:r>
                            <w:t xml:space="preserve"> N</w:t>
                          </w:r>
                        </w:p>
                      </w:txbxContent>
                    </v:textbox>
                  </v:rect>
                  <v:line id="箭头 333" o:spid="_x0000_s2205" o:spt="20" style="position:absolute;left:9627;top:432538;flip:y;height:450;width:1;" filled="f" stroked="t" coordsize="21600,21600">
                    <v:path arrowok="t"/>
                    <v:fill on="f" focussize="0,0"/>
                    <v:stroke color="#000000" dashstyle="dash" endarrow="block"/>
                    <v:imagedata o:title=""/>
                    <o:lock v:ext="edit" aspectratio="f"/>
                  </v:line>
                  <v:rect id="_x0000_s2213" o:spid="_x0000_s2213" o:spt="1" style="position:absolute;left:7932;top:432509;flip:x y;height:480;width:870;" filled="f" stroked="f" coordsize="21600,21600">
                    <v:path/>
                    <v:fill on="f" focussize="0,0"/>
                    <v:stroke on="f"/>
                    <v:imagedata o:title=""/>
                    <o:lock v:ext="edit" aspectratio="f"/>
                    <v:textbox>
                      <w:txbxContent>
                        <w:p w14:paraId="58C734BB">
                          <w:pPr>
                            <w:rPr>
                              <w:vertAlign w:val="subscript"/>
                            </w:rPr>
                          </w:pPr>
                          <w:r>
                            <w:t>G</w:t>
                          </w:r>
                        </w:p>
                      </w:txbxContent>
                    </v:textbox>
                  </v:rect>
                  <v:rect id="_x0000_s2233" o:spid="_x0000_s2233" o:spt="1" style="position:absolute;left:7409;top:433024;height:2372;width:1469;" filled="f" stroked="t" coordsize="21600,21600">
                    <v:path/>
                    <v:fill on="f" focussize="0,0"/>
                    <v:stroke color="#000000" joinstyle="miter" dashstyle="dash"/>
                    <v:imagedata o:title=""/>
                    <o:lock v:ext="edit" aspectratio="f"/>
                  </v:rect>
                  <v:line id="箭头 333" o:spid="_x0000_s2260" o:spt="20" style="position:absolute;left:8023;top:432688;flip:y;height:299;width:1;" filled="f" stroked="t" coordsize="21600,21600">
                    <v:path arrowok="t"/>
                    <v:fill on="f" focussize="0,0"/>
                    <v:stroke color="#000000" dashstyle="dash" endarrow="block"/>
                    <v:imagedata o:title=""/>
                    <o:lock v:ext="edit" aspectratio="f"/>
                  </v:line>
                  <v:rect id="_x0000_s2261" o:spid="_x0000_s2261" o:spt="1" style="position:absolute;left:8997;top:439647;flip:x y;height:477;width:689;" filled="f" stroked="f" coordsize="21600,21600">
                    <v:path/>
                    <v:fill on="f" focussize="0,0"/>
                    <v:stroke on="f"/>
                    <v:imagedata o:title=""/>
                    <o:lock v:ext="edit" aspectratio="f"/>
                    <v:textbox>
                      <w:txbxContent>
                        <w:p w14:paraId="52984B34">
                          <w:r>
                            <w:t>W</w:t>
                          </w:r>
                        </w:p>
                      </w:txbxContent>
                    </v:textbox>
                  </v:rect>
                  <v:rect id="_x0000_s2262" o:spid="_x0000_s2262" o:spt="1" style="position:absolute;left:7032;top:434345;flip:x y;height:477;width:870;" filled="f" stroked="f" coordsize="21600,21600">
                    <v:path/>
                    <v:fill on="f" focussize="0,0"/>
                    <v:stroke on="f"/>
                    <v:imagedata o:title=""/>
                    <o:lock v:ext="edit" aspectratio="f"/>
                    <v:textbox>
                      <w:txbxContent>
                        <w:p w14:paraId="5A7776BF">
                          <w:r>
                            <w:t>G</w:t>
                          </w:r>
                        </w:p>
                      </w:txbxContent>
                    </v:textbox>
                  </v:rect>
                  <v:line id="箭头 333" o:spid="_x0000_s2263" o:spt="20" style="position:absolute;left:7212;top:433783;flip:y;height:450;width:1;" filled="f" stroked="t" coordsize="21600,21600">
                    <v:path arrowok="t"/>
                    <v:fill on="f" focussize="0,0"/>
                    <v:stroke color="#000000" dashstyle="dash" endarrow="block"/>
                    <v:imagedata o:title=""/>
                    <o:lock v:ext="edit" aspectratio="f"/>
                  </v:line>
                  <v:rect id="_x0000_s2264" o:spid="_x0000_s2264" o:spt="1" style="position:absolute;left:7032;top:433445;flip:x y;height:477;width:870;" filled="f" stroked="f" coordsize="21600,21600">
                    <v:path/>
                    <v:fill on="f" focussize="0,0"/>
                    <v:stroke on="f"/>
                    <v:imagedata o:title=""/>
                    <o:lock v:ext="edit" aspectratio="f"/>
                    <v:textbox>
                      <w:txbxContent>
                        <w:p w14:paraId="015FD156">
                          <w:r>
                            <w:t>G</w:t>
                          </w:r>
                        </w:p>
                      </w:txbxContent>
                    </v:textbox>
                  </v:rect>
                  <v:line id="箭头 333" o:spid="_x0000_s2265" o:spt="20" style="position:absolute;left:7227;top:432763;flip:y;height:450;width:1;" filled="f" stroked="t" coordsize="21600,21600">
                    <v:path arrowok="t"/>
                    <v:fill on="f" focussize="0,0"/>
                    <v:stroke color="#000000" dashstyle="dash" endarrow="block"/>
                    <v:imagedata o:title=""/>
                    <o:lock v:ext="edit" aspectratio="f"/>
                  </v:line>
                  <v:rect id="_x0000_s2266" o:spid="_x0000_s2266" o:spt="1" style="position:absolute;left:7002;top:432455;flip:x y;height:477;width:870;" filled="f" stroked="f" coordsize="21600,21600">
                    <v:path/>
                    <v:fill on="f" focussize="0,0"/>
                    <v:stroke on="f"/>
                    <v:imagedata o:title=""/>
                    <o:lock v:ext="edit" aspectratio="f"/>
                    <v:textbox>
                      <w:txbxContent>
                        <w:p w14:paraId="0C08313C">
                          <w:r>
                            <w:t>G</w:t>
                          </w:r>
                        </w:p>
                      </w:txbxContent>
                    </v:textbox>
                  </v:rect>
                  <v:line id="箭头 319" o:spid="_x0000_s2267" o:spt="20" style="position:absolute;left:5787;top:433270;height:1;width:510;" filled="f" stroked="t" coordsize="21600,21600">
                    <v:path arrowok="t"/>
                    <v:fill on="f" focussize="0,0"/>
                    <v:stroke color="#000000" endarrow="block"/>
                    <v:imagedata o:title=""/>
                    <o:lock v:ext="edit" aspectratio="f"/>
                  </v:line>
                  <v:rect id="_x0000_s2280" o:spid="_x0000_s2280" o:spt="1" style="position:absolute;left:6300;top:432550;height:1140;width:539;" filled="f" stroked="t" coordsize="21600,21600">
                    <v:path/>
                    <v:fill on="f" focussize="0,0"/>
                    <v:stroke color="#000000" joinstyle="miter"/>
                    <v:imagedata o:title=""/>
                    <o:lock v:ext="edit" aspectratio="f"/>
                    <v:textbox>
                      <w:txbxContent>
                        <w:p w14:paraId="31D3FDE8">
                          <w:r>
                            <w:rPr>
                              <w:rFonts w:hAnsi="宋体"/>
                            </w:rPr>
                            <w:t>散装车</w:t>
                          </w:r>
                        </w:p>
                      </w:txbxContent>
                    </v:textbox>
                  </v:rect>
                  <v:rect id="_x0000_s2281" o:spid="_x0000_s2281" o:spt="1" style="position:absolute;left:6289;top:433901;height:1378;width:539;" filled="f" stroked="t" coordsize="21600,21600">
                    <v:path/>
                    <v:fill on="f" focussize="0,0"/>
                    <v:stroke color="#000000" joinstyle="miter"/>
                    <v:imagedata o:title=""/>
                    <o:lock v:ext="edit" aspectratio="f"/>
                    <v:textbox>
                      <w:txbxContent>
                        <w:p w14:paraId="6C1E48B7">
                          <w:r>
                            <w:rPr>
                              <w:rFonts w:hAnsi="宋体"/>
                            </w:rPr>
                            <w:t>封闭罐车</w:t>
                          </w:r>
                        </w:p>
                      </w:txbxContent>
                    </v:textbox>
                  </v:rect>
                  <v:line id="箭头 319" o:spid="_x0000_s2282" o:spt="20" style="position:absolute;left:5967;top:434255;height:7;width:300;" filled="f" stroked="t" coordsize="21600,21600">
                    <v:path arrowok="t"/>
                    <v:fill on="f" focussize="0,0"/>
                    <v:stroke color="#000000" endarrow="block"/>
                    <v:imagedata o:title=""/>
                    <o:lock v:ext="edit" aspectratio="f"/>
                  </v:line>
                  <v:line id="箭头 319" o:spid="_x0000_s2283" o:spt="20" style="position:absolute;left:5832;top:432145;height:1;width:510;" filled="f" stroked="t" coordsize="21600,21600">
                    <v:path arrowok="t"/>
                    <v:fill on="f" focussize="0,0"/>
                    <v:stroke color="#000000" endarrow="block"/>
                    <v:imagedata o:title=""/>
                    <o:lock v:ext="edit" aspectratio="f"/>
                  </v:line>
                  <v:line id="箭头 333" o:spid="_x0000_s2284" o:spt="20" style="position:absolute;left:8806;top:439908;flip:y;height:317;width:389;" filled="f" stroked="t" coordsize="21600,21600">
                    <v:path arrowok="t"/>
                    <v:fill on="f" focussize="0,0"/>
                    <v:stroke color="#000000" dashstyle="dash" endarrow="block"/>
                    <v:imagedata o:title=""/>
                    <o:lock v:ext="edit" aspectratio="f"/>
                  </v:line>
                  <v:line id="箭头 316" o:spid="_x0000_s2285" o:spt="20" style="position:absolute;left:8491;top:438631;flip:x;height:544;width:1;" filled="f" stroked="t" coordsize="21600,21600">
                    <v:path arrowok="t"/>
                    <v:fill on="f" focussize="0,0"/>
                    <v:stroke color="#000000" endarrow="block"/>
                    <v:imagedata o:title=""/>
                    <o:lock v:ext="edit" aspectratio="f"/>
                  </v:line>
                  <v:line id="箭头 316" o:spid="_x0000_s2286" o:spt="20" style="position:absolute;left:8491;top:439625;height:661;width:0;" filled="f" stroked="t" coordsize="21600,21600">
                    <v:path arrowok="t"/>
                    <v:fill on="f" focussize="0,0"/>
                    <v:stroke color="#000000" endarrow="block"/>
                    <v:imagedata o:title=""/>
                    <o:lock v:ext="edit" aspectratio="f"/>
                  </v:line>
                  <v:rect id="_x0000_s2287" o:spid="_x0000_s2287" o:spt="1" style="position:absolute;left:7847;top:440254;height:448;width:1383;" filled="f" stroked="t" coordsize="21600,21600">
                    <v:path/>
                    <v:fill on="f" focussize="0,0"/>
                    <v:stroke color="#000000" joinstyle="miter"/>
                    <v:imagedata o:title=""/>
                    <o:lock v:ext="edit" aspectratio="f"/>
                    <v:textbox>
                      <w:txbxContent>
                        <w:p w14:paraId="2DAC49A2">
                          <w:r>
                            <w:rPr>
                              <w:rFonts w:hint="eastAsia"/>
                            </w:rPr>
                            <w:t>混凝土运输</w:t>
                          </w:r>
                        </w:p>
                        <w:p w14:paraId="689C3F19"/>
                      </w:txbxContent>
                    </v:textbox>
                  </v:rect>
                  <v:line id="箭头 311" o:spid="_x0000_s2288" o:spt="20" style="position:absolute;left:12058;top:434288;height:1;width:255;" filled="f" stroked="t" coordsize="21600,21600">
                    <v:path arrowok="t"/>
                    <v:fill on="f" focussize="0,0"/>
                    <v:stroke color="#000000" endarrow="block"/>
                    <v:imagedata o:title=""/>
                    <o:lock v:ext="edit" aspectratio="f"/>
                  </v:line>
                  <v:line id="_x0000_s2289" o:spid="_x0000_s2289" o:spt="20" style="position:absolute;left:12282;top:431867;height:4627;width:16;" filled="f" stroked="t" coordsize="21600,21600">
                    <v:path arrowok="t"/>
                    <v:fill on="f" focussize="0,0"/>
                    <v:stroke color="#000000"/>
                    <v:imagedata o:title=""/>
                    <o:lock v:ext="edit" aspectratio="f"/>
                  </v:line>
                  <v:line id="箭头 311" o:spid="_x0000_s2290" o:spt="20" style="position:absolute;left:11922;top:433193;height:1;width:360;" filled="f" stroked="t" coordsize="21600,21600">
                    <v:path arrowok="t"/>
                    <v:fill on="f" focussize="0,0"/>
                    <v:stroke color="#000000" endarrow="block"/>
                    <v:imagedata o:title=""/>
                    <o:lock v:ext="edit" aspectratio="f"/>
                  </v:line>
                  <v:rect id="_x0000_s2291" o:spid="_x0000_s2291" o:spt="1" style="position:absolute;left:7659;top:439175;height:472;width:1597;" filled="f" stroked="t" coordsize="21600,21600">
                    <v:path/>
                    <v:fill on="f" focussize="0,0"/>
                    <v:stroke color="#000000" joinstyle="miter"/>
                    <v:imagedata o:title=""/>
                    <o:lock v:ext="edit" aspectratio="f"/>
                    <v:textbox>
                      <w:txbxContent>
                        <w:p w14:paraId="2049C80E">
                          <w:pPr>
                            <w:jc w:val="center"/>
                          </w:pPr>
                          <w:r>
                            <w:rPr>
                              <w:rFonts w:hAnsi="宋体"/>
                            </w:rPr>
                            <w:t>商品混凝土</w:t>
                          </w:r>
                        </w:p>
                      </w:txbxContent>
                    </v:textbox>
                  </v:rect>
                  <v:rect id="_x0000_s2292" o:spid="_x0000_s2292" o:spt="1" style="position:absolute;left:7951;top:438160;height:448;width:1200;" filled="f" stroked="t" coordsize="21600,21600">
                    <v:path/>
                    <v:fill on="f" focussize="0,0"/>
                    <v:stroke color="#000000" joinstyle="miter"/>
                    <v:imagedata o:title=""/>
                    <o:lock v:ext="edit" aspectratio="f"/>
                    <v:textbox>
                      <w:txbxContent>
                        <w:p w14:paraId="2D09CE38">
                          <w:r>
                            <w:rPr>
                              <w:rFonts w:hAnsi="宋体"/>
                            </w:rPr>
                            <w:t>搅拌主机</w:t>
                          </w:r>
                        </w:p>
                      </w:txbxContent>
                    </v:textbox>
                  </v:rect>
                  <v:line id="箭头 333" o:spid="_x0000_s2293" o:spt="20" style="position:absolute;left:7227;top:434683;flip:y;height:450;width:1;" filled="f" stroked="t" coordsize="21600,21600">
                    <v:path arrowok="t"/>
                    <v:fill on="f" focussize="0,0"/>
                    <v:stroke color="#000000" dashstyle="dash" endarrow="block"/>
                    <v:imagedata o:title=""/>
                    <o:lock v:ext="edit" aspectratio="f"/>
                  </v:line>
                  <v:rect id="_x0000_s2294" o:spid="_x0000_s2294" o:spt="1" style="position:absolute;left:10238;top:434877;height:432;width:1654;" filled="f" stroked="t" coordsize="21600,21600">
                    <v:path/>
                    <v:fill on="f" focussize="0,0"/>
                    <v:stroke color="#000000" joinstyle="miter"/>
                    <v:imagedata o:title=""/>
                    <o:lock v:ext="edit" aspectratio="f"/>
                    <v:textbox>
                      <w:txbxContent>
                        <w:p w14:paraId="14F9A11A">
                          <w:r>
                            <w:rPr>
                              <w:rFonts w:hAnsi="宋体"/>
                            </w:rPr>
                            <w:t>矿粉计量系统</w:t>
                          </w:r>
                        </w:p>
                      </w:txbxContent>
                    </v:textbox>
                  </v:rect>
                  <v:line id="箭头 306" o:spid="_x0000_s2295" o:spt="20" style="position:absolute;left:10557;top:431881;height:1;width:1740;" filled="f" stroked="t" coordsize="21600,21600">
                    <v:path arrowok="t"/>
                    <v:fill on="f" focussize="0,0"/>
                    <v:stroke color="#000000" endarrow="block"/>
                    <v:imagedata o:title=""/>
                    <o:lock v:ext="edit" aspectratio="f"/>
                  </v:line>
                  <v:rect id="_x0000_s2296" o:spid="_x0000_s2296" o:spt="1" style="position:absolute;left:10268;top:433059;height:432;width:1654;" filled="f" stroked="t" coordsize="21600,21600">
                    <v:path/>
                    <v:fill on="f" focussize="0,0"/>
                    <v:stroke color="#000000" joinstyle="miter"/>
                    <v:imagedata o:title=""/>
                    <o:lock v:ext="edit" aspectratio="f"/>
                    <v:textbox>
                      <w:txbxContent>
                        <w:p w14:paraId="72C630E1">
                          <w:r>
                            <w:rPr>
                              <w:rFonts w:hAnsi="宋体"/>
                            </w:rPr>
                            <w:t>水泥计量系统</w:t>
                          </w:r>
                        </w:p>
                      </w:txbxContent>
                    </v:textbox>
                  </v:rect>
                  <v:line id="箭头 333" o:spid="_x0000_s2297" o:spt="20" style="position:absolute;left:6552;top:435463;flip:y;height:450;width:1;" filled="f" stroked="t" coordsize="21600,21600">
                    <v:path arrowok="t"/>
                    <v:fill on="f" focussize="0,0"/>
                    <v:stroke color="#000000" dashstyle="dash" endarrow="block"/>
                    <v:imagedata o:title=""/>
                    <o:lock v:ext="edit" aspectratio="f"/>
                  </v:line>
                  <v:rect id="_x0000_s2298" o:spid="_x0000_s2298" o:spt="1" style="position:absolute;left:10224;top:434037;height:432;width:1849;" filled="f" stroked="t" coordsize="21600,21600">
                    <v:path/>
                    <v:fill on="f" focussize="0,0"/>
                    <v:stroke color="#000000" joinstyle="miter"/>
                    <v:imagedata o:title=""/>
                    <o:lock v:ext="edit" aspectratio="f"/>
                    <v:textbox>
                      <w:txbxContent>
                        <w:p w14:paraId="371DF7EC">
                          <w:r>
                            <w:rPr>
                              <w:rFonts w:hAnsi="宋体"/>
                            </w:rPr>
                            <w:t>粉煤灰计量系统</w:t>
                          </w:r>
                        </w:p>
                      </w:txbxContent>
                    </v:textbox>
                  </v:rect>
                  <v:rect id="_x0000_s2299" o:spid="_x0000_s2299" o:spt="1" style="position:absolute;left:6505;top:435363;flip:x y;height:403;width:735;" filled="f" stroked="f" coordsize="21600,21600">
                    <v:path/>
                    <v:fill on="f" focussize="0,0"/>
                    <v:stroke on="f"/>
                    <v:imagedata o:title=""/>
                    <o:lock v:ext="edit" aspectratio="f"/>
                    <v:textbox>
                      <w:txbxContent>
                        <w:p w14:paraId="62026377">
                          <w:r>
                            <w:t>N</w:t>
                          </w:r>
                        </w:p>
                      </w:txbxContent>
                    </v:textbox>
                  </v:rect>
                  <v:line id="箭头 316" o:spid="_x0000_s2300" o:spt="20" style="position:absolute;left:8506;top:440709;height:364;width:1;" filled="f" stroked="t" coordsize="21600,21600">
                    <v:path arrowok="t"/>
                    <v:fill on="f" focussize="0,0"/>
                    <v:stroke color="#000000" endarrow="block"/>
                    <v:imagedata o:title=""/>
                    <o:lock v:ext="edit" aspectratio="f"/>
                  </v:line>
                  <v:line id="箭头 275" o:spid="_x0000_s2301" o:spt="20" style="position:absolute;left:9722;top:435143;flip:y;height:1;width:521;" filled="f" stroked="t" coordsize="21600,21600">
                    <v:path arrowok="t"/>
                    <v:fill on="f" focussize="0,0"/>
                    <v:stroke color="#000000" endarrow="block"/>
                    <v:imagedata o:title=""/>
                    <o:lock v:ext="edit" aspectratio="f"/>
                  </v:line>
                  <v:line id="箭头 275" o:spid="_x0000_s2302" o:spt="20" style="position:absolute;left:9736;top:433238;flip:y;height:1;width:537;" filled="f" stroked="t" coordsize="21600,21600">
                    <v:path arrowok="t"/>
                    <v:fill on="f" focussize="0,0"/>
                    <v:stroke color="#000000" endarrow="block"/>
                    <v:imagedata o:title=""/>
                    <o:lock v:ext="edit" aspectratio="f"/>
                  </v:line>
                  <v:line id="箭头 275" o:spid="_x0000_s2304" o:spt="20" style="position:absolute;left:9750;top:434273;flip:y;height:1;width:492;" filled="f" stroked="t" coordsize="21600,21600">
                    <v:path arrowok="t"/>
                    <v:fill on="f" focussize="0,0"/>
                    <v:stroke color="#000000" endarrow="block"/>
                    <v:imagedata o:title=""/>
                    <o:lock v:ext="edit" aspectratio="f"/>
                  </v:line>
                  <v:rect id="_x0000_s2305" o:spid="_x0000_s2305" o:spt="1" style="position:absolute;left:9243;top:432979;height:2330;width:495;" filled="f" stroked="t" coordsize="21600,21600">
                    <v:path/>
                    <v:fill on="f" focussize="0,0"/>
                    <v:stroke color="#000000" joinstyle="miter"/>
                    <v:imagedata o:title=""/>
                    <o:lock v:ext="edit" aspectratio="f"/>
                    <v:textbox>
                      <w:txbxContent>
                        <w:p w14:paraId="6FF5075B"/>
                        <w:p w14:paraId="4E1AB8C7">
                          <w:r>
                            <w:rPr>
                              <w:rFonts w:hAnsi="宋体"/>
                            </w:rPr>
                            <w:t>皮带输送机</w:t>
                          </w:r>
                        </w:p>
                      </w:txbxContent>
                    </v:textbox>
                  </v:rect>
                  <v:line id="箭头 319" o:spid="_x0000_s2306" o:spt="20" style="position:absolute;left:5772;top:435130;height:1;width:510;" filled="f" stroked="t" coordsize="21600,21600">
                    <v:path arrowok="t"/>
                    <v:fill on="f" focussize="0,0"/>
                    <v:stroke color="#000000" endarrow="block"/>
                    <v:imagedata o:title=""/>
                    <o:lock v:ext="edit" aspectratio="f"/>
                  </v:line>
                  <v:line id="箭头 311" o:spid="_x0000_s2307" o:spt="20" style="position:absolute;left:11877;top:435144;height:1;width:420;" filled="f" stroked="t" coordsize="21600,21600">
                    <v:path arrowok="t"/>
                    <v:fill on="f" focussize="0,0"/>
                    <v:stroke color="#000000" endarrow="block"/>
                    <v:imagedata o:title=""/>
                    <o:lock v:ext="edit" aspectratio="f"/>
                  </v:line>
                  <v:line id="箭头 275" o:spid="_x0000_s2308" o:spt="20" style="position:absolute;left:8803;top:434258;flip:y;height:4;width:437;" filled="f" stroked="t" coordsize="21600,21600">
                    <v:path arrowok="t"/>
                    <v:fill on="f" focussize="0,0"/>
                    <v:stroke color="#000000" endarrow="block"/>
                    <v:imagedata o:title=""/>
                    <o:lock v:ext="edit" aspectratio="f"/>
                  </v:line>
                  <v:line id="箭头 275" o:spid="_x0000_s2309" o:spt="20" style="position:absolute;left:6854;top:433239;height:10;width:629;" filled="f" stroked="t" coordsize="21600,21600">
                    <v:path arrowok="t"/>
                    <v:fill on="f" focussize="0,0"/>
                    <v:stroke color="#000000" endarrow="block"/>
                    <v:imagedata o:title=""/>
                    <o:lock v:ext="edit" aspectratio="f"/>
                  </v:line>
                  <v:line id="箭头 275" o:spid="_x0000_s2310" o:spt="20" style="position:absolute;left:8773;top:435160;flip:y;height:2;width:481;" filled="f" stroked="t" coordsize="21600,21600">
                    <v:path arrowok="t"/>
                    <v:fill on="f" focussize="0,0"/>
                    <v:stroke color="#000000" endarrow="block"/>
                    <v:imagedata o:title=""/>
                    <o:lock v:ext="edit" aspectratio="f"/>
                  </v:line>
                  <v:rect id="_x0000_s2311" o:spid="_x0000_s2311" o:spt="1" style="position:absolute;left:7872;top:441073;height:448;width:1409;" filled="f" stroked="t" coordsize="21600,21600">
                    <v:path/>
                    <v:fill on="f" focussize="0,0"/>
                    <v:stroke color="#000000" joinstyle="miter"/>
                    <v:imagedata o:title=""/>
                    <o:lock v:ext="edit" aspectratio="f"/>
                    <v:textbox>
                      <w:txbxContent>
                        <w:p w14:paraId="22ECC732">
                          <w:r>
                            <w:t xml:space="preserve"> </w:t>
                          </w:r>
                          <w:r>
                            <w:rPr>
                              <w:rFonts w:hAnsi="宋体"/>
                            </w:rPr>
                            <w:t>施工现场</w:t>
                          </w:r>
                        </w:p>
                      </w:txbxContent>
                    </v:textbox>
                  </v:rect>
                  <v:rect id="_x0000_s2312" o:spid="_x0000_s2312" o:spt="1" style="position:absolute;left:7472;top:434853;height:448;width:1287;" filled="f" stroked="t" coordsize="21600,21600">
                    <v:path/>
                    <v:fill on="f" focussize="0,0"/>
                    <v:stroke color="#000000" joinstyle="miter"/>
                    <v:imagedata o:title=""/>
                    <o:lock v:ext="edit" aspectratio="f"/>
                    <v:textbox>
                      <w:txbxContent>
                        <w:p w14:paraId="25C22616">
                          <w:r>
                            <w:rPr>
                              <w:rFonts w:hAnsi="宋体"/>
                            </w:rPr>
                            <w:t>矿粉筒仓</w:t>
                          </w:r>
                        </w:p>
                      </w:txbxContent>
                    </v:textbox>
                  </v:rect>
                  <v:rect id="_x0000_s2313" o:spid="_x0000_s2313" o:spt="1" style="position:absolute;left:7422;top:433984;height:433;width:1380;" filled="f" stroked="t" coordsize="21600,21600">
                    <v:path/>
                    <v:fill on="f" focussize="0,0"/>
                    <v:stroke color="#000000" joinstyle="miter"/>
                    <v:imagedata o:title=""/>
                    <o:lock v:ext="edit" aspectratio="f"/>
                    <v:textbox>
                      <w:txbxContent>
                        <w:p w14:paraId="173D9BAE">
                          <w:r>
                            <w:rPr>
                              <w:rFonts w:hAnsi="宋体"/>
                            </w:rPr>
                            <w:t>粉煤灰筒仓</w:t>
                          </w:r>
                        </w:p>
                      </w:txbxContent>
                    </v:textbox>
                  </v:rect>
                  <v:line id="箭头 275" o:spid="_x0000_s2314" o:spt="20" style="position:absolute;left:6764;top:436091;flip:y;height:7;width:509;" filled="f" stroked="t" coordsize="21600,21600">
                    <v:path arrowok="t"/>
                    <v:fill on="f" focussize="0,0"/>
                    <v:stroke color="#000000" endarrow="block"/>
                    <v:imagedata o:title=""/>
                    <o:lock v:ext="edit" aspectratio="f"/>
                  </v:line>
                  <v:rect id="_x0000_s2315" o:spid="_x0000_s2315" o:spt="1" style="position:absolute;left:6331;top:435928;height:749;width:435;" filled="f" stroked="t" coordsize="21600,21600">
                    <v:path/>
                    <v:fill on="f" focussize="0,0"/>
                    <v:stroke color="#000000" joinstyle="miter"/>
                    <v:imagedata o:title=""/>
                    <o:lock v:ext="edit" aspectratio="f"/>
                    <v:textbox>
                      <w:txbxContent>
                        <w:p w14:paraId="070F1AE2">
                          <w:r>
                            <w:rPr>
                              <w:rFonts w:hAnsi="宋体"/>
                            </w:rPr>
                            <w:t>水泵</w:t>
                          </w:r>
                        </w:p>
                      </w:txbxContent>
                    </v:textbox>
                  </v:rect>
                  <v:rect id="_x0000_s2321" o:spid="_x0000_s2321" o:spt="1" style="position:absolute;left:7483;top:433083;height:448;width:1244;" filled="f" stroked="t" coordsize="21600,21600">
                    <v:path/>
                    <v:fill on="f" focussize="0,0"/>
                    <v:stroke color="#000000" joinstyle="miter"/>
                    <v:imagedata o:title=""/>
                    <o:lock v:ext="edit" aspectratio="f"/>
                    <v:textbox>
                      <w:txbxContent>
                        <w:p w14:paraId="517E2C40">
                          <w:r>
                            <w:rPr>
                              <w:rFonts w:hAnsi="宋体"/>
                            </w:rPr>
                            <w:t>水泥筒仓</w:t>
                          </w:r>
                        </w:p>
                      </w:txbxContent>
                    </v:textbox>
                  </v:rect>
                  <v:rect id="_x0000_s2322" o:spid="_x0000_s2322" o:spt="1" style="position:absolute;left:9482;top:435856;height:1396;width:495;" filled="f" stroked="t" coordsize="21600,21600">
                    <v:path/>
                    <v:fill on="f" focussize="0,0"/>
                    <v:stroke color="#000000" joinstyle="miter"/>
                    <v:imagedata o:title=""/>
                    <o:lock v:ext="edit" aspectratio="f"/>
                    <v:textbox>
                      <w:txbxContent>
                        <w:p w14:paraId="4D8FBBF1"/>
                        <w:p w14:paraId="49A54E18">
                          <w:r>
                            <w:rPr>
                              <w:rFonts w:hAnsi="宋体"/>
                            </w:rPr>
                            <w:t>混合</w:t>
                          </w:r>
                        </w:p>
                      </w:txbxContent>
                    </v:textbox>
                  </v:rect>
                  <v:line id="箭头 275" o:spid="_x0000_s2323" o:spt="20" style="position:absolute;left:6809;top:435129;height:10;width:629;" filled="f" stroked="t" coordsize="21600,21600">
                    <v:path arrowok="t"/>
                    <v:fill on="f" focussize="0,0"/>
                    <v:stroke color="#000000" endarrow="block"/>
                    <v:imagedata o:title=""/>
                    <o:lock v:ext="edit" aspectratio="f"/>
                  </v:line>
                  <v:line id="箭头 275" o:spid="_x0000_s2324" o:spt="20" style="position:absolute;left:9013;top:436143;height:1;width:465;" filled="f" stroked="t" coordsize="21600,21600">
                    <v:path arrowok="t"/>
                    <v:fill on="f" focussize="0,0"/>
                    <v:stroke color="#000000" endarrow="block"/>
                    <v:imagedata o:title=""/>
                    <o:lock v:ext="edit" aspectratio="f"/>
                  </v:line>
                  <v:line id="箭头 275" o:spid="_x0000_s2325" o:spt="20" style="position:absolute;left:8715;top:433213;flip:y;height:5;width:480;" filled="f" stroked="t" coordsize="21600,21600">
                    <v:path arrowok="t"/>
                    <v:fill on="f" focussize="0,0"/>
                    <v:stroke color="#000000" endarrow="block"/>
                    <v:imagedata o:title=""/>
                    <o:lock v:ext="edit" aspectratio="f"/>
                  </v:line>
                  <v:line id="箭头 275" o:spid="_x0000_s2326" o:spt="20" style="position:absolute;left:6838;top:434244;height:10;width:584;" filled="f" stroked="t" coordsize="21600,21600">
                    <v:path arrowok="t"/>
                    <v:fill on="f" focussize="0,0"/>
                    <v:stroke color="#000000" endarrow="block"/>
                    <v:imagedata o:title=""/>
                    <o:lock v:ext="edit" aspectratio="f"/>
                  </v:line>
                  <v:rect id="_x0000_s2327" o:spid="_x0000_s2327" o:spt="1" style="position:absolute;left:7288;top:435877;height:433;width:1724;" filled="f" stroked="t" coordsize="21600,21600">
                    <v:path/>
                    <v:fill on="f" focussize="0,0"/>
                    <v:stroke color="#000000" joinstyle="miter"/>
                    <v:imagedata o:title=""/>
                    <o:lock v:ext="edit" aspectratio="f"/>
                    <v:textbox>
                      <w:txbxContent>
                        <w:p w14:paraId="0C1D7433">
                          <w:r>
                            <w:t xml:space="preserve"> </w:t>
                          </w:r>
                          <w:r>
                            <w:rPr>
                              <w:rFonts w:hAnsi="宋体"/>
                            </w:rPr>
                            <w:t>水计量系统</w:t>
                          </w:r>
                        </w:p>
                      </w:txbxContent>
                    </v:textbox>
                  </v:rect>
                  <v:line id="箭头 275" o:spid="_x0000_s2328" o:spt="20" style="position:absolute;left:9568;top:431829;height:1;width:465;" filled="f" stroked="t" coordsize="21600,21600">
                    <v:path arrowok="t"/>
                    <v:fill on="f" focussize="0,0"/>
                    <v:stroke color="#000000" endarrow="block"/>
                    <v:imagedata o:title=""/>
                    <o:lock v:ext="edit" aspectratio="f"/>
                  </v:line>
                  <v:line id="箭头 275" o:spid="_x0000_s2329" o:spt="20" style="position:absolute;left:5804;top:436091;flip:y;height:7;width:509;" filled="f" stroked="t" coordsize="21600,21600">
                    <v:path arrowok="t"/>
                    <v:fill on="f" focussize="0,0"/>
                    <v:stroke color="#000000" endarrow="block"/>
                    <v:imagedata o:title=""/>
                    <o:lock v:ext="edit" aspectratio="f"/>
                  </v:line>
                  <v:rect id="_x0000_s2330" o:spid="_x0000_s2330" o:spt="1" style="position:absolute;left:5022;top:435829;height:433;width:782;" filled="f" stroked="t" coordsize="21600,21600">
                    <v:path/>
                    <v:fill on="f" focussize="0,0"/>
                    <v:stroke color="#000000" joinstyle="miter"/>
                    <v:imagedata o:title=""/>
                    <o:lock v:ext="edit" aspectratio="f"/>
                    <v:textbox>
                      <w:txbxContent>
                        <w:p w14:paraId="2F4CBB85">
                          <w:pPr>
                            <w:jc w:val="center"/>
                          </w:pPr>
                          <w:r>
                            <w:rPr>
                              <w:rFonts w:hAnsi="宋体"/>
                            </w:rPr>
                            <w:t>水</w:t>
                          </w:r>
                        </w:p>
                      </w:txbxContent>
                    </v:textbox>
                  </v:rect>
                  <v:line id="箭头 275" o:spid="_x0000_s2331" o:spt="20" style="position:absolute;left:8578;top:432279;height:1;width:465;" filled="f" stroked="t" coordsize="21600,21600">
                    <v:path arrowok="t"/>
                    <v:fill on="f" focussize="0,0"/>
                    <v:stroke color="#000000" endarrow="block"/>
                    <v:imagedata o:title=""/>
                    <o:lock v:ext="edit" aspectratio="f"/>
                  </v:line>
                  <v:line id="箭头 275" o:spid="_x0000_s2332" o:spt="20" style="position:absolute;left:8608;top:431364;height:1;width:465;" filled="f" stroked="t" coordsize="21600,21600">
                    <v:path arrowok="t"/>
                    <v:fill on="f" focussize="0,0"/>
                    <v:stroke color="#000000" endarrow="block"/>
                    <v:imagedata o:title=""/>
                    <o:lock v:ext="edit" aspectratio="f"/>
                  </v:line>
                  <v:line id="箭头 307" o:spid="_x0000_s2333" o:spt="20" style="position:absolute;left:9973;top:436487;flip:y;height:1;width:2311;" filled="f" stroked="t" coordsize="21600,21600">
                    <v:path arrowok="t"/>
                    <v:fill on="f" focussize="0,0"/>
                    <v:stroke color="#000000" endarrow="block"/>
                    <v:imagedata o:title=""/>
                    <o:lock v:ext="edit" aspectratio="f"/>
                  </v:line>
                  <v:rect id="_x0000_s2334" o:spid="_x0000_s2334" o:spt="1" style="position:absolute;left:7273;top:436801;height:433;width:1724;" filled="f" stroked="t" coordsize="21600,21600">
                    <v:path/>
                    <v:fill on="f" focussize="0,0"/>
                    <v:stroke color="#000000" joinstyle="miter"/>
                    <v:imagedata o:title=""/>
                    <o:lock v:ext="edit" aspectratio="f"/>
                    <v:textbox>
                      <w:txbxContent>
                        <w:p w14:paraId="3A88F11E">
                          <w:pPr>
                            <w:jc w:val="center"/>
                          </w:pPr>
                          <w:r>
                            <w:rPr>
                              <w:rFonts w:hAnsi="宋体"/>
                            </w:rPr>
                            <w:t>外加剂系统</w:t>
                          </w:r>
                        </w:p>
                      </w:txbxContent>
                    </v:textbox>
                  </v:rect>
                  <v:line id="箭头 275" o:spid="_x0000_s2335" o:spt="20" style="position:absolute;left:6853;top:432294;height:1;width:465;" filled="f" stroked="t" coordsize="21600,21600">
                    <v:path arrowok="t"/>
                    <v:fill on="f" focussize="0,0"/>
                    <v:stroke color="#000000" endarrow="block"/>
                    <v:imagedata o:title=""/>
                    <o:lock v:ext="edit" aspectratio="f"/>
                  </v:line>
                  <v:rect id="_x0000_s2336" o:spid="_x0000_s2336" o:spt="1" style="position:absolute;left:5008;top:434029;height:451;width:975;" filled="f" stroked="t" coordsize="21600,21600">
                    <v:path/>
                    <v:fill on="f" focussize="0,0"/>
                    <v:stroke color="#000000" joinstyle="miter"/>
                    <v:imagedata o:title=""/>
                    <o:lock v:ext="edit" aspectratio="f"/>
                    <v:textbox>
                      <w:txbxContent>
                        <w:p w14:paraId="6C2A1D0B">
                          <w:r>
                            <w:rPr>
                              <w:rFonts w:hAnsi="宋体"/>
                            </w:rPr>
                            <w:t>粉煤灰</w:t>
                          </w:r>
                        </w:p>
                      </w:txbxContent>
                    </v:textbox>
                  </v:rect>
                  <v:rect id="_x0000_s2337" o:spid="_x0000_s2337" o:spt="1" style="position:absolute;left:5025;top:436773;height:433;width:1033;" filled="f" stroked="t" coordsize="21600,21600">
                    <v:path/>
                    <v:fill on="f" focussize="0,0"/>
                    <v:stroke color="#000000" joinstyle="miter"/>
                    <v:imagedata o:title=""/>
                    <o:lock v:ext="edit" aspectratio="f"/>
                    <v:textbox>
                      <w:txbxContent>
                        <w:p w14:paraId="1A2489CB">
                          <w:r>
                            <w:rPr>
                              <w:rFonts w:hAnsi="宋体"/>
                            </w:rPr>
                            <w:t>外加剂</w:t>
                          </w:r>
                        </w:p>
                      </w:txbxContent>
                    </v:textbox>
                  </v:rect>
                  <v:rect id="_x0000_s2338" o:spid="_x0000_s2338" o:spt="1" style="position:absolute;left:5054;top:431944;height:433;width:765;" filled="f" stroked="t" coordsize="21600,21600">
                    <v:path/>
                    <v:fill on="f" focussize="0,0"/>
                    <v:stroke color="#000000" joinstyle="miter"/>
                    <v:imagedata o:title=""/>
                    <o:lock v:ext="edit" aspectratio="f"/>
                    <v:textbox>
                      <w:txbxContent>
                        <w:p w14:paraId="66B76601">
                          <w:r>
                            <w:rPr>
                              <w:rFonts w:hAnsi="宋体"/>
                            </w:rPr>
                            <w:t>砂子</w:t>
                          </w:r>
                        </w:p>
                      </w:txbxContent>
                    </v:textbox>
                  </v:rect>
                  <v:line id="箭头 275" o:spid="_x0000_s2339" o:spt="20" style="position:absolute;left:9013;top:436998;height:1;width:465;" filled="f" stroked="t" coordsize="21600,21600">
                    <v:path arrowok="t"/>
                    <v:fill on="f" focussize="0,0"/>
                    <v:stroke color="#000000" endarrow="block"/>
                    <v:imagedata o:title=""/>
                    <o:lock v:ext="edit" aspectratio="f"/>
                  </v:line>
                  <v:rect id="_x0000_s2340" o:spid="_x0000_s2340" o:spt="1" style="position:absolute;left:7333;top:432033;height:448;width:1244;" filled="f" stroked="t" coordsize="21600,21600">
                    <v:path/>
                    <v:fill on="f" focussize="0,0"/>
                    <v:stroke color="#000000" joinstyle="miter"/>
                    <v:imagedata o:title=""/>
                    <o:lock v:ext="edit" aspectratio="f"/>
                    <v:textbox>
                      <w:txbxContent>
                        <w:p w14:paraId="0A0BD7E2">
                          <w:pPr>
                            <w:jc w:val="center"/>
                          </w:pPr>
                          <w:r>
                            <w:rPr>
                              <w:rFonts w:hAnsi="宋体"/>
                            </w:rPr>
                            <w:t>石堆场</w:t>
                          </w:r>
                        </w:p>
                      </w:txbxContent>
                    </v:textbox>
                  </v:rect>
                  <v:line id="箭头 275" o:spid="_x0000_s2341" o:spt="20" style="position:absolute;left:6058;top:437022;height:8;width:1246;" filled="f" stroked="t" coordsize="21600,21600">
                    <v:path arrowok="t"/>
                    <v:fill on="f" focussize="0,0"/>
                    <v:stroke color="#000000" endarrow="block"/>
                    <v:imagedata o:title=""/>
                    <o:lock v:ext="edit" aspectratio="f"/>
                  </v:line>
                  <v:rect id="_x0000_s2348" o:spid="_x0000_s2348" o:spt="1" style="position:absolute;left:12651;top:434417;flip:x y;height:2077;width:661;" filled="f" stroked="f" coordsize="21600,21600">
                    <v:path/>
                    <v:fill on="f" focussize="0,0"/>
                    <v:stroke on="f"/>
                    <v:imagedata o:title=""/>
                    <o:lock v:ext="edit" aspectratio="f"/>
                    <v:textbox>
                      <w:txbxContent>
                        <w:p w14:paraId="55422F9A">
                          <w:r>
                            <w:rPr>
                              <w:rFonts w:hint="eastAsia"/>
                            </w:rPr>
                            <w:t>混凝土生产线</w:t>
                          </w:r>
                        </w:p>
                      </w:txbxContent>
                    </v:textbox>
                  </v:rect>
                  <v:shape id="_x0000_s2349" o:spid="_x0000_s2349" o:spt="32" type="#_x0000_t32" style="position:absolute;left:12738;top:434110;height:2691;width:0;" filled="f" stroked="t" coordsize="21600,21600">
                    <v:path arrowok="t"/>
                    <v:fill on="f" focussize="0,0"/>
                    <v:stroke color="#000000" endarrow="block"/>
                    <v:imagedata o:title=""/>
                    <o:lock v:ext="edit" aspectratio="f"/>
                  </v:shape>
                  <v:shape id="_x0000_s2350" o:spid="_x0000_s2350" o:spt="32" type="#_x0000_t32" style="position:absolute;left:9151;top:438369;flip:x;height:0;width:2012;" filled="f" stroked="t" coordsize="21600,21600">
                    <v:path arrowok="t"/>
                    <v:fill on="f" focussize="0,0"/>
                    <v:stroke color="#000000" endarrow="block"/>
                    <v:imagedata o:title=""/>
                    <o:lock v:ext="edit" aspectratio="f"/>
                  </v:shape>
                  <v:shape id="_x0000_s2351" o:spid="_x0000_s2351" o:spt="32" type="#_x0000_t32" style="position:absolute;left:11163;top:436801;height:1568;width:0;" filled="f" stroked="t" coordsize="21600,21600">
                    <v:path arrowok="t"/>
                    <v:fill on="f" focussize="0,0"/>
                    <v:stroke color="#000000"/>
                    <v:imagedata o:title=""/>
                    <o:lock v:ext="edit" aspectratio="f"/>
                  </v:shape>
                  <v:rect id="_x0000_s2353" o:spid="_x0000_s2353" o:spt="1" style="position:absolute;left:8024;top:437848;flip:x y;height:477;width:1082;" filled="f" stroked="f" coordsize="21600,21600">
                    <v:path/>
                    <v:fill on="f" focussize="0,0"/>
                    <v:stroke on="f"/>
                    <v:imagedata o:title=""/>
                    <o:lock v:ext="edit" aspectratio="f"/>
                    <v:textbox>
                      <w:txbxContent>
                        <w:p w14:paraId="2582F946"/>
                      </w:txbxContent>
                    </v:textbox>
                  </v:rect>
                  <v:line id="箭头 333" o:spid="_x0000_s2354" o:spt="20" style="position:absolute;left:9043;top:437710;flip:y;height:450;width:1;" filled="f" stroked="t" coordsize="21600,21600">
                    <v:path arrowok="t"/>
                    <v:fill on="f" focussize="0,0"/>
                    <v:stroke color="#000000" dashstyle="dash" endarrow="block"/>
                    <v:imagedata o:title=""/>
                    <o:lock v:ext="edit" aspectratio="f"/>
                  </v:line>
                  <v:shape id="_x0000_s2355" o:spid="_x0000_s2355" o:spt="32" type="#_x0000_t32" style="position:absolute;left:12282;top:434110;height:0;width:456;" filled="f" stroked="t" coordsize="21600,21600">
                    <v:path arrowok="t"/>
                    <v:fill on="f" focussize="0,0"/>
                    <v:stroke weight="0.25pt" color="#000000"/>
                    <v:imagedata o:title=""/>
                    <o:lock v:ext="edit" aspectratio="f"/>
                  </v:shape>
                  <v:shape id="_x0000_s2356" o:spid="_x0000_s2356" o:spt="32" type="#_x0000_t32" style="position:absolute;left:11163;top:436801;flip:x;height:0;width:1575;" filled="f" stroked="t" coordsize="21600,21600">
                    <v:path arrowok="t"/>
                    <v:fill on="f" focussize="0,0"/>
                    <v:stroke weight="0.25pt" color="#000000"/>
                    <v:imagedata o:title=""/>
                    <o:lock v:ext="edit" aspectratio="f"/>
                  </v:shape>
                  <v:rect id="_x0000_s2363" o:spid="_x0000_s2363" o:spt="1" style="position:absolute;left:7363;top:431538;height:448;width:1244;" filled="f" stroked="f" coordsize="21600,21600">
                    <v:path/>
                    <v:fill on="f" focussize="0,0"/>
                    <v:stroke on="f" joinstyle="miter"/>
                    <v:imagedata o:title=""/>
                    <o:lock v:ext="edit" aspectratio="f"/>
                    <v:textbox>
                      <w:txbxContent>
                        <w:p w14:paraId="5A960784">
                          <w:pPr>
                            <w:jc w:val="center"/>
                            <w:rPr>
                              <w:rFonts w:hint="eastAsia" w:eastAsia="宋体"/>
                              <w:lang w:eastAsia="zh-CN"/>
                            </w:rPr>
                          </w:pPr>
                          <w:r>
                            <w:rPr>
                              <w:rFonts w:hint="eastAsia" w:hAnsi="宋体"/>
                              <w:lang w:eastAsia="zh-CN"/>
                            </w:rPr>
                            <w:t>储料库</w:t>
                          </w:r>
                        </w:p>
                      </w:txbxContent>
                    </v:textbox>
                  </v:rect>
                </v:group>
              </w:pict>
            </w:r>
          </w:p>
          <w:p w14:paraId="48219F3B">
            <w:pPr>
              <w:widowControl w:val="0"/>
              <w:numPr>
                <w:ilvl w:val="0"/>
                <w:numId w:val="0"/>
              </w:numPr>
              <w:snapToGrid w:val="0"/>
              <w:spacing w:line="360" w:lineRule="auto"/>
              <w:jc w:val="center"/>
              <w:rPr>
                <w:rFonts w:hint="default" w:ascii="Times New Roman" w:hAnsi="Times New Roman" w:cs="Times New Roman"/>
                <w:b/>
                <w:bCs w:val="0"/>
                <w:sz w:val="18"/>
                <w:szCs w:val="18"/>
                <w:lang w:val="en-US" w:eastAsia="zh-CN"/>
              </w:rPr>
            </w:pPr>
          </w:p>
          <w:p w14:paraId="4EA80094">
            <w:pPr>
              <w:widowControl w:val="0"/>
              <w:numPr>
                <w:ilvl w:val="0"/>
                <w:numId w:val="0"/>
              </w:numPr>
              <w:snapToGrid w:val="0"/>
              <w:spacing w:line="360" w:lineRule="auto"/>
              <w:jc w:val="center"/>
              <w:rPr>
                <w:rFonts w:hint="default" w:ascii="Times New Roman" w:hAnsi="Times New Roman" w:cs="Times New Roman"/>
                <w:b/>
                <w:bCs w:val="0"/>
                <w:sz w:val="18"/>
                <w:szCs w:val="18"/>
                <w:lang w:val="en-US" w:eastAsia="zh-CN"/>
              </w:rPr>
            </w:pPr>
          </w:p>
          <w:p w14:paraId="55CD3BF0">
            <w:pPr>
              <w:widowControl w:val="0"/>
              <w:numPr>
                <w:ilvl w:val="0"/>
                <w:numId w:val="0"/>
              </w:numPr>
              <w:snapToGrid w:val="0"/>
              <w:spacing w:line="360" w:lineRule="auto"/>
              <w:jc w:val="center"/>
              <w:rPr>
                <w:rFonts w:hint="default" w:ascii="Times New Roman" w:hAnsi="Times New Roman" w:cs="Times New Roman"/>
                <w:b/>
                <w:bCs w:val="0"/>
                <w:sz w:val="18"/>
                <w:szCs w:val="18"/>
                <w:lang w:val="en-US" w:eastAsia="zh-CN"/>
              </w:rPr>
            </w:pPr>
          </w:p>
          <w:p w14:paraId="5CF39E82">
            <w:pPr>
              <w:widowControl w:val="0"/>
              <w:numPr>
                <w:ilvl w:val="0"/>
                <w:numId w:val="0"/>
              </w:numPr>
              <w:snapToGrid w:val="0"/>
              <w:spacing w:line="360" w:lineRule="auto"/>
              <w:jc w:val="center"/>
              <w:rPr>
                <w:rFonts w:hint="default" w:ascii="Times New Roman" w:hAnsi="Times New Roman" w:cs="Times New Roman"/>
                <w:b/>
                <w:bCs w:val="0"/>
                <w:sz w:val="18"/>
                <w:szCs w:val="18"/>
                <w:lang w:val="en-US" w:eastAsia="zh-CN"/>
              </w:rPr>
            </w:pPr>
          </w:p>
          <w:p w14:paraId="462BCFFD">
            <w:pPr>
              <w:widowControl w:val="0"/>
              <w:numPr>
                <w:ilvl w:val="0"/>
                <w:numId w:val="0"/>
              </w:numPr>
              <w:snapToGrid w:val="0"/>
              <w:spacing w:line="360" w:lineRule="auto"/>
              <w:jc w:val="center"/>
              <w:rPr>
                <w:rFonts w:hint="default" w:ascii="Times New Roman" w:hAnsi="Times New Roman" w:cs="Times New Roman"/>
                <w:b/>
                <w:bCs w:val="0"/>
                <w:sz w:val="18"/>
                <w:szCs w:val="18"/>
                <w:lang w:val="en-US" w:eastAsia="zh-CN"/>
              </w:rPr>
            </w:pPr>
          </w:p>
          <w:p w14:paraId="1DFC6923">
            <w:pPr>
              <w:widowControl w:val="0"/>
              <w:numPr>
                <w:ilvl w:val="0"/>
                <w:numId w:val="0"/>
              </w:numPr>
              <w:snapToGrid w:val="0"/>
              <w:spacing w:line="360" w:lineRule="auto"/>
              <w:jc w:val="center"/>
              <w:rPr>
                <w:rFonts w:hint="default" w:ascii="Times New Roman" w:hAnsi="Times New Roman" w:cs="Times New Roman"/>
                <w:b/>
                <w:bCs w:val="0"/>
                <w:sz w:val="18"/>
                <w:szCs w:val="18"/>
                <w:lang w:val="en-US" w:eastAsia="zh-CN"/>
              </w:rPr>
            </w:pPr>
          </w:p>
          <w:p w14:paraId="6FDA1810">
            <w:pPr>
              <w:widowControl w:val="0"/>
              <w:numPr>
                <w:ilvl w:val="0"/>
                <w:numId w:val="0"/>
              </w:numPr>
              <w:snapToGrid w:val="0"/>
              <w:spacing w:line="360" w:lineRule="auto"/>
              <w:jc w:val="center"/>
              <w:rPr>
                <w:rFonts w:hint="default" w:ascii="Times New Roman" w:hAnsi="Times New Roman" w:cs="Times New Roman"/>
                <w:b/>
                <w:bCs w:val="0"/>
                <w:sz w:val="18"/>
                <w:szCs w:val="18"/>
                <w:lang w:val="en-US" w:eastAsia="zh-CN"/>
              </w:rPr>
            </w:pPr>
          </w:p>
          <w:p w14:paraId="6BC5223B">
            <w:pPr>
              <w:widowControl w:val="0"/>
              <w:numPr>
                <w:ilvl w:val="0"/>
                <w:numId w:val="0"/>
              </w:numPr>
              <w:snapToGrid w:val="0"/>
              <w:spacing w:line="360" w:lineRule="auto"/>
              <w:jc w:val="center"/>
              <w:rPr>
                <w:rFonts w:hint="default" w:ascii="Times New Roman" w:hAnsi="Times New Roman" w:cs="Times New Roman"/>
                <w:b/>
                <w:bCs w:val="0"/>
                <w:sz w:val="18"/>
                <w:szCs w:val="18"/>
                <w:lang w:val="en-US" w:eastAsia="zh-CN"/>
              </w:rPr>
            </w:pPr>
          </w:p>
          <w:p w14:paraId="2C7911E1">
            <w:pPr>
              <w:widowControl w:val="0"/>
              <w:numPr>
                <w:ilvl w:val="0"/>
                <w:numId w:val="0"/>
              </w:numPr>
              <w:snapToGrid w:val="0"/>
              <w:spacing w:line="360" w:lineRule="auto"/>
              <w:jc w:val="center"/>
              <w:rPr>
                <w:rFonts w:hint="default" w:ascii="Times New Roman" w:hAnsi="Times New Roman" w:cs="Times New Roman"/>
                <w:b/>
                <w:bCs w:val="0"/>
                <w:sz w:val="18"/>
                <w:szCs w:val="18"/>
                <w:lang w:val="en-US" w:eastAsia="zh-CN"/>
              </w:rPr>
            </w:pPr>
          </w:p>
          <w:p w14:paraId="5C6C9152">
            <w:pPr>
              <w:widowControl w:val="0"/>
              <w:numPr>
                <w:ilvl w:val="0"/>
                <w:numId w:val="0"/>
              </w:numPr>
              <w:snapToGrid w:val="0"/>
              <w:spacing w:line="360" w:lineRule="auto"/>
              <w:jc w:val="center"/>
              <w:rPr>
                <w:rFonts w:hint="default" w:ascii="Times New Roman" w:hAnsi="Times New Roman" w:cs="Times New Roman"/>
                <w:b/>
                <w:bCs w:val="0"/>
                <w:sz w:val="18"/>
                <w:szCs w:val="18"/>
                <w:lang w:val="en-US" w:eastAsia="zh-CN"/>
              </w:rPr>
            </w:pPr>
          </w:p>
          <w:p w14:paraId="50757436">
            <w:pPr>
              <w:widowControl w:val="0"/>
              <w:numPr>
                <w:ilvl w:val="0"/>
                <w:numId w:val="0"/>
              </w:numPr>
              <w:snapToGrid w:val="0"/>
              <w:spacing w:line="360" w:lineRule="auto"/>
              <w:jc w:val="center"/>
              <w:rPr>
                <w:rFonts w:hint="default" w:ascii="Times New Roman" w:hAnsi="Times New Roman" w:cs="Times New Roman"/>
                <w:b/>
                <w:bCs w:val="0"/>
                <w:sz w:val="18"/>
                <w:szCs w:val="18"/>
                <w:lang w:val="en-US" w:eastAsia="zh-CN"/>
              </w:rPr>
            </w:pPr>
          </w:p>
          <w:p w14:paraId="7D6326A6">
            <w:pPr>
              <w:widowControl w:val="0"/>
              <w:numPr>
                <w:ilvl w:val="0"/>
                <w:numId w:val="0"/>
              </w:numPr>
              <w:snapToGrid w:val="0"/>
              <w:spacing w:line="360" w:lineRule="auto"/>
              <w:jc w:val="center"/>
              <w:rPr>
                <w:rFonts w:hint="default" w:ascii="Times New Roman" w:hAnsi="Times New Roman" w:cs="Times New Roman"/>
                <w:b/>
                <w:bCs w:val="0"/>
                <w:sz w:val="18"/>
                <w:szCs w:val="18"/>
                <w:lang w:val="en-US" w:eastAsia="zh-CN"/>
              </w:rPr>
            </w:pPr>
          </w:p>
          <w:p w14:paraId="436ED4C8">
            <w:pPr>
              <w:widowControl w:val="0"/>
              <w:numPr>
                <w:ilvl w:val="0"/>
                <w:numId w:val="0"/>
              </w:numPr>
              <w:snapToGrid w:val="0"/>
              <w:spacing w:line="360" w:lineRule="auto"/>
              <w:jc w:val="center"/>
              <w:rPr>
                <w:rFonts w:hint="default" w:ascii="Times New Roman" w:hAnsi="Times New Roman" w:cs="Times New Roman"/>
                <w:b/>
                <w:bCs w:val="0"/>
                <w:sz w:val="18"/>
                <w:szCs w:val="18"/>
                <w:lang w:val="en-US" w:eastAsia="zh-CN"/>
              </w:rPr>
            </w:pPr>
          </w:p>
          <w:p w14:paraId="7268D2C3">
            <w:pPr>
              <w:widowControl w:val="0"/>
              <w:numPr>
                <w:ilvl w:val="0"/>
                <w:numId w:val="0"/>
              </w:numPr>
              <w:snapToGrid w:val="0"/>
              <w:spacing w:line="360" w:lineRule="auto"/>
              <w:jc w:val="center"/>
              <w:rPr>
                <w:rFonts w:hint="default" w:ascii="Times New Roman" w:hAnsi="Times New Roman" w:cs="Times New Roman"/>
                <w:b/>
                <w:bCs w:val="0"/>
                <w:sz w:val="18"/>
                <w:szCs w:val="18"/>
                <w:lang w:val="en-US" w:eastAsia="zh-CN"/>
              </w:rPr>
            </w:pPr>
          </w:p>
          <w:p w14:paraId="6F31786B">
            <w:pPr>
              <w:widowControl w:val="0"/>
              <w:numPr>
                <w:ilvl w:val="0"/>
                <w:numId w:val="0"/>
              </w:numPr>
              <w:snapToGrid w:val="0"/>
              <w:spacing w:line="360" w:lineRule="auto"/>
              <w:jc w:val="center"/>
              <w:rPr>
                <w:rFonts w:hint="default" w:ascii="Times New Roman" w:hAnsi="Times New Roman" w:cs="Times New Roman"/>
                <w:b/>
                <w:bCs w:val="0"/>
                <w:sz w:val="18"/>
                <w:szCs w:val="18"/>
                <w:lang w:val="en-US" w:eastAsia="zh-CN"/>
              </w:rPr>
            </w:pPr>
          </w:p>
          <w:p w14:paraId="1896FC40">
            <w:pPr>
              <w:widowControl w:val="0"/>
              <w:numPr>
                <w:ilvl w:val="0"/>
                <w:numId w:val="0"/>
              </w:numPr>
              <w:snapToGrid w:val="0"/>
              <w:spacing w:line="360" w:lineRule="auto"/>
              <w:jc w:val="center"/>
              <w:rPr>
                <w:rFonts w:hint="default" w:ascii="Times New Roman" w:hAnsi="Times New Roman" w:cs="Times New Roman"/>
                <w:b/>
                <w:bCs w:val="0"/>
                <w:sz w:val="18"/>
                <w:szCs w:val="18"/>
                <w:lang w:val="en-US" w:eastAsia="zh-CN"/>
              </w:rPr>
            </w:pPr>
          </w:p>
          <w:p w14:paraId="6CB95FCA">
            <w:pPr>
              <w:widowControl w:val="0"/>
              <w:numPr>
                <w:ilvl w:val="0"/>
                <w:numId w:val="0"/>
              </w:numPr>
              <w:snapToGrid w:val="0"/>
              <w:spacing w:line="360" w:lineRule="auto"/>
              <w:jc w:val="center"/>
              <w:rPr>
                <w:rFonts w:hint="default" w:ascii="Times New Roman" w:hAnsi="Times New Roman" w:cs="Times New Roman"/>
                <w:b/>
                <w:bCs w:val="0"/>
                <w:sz w:val="18"/>
                <w:szCs w:val="18"/>
                <w:lang w:val="en-US" w:eastAsia="zh-CN"/>
              </w:rPr>
            </w:pPr>
          </w:p>
          <w:p w14:paraId="52F313C4">
            <w:pPr>
              <w:widowControl w:val="0"/>
              <w:numPr>
                <w:ilvl w:val="0"/>
                <w:numId w:val="0"/>
              </w:numPr>
              <w:snapToGrid w:val="0"/>
              <w:spacing w:line="360" w:lineRule="auto"/>
              <w:jc w:val="center"/>
              <w:rPr>
                <w:rFonts w:hint="default" w:ascii="Times New Roman" w:hAnsi="Times New Roman" w:cs="Times New Roman"/>
                <w:b/>
                <w:bCs w:val="0"/>
                <w:sz w:val="18"/>
                <w:szCs w:val="18"/>
                <w:lang w:val="en-US" w:eastAsia="zh-CN"/>
              </w:rPr>
            </w:pPr>
          </w:p>
          <w:p w14:paraId="09369FA7">
            <w:pPr>
              <w:widowControl w:val="0"/>
              <w:numPr>
                <w:ilvl w:val="0"/>
                <w:numId w:val="0"/>
              </w:numPr>
              <w:snapToGrid w:val="0"/>
              <w:spacing w:line="360" w:lineRule="auto"/>
              <w:jc w:val="center"/>
              <w:rPr>
                <w:rFonts w:hint="default" w:ascii="Times New Roman" w:hAnsi="Times New Roman" w:cs="Times New Roman"/>
                <w:b/>
                <w:bCs w:val="0"/>
                <w:sz w:val="18"/>
                <w:szCs w:val="18"/>
                <w:lang w:val="en-US" w:eastAsia="zh-CN"/>
              </w:rPr>
            </w:pPr>
          </w:p>
          <w:p w14:paraId="78451EB1">
            <w:pPr>
              <w:widowControl w:val="0"/>
              <w:numPr>
                <w:ilvl w:val="0"/>
                <w:numId w:val="0"/>
              </w:numPr>
              <w:snapToGrid w:val="0"/>
              <w:spacing w:line="360" w:lineRule="auto"/>
              <w:jc w:val="center"/>
              <w:rPr>
                <w:rFonts w:hint="default" w:ascii="Times New Roman" w:hAnsi="Times New Roman" w:cs="Times New Roman"/>
                <w:b/>
                <w:bCs w:val="0"/>
                <w:sz w:val="18"/>
                <w:szCs w:val="18"/>
                <w:lang w:val="en-US" w:eastAsia="zh-CN"/>
              </w:rPr>
            </w:pPr>
          </w:p>
          <w:p w14:paraId="317E2655">
            <w:pPr>
              <w:widowControl w:val="0"/>
              <w:numPr>
                <w:ilvl w:val="0"/>
                <w:numId w:val="0"/>
              </w:numPr>
              <w:snapToGrid w:val="0"/>
              <w:spacing w:line="360" w:lineRule="auto"/>
              <w:jc w:val="center"/>
              <w:rPr>
                <w:rFonts w:hint="default" w:ascii="Times New Roman" w:hAnsi="Times New Roman" w:cs="Times New Roman"/>
                <w:b/>
                <w:bCs w:val="0"/>
                <w:sz w:val="18"/>
                <w:szCs w:val="18"/>
                <w:lang w:val="en-US" w:eastAsia="zh-CN"/>
              </w:rPr>
            </w:pPr>
          </w:p>
          <w:p w14:paraId="2499E138">
            <w:pPr>
              <w:widowControl w:val="0"/>
              <w:numPr>
                <w:ilvl w:val="0"/>
                <w:numId w:val="0"/>
              </w:numPr>
              <w:snapToGrid w:val="0"/>
              <w:spacing w:line="360" w:lineRule="auto"/>
              <w:jc w:val="center"/>
              <w:rPr>
                <w:rFonts w:hint="default" w:ascii="Times New Roman" w:hAnsi="Times New Roman" w:cs="Times New Roman"/>
                <w:b/>
                <w:bCs w:val="0"/>
                <w:sz w:val="18"/>
                <w:szCs w:val="18"/>
                <w:lang w:val="en-US" w:eastAsia="zh-CN"/>
              </w:rPr>
            </w:pPr>
          </w:p>
          <w:p w14:paraId="0990E6A1">
            <w:pPr>
              <w:widowControl w:val="0"/>
              <w:numPr>
                <w:ilvl w:val="0"/>
                <w:numId w:val="0"/>
              </w:numPr>
              <w:snapToGrid w:val="0"/>
              <w:spacing w:line="360" w:lineRule="auto"/>
              <w:jc w:val="center"/>
              <w:rPr>
                <w:rFonts w:hint="default" w:ascii="Times New Roman" w:hAnsi="Times New Roman" w:cs="Times New Roman"/>
                <w:b/>
                <w:bCs w:val="0"/>
                <w:sz w:val="18"/>
                <w:szCs w:val="18"/>
                <w:lang w:val="en-US" w:eastAsia="zh-CN"/>
              </w:rPr>
            </w:pPr>
          </w:p>
          <w:p w14:paraId="53F56C7E">
            <w:pPr>
              <w:widowControl w:val="0"/>
              <w:numPr>
                <w:ilvl w:val="0"/>
                <w:numId w:val="0"/>
              </w:numPr>
              <w:snapToGrid w:val="0"/>
              <w:spacing w:line="360" w:lineRule="auto"/>
              <w:jc w:val="center"/>
              <w:rPr>
                <w:rFonts w:hint="default" w:ascii="Times New Roman" w:hAnsi="Times New Roman" w:cs="Times New Roman"/>
                <w:b/>
                <w:bCs w:val="0"/>
                <w:sz w:val="18"/>
                <w:szCs w:val="18"/>
                <w:lang w:val="en-US" w:eastAsia="zh-CN"/>
              </w:rPr>
            </w:pPr>
          </w:p>
          <w:p w14:paraId="61ACB266">
            <w:pPr>
              <w:widowControl w:val="0"/>
              <w:numPr>
                <w:ilvl w:val="0"/>
                <w:numId w:val="0"/>
              </w:numPr>
              <w:snapToGrid w:val="0"/>
              <w:spacing w:line="360" w:lineRule="auto"/>
              <w:jc w:val="center"/>
              <w:rPr>
                <w:rFonts w:hint="eastAsia" w:hAnsi="宋体"/>
                <w:b/>
                <w:bCs w:val="0"/>
                <w:sz w:val="18"/>
                <w:szCs w:val="18"/>
                <w:lang w:val="en-US" w:eastAsia="zh-CN"/>
              </w:rPr>
            </w:pPr>
          </w:p>
          <w:p w14:paraId="004935FE">
            <w:pPr>
              <w:widowControl w:val="0"/>
              <w:numPr>
                <w:ilvl w:val="0"/>
                <w:numId w:val="0"/>
              </w:numPr>
              <w:snapToGrid w:val="0"/>
              <w:spacing w:line="360" w:lineRule="auto"/>
              <w:jc w:val="center"/>
              <w:rPr>
                <w:rFonts w:hint="eastAsia" w:hAnsi="宋体"/>
                <w:b/>
                <w:bCs w:val="0"/>
                <w:sz w:val="18"/>
                <w:szCs w:val="18"/>
                <w:lang w:val="en-US" w:eastAsia="zh-CN"/>
              </w:rPr>
            </w:pPr>
          </w:p>
          <w:p w14:paraId="29D60198">
            <w:pPr>
              <w:widowControl w:val="0"/>
              <w:numPr>
                <w:ilvl w:val="0"/>
                <w:numId w:val="0"/>
              </w:numPr>
              <w:snapToGrid w:val="0"/>
              <w:spacing w:line="360" w:lineRule="auto"/>
              <w:jc w:val="center"/>
              <w:rPr>
                <w:rFonts w:hint="eastAsia" w:hAnsi="宋体"/>
                <w:b/>
                <w:bCs w:val="0"/>
                <w:sz w:val="18"/>
                <w:szCs w:val="18"/>
                <w:lang w:val="en-US" w:eastAsia="zh-CN"/>
              </w:rPr>
            </w:pPr>
          </w:p>
          <w:p w14:paraId="0536C2E4">
            <w:pPr>
              <w:widowControl w:val="0"/>
              <w:numPr>
                <w:ilvl w:val="0"/>
                <w:numId w:val="0"/>
              </w:numPr>
              <w:snapToGrid w:val="0"/>
              <w:spacing w:line="360" w:lineRule="auto"/>
              <w:jc w:val="center"/>
              <w:rPr>
                <w:rFonts w:hint="eastAsia" w:hAnsi="宋体"/>
                <w:b/>
                <w:bCs w:val="0"/>
                <w:sz w:val="18"/>
                <w:szCs w:val="18"/>
                <w:lang w:val="en-US" w:eastAsia="zh-CN"/>
              </w:rPr>
            </w:pPr>
          </w:p>
          <w:p w14:paraId="6C4D08C6">
            <w:pPr>
              <w:widowControl w:val="0"/>
              <w:numPr>
                <w:ilvl w:val="0"/>
                <w:numId w:val="0"/>
              </w:numPr>
              <w:snapToGrid w:val="0"/>
              <w:spacing w:line="360" w:lineRule="auto"/>
              <w:jc w:val="center"/>
              <w:rPr>
                <w:rFonts w:hint="eastAsia" w:hAnsi="宋体"/>
                <w:b/>
                <w:bCs w:val="0"/>
                <w:sz w:val="18"/>
                <w:szCs w:val="18"/>
                <w:lang w:val="en-US" w:eastAsia="zh-CN"/>
              </w:rPr>
            </w:pPr>
          </w:p>
          <w:p w14:paraId="5F09807D">
            <w:pPr>
              <w:widowControl w:val="0"/>
              <w:numPr>
                <w:ilvl w:val="0"/>
                <w:numId w:val="0"/>
              </w:numPr>
              <w:snapToGrid w:val="0"/>
              <w:spacing w:line="360" w:lineRule="auto"/>
              <w:jc w:val="center"/>
              <w:rPr>
                <w:rFonts w:hint="eastAsia" w:hAnsi="宋体"/>
                <w:b/>
                <w:bCs w:val="0"/>
                <w:sz w:val="18"/>
                <w:szCs w:val="18"/>
                <w:lang w:val="en-US" w:eastAsia="zh-CN"/>
              </w:rPr>
            </w:pPr>
          </w:p>
          <w:p w14:paraId="5ECA3BD1">
            <w:pPr>
              <w:widowControl w:val="0"/>
              <w:numPr>
                <w:ilvl w:val="0"/>
                <w:numId w:val="0"/>
              </w:numPr>
              <w:snapToGrid w:val="0"/>
              <w:spacing w:line="360" w:lineRule="auto"/>
              <w:jc w:val="center"/>
              <w:rPr>
                <w:rFonts w:hint="eastAsia" w:hAnsi="宋体"/>
                <w:b/>
                <w:bCs w:val="0"/>
                <w:sz w:val="18"/>
                <w:szCs w:val="18"/>
                <w:lang w:val="en-US" w:eastAsia="zh-CN"/>
              </w:rPr>
            </w:pPr>
          </w:p>
          <w:p w14:paraId="7557AA98">
            <w:pPr>
              <w:widowControl w:val="0"/>
              <w:numPr>
                <w:ilvl w:val="0"/>
                <w:numId w:val="0"/>
              </w:numPr>
              <w:snapToGrid w:val="0"/>
              <w:spacing w:line="360" w:lineRule="auto"/>
              <w:jc w:val="center"/>
              <w:rPr>
                <w:rFonts w:hint="eastAsia" w:hAnsi="宋体"/>
                <w:b/>
                <w:bCs w:val="0"/>
                <w:sz w:val="18"/>
                <w:szCs w:val="18"/>
                <w:lang w:val="en-US" w:eastAsia="zh-CN"/>
              </w:rPr>
            </w:pPr>
          </w:p>
          <w:p w14:paraId="7517C0A3">
            <w:pPr>
              <w:widowControl w:val="0"/>
              <w:numPr>
                <w:ilvl w:val="0"/>
                <w:numId w:val="0"/>
              </w:numPr>
              <w:snapToGrid w:val="0"/>
              <w:spacing w:line="360" w:lineRule="auto"/>
              <w:jc w:val="center"/>
              <w:rPr>
                <w:rFonts w:hint="eastAsia" w:hAnsi="宋体"/>
                <w:b/>
                <w:bCs w:val="0"/>
                <w:sz w:val="18"/>
                <w:szCs w:val="18"/>
                <w:lang w:val="en-US" w:eastAsia="zh-CN"/>
              </w:rPr>
            </w:pPr>
          </w:p>
          <w:p w14:paraId="6C9D2C99">
            <w:pPr>
              <w:widowControl w:val="0"/>
              <w:numPr>
                <w:ilvl w:val="0"/>
                <w:numId w:val="0"/>
              </w:numPr>
              <w:snapToGrid w:val="0"/>
              <w:spacing w:line="360" w:lineRule="auto"/>
              <w:jc w:val="center"/>
              <w:rPr>
                <w:rFonts w:hint="eastAsia" w:hAnsi="宋体"/>
                <w:b/>
                <w:bCs w:val="0"/>
                <w:sz w:val="18"/>
                <w:szCs w:val="18"/>
                <w:lang w:val="en-US" w:eastAsia="zh-CN"/>
              </w:rPr>
            </w:pPr>
          </w:p>
          <w:p w14:paraId="7EBA2BA5">
            <w:pPr>
              <w:widowControl w:val="0"/>
              <w:numPr>
                <w:ilvl w:val="0"/>
                <w:numId w:val="0"/>
              </w:numPr>
              <w:snapToGrid w:val="0"/>
              <w:spacing w:line="360" w:lineRule="auto"/>
              <w:jc w:val="center"/>
              <w:rPr>
                <w:rFonts w:hint="eastAsia" w:hAnsi="宋体"/>
                <w:b/>
                <w:bCs w:val="0"/>
                <w:sz w:val="18"/>
                <w:szCs w:val="18"/>
                <w:lang w:val="en-US" w:eastAsia="zh-CN"/>
              </w:rPr>
            </w:pPr>
          </w:p>
          <w:p w14:paraId="3D23D86D">
            <w:pPr>
              <w:widowControl w:val="0"/>
              <w:numPr>
                <w:ilvl w:val="0"/>
                <w:numId w:val="0"/>
              </w:numPr>
              <w:snapToGrid w:val="0"/>
              <w:spacing w:line="360" w:lineRule="auto"/>
              <w:jc w:val="center"/>
              <w:rPr>
                <w:rFonts w:hint="eastAsia" w:hAnsi="宋体"/>
                <w:b/>
                <w:bCs w:val="0"/>
                <w:sz w:val="18"/>
                <w:szCs w:val="18"/>
                <w:lang w:val="en-US" w:eastAsia="zh-CN"/>
              </w:rPr>
            </w:pPr>
          </w:p>
          <w:p w14:paraId="0031A8AF">
            <w:pPr>
              <w:widowControl w:val="0"/>
              <w:numPr>
                <w:ilvl w:val="0"/>
                <w:numId w:val="0"/>
              </w:numPr>
              <w:snapToGrid w:val="0"/>
              <w:spacing w:line="360" w:lineRule="auto"/>
              <w:jc w:val="center"/>
              <w:rPr>
                <w:rFonts w:hint="eastAsia" w:hAnsi="宋体"/>
                <w:b/>
                <w:bCs w:val="0"/>
                <w:sz w:val="18"/>
                <w:szCs w:val="18"/>
                <w:lang w:val="en-US" w:eastAsia="zh-CN"/>
              </w:rPr>
            </w:pPr>
          </w:p>
          <w:p w14:paraId="27CD7D2C">
            <w:pPr>
              <w:widowControl w:val="0"/>
              <w:numPr>
                <w:ilvl w:val="0"/>
                <w:numId w:val="0"/>
              </w:numPr>
              <w:snapToGrid w:val="0"/>
              <w:spacing w:line="360" w:lineRule="auto"/>
              <w:jc w:val="center"/>
              <w:rPr>
                <w:rFonts w:hint="default" w:ascii="Times New Roman" w:hAnsi="Times New Roman" w:cs="Times New Roman"/>
                <w:b/>
                <w:bCs w:val="0"/>
                <w:sz w:val="18"/>
                <w:szCs w:val="18"/>
                <w:lang w:val="en-US" w:eastAsia="zh-CN"/>
              </w:rPr>
            </w:pPr>
            <w:r>
              <w:rPr>
                <w:rFonts w:hint="eastAsia" w:hAnsi="宋体"/>
                <w:b/>
                <w:bCs w:val="0"/>
                <w:sz w:val="18"/>
                <w:szCs w:val="18"/>
                <w:lang w:val="en-US" w:eastAsia="zh-CN"/>
              </w:rPr>
              <w:t>图2-3    运营期混凝土生产工艺流程及产排污环节图</w:t>
            </w:r>
          </w:p>
          <w:p w14:paraId="5034B54E">
            <w:pPr>
              <w:snapToGrid w:val="0"/>
              <w:spacing w:line="360" w:lineRule="auto"/>
              <w:ind w:firstLine="420" w:firstLineChars="200"/>
              <w:rPr>
                <w:rFonts w:hint="eastAsia"/>
                <w:bCs/>
                <w:color w:val="auto"/>
                <w:szCs w:val="21"/>
                <w:lang w:val="en-US" w:eastAsia="zh-CN"/>
              </w:rPr>
            </w:pPr>
          </w:p>
          <w:p w14:paraId="131555BF">
            <w:pPr>
              <w:snapToGrid w:val="0"/>
              <w:spacing w:line="360" w:lineRule="auto"/>
              <w:ind w:firstLine="420" w:firstLineChars="200"/>
              <w:rPr>
                <w:rFonts w:hint="eastAsia"/>
                <w:bCs/>
                <w:color w:val="auto"/>
                <w:szCs w:val="21"/>
                <w:lang w:val="en-US" w:eastAsia="zh-CN"/>
              </w:rPr>
            </w:pPr>
          </w:p>
          <w:p w14:paraId="313546E6">
            <w:pPr>
              <w:snapToGrid w:val="0"/>
              <w:spacing w:line="360" w:lineRule="auto"/>
              <w:ind w:firstLine="420" w:firstLineChars="200"/>
              <w:rPr>
                <w:rFonts w:hint="eastAsia"/>
                <w:bCs/>
                <w:color w:val="auto"/>
                <w:szCs w:val="21"/>
                <w:lang w:val="en-US" w:eastAsia="zh-CN"/>
              </w:rPr>
            </w:pPr>
          </w:p>
          <w:p w14:paraId="6FDEAA54">
            <w:pPr>
              <w:snapToGrid w:val="0"/>
              <w:spacing w:line="360" w:lineRule="auto"/>
              <w:ind w:firstLine="1626" w:firstLineChars="900"/>
              <w:jc w:val="both"/>
              <w:rPr>
                <w:rFonts w:hint="default"/>
                <w:b/>
                <w:bCs w:val="0"/>
                <w:color w:val="auto"/>
                <w:sz w:val="18"/>
                <w:szCs w:val="18"/>
                <w:lang w:val="en-US" w:eastAsia="zh-CN"/>
              </w:rPr>
            </w:pPr>
          </w:p>
          <w:p w14:paraId="146C6CE0">
            <w:pPr>
              <w:snapToGrid w:val="0"/>
              <w:spacing w:line="360" w:lineRule="auto"/>
              <w:ind w:firstLine="1890" w:firstLineChars="900"/>
              <w:jc w:val="both"/>
              <w:rPr>
                <w:rFonts w:hint="default"/>
                <w:b/>
                <w:bCs w:val="0"/>
                <w:color w:val="auto"/>
                <w:sz w:val="18"/>
                <w:szCs w:val="18"/>
                <w:lang w:val="en-US" w:eastAsia="zh-CN"/>
              </w:rPr>
            </w:pPr>
            <w:r>
              <w:rPr>
                <w:sz w:val="21"/>
              </w:rPr>
              <w:pict>
                <v:group id="_x0000_s4414" o:spid="_x0000_s4414" o:spt="203" style="position:absolute;left:0pt;margin-left:15.4pt;margin-top:2pt;height:225.5pt;width:375.55pt;z-index:251730944;mso-width-relative:page;mso-height-relative:page;" coordorigin="7149,225673" coordsize="7511,4510">
                  <o:lock v:ext="edit" aspectratio="f"/>
                  <v:rect id="_x0000_s4415" o:spid="_x0000_s4415" o:spt="1" style="position:absolute;left:7149;top:226382;height:710;width:1205;" filled="f" stroked="t" coordsize="21600,21600">
                    <v:path/>
                    <v:fill on="f" focussize="0,0"/>
                    <v:stroke color="#000000" joinstyle="miter" dashstyle="1 1" endcap="square"/>
                    <v:imagedata o:title=""/>
                    <o:lock v:ext="edit" aspectratio="f"/>
                    <v:textbox>
                      <w:txbxContent>
                        <w:p w14:paraId="1C17BDBB">
                          <w:pPr>
                            <w:jc w:val="center"/>
                            <w:rPr>
                              <w:rFonts w:hint="eastAsia"/>
                              <w:lang w:val="en-US" w:eastAsia="zh-CN"/>
                            </w:rPr>
                          </w:pPr>
                          <w:r>
                            <w:rPr>
                              <w:rFonts w:hint="eastAsia"/>
                              <w:lang w:val="en-US" w:eastAsia="zh-CN"/>
                            </w:rPr>
                            <w:t>储料库</w:t>
                          </w:r>
                        </w:p>
                        <w:p w14:paraId="0167B53B">
                          <w:pPr>
                            <w:jc w:val="center"/>
                            <w:rPr>
                              <w:rFonts w:hint="default"/>
                              <w:lang w:val="en-US" w:eastAsia="zh-CN"/>
                            </w:rPr>
                          </w:pPr>
                          <w:r>
                            <w:rPr>
                              <w:rFonts w:hint="eastAsia"/>
                              <w:lang w:val="en-US" w:eastAsia="zh-CN"/>
                            </w:rPr>
                            <w:t>石料</w:t>
                          </w:r>
                        </w:p>
                      </w:txbxContent>
                    </v:textbox>
                  </v:rect>
                  <v:rect id="_x0000_s4416" o:spid="_x0000_s4416" o:spt="1" style="position:absolute;left:8975;top:226676;height:451;width:1251;" fillcolor="#FFFFFF" filled="t" stroked="t" coordsize="21600,21600">
                    <v:path/>
                    <v:fill on="t" color2="#FFFFFF" focussize="0,0"/>
                    <v:stroke color="#000000" joinstyle="miter"/>
                    <v:imagedata o:title=""/>
                    <o:lock v:ext="edit" aspectratio="f"/>
                    <v:textbox>
                      <w:txbxContent>
                        <w:p w14:paraId="671D8BDC">
                          <w:pPr>
                            <w:jc w:val="center"/>
                            <w:rPr>
                              <w:rFonts w:hint="default" w:eastAsia="宋体"/>
                              <w:lang w:val="en-US" w:eastAsia="zh-CN"/>
                            </w:rPr>
                          </w:pPr>
                          <w:r>
                            <w:rPr>
                              <w:rFonts w:hint="eastAsia"/>
                              <w:lang w:val="en-US" w:eastAsia="zh-CN"/>
                            </w:rPr>
                            <w:t>石料仓</w:t>
                          </w:r>
                        </w:p>
                      </w:txbxContent>
                    </v:textbox>
                  </v:rect>
                  <v:line id="_x0000_s4417" o:spid="_x0000_s4417" o:spt="20" style="position:absolute;left:8389;top:226900;height:1;width:567;" filled="f" stroked="t" coordsize="21600,21600">
                    <v:path arrowok="t"/>
                    <v:fill on="f" focussize="0,0"/>
                    <v:stroke color="#000000" endarrow="open"/>
                    <v:imagedata o:title=""/>
                    <o:lock v:ext="edit" aspectratio="f"/>
                  </v:line>
                  <v:line id="_x0000_s4418" o:spid="_x0000_s4418" o:spt="20" style="position:absolute;left:9596;top:226305;flip:x y;height:383;width:11;" filled="f" stroked="t" coordsize="21600,21600">
                    <v:path arrowok="t"/>
                    <v:fill on="f" focussize="0,0"/>
                    <v:stroke color="#000000" dashstyle="dash" endarrow="open"/>
                    <v:imagedata o:title=""/>
                    <o:lock v:ext="edit" aspectratio="f"/>
                  </v:line>
                  <v:rect id="_x0000_s4419" o:spid="_x0000_s4419" o:spt="1" style="position:absolute;left:8742;top:225875;height:451;width:2016;" filled="f" stroked="f" coordsize="21600,21600">
                    <v:path/>
                    <v:fill on="f" focussize="0,0"/>
                    <v:stroke on="f"/>
                    <v:imagedata o:title=""/>
                    <o:lock v:ext="edit" aspectratio="f"/>
                    <v:textbox>
                      <w:txbxContent>
                        <w:p w14:paraId="478A9F53">
                          <w:pPr>
                            <w:jc w:val="center"/>
                            <w:rPr>
                              <w:rFonts w:hint="default" w:eastAsia="宋体"/>
                              <w:lang w:val="en-US" w:eastAsia="zh-CN"/>
                            </w:rPr>
                          </w:pPr>
                          <w:r>
                            <w:rPr>
                              <w:rFonts w:hint="eastAsia"/>
                              <w:lang w:val="en-US" w:eastAsia="zh-CN"/>
                            </w:rPr>
                            <w:t>G颗粒物；N</w:t>
                          </w:r>
                        </w:p>
                      </w:txbxContent>
                    </v:textbox>
                  </v:rect>
                  <v:rect id="_x0000_s4420" o:spid="_x0000_s4420" o:spt="1" style="position:absolute;left:8246;top:226539;height:451;width:921;" filled="f" stroked="f" coordsize="21600,21600">
                    <v:path/>
                    <v:fill on="f" focussize="0,0"/>
                    <v:stroke on="f"/>
                    <v:imagedata o:title=""/>
                    <o:lock v:ext="edit" aspectratio="f"/>
                    <v:textbox>
                      <w:txbxContent>
                        <w:p w14:paraId="40121A64">
                          <w:pPr>
                            <w:jc w:val="center"/>
                            <w:rPr>
                              <w:rFonts w:hint="default" w:eastAsia="宋体"/>
                              <w:lang w:val="en-US" w:eastAsia="zh-CN"/>
                            </w:rPr>
                          </w:pPr>
                          <w:r>
                            <w:rPr>
                              <w:rFonts w:hint="eastAsia"/>
                              <w:lang w:val="en-US" w:eastAsia="zh-CN"/>
                            </w:rPr>
                            <w:t>装载机</w:t>
                          </w:r>
                        </w:p>
                      </w:txbxContent>
                    </v:textbox>
                  </v:rect>
                  <v:line id="_x0000_s4421" o:spid="_x0000_s4421" o:spt="20" style="position:absolute;left:12088;top:226900;height:1;width:850;" filled="f" stroked="t" coordsize="21600,21600">
                    <v:path arrowok="t"/>
                    <v:fill on="f" focussize="0,0"/>
                    <v:stroke color="#000000" endarrow="open"/>
                    <v:imagedata o:title=""/>
                    <o:lock v:ext="edit" aspectratio="f"/>
                  </v:line>
                  <v:rect id="_x0000_s4422" o:spid="_x0000_s4422" o:spt="1" style="position:absolute;left:11913;top:226553;height:834;width:1169;" filled="f" stroked="f" coordsize="21600,21600">
                    <v:path/>
                    <v:fill on="f" focussize="0,0"/>
                    <v:stroke on="f"/>
                    <v:imagedata o:title=""/>
                    <o:lock v:ext="edit" aspectratio="f"/>
                    <v:textbox>
                      <w:txbxContent>
                        <w:p w14:paraId="12C1F556">
                          <w:pPr>
                            <w:jc w:val="center"/>
                            <w:rPr>
                              <w:rFonts w:hint="default" w:eastAsia="宋体"/>
                              <w:lang w:val="en-US" w:eastAsia="zh-CN"/>
                            </w:rPr>
                          </w:pPr>
                          <w:r>
                            <w:rPr>
                              <w:rFonts w:hint="eastAsia"/>
                              <w:lang w:val="en-US" w:eastAsia="zh-CN"/>
                            </w:rPr>
                            <w:t>封闭式皮带输送机</w:t>
                          </w:r>
                        </w:p>
                      </w:txbxContent>
                    </v:textbox>
                  </v:rect>
                  <v:rect id="_x0000_s4423" o:spid="_x0000_s4423" o:spt="1" style="position:absolute;left:10814;top:226687;height:451;width:1251;" fillcolor="#FFFFFF" filled="t" stroked="t" coordsize="21600,21600">
                    <v:path/>
                    <v:fill on="t" color2="#FFFFFF" focussize="0,0"/>
                    <v:stroke color="#000000" joinstyle="miter"/>
                    <v:imagedata o:title=""/>
                    <o:lock v:ext="edit" aspectratio="f"/>
                    <v:textbox>
                      <w:txbxContent>
                        <w:p w14:paraId="33F8EA61">
                          <w:pPr>
                            <w:jc w:val="center"/>
                            <w:rPr>
                              <w:rFonts w:hint="default" w:eastAsia="宋体"/>
                              <w:lang w:val="en-US" w:eastAsia="zh-CN"/>
                            </w:rPr>
                          </w:pPr>
                          <w:r>
                            <w:rPr>
                              <w:rFonts w:hint="eastAsia"/>
                              <w:lang w:val="en-US" w:eastAsia="zh-CN"/>
                            </w:rPr>
                            <w:t>计量称重</w:t>
                          </w:r>
                        </w:p>
                      </w:txbxContent>
                    </v:textbox>
                  </v:rect>
                  <v:line id="_x0000_s4424" o:spid="_x0000_s4424" o:spt="20" style="position:absolute;left:10261;top:226889;height:1;width:567;" filled="f" stroked="t" coordsize="21600,21600">
                    <v:path arrowok="t"/>
                    <v:fill on="f" focussize="0,0"/>
                    <v:stroke color="#000000" endarrow="open"/>
                    <v:imagedata o:title=""/>
                    <o:lock v:ext="edit" aspectratio="f"/>
                  </v:line>
                  <v:rect id="_x0000_s4425" o:spid="_x0000_s4425" o:spt="1" style="position:absolute;left:12945;top:226687;height:2503;width:822;" fillcolor="#FFFFFF" filled="t" stroked="t" coordsize="21600,21600">
                    <v:path/>
                    <v:fill on="t" color2="#FFFFFF" focussize="0,0"/>
                    <v:stroke color="#000000" joinstyle="miter"/>
                    <v:imagedata o:title=""/>
                    <o:lock v:ext="edit" aspectratio="f"/>
                    <v:textbox>
                      <w:txbxContent>
                        <w:p w14:paraId="52EB78E0">
                          <w:pPr>
                            <w:jc w:val="center"/>
                            <w:rPr>
                              <w:rFonts w:hint="eastAsia"/>
                              <w:lang w:val="en-US" w:eastAsia="zh-CN"/>
                            </w:rPr>
                          </w:pPr>
                        </w:p>
                        <w:p w14:paraId="0DC16751">
                          <w:pPr>
                            <w:jc w:val="center"/>
                            <w:rPr>
                              <w:rFonts w:hint="eastAsia"/>
                              <w:lang w:val="en-US" w:eastAsia="zh-CN"/>
                            </w:rPr>
                          </w:pPr>
                        </w:p>
                        <w:p w14:paraId="6577405D">
                          <w:pPr>
                            <w:jc w:val="center"/>
                            <w:rPr>
                              <w:rFonts w:hint="eastAsia"/>
                              <w:lang w:val="en-US" w:eastAsia="zh-CN"/>
                            </w:rPr>
                          </w:pPr>
                        </w:p>
                        <w:p w14:paraId="7212979D">
                          <w:pPr>
                            <w:jc w:val="center"/>
                            <w:rPr>
                              <w:rFonts w:hint="default" w:eastAsia="宋体"/>
                              <w:lang w:val="en-US" w:eastAsia="zh-CN"/>
                            </w:rPr>
                          </w:pPr>
                          <w:r>
                            <w:rPr>
                              <w:rFonts w:hint="eastAsia"/>
                              <w:lang w:val="en-US" w:eastAsia="zh-CN"/>
                            </w:rPr>
                            <w:t>水稳土搅拌机</w:t>
                          </w:r>
                        </w:p>
                      </w:txbxContent>
                    </v:textbox>
                  </v:rect>
                  <v:rect id="_x0000_s4426" o:spid="_x0000_s4426" o:spt="1" style="position:absolute;left:8964;top:227759;height:451;width:1251;" fillcolor="#FFFFFF" filled="t" stroked="t" coordsize="21600,21600">
                    <v:path/>
                    <v:fill on="t" color2="#FFFFFF" focussize="0,0"/>
                    <v:stroke color="#000000" joinstyle="miter"/>
                    <v:imagedata o:title=""/>
                    <o:lock v:ext="edit" aspectratio="f"/>
                    <v:textbox>
                      <w:txbxContent>
                        <w:p w14:paraId="6AE2A5C2">
                          <w:pPr>
                            <w:jc w:val="center"/>
                            <w:rPr>
                              <w:rFonts w:hint="default" w:eastAsia="宋体"/>
                              <w:lang w:val="en-US" w:eastAsia="zh-CN"/>
                            </w:rPr>
                          </w:pPr>
                          <w:r>
                            <w:rPr>
                              <w:rFonts w:hint="eastAsia"/>
                              <w:lang w:val="en-US" w:eastAsia="zh-CN"/>
                            </w:rPr>
                            <w:t>水泥筒仓</w:t>
                          </w:r>
                        </w:p>
                      </w:txbxContent>
                    </v:textbox>
                  </v:rect>
                  <v:line id="_x0000_s4427" o:spid="_x0000_s4427" o:spt="20" style="position:absolute;left:9574;top:227541;flip:x y;height:204;width:11;" filled="f" stroked="t" coordsize="21600,21600">
                    <v:path arrowok="t"/>
                    <v:fill on="f" focussize="0,0"/>
                    <v:stroke color="#000000" dashstyle="dash" endarrow="open"/>
                    <v:imagedata o:title=""/>
                    <o:lock v:ext="edit" aspectratio="f"/>
                  </v:line>
                  <v:rect id="_x0000_s4428" o:spid="_x0000_s4428" o:spt="1" style="position:absolute;left:9015;top:227161;height:451;width:1202;" filled="f" stroked="f" coordsize="21600,21600">
                    <v:path/>
                    <v:fill on="f" focussize="0,0"/>
                    <v:stroke on="f"/>
                    <v:imagedata o:title=""/>
                    <o:lock v:ext="edit" aspectratio="f"/>
                    <v:textbox>
                      <w:txbxContent>
                        <w:p w14:paraId="59EE6D6D">
                          <w:pPr>
                            <w:jc w:val="center"/>
                            <w:rPr>
                              <w:rFonts w:hint="default" w:eastAsia="宋体"/>
                              <w:lang w:val="en-US" w:eastAsia="zh-CN"/>
                            </w:rPr>
                          </w:pPr>
                          <w:r>
                            <w:rPr>
                              <w:rFonts w:hint="eastAsia"/>
                              <w:lang w:val="en-US" w:eastAsia="zh-CN"/>
                            </w:rPr>
                            <w:t>G颗粒物</w:t>
                          </w:r>
                        </w:p>
                      </w:txbxContent>
                    </v:textbox>
                  </v:rect>
                  <v:line id="_x0000_s4429" o:spid="_x0000_s4429" o:spt="20" style="position:absolute;left:8412;top:227984;height:1;width:567;" filled="f" stroked="t" coordsize="21600,21600">
                    <v:path arrowok="t"/>
                    <v:fill on="f" focussize="0,0"/>
                    <v:stroke color="#000000" endarrow="open"/>
                    <v:imagedata o:title=""/>
                    <o:lock v:ext="edit" aspectratio="f"/>
                  </v:line>
                  <v:rect id="_x0000_s4430" o:spid="_x0000_s4430" o:spt="1" style="position:absolute;left:7322;top:227792;height:451;width:1236;" filled="f" stroked="f" coordsize="21600,21600">
                    <v:path/>
                    <v:fill on="f" focussize="0,0"/>
                    <v:stroke on="f"/>
                    <v:imagedata o:title=""/>
                    <o:lock v:ext="edit" aspectratio="f"/>
                    <v:textbox>
                      <w:txbxContent>
                        <w:p w14:paraId="00B7CCE1">
                          <w:pPr>
                            <w:jc w:val="center"/>
                            <w:rPr>
                              <w:rFonts w:hint="default" w:eastAsia="宋体"/>
                              <w:lang w:val="en-US" w:eastAsia="zh-CN"/>
                            </w:rPr>
                          </w:pPr>
                          <w:r>
                            <w:rPr>
                              <w:rFonts w:hint="eastAsia"/>
                              <w:lang w:val="en-US" w:eastAsia="zh-CN"/>
                            </w:rPr>
                            <w:t>水泥罐车</w:t>
                          </w:r>
                        </w:p>
                      </w:txbxContent>
                    </v:textbox>
                  </v:rect>
                  <v:line id="_x0000_s4431" o:spid="_x0000_s4431" o:spt="20" style="position:absolute;left:12065;top:228006;height:1;width:850;" filled="f" stroked="t" coordsize="21600,21600">
                    <v:path arrowok="t"/>
                    <v:fill on="f" focussize="0,0"/>
                    <v:stroke color="#000000" endarrow="open"/>
                    <v:imagedata o:title=""/>
                    <o:lock v:ext="edit" aspectratio="f"/>
                  </v:line>
                  <v:rect id="_x0000_s4432" o:spid="_x0000_s4432" o:spt="1" style="position:absolute;left:11890;top:227659;height:834;width:1169;" filled="f" stroked="f" coordsize="21600,21600">
                    <v:path/>
                    <v:fill on="f" focussize="0,0"/>
                    <v:stroke on="f"/>
                    <v:imagedata o:title=""/>
                    <o:lock v:ext="edit" aspectratio="f"/>
                    <v:textbox>
                      <w:txbxContent>
                        <w:p w14:paraId="6C0BF449">
                          <w:pPr>
                            <w:jc w:val="center"/>
                            <w:rPr>
                              <w:rFonts w:hint="eastAsia"/>
                              <w:lang w:val="en-US" w:eastAsia="zh-CN"/>
                            </w:rPr>
                          </w:pPr>
                          <w:r>
                            <w:rPr>
                              <w:rFonts w:hint="eastAsia"/>
                              <w:lang w:val="en-US" w:eastAsia="zh-CN"/>
                            </w:rPr>
                            <w:t>螺旋</w:t>
                          </w:r>
                        </w:p>
                        <w:p w14:paraId="0D173A30">
                          <w:pPr>
                            <w:jc w:val="center"/>
                            <w:rPr>
                              <w:rFonts w:hint="default" w:eastAsia="宋体"/>
                              <w:lang w:val="en-US" w:eastAsia="zh-CN"/>
                            </w:rPr>
                          </w:pPr>
                          <w:r>
                            <w:rPr>
                              <w:rFonts w:hint="eastAsia"/>
                              <w:lang w:val="en-US" w:eastAsia="zh-CN"/>
                            </w:rPr>
                            <w:t>输送机</w:t>
                          </w:r>
                        </w:p>
                      </w:txbxContent>
                    </v:textbox>
                  </v:rect>
                  <v:rect id="_x0000_s4433" o:spid="_x0000_s4433" o:spt="1" style="position:absolute;left:10791;top:227793;height:451;width:1251;" fillcolor="#FFFFFF" filled="t" stroked="t" coordsize="21600,21600">
                    <v:path/>
                    <v:fill on="t" color2="#FFFFFF" focussize="0,0"/>
                    <v:stroke color="#000000" joinstyle="miter"/>
                    <v:imagedata o:title=""/>
                    <o:lock v:ext="edit" aspectratio="f"/>
                    <v:textbox>
                      <w:txbxContent>
                        <w:p w14:paraId="1E832FBB">
                          <w:pPr>
                            <w:jc w:val="center"/>
                            <w:rPr>
                              <w:rFonts w:hint="default" w:eastAsia="宋体"/>
                              <w:lang w:val="en-US" w:eastAsia="zh-CN"/>
                            </w:rPr>
                          </w:pPr>
                          <w:r>
                            <w:rPr>
                              <w:rFonts w:hint="eastAsia"/>
                              <w:lang w:val="en-US" w:eastAsia="zh-CN"/>
                            </w:rPr>
                            <w:t>计量称重</w:t>
                          </w:r>
                        </w:p>
                      </w:txbxContent>
                    </v:textbox>
                  </v:rect>
                  <v:line id="_x0000_s4434" o:spid="_x0000_s4434" o:spt="20" style="position:absolute;left:10238;top:227995;height:1;width:567;" filled="f" stroked="t" coordsize="21600,21600">
                    <v:path arrowok="t"/>
                    <v:fill on="f" focussize="0,0"/>
                    <v:stroke color="#000000" endarrow="open"/>
                    <v:imagedata o:title=""/>
                    <o:lock v:ext="edit" aspectratio="f"/>
                  </v:line>
                  <v:line id="_x0000_s4435" o:spid="_x0000_s4435" o:spt="20" style="position:absolute;left:10228;top:228840;height:1;width:567;" filled="f" stroked="t" coordsize="21600,21600">
                    <v:path arrowok="t"/>
                    <v:fill on="f" focussize="0,0"/>
                    <v:stroke color="#000000" endarrow="open"/>
                    <v:imagedata o:title=""/>
                    <o:lock v:ext="edit" aspectratio="f"/>
                  </v:line>
                  <v:rect id="_x0000_s4436" o:spid="_x0000_s4436" o:spt="1" style="position:absolute;left:9138;top:228648;height:451;width:1236;" filled="f" stroked="f" coordsize="21600,21600">
                    <v:path/>
                    <v:fill on="f" focussize="0,0"/>
                    <v:stroke on="f"/>
                    <v:imagedata o:title=""/>
                    <o:lock v:ext="edit" aspectratio="f"/>
                    <v:textbox>
                      <w:txbxContent>
                        <w:p w14:paraId="0DA18205">
                          <w:pPr>
                            <w:jc w:val="center"/>
                            <w:rPr>
                              <w:rFonts w:hint="default" w:eastAsia="宋体"/>
                              <w:lang w:val="en-US" w:eastAsia="zh-CN"/>
                            </w:rPr>
                          </w:pPr>
                          <w:r>
                            <w:rPr>
                              <w:rFonts w:hint="eastAsia"/>
                              <w:lang w:val="en-US" w:eastAsia="zh-CN"/>
                            </w:rPr>
                            <w:t>水</w:t>
                          </w:r>
                        </w:p>
                      </w:txbxContent>
                    </v:textbox>
                  </v:rect>
                  <v:line id="_x0000_s4437" o:spid="_x0000_s4437" o:spt="20" style="position:absolute;left:12088;top:228862;height:1;width:850;" filled="f" stroked="t" coordsize="21600,21600">
                    <v:path arrowok="t"/>
                    <v:fill on="f" focussize="0,0"/>
                    <v:stroke color="#000000" endarrow="open"/>
                    <v:imagedata o:title=""/>
                    <o:lock v:ext="edit" aspectratio="f"/>
                  </v:line>
                  <v:rect id="_x0000_s4438" o:spid="_x0000_s4438" o:spt="1" style="position:absolute;left:10814;top:228649;height:451;width:1251;" fillcolor="#FFFFFF" filled="t" stroked="t" coordsize="21600,21600">
                    <v:path/>
                    <v:fill on="t" color2="#FFFFFF" focussize="0,0"/>
                    <v:stroke color="#000000" joinstyle="miter"/>
                    <v:imagedata o:title=""/>
                    <o:lock v:ext="edit" aspectratio="f"/>
                    <v:textbox>
                      <w:txbxContent>
                        <w:p w14:paraId="4B3E0E64">
                          <w:pPr>
                            <w:jc w:val="center"/>
                            <w:rPr>
                              <w:rFonts w:hint="default" w:eastAsia="宋体"/>
                              <w:lang w:val="en-US" w:eastAsia="zh-CN"/>
                            </w:rPr>
                          </w:pPr>
                          <w:r>
                            <w:rPr>
                              <w:rFonts w:hint="eastAsia"/>
                              <w:lang w:val="en-US" w:eastAsia="zh-CN"/>
                            </w:rPr>
                            <w:t>计量称重</w:t>
                          </w:r>
                        </w:p>
                      </w:txbxContent>
                    </v:textbox>
                  </v:rect>
                  <v:line id="_x0000_s4439" o:spid="_x0000_s4439" o:spt="20" style="position:absolute;left:13318;top:226316;flip:x y;height:383;width:11;" filled="f" stroked="t" coordsize="21600,21600">
                    <v:path arrowok="t"/>
                    <v:fill on="f" focussize="0,0"/>
                    <v:stroke color="#000000" dashstyle="dash" endarrow="open"/>
                    <v:imagedata o:title=""/>
                    <o:lock v:ext="edit" aspectratio="f"/>
                  </v:line>
                  <v:rect id="_x0000_s4440" o:spid="_x0000_s4440" o:spt="1" style="position:absolute;left:12464;top:225673;height:664;width:2197;" filled="f" stroked="f" coordsize="21600,21600">
                    <v:path/>
                    <v:fill on="f" focussize="0,0"/>
                    <v:stroke on="f"/>
                    <v:imagedata o:title=""/>
                    <o:lock v:ext="edit" aspectratio="f"/>
                    <v:textbox>
                      <w:txbxContent>
                        <w:p w14:paraId="19EB8A9E">
                          <w:pPr>
                            <w:jc w:val="center"/>
                            <w:rPr>
                              <w:rFonts w:hint="eastAsia"/>
                              <w:lang w:val="en-US" w:eastAsia="zh-CN"/>
                            </w:rPr>
                          </w:pPr>
                          <w:r>
                            <w:rPr>
                              <w:rFonts w:hint="eastAsia"/>
                              <w:lang w:val="en-US" w:eastAsia="zh-CN"/>
                            </w:rPr>
                            <w:t>G颗粒物；N；</w:t>
                          </w:r>
                        </w:p>
                        <w:p w14:paraId="550BAC46">
                          <w:pPr>
                            <w:jc w:val="center"/>
                            <w:rPr>
                              <w:rFonts w:hint="default" w:eastAsia="宋体"/>
                              <w:lang w:val="en-US" w:eastAsia="zh-CN"/>
                            </w:rPr>
                          </w:pPr>
                          <w:r>
                            <w:rPr>
                              <w:rFonts w:hint="eastAsia"/>
                              <w:lang w:val="en-US" w:eastAsia="zh-CN"/>
                            </w:rPr>
                            <w:t>W清洗废水；S废渣</w:t>
                          </w:r>
                        </w:p>
                      </w:txbxContent>
                    </v:textbox>
                  </v:rect>
                  <v:line id="_x0000_s4441" o:spid="_x0000_s4441" o:spt="20" style="position:absolute;left:13333;top:229201;flip:x;height:542;width:7;" filled="f" stroked="t" coordsize="21600,21600">
                    <v:path arrowok="t"/>
                    <v:fill on="f" focussize="0,0"/>
                    <v:stroke color="#000000" endarrow="open"/>
                    <v:imagedata o:title=""/>
                    <o:lock v:ext="edit" aspectratio="f"/>
                  </v:line>
                  <v:rect id="_x0000_s4442" o:spid="_x0000_s4442" o:spt="1" style="position:absolute;left:12754;top:229733;height:451;width:1251;" fillcolor="#FFFFFF" filled="t" stroked="t" coordsize="21600,21600">
                    <v:path/>
                    <v:fill on="t" color2="#FFFFFF" focussize="0,0"/>
                    <v:stroke color="#000000" joinstyle="miter"/>
                    <v:imagedata o:title=""/>
                    <o:lock v:ext="edit" aspectratio="f"/>
                    <v:textbox>
                      <w:txbxContent>
                        <w:p w14:paraId="64D6DB20">
                          <w:pPr>
                            <w:jc w:val="center"/>
                            <w:rPr>
                              <w:rFonts w:hint="default" w:eastAsia="宋体"/>
                              <w:lang w:val="en-US" w:eastAsia="zh-CN"/>
                            </w:rPr>
                          </w:pPr>
                          <w:r>
                            <w:rPr>
                              <w:rFonts w:hint="eastAsia"/>
                              <w:lang w:val="en-US" w:eastAsia="zh-CN"/>
                            </w:rPr>
                            <w:t>装车外运</w:t>
                          </w:r>
                        </w:p>
                      </w:txbxContent>
                    </v:textbox>
                  </v:rect>
                </v:group>
              </w:pict>
            </w:r>
          </w:p>
          <w:p w14:paraId="35527BD6">
            <w:pPr>
              <w:snapToGrid w:val="0"/>
              <w:spacing w:line="360" w:lineRule="auto"/>
              <w:ind w:firstLine="1626" w:firstLineChars="900"/>
              <w:jc w:val="both"/>
              <w:rPr>
                <w:rFonts w:hint="default"/>
                <w:b/>
                <w:bCs w:val="0"/>
                <w:color w:val="auto"/>
                <w:sz w:val="18"/>
                <w:szCs w:val="18"/>
                <w:lang w:val="en-US" w:eastAsia="zh-CN"/>
              </w:rPr>
            </w:pPr>
          </w:p>
          <w:p w14:paraId="6E399BB0">
            <w:pPr>
              <w:snapToGrid w:val="0"/>
              <w:spacing w:line="360" w:lineRule="auto"/>
              <w:ind w:firstLine="1626" w:firstLineChars="900"/>
              <w:jc w:val="both"/>
              <w:rPr>
                <w:rFonts w:hint="default"/>
                <w:b/>
                <w:bCs w:val="0"/>
                <w:color w:val="auto"/>
                <w:sz w:val="18"/>
                <w:szCs w:val="18"/>
                <w:lang w:val="en-US" w:eastAsia="zh-CN"/>
              </w:rPr>
            </w:pPr>
          </w:p>
          <w:p w14:paraId="2D30271B">
            <w:pPr>
              <w:snapToGrid w:val="0"/>
              <w:spacing w:line="360" w:lineRule="auto"/>
              <w:ind w:firstLine="1626" w:firstLineChars="900"/>
              <w:jc w:val="both"/>
              <w:rPr>
                <w:rFonts w:hint="default"/>
                <w:b/>
                <w:bCs w:val="0"/>
                <w:color w:val="auto"/>
                <w:sz w:val="18"/>
                <w:szCs w:val="18"/>
                <w:lang w:val="en-US" w:eastAsia="zh-CN"/>
              </w:rPr>
            </w:pPr>
          </w:p>
          <w:p w14:paraId="42CE212D">
            <w:pPr>
              <w:snapToGrid w:val="0"/>
              <w:spacing w:line="360" w:lineRule="auto"/>
              <w:ind w:firstLine="1626" w:firstLineChars="900"/>
              <w:jc w:val="both"/>
              <w:rPr>
                <w:rFonts w:hint="default"/>
                <w:b/>
                <w:bCs w:val="0"/>
                <w:color w:val="auto"/>
                <w:sz w:val="18"/>
                <w:szCs w:val="18"/>
                <w:lang w:val="en-US" w:eastAsia="zh-CN"/>
              </w:rPr>
            </w:pPr>
          </w:p>
          <w:p w14:paraId="2328F17A">
            <w:pPr>
              <w:snapToGrid w:val="0"/>
              <w:spacing w:line="360" w:lineRule="auto"/>
              <w:ind w:firstLine="1626" w:firstLineChars="900"/>
              <w:jc w:val="both"/>
              <w:rPr>
                <w:rFonts w:hint="default"/>
                <w:b/>
                <w:bCs w:val="0"/>
                <w:color w:val="auto"/>
                <w:sz w:val="18"/>
                <w:szCs w:val="18"/>
                <w:lang w:val="en-US" w:eastAsia="zh-CN"/>
              </w:rPr>
            </w:pPr>
          </w:p>
          <w:p w14:paraId="3F3E8AF9">
            <w:pPr>
              <w:snapToGrid w:val="0"/>
              <w:spacing w:line="360" w:lineRule="auto"/>
              <w:ind w:firstLine="1626" w:firstLineChars="900"/>
              <w:jc w:val="both"/>
              <w:rPr>
                <w:rFonts w:hint="default"/>
                <w:b/>
                <w:bCs w:val="0"/>
                <w:color w:val="auto"/>
                <w:sz w:val="18"/>
                <w:szCs w:val="18"/>
                <w:lang w:val="en-US" w:eastAsia="zh-CN"/>
              </w:rPr>
            </w:pPr>
          </w:p>
          <w:p w14:paraId="1C2760B9">
            <w:pPr>
              <w:snapToGrid w:val="0"/>
              <w:spacing w:line="360" w:lineRule="auto"/>
              <w:ind w:firstLine="1626" w:firstLineChars="900"/>
              <w:jc w:val="both"/>
              <w:rPr>
                <w:rFonts w:hint="default"/>
                <w:b/>
                <w:bCs w:val="0"/>
                <w:color w:val="auto"/>
                <w:sz w:val="18"/>
                <w:szCs w:val="18"/>
                <w:lang w:val="en-US" w:eastAsia="zh-CN"/>
              </w:rPr>
            </w:pPr>
          </w:p>
          <w:p w14:paraId="3B60E738">
            <w:pPr>
              <w:snapToGrid w:val="0"/>
              <w:spacing w:line="360" w:lineRule="auto"/>
              <w:ind w:firstLine="1626" w:firstLineChars="900"/>
              <w:jc w:val="both"/>
              <w:rPr>
                <w:rFonts w:hint="default"/>
                <w:b/>
                <w:bCs w:val="0"/>
                <w:color w:val="auto"/>
                <w:sz w:val="18"/>
                <w:szCs w:val="18"/>
                <w:lang w:val="en-US" w:eastAsia="zh-CN"/>
              </w:rPr>
            </w:pPr>
          </w:p>
          <w:p w14:paraId="21AC1B9D">
            <w:pPr>
              <w:snapToGrid w:val="0"/>
              <w:spacing w:line="360" w:lineRule="auto"/>
              <w:ind w:firstLine="1626" w:firstLineChars="900"/>
              <w:jc w:val="both"/>
              <w:rPr>
                <w:rFonts w:hint="default"/>
                <w:b/>
                <w:bCs w:val="0"/>
                <w:color w:val="auto"/>
                <w:sz w:val="18"/>
                <w:szCs w:val="18"/>
                <w:lang w:val="en-US" w:eastAsia="zh-CN"/>
              </w:rPr>
            </w:pPr>
          </w:p>
          <w:p w14:paraId="3CC9B8C1">
            <w:pPr>
              <w:snapToGrid w:val="0"/>
              <w:spacing w:line="360" w:lineRule="auto"/>
              <w:ind w:firstLine="1626" w:firstLineChars="900"/>
              <w:jc w:val="both"/>
              <w:rPr>
                <w:rFonts w:hint="default"/>
                <w:b/>
                <w:bCs w:val="0"/>
                <w:color w:val="auto"/>
                <w:sz w:val="18"/>
                <w:szCs w:val="18"/>
                <w:lang w:val="en-US" w:eastAsia="zh-CN"/>
              </w:rPr>
            </w:pPr>
          </w:p>
          <w:p w14:paraId="30CEF8BD">
            <w:pPr>
              <w:snapToGrid w:val="0"/>
              <w:spacing w:line="360" w:lineRule="auto"/>
              <w:ind w:firstLine="1626" w:firstLineChars="900"/>
              <w:jc w:val="both"/>
              <w:rPr>
                <w:rFonts w:hint="default"/>
                <w:b/>
                <w:bCs w:val="0"/>
                <w:color w:val="auto"/>
                <w:sz w:val="18"/>
                <w:szCs w:val="18"/>
                <w:lang w:val="en-US" w:eastAsia="zh-CN"/>
              </w:rPr>
            </w:pPr>
          </w:p>
          <w:p w14:paraId="59896803">
            <w:pPr>
              <w:snapToGrid w:val="0"/>
              <w:spacing w:line="360" w:lineRule="auto"/>
              <w:ind w:firstLine="1626" w:firstLineChars="900"/>
              <w:jc w:val="both"/>
              <w:rPr>
                <w:rFonts w:hint="default"/>
                <w:b/>
                <w:bCs w:val="0"/>
                <w:color w:val="auto"/>
                <w:sz w:val="18"/>
                <w:szCs w:val="18"/>
                <w:lang w:val="en-US" w:eastAsia="zh-CN"/>
              </w:rPr>
            </w:pPr>
          </w:p>
          <w:p w14:paraId="3078BBEB">
            <w:pPr>
              <w:snapToGrid w:val="0"/>
              <w:spacing w:line="360" w:lineRule="auto"/>
              <w:ind w:firstLine="1626" w:firstLineChars="900"/>
              <w:jc w:val="both"/>
              <w:rPr>
                <w:rFonts w:hint="default"/>
                <w:b/>
                <w:bCs w:val="0"/>
                <w:color w:val="auto"/>
                <w:sz w:val="18"/>
                <w:szCs w:val="18"/>
                <w:lang w:val="en-US" w:eastAsia="zh-CN"/>
              </w:rPr>
            </w:pPr>
          </w:p>
          <w:p w14:paraId="3B84BE44">
            <w:pPr>
              <w:snapToGrid w:val="0"/>
              <w:spacing w:line="360" w:lineRule="auto"/>
              <w:ind w:firstLine="1626" w:firstLineChars="900"/>
              <w:jc w:val="both"/>
              <w:rPr>
                <w:rFonts w:hint="default"/>
                <w:b/>
                <w:bCs w:val="0"/>
                <w:color w:val="auto"/>
                <w:sz w:val="18"/>
                <w:szCs w:val="18"/>
                <w:lang w:val="en-US" w:eastAsia="zh-CN"/>
              </w:rPr>
            </w:pPr>
          </w:p>
          <w:p w14:paraId="3D44EA55">
            <w:pPr>
              <w:snapToGrid w:val="0"/>
              <w:spacing w:line="360" w:lineRule="auto"/>
              <w:ind w:firstLine="1626" w:firstLineChars="900"/>
              <w:jc w:val="both"/>
              <w:rPr>
                <w:rFonts w:hint="default"/>
                <w:b/>
                <w:bCs w:val="0"/>
                <w:color w:val="auto"/>
                <w:sz w:val="18"/>
                <w:szCs w:val="18"/>
                <w:lang w:val="en-US" w:eastAsia="zh-CN"/>
              </w:rPr>
            </w:pPr>
            <w:r>
              <w:rPr>
                <w:rFonts w:hint="eastAsia"/>
                <w:b/>
                <w:bCs w:val="0"/>
                <w:color w:val="auto"/>
                <w:sz w:val="18"/>
                <w:szCs w:val="18"/>
                <w:lang w:val="en-US" w:eastAsia="zh-CN"/>
              </w:rPr>
              <w:t>图2-4    运营期水稳土生产工艺产排污环节图</w:t>
            </w:r>
          </w:p>
          <w:p w14:paraId="140C2972">
            <w:pPr>
              <w:snapToGrid w:val="0"/>
              <w:spacing w:line="360" w:lineRule="auto"/>
              <w:ind w:firstLine="1626" w:firstLineChars="900"/>
              <w:jc w:val="both"/>
              <w:rPr>
                <w:rFonts w:hint="default"/>
                <w:b/>
                <w:bCs w:val="0"/>
                <w:color w:val="auto"/>
                <w:sz w:val="18"/>
                <w:szCs w:val="18"/>
                <w:lang w:val="en-US" w:eastAsia="zh-CN"/>
              </w:rPr>
            </w:pPr>
          </w:p>
          <w:p w14:paraId="350CE1E4">
            <w:pPr>
              <w:snapToGrid w:val="0"/>
              <w:spacing w:line="360" w:lineRule="auto"/>
              <w:ind w:firstLine="1626" w:firstLineChars="900"/>
              <w:jc w:val="both"/>
              <w:rPr>
                <w:rFonts w:hint="default"/>
                <w:b/>
                <w:bCs w:val="0"/>
                <w:color w:val="auto"/>
                <w:sz w:val="18"/>
                <w:szCs w:val="18"/>
                <w:lang w:val="en-US" w:eastAsia="zh-CN"/>
              </w:rPr>
            </w:pPr>
          </w:p>
          <w:p w14:paraId="030C6038">
            <w:pPr>
              <w:snapToGrid w:val="0"/>
              <w:spacing w:line="360" w:lineRule="auto"/>
              <w:ind w:firstLine="1626" w:firstLineChars="900"/>
              <w:jc w:val="both"/>
              <w:rPr>
                <w:rFonts w:hint="default"/>
                <w:b/>
                <w:bCs w:val="0"/>
                <w:color w:val="auto"/>
                <w:sz w:val="18"/>
                <w:szCs w:val="18"/>
                <w:lang w:val="en-US" w:eastAsia="zh-CN"/>
              </w:rPr>
            </w:pPr>
          </w:p>
          <w:p w14:paraId="050ECA71">
            <w:pPr>
              <w:snapToGrid w:val="0"/>
              <w:spacing w:line="360" w:lineRule="auto"/>
              <w:ind w:firstLine="420" w:firstLineChars="200"/>
              <w:rPr>
                <w:rFonts w:hint="default"/>
                <w:bCs/>
                <w:color w:val="auto"/>
                <w:szCs w:val="21"/>
                <w:lang w:val="en-US" w:eastAsia="zh-CN"/>
              </w:rPr>
            </w:pPr>
            <w:r>
              <w:rPr>
                <w:sz w:val="21"/>
              </w:rPr>
              <w:pict>
                <v:group id="_x0000_s3034" o:spid="_x0000_s3034" o:spt="203" style="position:absolute;left:0pt;margin-left:27.6pt;margin-top:4.05pt;height:60.8pt;width:349.1pt;z-index:251702272;mso-width-relative:page;mso-height-relative:page;" coordorigin="7306,232036" coordsize="6982,1216">
                  <o:lock v:ext="edit" aspectratio="f"/>
                  <v:rect id="_x0000_s3035" o:spid="_x0000_s3035" o:spt="1" style="position:absolute;left:7306;top:232036;height:451;width:1251;" fillcolor="#FFFFFF" filled="t" stroked="t" coordsize="21600,21600">
                    <v:path/>
                    <v:fill on="t" color2="#FFFFFF" focussize="0,0"/>
                    <v:stroke color="#000000" joinstyle="miter"/>
                    <v:imagedata o:title=""/>
                    <o:lock v:ext="edit" aspectratio="f"/>
                    <v:textbox>
                      <w:txbxContent>
                        <w:p w14:paraId="67F77857">
                          <w:pPr>
                            <w:jc w:val="center"/>
                            <w:rPr>
                              <w:rFonts w:hint="default" w:eastAsia="宋体"/>
                              <w:lang w:val="en-US" w:eastAsia="zh-CN"/>
                            </w:rPr>
                          </w:pPr>
                          <w:r>
                            <w:rPr>
                              <w:rFonts w:hint="eastAsia"/>
                              <w:lang w:val="en-US" w:eastAsia="zh-CN"/>
                            </w:rPr>
                            <w:t>办公楼</w:t>
                          </w:r>
                        </w:p>
                      </w:txbxContent>
                    </v:textbox>
                  </v:rect>
                  <v:line id="_x0000_s3036" o:spid="_x0000_s3036" o:spt="20" style="position:absolute;left:8581;top:232260;height:9;width:699;" filled="f" stroked="t" coordsize="21600,21600">
                    <v:path arrowok="t"/>
                    <v:fill on="f" focussize="0,0"/>
                    <v:stroke color="#000000" dashstyle="dash" endarrow="open"/>
                    <v:imagedata o:title=""/>
                    <o:lock v:ext="edit" aspectratio="f"/>
                  </v:line>
                  <v:rect id="_x0000_s3037" o:spid="_x0000_s3037" o:spt="1" style="position:absolute;left:9241;top:232059;height:451;width:2711;" filled="f" stroked="f" coordsize="21600,21600">
                    <v:path/>
                    <v:fill on="f" focussize="0,0"/>
                    <v:stroke on="f"/>
                    <v:imagedata o:title=""/>
                    <o:lock v:ext="edit" aspectratio="f"/>
                    <v:textbox>
                      <w:txbxContent>
                        <w:p w14:paraId="1F7CAD09">
                          <w:pPr>
                            <w:jc w:val="center"/>
                            <w:rPr>
                              <w:rFonts w:hint="default" w:eastAsia="宋体"/>
                              <w:lang w:val="en-US" w:eastAsia="zh-CN"/>
                            </w:rPr>
                          </w:pPr>
                          <w:r>
                            <w:rPr>
                              <w:rFonts w:hint="eastAsia"/>
                              <w:lang w:val="en-US" w:eastAsia="zh-CN"/>
                            </w:rPr>
                            <w:t>W生活污水；S生活垃圾</w:t>
                          </w:r>
                        </w:p>
                      </w:txbxContent>
                    </v:textbox>
                  </v:rect>
                  <v:rect id="_x0000_s3038" o:spid="_x0000_s3038" o:spt="1" style="position:absolute;left:7317;top:232757;height:451;width:1251;" fillcolor="#FFFFFF" filled="t" stroked="t" coordsize="21600,21600">
                    <v:path/>
                    <v:fill on="t" color2="#FFFFFF" focussize="0,0"/>
                    <v:stroke color="#000000" joinstyle="miter"/>
                    <v:imagedata o:title=""/>
                    <o:lock v:ext="edit" aspectratio="f"/>
                    <v:textbox>
                      <w:txbxContent>
                        <w:p w14:paraId="1EB5D375">
                          <w:pPr>
                            <w:jc w:val="center"/>
                            <w:rPr>
                              <w:rFonts w:hint="default" w:eastAsia="宋体"/>
                              <w:lang w:val="en-US" w:eastAsia="zh-CN"/>
                            </w:rPr>
                          </w:pPr>
                          <w:r>
                            <w:rPr>
                              <w:rFonts w:hint="eastAsia"/>
                              <w:lang w:val="en-US" w:eastAsia="zh-CN"/>
                            </w:rPr>
                            <w:t>洗车平台</w:t>
                          </w:r>
                        </w:p>
                      </w:txbxContent>
                    </v:textbox>
                  </v:rect>
                  <v:line id="_x0000_s3039" o:spid="_x0000_s3039" o:spt="20" style="position:absolute;left:8592;top:232981;height:9;width:699;" filled="f" stroked="t" coordsize="21600,21600">
                    <v:path arrowok="t"/>
                    <v:fill on="f" focussize="0,0"/>
                    <v:stroke color="#000000" dashstyle="dash" endarrow="open"/>
                    <v:imagedata o:title=""/>
                    <o:lock v:ext="edit" aspectratio="f"/>
                  </v:line>
                  <v:rect id="_x0000_s3040" o:spid="_x0000_s3040" o:spt="1" style="position:absolute;left:9252;top:232780;height:451;width:1437;" filled="f" stroked="f" coordsize="21600,21600">
                    <v:path/>
                    <v:fill on="f" focussize="0,0"/>
                    <v:stroke on="f"/>
                    <v:imagedata o:title=""/>
                    <o:lock v:ext="edit" aspectratio="f"/>
                    <v:textbox>
                      <w:txbxContent>
                        <w:p w14:paraId="5844D909">
                          <w:pPr>
                            <w:jc w:val="center"/>
                            <w:rPr>
                              <w:rFonts w:hint="default" w:eastAsia="宋体"/>
                              <w:lang w:val="en-US" w:eastAsia="zh-CN"/>
                            </w:rPr>
                          </w:pPr>
                          <w:r>
                            <w:rPr>
                              <w:rFonts w:hint="eastAsia"/>
                              <w:lang w:val="en-US" w:eastAsia="zh-CN"/>
                            </w:rPr>
                            <w:t>W洗车废水</w:t>
                          </w:r>
                        </w:p>
                      </w:txbxContent>
                    </v:textbox>
                  </v:rect>
                  <v:line id="_x0000_s3041" o:spid="_x0000_s3041" o:spt="20" style="position:absolute;left:10600;top:232993;height:1;width:849;" filled="f" stroked="t" coordsize="21600,21600">
                    <v:path arrowok="t"/>
                    <v:fill on="f" focussize="0,0"/>
                    <v:stroke color="#000000" endarrow="open"/>
                    <v:imagedata o:title=""/>
                    <o:lock v:ext="edit" aspectratio="f"/>
                  </v:line>
                  <v:rect id="_x0000_s3042" o:spid="_x0000_s3042" o:spt="1" style="position:absolute;left:11468;top:232769;height:451;width:1251;" fillcolor="#FFFFFF" filled="t" stroked="t" coordsize="21600,21600">
                    <v:path/>
                    <v:fill on="t" color2="#FFFFFF" focussize="0,0"/>
                    <v:stroke color="#000000" joinstyle="miter"/>
                    <v:imagedata o:title=""/>
                    <o:lock v:ext="edit" aspectratio="f"/>
                    <v:textbox>
                      <w:txbxContent>
                        <w:p w14:paraId="0A684F5F">
                          <w:pPr>
                            <w:jc w:val="center"/>
                            <w:rPr>
                              <w:rFonts w:hint="default" w:eastAsia="宋体"/>
                              <w:lang w:val="en-US" w:eastAsia="zh-CN"/>
                            </w:rPr>
                          </w:pPr>
                          <w:r>
                            <w:rPr>
                              <w:rFonts w:hint="eastAsia"/>
                              <w:lang w:val="en-US" w:eastAsia="zh-CN"/>
                            </w:rPr>
                            <w:t>沉淀池</w:t>
                          </w:r>
                        </w:p>
                      </w:txbxContent>
                    </v:textbox>
                  </v:rect>
                  <v:rect id="_x0000_s3043" o:spid="_x0000_s3043" o:spt="1" style="position:absolute;left:10312;top:232690;height:451;width:1437;" filled="f" stroked="f" coordsize="21600,21600">
                    <v:path/>
                    <v:fill on="f" focussize="0,0"/>
                    <v:stroke on="f"/>
                    <v:imagedata o:title=""/>
                    <o:lock v:ext="edit" aspectratio="f"/>
                    <v:textbox>
                      <w:txbxContent>
                        <w:p w14:paraId="004E22A0">
                          <w:pPr>
                            <w:jc w:val="center"/>
                            <w:rPr>
                              <w:rFonts w:hint="default" w:eastAsia="宋体"/>
                              <w:lang w:val="en-US" w:eastAsia="zh-CN"/>
                            </w:rPr>
                          </w:pPr>
                          <w:r>
                            <w:rPr>
                              <w:rFonts w:hint="eastAsia"/>
                              <w:lang w:val="en-US" w:eastAsia="zh-CN"/>
                            </w:rPr>
                            <w:t>循环使用</w:t>
                          </w:r>
                        </w:p>
                      </w:txbxContent>
                    </v:textbox>
                  </v:rect>
                  <v:line id="_x0000_s3044" o:spid="_x0000_s3044" o:spt="20" style="position:absolute;left:12754;top:233003;height:9;width:699;" filled="f" stroked="t" coordsize="21600,21600">
                    <v:path arrowok="t"/>
                    <v:fill on="f" focussize="0,0"/>
                    <v:stroke color="#000000" dashstyle="dash" endarrow="open"/>
                    <v:imagedata o:title=""/>
                    <o:lock v:ext="edit" aspectratio="f"/>
                  </v:line>
                  <v:rect id="_x0000_s3045" o:spid="_x0000_s3045" o:spt="1" style="position:absolute;left:13414;top:232802;height:451;width:874;" filled="f" stroked="f" coordsize="21600,21600">
                    <v:path/>
                    <v:fill on="f" focussize="0,0"/>
                    <v:stroke on="f"/>
                    <v:imagedata o:title=""/>
                    <o:lock v:ext="edit" aspectratio="f"/>
                    <v:textbox>
                      <w:txbxContent>
                        <w:p w14:paraId="016D327E">
                          <w:pPr>
                            <w:jc w:val="center"/>
                            <w:rPr>
                              <w:rFonts w:hint="default" w:eastAsia="宋体"/>
                              <w:lang w:val="en-US" w:eastAsia="zh-CN"/>
                            </w:rPr>
                          </w:pPr>
                          <w:r>
                            <w:rPr>
                              <w:rFonts w:hint="eastAsia"/>
                              <w:lang w:val="en-US" w:eastAsia="zh-CN"/>
                            </w:rPr>
                            <w:t>S沉渣</w:t>
                          </w:r>
                        </w:p>
                      </w:txbxContent>
                    </v:textbox>
                  </v:rect>
                </v:group>
              </w:pict>
            </w:r>
          </w:p>
          <w:p w14:paraId="600B3829">
            <w:pPr>
              <w:snapToGrid w:val="0"/>
              <w:spacing w:line="360" w:lineRule="auto"/>
              <w:ind w:firstLine="420" w:firstLineChars="200"/>
              <w:rPr>
                <w:rFonts w:hint="default"/>
                <w:bCs/>
                <w:color w:val="auto"/>
                <w:szCs w:val="21"/>
                <w:lang w:val="en-US" w:eastAsia="zh-CN"/>
              </w:rPr>
            </w:pPr>
          </w:p>
          <w:p w14:paraId="15F17A3F">
            <w:pPr>
              <w:snapToGrid w:val="0"/>
              <w:spacing w:line="360" w:lineRule="auto"/>
              <w:ind w:firstLine="420" w:firstLineChars="200"/>
              <w:rPr>
                <w:rFonts w:hint="default"/>
                <w:bCs/>
                <w:color w:val="auto"/>
                <w:szCs w:val="21"/>
                <w:lang w:val="en-US" w:eastAsia="zh-CN"/>
              </w:rPr>
            </w:pPr>
          </w:p>
          <w:p w14:paraId="195504A5">
            <w:pPr>
              <w:snapToGrid w:val="0"/>
              <w:spacing w:line="360" w:lineRule="auto"/>
              <w:ind w:firstLine="420" w:firstLineChars="200"/>
              <w:rPr>
                <w:rFonts w:hint="default"/>
                <w:bCs/>
                <w:color w:val="auto"/>
                <w:szCs w:val="21"/>
                <w:lang w:val="en-US" w:eastAsia="zh-CN"/>
              </w:rPr>
            </w:pPr>
          </w:p>
          <w:p w14:paraId="7CA76D2B">
            <w:pPr>
              <w:snapToGrid w:val="0"/>
              <w:spacing w:line="360" w:lineRule="auto"/>
              <w:ind w:firstLine="361" w:firstLineChars="200"/>
              <w:jc w:val="center"/>
              <w:rPr>
                <w:rFonts w:hint="default"/>
                <w:b/>
                <w:bCs w:val="0"/>
                <w:color w:val="auto"/>
                <w:sz w:val="18"/>
                <w:szCs w:val="18"/>
                <w:lang w:val="en-US" w:eastAsia="zh-CN"/>
              </w:rPr>
            </w:pPr>
            <w:r>
              <w:rPr>
                <w:rFonts w:hint="eastAsia"/>
                <w:b/>
                <w:bCs w:val="0"/>
                <w:color w:val="auto"/>
                <w:sz w:val="18"/>
                <w:szCs w:val="18"/>
                <w:lang w:val="en-US" w:eastAsia="zh-CN"/>
              </w:rPr>
              <w:t>图2-5    运营期厂区其他辅助设施产排污环节图</w:t>
            </w:r>
          </w:p>
          <w:p w14:paraId="01E03A45">
            <w:pPr>
              <w:snapToGrid w:val="0"/>
              <w:spacing w:line="360" w:lineRule="auto"/>
              <w:ind w:firstLine="361" w:firstLineChars="200"/>
              <w:rPr>
                <w:rFonts w:hint="eastAsia" w:eastAsia="宋体"/>
                <w:b/>
                <w:bCs/>
                <w:color w:val="auto"/>
                <w:sz w:val="18"/>
                <w:szCs w:val="18"/>
                <w:lang w:val="en-US" w:eastAsia="zh-CN"/>
              </w:rPr>
            </w:pPr>
          </w:p>
        </w:tc>
      </w:tr>
      <w:tr w14:paraId="692869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76" w:hRule="atLeast"/>
          <w:jc w:val="center"/>
        </w:trPr>
        <w:tc>
          <w:tcPr>
            <w:tcW w:w="726" w:type="dxa"/>
            <w:vAlign w:val="center"/>
          </w:tcPr>
          <w:p w14:paraId="1E79A652">
            <w:pPr>
              <w:pStyle w:val="41"/>
              <w:adjustRightInd w:val="0"/>
              <w:snapToGrid w:val="0"/>
              <w:spacing w:before="0" w:beforeAutospacing="0" w:after="0" w:afterAutospacing="0"/>
              <w:jc w:val="center"/>
              <w:rPr>
                <w:rFonts w:ascii="Times New Roman" w:hAnsi="Times New Roman"/>
                <w:color w:val="auto"/>
                <w:sz w:val="21"/>
                <w:szCs w:val="21"/>
              </w:rPr>
            </w:pPr>
            <w:r>
              <w:rPr>
                <w:rFonts w:ascii="Times New Roman" w:hAnsi="Times New Roman"/>
                <w:bCs/>
                <w:color w:val="auto"/>
                <w:kern w:val="2"/>
                <w:sz w:val="21"/>
                <w:szCs w:val="21"/>
              </w:rPr>
              <w:t>与项目有关的原有环境污染问题</w:t>
            </w:r>
          </w:p>
        </w:tc>
        <w:tc>
          <w:tcPr>
            <w:tcW w:w="8264" w:type="dxa"/>
          </w:tcPr>
          <w:p w14:paraId="5E8F81B4">
            <w:pPr>
              <w:autoSpaceDE w:val="0"/>
              <w:autoSpaceDN w:val="0"/>
              <w:adjustRightInd w:val="0"/>
              <w:spacing w:line="360" w:lineRule="auto"/>
              <w:ind w:firstLine="420" w:firstLineChars="200"/>
              <w:jc w:val="left"/>
              <w:rPr>
                <w:rFonts w:hint="eastAsia"/>
                <w:bCs/>
                <w:color w:val="auto"/>
                <w:szCs w:val="21"/>
                <w:lang w:val="en-US" w:eastAsia="zh-CN"/>
              </w:rPr>
            </w:pPr>
          </w:p>
          <w:p w14:paraId="4BD31AC4">
            <w:pPr>
              <w:autoSpaceDE w:val="0"/>
              <w:autoSpaceDN w:val="0"/>
              <w:adjustRightInd w:val="0"/>
              <w:spacing w:line="360" w:lineRule="auto"/>
              <w:ind w:firstLine="420" w:firstLineChars="200"/>
              <w:jc w:val="left"/>
              <w:rPr>
                <w:rFonts w:hint="eastAsia"/>
                <w:bCs/>
                <w:color w:val="auto"/>
                <w:szCs w:val="21"/>
                <w:lang w:val="en-US" w:eastAsia="zh-CN"/>
              </w:rPr>
            </w:pPr>
          </w:p>
          <w:p w14:paraId="73E02D02">
            <w:pPr>
              <w:autoSpaceDE w:val="0"/>
              <w:autoSpaceDN w:val="0"/>
              <w:adjustRightInd w:val="0"/>
              <w:spacing w:line="360" w:lineRule="auto"/>
              <w:ind w:firstLine="420" w:firstLineChars="200"/>
              <w:jc w:val="left"/>
              <w:rPr>
                <w:rFonts w:hint="eastAsia"/>
                <w:bCs/>
                <w:color w:val="auto"/>
                <w:szCs w:val="21"/>
                <w:lang w:val="en-US" w:eastAsia="zh-CN"/>
              </w:rPr>
            </w:pPr>
          </w:p>
          <w:p w14:paraId="155967A8">
            <w:pPr>
              <w:autoSpaceDE w:val="0"/>
              <w:autoSpaceDN w:val="0"/>
              <w:adjustRightInd w:val="0"/>
              <w:spacing w:line="360" w:lineRule="auto"/>
              <w:ind w:firstLine="420" w:firstLineChars="200"/>
              <w:jc w:val="left"/>
              <w:rPr>
                <w:rFonts w:hint="eastAsia"/>
                <w:bCs/>
                <w:color w:val="auto"/>
                <w:szCs w:val="21"/>
                <w:lang w:val="en-US" w:eastAsia="zh-CN"/>
              </w:rPr>
            </w:pPr>
            <w:r>
              <w:rPr>
                <w:rFonts w:hint="eastAsia"/>
                <w:bCs/>
                <w:color w:val="auto"/>
                <w:szCs w:val="21"/>
                <w:lang w:val="en-US" w:eastAsia="zh-CN"/>
              </w:rPr>
              <w:t>本项目为未批先建类项目，经实地踏勘，厂区内已建成各搅拌机组和办公楼主体框架，无其他储运、环保设备设施等，建成后的搅拌机组未运行生产，无生产痕迹，无原有环境问题。</w:t>
            </w:r>
          </w:p>
          <w:p w14:paraId="2B5AB55B">
            <w:pPr>
              <w:autoSpaceDE w:val="0"/>
              <w:autoSpaceDN w:val="0"/>
              <w:adjustRightInd w:val="0"/>
              <w:spacing w:line="360" w:lineRule="auto"/>
              <w:ind w:firstLine="420" w:firstLineChars="200"/>
              <w:jc w:val="left"/>
              <w:rPr>
                <w:rFonts w:hint="eastAsia"/>
                <w:bCs/>
                <w:color w:val="auto"/>
                <w:szCs w:val="21"/>
                <w:lang w:val="en-US" w:eastAsia="zh-CN"/>
              </w:rPr>
            </w:pPr>
          </w:p>
          <w:p w14:paraId="6E7ABDAC">
            <w:pPr>
              <w:autoSpaceDE w:val="0"/>
              <w:autoSpaceDN w:val="0"/>
              <w:adjustRightInd w:val="0"/>
              <w:spacing w:line="360" w:lineRule="auto"/>
              <w:ind w:firstLine="420" w:firstLineChars="200"/>
              <w:jc w:val="left"/>
              <w:rPr>
                <w:rFonts w:hint="eastAsia"/>
                <w:bCs/>
                <w:color w:val="auto"/>
                <w:szCs w:val="21"/>
                <w:lang w:val="en-US" w:eastAsia="zh-CN"/>
              </w:rPr>
            </w:pPr>
          </w:p>
          <w:p w14:paraId="7AC707C7">
            <w:pPr>
              <w:autoSpaceDE w:val="0"/>
              <w:autoSpaceDN w:val="0"/>
              <w:adjustRightInd w:val="0"/>
              <w:spacing w:line="360" w:lineRule="auto"/>
              <w:ind w:firstLine="420" w:firstLineChars="200"/>
              <w:jc w:val="left"/>
              <w:rPr>
                <w:rFonts w:hint="default"/>
                <w:bCs/>
                <w:color w:val="auto"/>
                <w:szCs w:val="21"/>
                <w:lang w:val="en-US" w:eastAsia="zh-CN"/>
              </w:rPr>
            </w:pPr>
          </w:p>
          <w:p w14:paraId="59D825AE">
            <w:pPr>
              <w:autoSpaceDE w:val="0"/>
              <w:autoSpaceDN w:val="0"/>
              <w:adjustRightInd w:val="0"/>
              <w:spacing w:line="360" w:lineRule="auto"/>
              <w:ind w:firstLine="420" w:firstLineChars="200"/>
              <w:jc w:val="left"/>
              <w:rPr>
                <w:rFonts w:hint="eastAsia" w:ascii="Times New Roman" w:hAnsi="Times New Roman" w:cs="Times New Roman"/>
                <w:color w:val="auto"/>
                <w:szCs w:val="21"/>
              </w:rPr>
            </w:pPr>
          </w:p>
        </w:tc>
      </w:tr>
    </w:tbl>
    <w:p w14:paraId="461A5EF9">
      <w:pPr>
        <w:pStyle w:val="41"/>
        <w:jc w:val="center"/>
        <w:rPr>
          <w:rFonts w:ascii="Times New Roman" w:hAnsi="Times New Roman" w:eastAsia="黑体"/>
          <w:snapToGrid w:val="0"/>
          <w:color w:val="auto"/>
          <w:sz w:val="36"/>
          <w:szCs w:val="36"/>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35CD9963">
      <w:pPr>
        <w:pStyle w:val="41"/>
        <w:jc w:val="center"/>
        <w:outlineLvl w:val="0"/>
        <w:rPr>
          <w:rFonts w:ascii="Times New Roman" w:hAnsi="Times New Roman" w:eastAsia="黑体"/>
          <w:snapToGrid w:val="0"/>
          <w:color w:val="auto"/>
          <w:sz w:val="30"/>
          <w:szCs w:val="30"/>
        </w:rPr>
      </w:pPr>
      <w:bookmarkStart w:id="3" w:name="_Toc24880"/>
      <w:r>
        <w:rPr>
          <w:rFonts w:ascii="Times New Roman" w:hAnsi="Times New Roman" w:eastAsia="黑体"/>
          <w:snapToGrid w:val="0"/>
          <w:color w:val="auto"/>
          <w:sz w:val="30"/>
          <w:szCs w:val="30"/>
        </w:rPr>
        <w:t>三、区域环境质量现状、环境保护目标及评价标准</w:t>
      </w:r>
      <w:bookmarkEnd w:id="3"/>
    </w:p>
    <w:tbl>
      <w:tblPr>
        <w:tblStyle w:val="4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00"/>
        <w:gridCol w:w="8190"/>
      </w:tblGrid>
      <w:tr w14:paraId="6C94D6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06" w:hRule="atLeast"/>
          <w:jc w:val="center"/>
        </w:trPr>
        <w:tc>
          <w:tcPr>
            <w:tcW w:w="800" w:type="dxa"/>
            <w:vAlign w:val="center"/>
          </w:tcPr>
          <w:p w14:paraId="60219063">
            <w:pPr>
              <w:adjustRightInd w:val="0"/>
              <w:snapToGrid w:val="0"/>
              <w:jc w:val="center"/>
              <w:rPr>
                <w:color w:val="auto"/>
                <w:kern w:val="0"/>
                <w:szCs w:val="21"/>
              </w:rPr>
            </w:pPr>
            <w:r>
              <w:rPr>
                <w:color w:val="auto"/>
                <w:kern w:val="0"/>
                <w:szCs w:val="21"/>
              </w:rPr>
              <w:t>区域</w:t>
            </w:r>
          </w:p>
          <w:p w14:paraId="603BD78A">
            <w:pPr>
              <w:adjustRightInd w:val="0"/>
              <w:snapToGrid w:val="0"/>
              <w:jc w:val="center"/>
              <w:rPr>
                <w:color w:val="auto"/>
                <w:kern w:val="0"/>
                <w:szCs w:val="21"/>
              </w:rPr>
            </w:pPr>
            <w:r>
              <w:rPr>
                <w:color w:val="auto"/>
                <w:kern w:val="0"/>
                <w:szCs w:val="21"/>
              </w:rPr>
              <w:t>环境</w:t>
            </w:r>
          </w:p>
          <w:p w14:paraId="7281E8FB">
            <w:pPr>
              <w:adjustRightInd w:val="0"/>
              <w:snapToGrid w:val="0"/>
              <w:jc w:val="center"/>
              <w:rPr>
                <w:color w:val="auto"/>
                <w:kern w:val="0"/>
                <w:szCs w:val="21"/>
              </w:rPr>
            </w:pPr>
            <w:r>
              <w:rPr>
                <w:color w:val="auto"/>
                <w:kern w:val="0"/>
                <w:szCs w:val="21"/>
              </w:rPr>
              <w:t>质量</w:t>
            </w:r>
          </w:p>
          <w:p w14:paraId="4799C145">
            <w:pPr>
              <w:adjustRightInd w:val="0"/>
              <w:snapToGrid w:val="0"/>
              <w:jc w:val="center"/>
              <w:rPr>
                <w:color w:val="auto"/>
                <w:kern w:val="0"/>
                <w:szCs w:val="21"/>
              </w:rPr>
            </w:pPr>
            <w:r>
              <w:rPr>
                <w:color w:val="auto"/>
                <w:kern w:val="0"/>
                <w:szCs w:val="21"/>
              </w:rPr>
              <w:t>现状</w:t>
            </w:r>
          </w:p>
        </w:tc>
        <w:tc>
          <w:tcPr>
            <w:tcW w:w="8190" w:type="dxa"/>
            <w:vAlign w:val="center"/>
          </w:tcPr>
          <w:p w14:paraId="084E886D">
            <w:pPr>
              <w:spacing w:line="360" w:lineRule="auto"/>
              <w:ind w:firstLine="422" w:firstLineChars="200"/>
              <w:rPr>
                <w:rFonts w:hint="default" w:eastAsia="宋体"/>
                <w:b/>
                <w:color w:val="auto"/>
                <w:szCs w:val="21"/>
                <w:lang w:val="en-US" w:eastAsia="zh-CN"/>
              </w:rPr>
            </w:pPr>
            <w:r>
              <w:rPr>
                <w:rFonts w:hint="eastAsia"/>
                <w:b/>
                <w:color w:val="auto"/>
                <w:szCs w:val="21"/>
                <w:lang w:val="en-US" w:eastAsia="zh-CN"/>
              </w:rPr>
              <w:t>3.</w:t>
            </w:r>
            <w:r>
              <w:rPr>
                <w:b/>
                <w:color w:val="auto"/>
                <w:szCs w:val="21"/>
              </w:rPr>
              <w:t>1</w:t>
            </w:r>
            <w:r>
              <w:rPr>
                <w:rFonts w:hint="eastAsia"/>
                <w:b/>
                <w:color w:val="auto"/>
                <w:szCs w:val="21"/>
                <w:lang w:val="en-US" w:eastAsia="zh-CN"/>
              </w:rPr>
              <w:t>大气环境</w:t>
            </w:r>
          </w:p>
          <w:p w14:paraId="22F367BE">
            <w:pPr>
              <w:spacing w:line="360" w:lineRule="auto"/>
              <w:ind w:firstLine="420" w:firstLineChars="200"/>
              <w:rPr>
                <w:color w:val="auto"/>
                <w:szCs w:val="21"/>
              </w:rPr>
            </w:pPr>
            <w:r>
              <w:rPr>
                <w:color w:val="auto"/>
                <w:szCs w:val="21"/>
              </w:rPr>
              <w:t>本项目厂址属于行政区划为</w:t>
            </w:r>
            <w:r>
              <w:rPr>
                <w:rFonts w:hint="eastAsia"/>
                <w:color w:val="auto"/>
                <w:szCs w:val="21"/>
                <w:lang w:val="en-US" w:eastAsia="zh-CN"/>
              </w:rPr>
              <w:t>大同市天镇县</w:t>
            </w:r>
            <w:r>
              <w:rPr>
                <w:color w:val="auto"/>
                <w:szCs w:val="21"/>
              </w:rPr>
              <w:t>，选用</w:t>
            </w:r>
            <w:r>
              <w:rPr>
                <w:rFonts w:hint="eastAsia"/>
                <w:color w:val="auto"/>
                <w:szCs w:val="21"/>
                <w:lang w:val="en-US" w:eastAsia="zh-CN"/>
              </w:rPr>
              <w:t>大同市天镇县2024年</w:t>
            </w:r>
            <w:r>
              <w:rPr>
                <w:color w:val="auto"/>
                <w:szCs w:val="21"/>
              </w:rPr>
              <w:t>例行监测资料对本项目区域空气环境质量进行简要评价，监测数据可反应区域空气质量现状</w:t>
            </w:r>
            <w:r>
              <w:rPr>
                <w:rFonts w:hint="eastAsia"/>
                <w:color w:val="auto"/>
                <w:szCs w:val="21"/>
              </w:rPr>
              <w:t>。</w:t>
            </w:r>
            <w:r>
              <w:rPr>
                <w:color w:val="auto"/>
                <w:szCs w:val="21"/>
              </w:rPr>
              <w:t>评价标准为《环境空气质量标准》（GB3095-2012）二级标准。监测污染物为SO</w:t>
            </w:r>
            <w:r>
              <w:rPr>
                <w:color w:val="auto"/>
                <w:szCs w:val="21"/>
                <w:vertAlign w:val="subscript"/>
              </w:rPr>
              <w:t>2</w:t>
            </w:r>
            <w:r>
              <w:rPr>
                <w:color w:val="auto"/>
                <w:szCs w:val="21"/>
              </w:rPr>
              <w:t>、NO</w:t>
            </w:r>
            <w:r>
              <w:rPr>
                <w:color w:val="auto"/>
                <w:szCs w:val="21"/>
                <w:vertAlign w:val="subscript"/>
              </w:rPr>
              <w:t>2</w:t>
            </w:r>
            <w:r>
              <w:rPr>
                <w:color w:val="auto"/>
                <w:szCs w:val="21"/>
              </w:rPr>
              <w:t>、PM</w:t>
            </w:r>
            <w:r>
              <w:rPr>
                <w:color w:val="auto"/>
                <w:szCs w:val="21"/>
                <w:vertAlign w:val="subscript"/>
              </w:rPr>
              <w:t>10</w:t>
            </w:r>
            <w:r>
              <w:rPr>
                <w:color w:val="auto"/>
                <w:szCs w:val="21"/>
              </w:rPr>
              <w:t>、PM</w:t>
            </w:r>
            <w:r>
              <w:rPr>
                <w:color w:val="auto"/>
                <w:szCs w:val="21"/>
                <w:vertAlign w:val="subscript"/>
              </w:rPr>
              <w:t>2.5</w:t>
            </w:r>
            <w:r>
              <w:rPr>
                <w:color w:val="auto"/>
                <w:szCs w:val="21"/>
              </w:rPr>
              <w:t>、CO、O</w:t>
            </w:r>
            <w:r>
              <w:rPr>
                <w:color w:val="auto"/>
                <w:szCs w:val="21"/>
                <w:vertAlign w:val="subscript"/>
              </w:rPr>
              <w:t>3</w:t>
            </w:r>
            <w:r>
              <w:rPr>
                <w:color w:val="auto"/>
                <w:szCs w:val="21"/>
              </w:rPr>
              <w:t>。监测结果统计见表3</w:t>
            </w:r>
            <w:r>
              <w:rPr>
                <w:rFonts w:hint="eastAsia"/>
                <w:color w:val="auto"/>
                <w:szCs w:val="21"/>
                <w:lang w:val="en-US" w:eastAsia="zh-CN"/>
              </w:rPr>
              <w:t>.1</w:t>
            </w:r>
            <w:r>
              <w:rPr>
                <w:color w:val="auto"/>
                <w:szCs w:val="21"/>
              </w:rPr>
              <w:t>-1。</w:t>
            </w:r>
          </w:p>
          <w:p w14:paraId="0FBC3D2C">
            <w:pPr>
              <w:spacing w:line="240" w:lineRule="exact"/>
              <w:jc w:val="center"/>
              <w:rPr>
                <w:b/>
                <w:color w:val="auto"/>
                <w:sz w:val="18"/>
                <w:szCs w:val="18"/>
              </w:rPr>
            </w:pPr>
            <w:r>
              <w:rPr>
                <w:b/>
                <w:color w:val="auto"/>
                <w:sz w:val="18"/>
                <w:szCs w:val="18"/>
              </w:rPr>
              <w:t>表3</w:t>
            </w:r>
            <w:r>
              <w:rPr>
                <w:rFonts w:hint="eastAsia"/>
                <w:b/>
                <w:color w:val="auto"/>
                <w:sz w:val="18"/>
                <w:szCs w:val="18"/>
                <w:lang w:val="en-US" w:eastAsia="zh-CN"/>
              </w:rPr>
              <w:t>.1</w:t>
            </w:r>
            <w:r>
              <w:rPr>
                <w:b/>
                <w:color w:val="auto"/>
                <w:sz w:val="18"/>
                <w:szCs w:val="18"/>
              </w:rPr>
              <w:t>-1    20</w:t>
            </w:r>
            <w:r>
              <w:rPr>
                <w:rFonts w:hint="eastAsia"/>
                <w:b/>
                <w:color w:val="auto"/>
                <w:sz w:val="18"/>
                <w:szCs w:val="18"/>
              </w:rPr>
              <w:t>2</w:t>
            </w:r>
            <w:r>
              <w:rPr>
                <w:rFonts w:hint="eastAsia"/>
                <w:b/>
                <w:color w:val="auto"/>
                <w:sz w:val="18"/>
                <w:szCs w:val="18"/>
                <w:lang w:val="en-US" w:eastAsia="zh-CN"/>
              </w:rPr>
              <w:t>4</w:t>
            </w:r>
            <w:r>
              <w:rPr>
                <w:b/>
                <w:color w:val="auto"/>
                <w:sz w:val="18"/>
                <w:szCs w:val="18"/>
              </w:rPr>
              <w:t>年</w:t>
            </w:r>
            <w:r>
              <w:rPr>
                <w:rFonts w:hint="eastAsia"/>
                <w:b/>
                <w:color w:val="auto"/>
                <w:sz w:val="18"/>
                <w:szCs w:val="18"/>
              </w:rPr>
              <w:t>大同市</w:t>
            </w:r>
            <w:r>
              <w:rPr>
                <w:rFonts w:hint="eastAsia"/>
                <w:b/>
                <w:color w:val="auto"/>
                <w:sz w:val="18"/>
                <w:szCs w:val="18"/>
                <w:lang w:eastAsia="zh-CN"/>
              </w:rPr>
              <w:t>天镇县</w:t>
            </w:r>
            <w:r>
              <w:rPr>
                <w:b/>
                <w:color w:val="auto"/>
                <w:sz w:val="18"/>
                <w:szCs w:val="18"/>
              </w:rPr>
              <w:t>环境空气现状监测结果统计表</w:t>
            </w:r>
          </w:p>
          <w:tbl>
            <w:tblPr>
              <w:tblStyle w:val="47"/>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04"/>
              <w:gridCol w:w="783"/>
              <w:gridCol w:w="1690"/>
              <w:gridCol w:w="1207"/>
              <w:gridCol w:w="1308"/>
              <w:gridCol w:w="1176"/>
              <w:gridCol w:w="1176"/>
            </w:tblGrid>
            <w:tr w14:paraId="15762F1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380" w:type="pct"/>
                  <w:tcBorders>
                    <w:top w:val="single" w:color="auto" w:sz="12" w:space="0"/>
                    <w:left w:val="single" w:color="auto" w:sz="12" w:space="0"/>
                    <w:bottom w:val="single" w:color="auto" w:sz="6" w:space="0"/>
                    <w:right w:val="single" w:color="auto" w:sz="6" w:space="0"/>
                  </w:tcBorders>
                  <w:vAlign w:val="center"/>
                </w:tcPr>
                <w:p w14:paraId="1B2965A2">
                  <w:pPr>
                    <w:pStyle w:val="220"/>
                    <w:spacing w:line="280" w:lineRule="exact"/>
                    <w:rPr>
                      <w:rFonts w:eastAsia="宋体"/>
                      <w:color w:val="auto"/>
                      <w:kern w:val="2"/>
                      <w:sz w:val="18"/>
                      <w:szCs w:val="18"/>
                    </w:rPr>
                  </w:pPr>
                  <w:r>
                    <w:rPr>
                      <w:rFonts w:eastAsia="宋体"/>
                      <w:color w:val="auto"/>
                      <w:kern w:val="2"/>
                      <w:sz w:val="18"/>
                      <w:szCs w:val="18"/>
                    </w:rPr>
                    <w:t>所在区域</w:t>
                  </w:r>
                </w:p>
              </w:tc>
              <w:tc>
                <w:tcPr>
                  <w:tcW w:w="493" w:type="pct"/>
                  <w:tcBorders>
                    <w:top w:val="single" w:color="auto" w:sz="12" w:space="0"/>
                    <w:left w:val="single" w:color="auto" w:sz="6" w:space="0"/>
                    <w:bottom w:val="single" w:color="auto" w:sz="6" w:space="0"/>
                    <w:right w:val="single" w:color="auto" w:sz="6" w:space="0"/>
                  </w:tcBorders>
                  <w:vAlign w:val="center"/>
                </w:tcPr>
                <w:p w14:paraId="1CFDB7F8">
                  <w:pPr>
                    <w:pStyle w:val="220"/>
                    <w:spacing w:line="280" w:lineRule="exact"/>
                    <w:rPr>
                      <w:rFonts w:eastAsia="宋体"/>
                      <w:color w:val="auto"/>
                      <w:kern w:val="2"/>
                      <w:sz w:val="18"/>
                      <w:szCs w:val="18"/>
                    </w:rPr>
                  </w:pPr>
                  <w:r>
                    <w:rPr>
                      <w:rFonts w:eastAsia="宋体"/>
                      <w:color w:val="auto"/>
                      <w:kern w:val="2"/>
                      <w:sz w:val="18"/>
                      <w:szCs w:val="18"/>
                    </w:rPr>
                    <w:t>污染物</w:t>
                  </w:r>
                </w:p>
              </w:tc>
              <w:tc>
                <w:tcPr>
                  <w:tcW w:w="1064" w:type="pct"/>
                  <w:tcBorders>
                    <w:top w:val="single" w:color="auto" w:sz="12" w:space="0"/>
                    <w:left w:val="single" w:color="auto" w:sz="6" w:space="0"/>
                    <w:bottom w:val="single" w:color="auto" w:sz="6" w:space="0"/>
                    <w:right w:val="single" w:color="auto" w:sz="6" w:space="0"/>
                  </w:tcBorders>
                  <w:vAlign w:val="center"/>
                </w:tcPr>
                <w:p w14:paraId="1515AD6D">
                  <w:pPr>
                    <w:pStyle w:val="220"/>
                    <w:spacing w:line="280" w:lineRule="exact"/>
                    <w:rPr>
                      <w:rFonts w:eastAsia="宋体"/>
                      <w:color w:val="auto"/>
                      <w:kern w:val="2"/>
                      <w:sz w:val="18"/>
                      <w:szCs w:val="18"/>
                    </w:rPr>
                  </w:pPr>
                  <w:r>
                    <w:rPr>
                      <w:rFonts w:eastAsia="宋体"/>
                      <w:color w:val="auto"/>
                      <w:kern w:val="2"/>
                      <w:sz w:val="18"/>
                      <w:szCs w:val="18"/>
                    </w:rPr>
                    <w:t>年评价指标</w:t>
                  </w:r>
                </w:p>
              </w:tc>
              <w:tc>
                <w:tcPr>
                  <w:tcW w:w="760" w:type="pct"/>
                  <w:tcBorders>
                    <w:top w:val="single" w:color="auto" w:sz="12" w:space="0"/>
                    <w:left w:val="single" w:color="auto" w:sz="6" w:space="0"/>
                    <w:bottom w:val="single" w:color="auto" w:sz="6" w:space="0"/>
                    <w:right w:val="single" w:color="auto" w:sz="6" w:space="0"/>
                  </w:tcBorders>
                  <w:vAlign w:val="center"/>
                </w:tcPr>
                <w:p w14:paraId="7D20CD0C">
                  <w:pPr>
                    <w:pStyle w:val="220"/>
                    <w:spacing w:line="280" w:lineRule="exact"/>
                    <w:rPr>
                      <w:rFonts w:hint="eastAsia" w:eastAsia="宋体"/>
                      <w:color w:val="auto"/>
                      <w:kern w:val="2"/>
                      <w:sz w:val="18"/>
                      <w:szCs w:val="18"/>
                      <w:lang w:eastAsia="zh-CN"/>
                    </w:rPr>
                  </w:pPr>
                  <w:r>
                    <w:rPr>
                      <w:rFonts w:eastAsia="宋体"/>
                      <w:color w:val="auto"/>
                      <w:kern w:val="2"/>
                      <w:sz w:val="18"/>
                      <w:szCs w:val="18"/>
                    </w:rPr>
                    <w:t>现状浓度</w:t>
                  </w:r>
                  <w:r>
                    <w:rPr>
                      <w:rFonts w:hint="eastAsia" w:eastAsia="宋体"/>
                      <w:color w:val="auto"/>
                      <w:kern w:val="2"/>
                      <w:sz w:val="18"/>
                      <w:szCs w:val="18"/>
                      <w:lang w:eastAsia="zh-CN"/>
                    </w:rPr>
                    <w:t>（</w:t>
                  </w:r>
                  <w:r>
                    <w:rPr>
                      <w:rFonts w:eastAsia="宋体"/>
                      <w:color w:val="auto"/>
                      <w:kern w:val="2"/>
                      <w:sz w:val="18"/>
                      <w:szCs w:val="18"/>
                    </w:rPr>
                    <w:t>µg/m</w:t>
                  </w:r>
                  <w:r>
                    <w:rPr>
                      <w:rFonts w:eastAsia="宋体"/>
                      <w:color w:val="auto"/>
                      <w:kern w:val="2"/>
                      <w:sz w:val="18"/>
                      <w:szCs w:val="18"/>
                      <w:vertAlign w:val="superscript"/>
                    </w:rPr>
                    <w:t>3</w:t>
                  </w:r>
                  <w:r>
                    <w:rPr>
                      <w:rFonts w:hint="eastAsia" w:eastAsia="宋体"/>
                      <w:color w:val="auto"/>
                      <w:kern w:val="2"/>
                      <w:sz w:val="18"/>
                      <w:szCs w:val="18"/>
                      <w:lang w:eastAsia="zh-CN"/>
                    </w:rPr>
                    <w:t>）</w:t>
                  </w:r>
                </w:p>
              </w:tc>
              <w:tc>
                <w:tcPr>
                  <w:tcW w:w="823" w:type="pct"/>
                  <w:tcBorders>
                    <w:top w:val="single" w:color="auto" w:sz="12" w:space="0"/>
                    <w:left w:val="single" w:color="auto" w:sz="6" w:space="0"/>
                    <w:bottom w:val="single" w:color="auto" w:sz="6" w:space="0"/>
                    <w:right w:val="single" w:color="auto" w:sz="6" w:space="0"/>
                  </w:tcBorders>
                  <w:vAlign w:val="center"/>
                </w:tcPr>
                <w:p w14:paraId="07B6BE62">
                  <w:pPr>
                    <w:pStyle w:val="220"/>
                    <w:spacing w:line="280" w:lineRule="exact"/>
                    <w:rPr>
                      <w:rFonts w:eastAsia="宋体"/>
                      <w:color w:val="auto"/>
                      <w:kern w:val="2"/>
                      <w:sz w:val="18"/>
                      <w:szCs w:val="18"/>
                    </w:rPr>
                  </w:pPr>
                  <w:r>
                    <w:rPr>
                      <w:rFonts w:eastAsia="宋体"/>
                      <w:color w:val="auto"/>
                      <w:kern w:val="2"/>
                      <w:sz w:val="18"/>
                      <w:szCs w:val="18"/>
                    </w:rPr>
                    <w:t>标准值</w:t>
                  </w:r>
                  <w:r>
                    <w:rPr>
                      <w:rFonts w:hint="eastAsia" w:eastAsia="宋体"/>
                      <w:color w:val="auto"/>
                      <w:kern w:val="2"/>
                      <w:sz w:val="18"/>
                      <w:szCs w:val="18"/>
                      <w:lang w:eastAsia="zh-CN"/>
                    </w:rPr>
                    <w:t>（</w:t>
                  </w:r>
                  <w:r>
                    <w:rPr>
                      <w:rFonts w:eastAsia="宋体"/>
                      <w:color w:val="auto"/>
                      <w:kern w:val="2"/>
                      <w:sz w:val="18"/>
                      <w:szCs w:val="18"/>
                    </w:rPr>
                    <w:t>µg/m</w:t>
                  </w:r>
                  <w:r>
                    <w:rPr>
                      <w:rFonts w:eastAsia="宋体"/>
                      <w:color w:val="auto"/>
                      <w:kern w:val="2"/>
                      <w:sz w:val="18"/>
                      <w:szCs w:val="18"/>
                      <w:vertAlign w:val="superscript"/>
                    </w:rPr>
                    <w:t>3</w:t>
                  </w:r>
                  <w:r>
                    <w:rPr>
                      <w:rFonts w:hint="eastAsia" w:eastAsia="宋体"/>
                      <w:color w:val="auto"/>
                      <w:kern w:val="2"/>
                      <w:sz w:val="18"/>
                      <w:szCs w:val="18"/>
                      <w:lang w:eastAsia="zh-CN"/>
                    </w:rPr>
                    <w:t>）</w:t>
                  </w:r>
                </w:p>
              </w:tc>
              <w:tc>
                <w:tcPr>
                  <w:tcW w:w="740" w:type="pct"/>
                  <w:tcBorders>
                    <w:top w:val="single" w:color="auto" w:sz="12" w:space="0"/>
                    <w:left w:val="single" w:color="auto" w:sz="6" w:space="0"/>
                    <w:bottom w:val="single" w:color="auto" w:sz="6" w:space="0"/>
                    <w:right w:val="single" w:color="auto" w:sz="6" w:space="0"/>
                  </w:tcBorders>
                  <w:vAlign w:val="center"/>
                </w:tcPr>
                <w:p w14:paraId="7AB3A834">
                  <w:pPr>
                    <w:pStyle w:val="220"/>
                    <w:spacing w:line="280" w:lineRule="exact"/>
                    <w:rPr>
                      <w:rFonts w:eastAsia="宋体"/>
                      <w:color w:val="auto"/>
                      <w:kern w:val="2"/>
                      <w:sz w:val="18"/>
                      <w:szCs w:val="18"/>
                    </w:rPr>
                  </w:pPr>
                  <w:r>
                    <w:rPr>
                      <w:rFonts w:eastAsia="宋体"/>
                      <w:color w:val="auto"/>
                      <w:kern w:val="2"/>
                      <w:sz w:val="18"/>
                      <w:szCs w:val="18"/>
                    </w:rPr>
                    <w:t>占标率</w:t>
                  </w:r>
                </w:p>
              </w:tc>
              <w:tc>
                <w:tcPr>
                  <w:tcW w:w="741" w:type="pct"/>
                  <w:tcBorders>
                    <w:top w:val="single" w:color="auto" w:sz="12" w:space="0"/>
                    <w:left w:val="single" w:color="auto" w:sz="6" w:space="0"/>
                    <w:bottom w:val="single" w:color="auto" w:sz="6" w:space="0"/>
                    <w:right w:val="single" w:color="auto" w:sz="12" w:space="0"/>
                  </w:tcBorders>
                  <w:vAlign w:val="center"/>
                </w:tcPr>
                <w:p w14:paraId="3AC833F4">
                  <w:pPr>
                    <w:pStyle w:val="220"/>
                    <w:spacing w:line="280" w:lineRule="exact"/>
                    <w:rPr>
                      <w:rFonts w:eastAsia="宋体"/>
                      <w:color w:val="auto"/>
                      <w:kern w:val="2"/>
                      <w:sz w:val="18"/>
                      <w:szCs w:val="18"/>
                    </w:rPr>
                  </w:pPr>
                  <w:r>
                    <w:rPr>
                      <w:rFonts w:eastAsia="宋体"/>
                      <w:color w:val="auto"/>
                      <w:kern w:val="2"/>
                      <w:sz w:val="18"/>
                      <w:szCs w:val="18"/>
                    </w:rPr>
                    <w:t>达标情况</w:t>
                  </w:r>
                </w:p>
              </w:tc>
            </w:tr>
            <w:tr w14:paraId="5CEF428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380" w:type="pct"/>
                  <w:vMerge w:val="restart"/>
                  <w:tcBorders>
                    <w:top w:val="single" w:color="auto" w:sz="6" w:space="0"/>
                    <w:left w:val="single" w:color="auto" w:sz="12" w:space="0"/>
                    <w:bottom w:val="single" w:color="auto" w:sz="12" w:space="0"/>
                    <w:right w:val="single" w:color="auto" w:sz="6" w:space="0"/>
                  </w:tcBorders>
                  <w:vAlign w:val="center"/>
                </w:tcPr>
                <w:p w14:paraId="1AE813B9">
                  <w:pPr>
                    <w:pStyle w:val="220"/>
                    <w:spacing w:line="280" w:lineRule="exact"/>
                    <w:rPr>
                      <w:rFonts w:hint="eastAsia" w:eastAsia="宋体"/>
                      <w:color w:val="auto"/>
                      <w:kern w:val="2"/>
                      <w:sz w:val="18"/>
                      <w:szCs w:val="18"/>
                      <w:lang w:eastAsia="zh-CN"/>
                    </w:rPr>
                  </w:pPr>
                  <w:r>
                    <w:rPr>
                      <w:rFonts w:hint="eastAsia" w:eastAsia="宋体"/>
                      <w:color w:val="auto"/>
                      <w:kern w:val="2"/>
                      <w:sz w:val="18"/>
                      <w:szCs w:val="18"/>
                    </w:rPr>
                    <w:t>大同市</w:t>
                  </w:r>
                  <w:r>
                    <w:rPr>
                      <w:rFonts w:hint="eastAsia" w:eastAsia="宋体"/>
                      <w:color w:val="auto"/>
                      <w:kern w:val="2"/>
                      <w:sz w:val="18"/>
                      <w:szCs w:val="18"/>
                      <w:lang w:eastAsia="zh-CN"/>
                    </w:rPr>
                    <w:t>天镇县</w:t>
                  </w:r>
                </w:p>
              </w:tc>
              <w:tc>
                <w:tcPr>
                  <w:tcW w:w="493" w:type="pct"/>
                  <w:tcBorders>
                    <w:top w:val="single" w:color="auto" w:sz="6" w:space="0"/>
                    <w:left w:val="single" w:color="auto" w:sz="6" w:space="0"/>
                    <w:bottom w:val="single" w:color="auto" w:sz="6" w:space="0"/>
                    <w:right w:val="single" w:color="auto" w:sz="6" w:space="0"/>
                  </w:tcBorders>
                  <w:vAlign w:val="center"/>
                </w:tcPr>
                <w:p w14:paraId="5E42F716">
                  <w:pPr>
                    <w:pStyle w:val="220"/>
                    <w:spacing w:line="280" w:lineRule="exact"/>
                    <w:rPr>
                      <w:rFonts w:eastAsia="宋体"/>
                      <w:color w:val="auto"/>
                      <w:kern w:val="2"/>
                      <w:sz w:val="18"/>
                      <w:szCs w:val="18"/>
                    </w:rPr>
                  </w:pPr>
                  <w:r>
                    <w:rPr>
                      <w:rFonts w:eastAsia="宋体"/>
                      <w:color w:val="auto"/>
                      <w:kern w:val="2"/>
                      <w:sz w:val="18"/>
                      <w:szCs w:val="18"/>
                    </w:rPr>
                    <w:t>SO</w:t>
                  </w:r>
                  <w:r>
                    <w:rPr>
                      <w:rFonts w:eastAsia="宋体"/>
                      <w:color w:val="auto"/>
                      <w:kern w:val="2"/>
                      <w:sz w:val="18"/>
                      <w:szCs w:val="18"/>
                      <w:vertAlign w:val="subscript"/>
                    </w:rPr>
                    <w:t>2</w:t>
                  </w:r>
                </w:p>
              </w:tc>
              <w:tc>
                <w:tcPr>
                  <w:tcW w:w="1064" w:type="pct"/>
                  <w:vMerge w:val="restart"/>
                  <w:tcBorders>
                    <w:top w:val="single" w:color="auto" w:sz="6" w:space="0"/>
                    <w:left w:val="single" w:color="auto" w:sz="6" w:space="0"/>
                    <w:right w:val="single" w:color="auto" w:sz="6" w:space="0"/>
                  </w:tcBorders>
                  <w:vAlign w:val="center"/>
                </w:tcPr>
                <w:p w14:paraId="63FF2202">
                  <w:pPr>
                    <w:pStyle w:val="220"/>
                    <w:spacing w:line="280" w:lineRule="exact"/>
                    <w:rPr>
                      <w:rFonts w:eastAsia="宋体"/>
                      <w:color w:val="auto"/>
                      <w:kern w:val="2"/>
                      <w:sz w:val="18"/>
                      <w:szCs w:val="18"/>
                    </w:rPr>
                  </w:pPr>
                  <w:r>
                    <w:rPr>
                      <w:rFonts w:eastAsia="宋体"/>
                      <w:color w:val="auto"/>
                      <w:kern w:val="2"/>
                      <w:sz w:val="18"/>
                      <w:szCs w:val="18"/>
                    </w:rPr>
                    <w:t>年平均质量浓度</w:t>
                  </w:r>
                </w:p>
              </w:tc>
              <w:tc>
                <w:tcPr>
                  <w:tcW w:w="760" w:type="pct"/>
                  <w:tcBorders>
                    <w:top w:val="single" w:color="auto" w:sz="6" w:space="0"/>
                    <w:left w:val="single" w:color="auto" w:sz="6" w:space="0"/>
                    <w:bottom w:val="single" w:color="auto" w:sz="6" w:space="0"/>
                    <w:right w:val="single" w:color="auto" w:sz="6" w:space="0"/>
                  </w:tcBorders>
                  <w:vAlign w:val="center"/>
                </w:tcPr>
                <w:p w14:paraId="14DCD213">
                  <w:pPr>
                    <w:pStyle w:val="220"/>
                    <w:spacing w:line="280" w:lineRule="exact"/>
                    <w:rPr>
                      <w:rFonts w:hint="default" w:eastAsia="宋体"/>
                      <w:color w:val="auto"/>
                      <w:kern w:val="2"/>
                      <w:sz w:val="18"/>
                      <w:szCs w:val="18"/>
                      <w:lang w:val="en-US" w:eastAsia="zh-CN"/>
                    </w:rPr>
                  </w:pPr>
                  <w:r>
                    <w:rPr>
                      <w:rFonts w:hint="eastAsia" w:eastAsia="宋体"/>
                      <w:color w:val="auto"/>
                      <w:kern w:val="2"/>
                      <w:sz w:val="18"/>
                      <w:szCs w:val="18"/>
                      <w:lang w:val="en-US" w:eastAsia="zh-CN"/>
                    </w:rPr>
                    <w:t>5</w:t>
                  </w:r>
                </w:p>
              </w:tc>
              <w:tc>
                <w:tcPr>
                  <w:tcW w:w="823" w:type="pct"/>
                  <w:tcBorders>
                    <w:top w:val="single" w:color="auto" w:sz="6" w:space="0"/>
                    <w:left w:val="single" w:color="auto" w:sz="6" w:space="0"/>
                    <w:bottom w:val="single" w:color="auto" w:sz="6" w:space="0"/>
                    <w:right w:val="single" w:color="auto" w:sz="6" w:space="0"/>
                  </w:tcBorders>
                  <w:vAlign w:val="center"/>
                </w:tcPr>
                <w:p w14:paraId="6E3C0CE1">
                  <w:pPr>
                    <w:pStyle w:val="220"/>
                    <w:spacing w:line="280" w:lineRule="exact"/>
                    <w:rPr>
                      <w:rFonts w:eastAsia="宋体"/>
                      <w:color w:val="auto"/>
                      <w:kern w:val="2"/>
                      <w:sz w:val="18"/>
                      <w:szCs w:val="18"/>
                    </w:rPr>
                  </w:pPr>
                  <w:r>
                    <w:rPr>
                      <w:rFonts w:eastAsia="宋体"/>
                      <w:color w:val="auto"/>
                      <w:kern w:val="2"/>
                      <w:sz w:val="18"/>
                      <w:szCs w:val="18"/>
                    </w:rPr>
                    <w:t>60</w:t>
                  </w:r>
                </w:p>
              </w:tc>
              <w:tc>
                <w:tcPr>
                  <w:tcW w:w="740" w:type="pct"/>
                  <w:tcBorders>
                    <w:top w:val="single" w:color="auto" w:sz="6" w:space="0"/>
                    <w:left w:val="single" w:color="auto" w:sz="6" w:space="0"/>
                    <w:bottom w:val="single" w:color="auto" w:sz="6" w:space="0"/>
                    <w:right w:val="single" w:color="auto" w:sz="6" w:space="0"/>
                  </w:tcBorders>
                  <w:vAlign w:val="center"/>
                </w:tcPr>
                <w:p w14:paraId="4A777CA9">
                  <w:pPr>
                    <w:pStyle w:val="220"/>
                    <w:spacing w:line="280" w:lineRule="exact"/>
                    <w:rPr>
                      <w:rFonts w:eastAsia="宋体"/>
                      <w:color w:val="auto"/>
                      <w:kern w:val="2"/>
                      <w:sz w:val="18"/>
                      <w:szCs w:val="18"/>
                    </w:rPr>
                  </w:pPr>
                  <w:r>
                    <w:rPr>
                      <w:rFonts w:hint="eastAsia" w:eastAsia="宋体"/>
                      <w:color w:val="auto"/>
                      <w:kern w:val="2"/>
                      <w:sz w:val="18"/>
                      <w:szCs w:val="18"/>
                      <w:lang w:val="en-US" w:eastAsia="zh-CN"/>
                    </w:rPr>
                    <w:t>8.3</w:t>
                  </w:r>
                  <w:r>
                    <w:rPr>
                      <w:rFonts w:eastAsia="宋体"/>
                      <w:color w:val="auto"/>
                      <w:kern w:val="2"/>
                      <w:sz w:val="18"/>
                      <w:szCs w:val="18"/>
                    </w:rPr>
                    <w:t>%</w:t>
                  </w:r>
                </w:p>
              </w:tc>
              <w:tc>
                <w:tcPr>
                  <w:tcW w:w="741" w:type="pct"/>
                  <w:tcBorders>
                    <w:top w:val="single" w:color="auto" w:sz="6" w:space="0"/>
                    <w:left w:val="single" w:color="auto" w:sz="6" w:space="0"/>
                    <w:bottom w:val="single" w:color="auto" w:sz="6" w:space="0"/>
                    <w:right w:val="single" w:color="auto" w:sz="12" w:space="0"/>
                  </w:tcBorders>
                  <w:vAlign w:val="center"/>
                </w:tcPr>
                <w:p w14:paraId="09AC3C14">
                  <w:pPr>
                    <w:pStyle w:val="220"/>
                    <w:spacing w:line="280" w:lineRule="exact"/>
                    <w:rPr>
                      <w:rFonts w:eastAsia="宋体"/>
                      <w:color w:val="auto"/>
                      <w:kern w:val="2"/>
                      <w:sz w:val="18"/>
                      <w:szCs w:val="18"/>
                    </w:rPr>
                  </w:pPr>
                  <w:r>
                    <w:rPr>
                      <w:rFonts w:eastAsia="宋体"/>
                      <w:color w:val="auto"/>
                      <w:kern w:val="2"/>
                      <w:sz w:val="18"/>
                      <w:szCs w:val="18"/>
                    </w:rPr>
                    <w:t>达标</w:t>
                  </w:r>
                </w:p>
              </w:tc>
            </w:tr>
            <w:tr w14:paraId="1593EF4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380" w:type="pct"/>
                  <w:vMerge w:val="continue"/>
                  <w:tcBorders>
                    <w:top w:val="single" w:color="auto" w:sz="6" w:space="0"/>
                    <w:left w:val="single" w:color="auto" w:sz="12" w:space="0"/>
                    <w:bottom w:val="single" w:color="auto" w:sz="12" w:space="0"/>
                    <w:right w:val="single" w:color="auto" w:sz="6" w:space="0"/>
                  </w:tcBorders>
                  <w:vAlign w:val="center"/>
                </w:tcPr>
                <w:p w14:paraId="4243F70A">
                  <w:pPr>
                    <w:widowControl/>
                    <w:spacing w:line="280" w:lineRule="exact"/>
                    <w:jc w:val="center"/>
                    <w:rPr>
                      <w:color w:val="auto"/>
                      <w:sz w:val="18"/>
                      <w:szCs w:val="18"/>
                    </w:rPr>
                  </w:pPr>
                </w:p>
              </w:tc>
              <w:tc>
                <w:tcPr>
                  <w:tcW w:w="493" w:type="pct"/>
                  <w:tcBorders>
                    <w:top w:val="single" w:color="auto" w:sz="6" w:space="0"/>
                    <w:left w:val="single" w:color="auto" w:sz="6" w:space="0"/>
                    <w:bottom w:val="single" w:color="auto" w:sz="6" w:space="0"/>
                    <w:right w:val="single" w:color="auto" w:sz="6" w:space="0"/>
                  </w:tcBorders>
                  <w:vAlign w:val="center"/>
                </w:tcPr>
                <w:p w14:paraId="71625ED8">
                  <w:pPr>
                    <w:pStyle w:val="220"/>
                    <w:spacing w:line="280" w:lineRule="exact"/>
                    <w:rPr>
                      <w:rFonts w:eastAsia="宋体"/>
                      <w:color w:val="auto"/>
                      <w:kern w:val="2"/>
                      <w:sz w:val="18"/>
                      <w:szCs w:val="18"/>
                    </w:rPr>
                  </w:pPr>
                  <w:r>
                    <w:rPr>
                      <w:rFonts w:eastAsia="宋体"/>
                      <w:color w:val="auto"/>
                      <w:kern w:val="2"/>
                      <w:sz w:val="18"/>
                      <w:szCs w:val="18"/>
                    </w:rPr>
                    <w:t>NO</w:t>
                  </w:r>
                  <w:r>
                    <w:rPr>
                      <w:rFonts w:eastAsia="宋体"/>
                      <w:color w:val="auto"/>
                      <w:kern w:val="2"/>
                      <w:sz w:val="18"/>
                      <w:szCs w:val="18"/>
                      <w:vertAlign w:val="subscript"/>
                    </w:rPr>
                    <w:t>2</w:t>
                  </w:r>
                </w:p>
              </w:tc>
              <w:tc>
                <w:tcPr>
                  <w:tcW w:w="1064" w:type="pct"/>
                  <w:vMerge w:val="continue"/>
                  <w:tcBorders>
                    <w:left w:val="single" w:color="auto" w:sz="6" w:space="0"/>
                    <w:right w:val="single" w:color="auto" w:sz="6" w:space="0"/>
                  </w:tcBorders>
                  <w:vAlign w:val="center"/>
                </w:tcPr>
                <w:p w14:paraId="1C9BD194">
                  <w:pPr>
                    <w:pStyle w:val="220"/>
                    <w:spacing w:line="280" w:lineRule="exact"/>
                    <w:rPr>
                      <w:color w:val="auto"/>
                      <w:sz w:val="18"/>
                      <w:szCs w:val="18"/>
                    </w:rPr>
                  </w:pPr>
                </w:p>
              </w:tc>
              <w:tc>
                <w:tcPr>
                  <w:tcW w:w="760" w:type="pct"/>
                  <w:tcBorders>
                    <w:top w:val="single" w:color="auto" w:sz="6" w:space="0"/>
                    <w:left w:val="single" w:color="auto" w:sz="6" w:space="0"/>
                    <w:bottom w:val="single" w:color="auto" w:sz="6" w:space="0"/>
                    <w:right w:val="single" w:color="auto" w:sz="6" w:space="0"/>
                  </w:tcBorders>
                  <w:vAlign w:val="center"/>
                </w:tcPr>
                <w:p w14:paraId="35ABB470">
                  <w:pPr>
                    <w:pStyle w:val="220"/>
                    <w:spacing w:line="280" w:lineRule="exact"/>
                    <w:rPr>
                      <w:rFonts w:hint="default" w:eastAsia="宋体"/>
                      <w:color w:val="auto"/>
                      <w:kern w:val="2"/>
                      <w:sz w:val="18"/>
                      <w:szCs w:val="18"/>
                      <w:lang w:val="en-US" w:eastAsia="zh-CN"/>
                    </w:rPr>
                  </w:pPr>
                  <w:r>
                    <w:rPr>
                      <w:rFonts w:hint="eastAsia" w:eastAsia="宋体"/>
                      <w:color w:val="auto"/>
                      <w:kern w:val="2"/>
                      <w:sz w:val="18"/>
                      <w:szCs w:val="18"/>
                      <w:lang w:val="en-US" w:eastAsia="zh-CN"/>
                    </w:rPr>
                    <w:t>15</w:t>
                  </w:r>
                </w:p>
              </w:tc>
              <w:tc>
                <w:tcPr>
                  <w:tcW w:w="823" w:type="pct"/>
                  <w:tcBorders>
                    <w:top w:val="single" w:color="auto" w:sz="6" w:space="0"/>
                    <w:left w:val="single" w:color="auto" w:sz="6" w:space="0"/>
                    <w:bottom w:val="single" w:color="auto" w:sz="6" w:space="0"/>
                    <w:right w:val="single" w:color="auto" w:sz="6" w:space="0"/>
                  </w:tcBorders>
                  <w:vAlign w:val="center"/>
                </w:tcPr>
                <w:p w14:paraId="6887C8BB">
                  <w:pPr>
                    <w:pStyle w:val="220"/>
                    <w:spacing w:line="280" w:lineRule="exact"/>
                    <w:rPr>
                      <w:rFonts w:eastAsia="宋体"/>
                      <w:color w:val="auto"/>
                      <w:kern w:val="2"/>
                      <w:sz w:val="18"/>
                      <w:szCs w:val="18"/>
                    </w:rPr>
                  </w:pPr>
                  <w:r>
                    <w:rPr>
                      <w:rFonts w:eastAsia="宋体"/>
                      <w:color w:val="auto"/>
                      <w:kern w:val="2"/>
                      <w:sz w:val="18"/>
                      <w:szCs w:val="18"/>
                    </w:rPr>
                    <w:t>40</w:t>
                  </w:r>
                </w:p>
              </w:tc>
              <w:tc>
                <w:tcPr>
                  <w:tcW w:w="740" w:type="pct"/>
                  <w:tcBorders>
                    <w:top w:val="single" w:color="auto" w:sz="6" w:space="0"/>
                    <w:left w:val="single" w:color="auto" w:sz="6" w:space="0"/>
                    <w:bottom w:val="single" w:color="auto" w:sz="6" w:space="0"/>
                    <w:right w:val="single" w:color="auto" w:sz="6" w:space="0"/>
                  </w:tcBorders>
                  <w:vAlign w:val="center"/>
                </w:tcPr>
                <w:p w14:paraId="0F058916">
                  <w:pPr>
                    <w:pStyle w:val="220"/>
                    <w:spacing w:line="280" w:lineRule="exact"/>
                    <w:rPr>
                      <w:rFonts w:eastAsia="宋体"/>
                      <w:color w:val="auto"/>
                      <w:kern w:val="2"/>
                      <w:sz w:val="18"/>
                      <w:szCs w:val="18"/>
                    </w:rPr>
                  </w:pPr>
                  <w:r>
                    <w:rPr>
                      <w:rFonts w:hint="eastAsia" w:eastAsia="宋体"/>
                      <w:color w:val="auto"/>
                      <w:kern w:val="2"/>
                      <w:sz w:val="18"/>
                      <w:szCs w:val="18"/>
                      <w:lang w:val="en-US" w:eastAsia="zh-CN"/>
                    </w:rPr>
                    <w:t>37.5</w:t>
                  </w:r>
                  <w:r>
                    <w:rPr>
                      <w:rFonts w:eastAsia="宋体"/>
                      <w:color w:val="auto"/>
                      <w:kern w:val="2"/>
                      <w:sz w:val="18"/>
                      <w:szCs w:val="18"/>
                    </w:rPr>
                    <w:t>%</w:t>
                  </w:r>
                </w:p>
              </w:tc>
              <w:tc>
                <w:tcPr>
                  <w:tcW w:w="741" w:type="pct"/>
                  <w:tcBorders>
                    <w:top w:val="single" w:color="auto" w:sz="6" w:space="0"/>
                    <w:left w:val="single" w:color="auto" w:sz="6" w:space="0"/>
                    <w:bottom w:val="single" w:color="auto" w:sz="6" w:space="0"/>
                    <w:right w:val="single" w:color="auto" w:sz="12" w:space="0"/>
                  </w:tcBorders>
                  <w:vAlign w:val="center"/>
                </w:tcPr>
                <w:p w14:paraId="7232B790">
                  <w:pPr>
                    <w:pStyle w:val="220"/>
                    <w:spacing w:line="280" w:lineRule="exact"/>
                    <w:rPr>
                      <w:rFonts w:eastAsia="宋体"/>
                      <w:color w:val="auto"/>
                      <w:kern w:val="2"/>
                      <w:sz w:val="18"/>
                      <w:szCs w:val="18"/>
                    </w:rPr>
                  </w:pPr>
                  <w:r>
                    <w:rPr>
                      <w:rFonts w:eastAsia="宋体"/>
                      <w:color w:val="auto"/>
                      <w:kern w:val="2"/>
                      <w:sz w:val="18"/>
                      <w:szCs w:val="18"/>
                    </w:rPr>
                    <w:t>达标</w:t>
                  </w:r>
                </w:p>
              </w:tc>
            </w:tr>
            <w:tr w14:paraId="25DE825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380" w:type="pct"/>
                  <w:vMerge w:val="continue"/>
                  <w:tcBorders>
                    <w:top w:val="single" w:color="auto" w:sz="6" w:space="0"/>
                    <w:left w:val="single" w:color="auto" w:sz="12" w:space="0"/>
                    <w:bottom w:val="single" w:color="auto" w:sz="12" w:space="0"/>
                    <w:right w:val="single" w:color="auto" w:sz="6" w:space="0"/>
                  </w:tcBorders>
                  <w:vAlign w:val="center"/>
                </w:tcPr>
                <w:p w14:paraId="55159A03">
                  <w:pPr>
                    <w:widowControl/>
                    <w:spacing w:line="280" w:lineRule="exact"/>
                    <w:jc w:val="center"/>
                    <w:rPr>
                      <w:color w:val="auto"/>
                      <w:sz w:val="18"/>
                      <w:szCs w:val="18"/>
                    </w:rPr>
                  </w:pPr>
                </w:p>
              </w:tc>
              <w:tc>
                <w:tcPr>
                  <w:tcW w:w="493" w:type="pct"/>
                  <w:tcBorders>
                    <w:top w:val="single" w:color="auto" w:sz="6" w:space="0"/>
                    <w:left w:val="single" w:color="auto" w:sz="6" w:space="0"/>
                    <w:bottom w:val="single" w:color="auto" w:sz="6" w:space="0"/>
                    <w:right w:val="single" w:color="auto" w:sz="6" w:space="0"/>
                  </w:tcBorders>
                  <w:vAlign w:val="center"/>
                </w:tcPr>
                <w:p w14:paraId="50A0887A">
                  <w:pPr>
                    <w:pStyle w:val="220"/>
                    <w:spacing w:line="280" w:lineRule="exact"/>
                    <w:rPr>
                      <w:rFonts w:eastAsia="宋体"/>
                      <w:color w:val="auto"/>
                      <w:kern w:val="2"/>
                      <w:sz w:val="18"/>
                      <w:szCs w:val="18"/>
                    </w:rPr>
                  </w:pPr>
                  <w:r>
                    <w:rPr>
                      <w:rFonts w:eastAsia="宋体"/>
                      <w:color w:val="auto"/>
                      <w:kern w:val="2"/>
                      <w:sz w:val="18"/>
                      <w:szCs w:val="18"/>
                    </w:rPr>
                    <w:t>PM</w:t>
                  </w:r>
                  <w:r>
                    <w:rPr>
                      <w:rFonts w:eastAsia="宋体"/>
                      <w:color w:val="auto"/>
                      <w:kern w:val="2"/>
                      <w:sz w:val="18"/>
                      <w:szCs w:val="18"/>
                      <w:vertAlign w:val="subscript"/>
                    </w:rPr>
                    <w:t>10</w:t>
                  </w:r>
                </w:p>
              </w:tc>
              <w:tc>
                <w:tcPr>
                  <w:tcW w:w="1064" w:type="pct"/>
                  <w:vMerge w:val="continue"/>
                  <w:tcBorders>
                    <w:left w:val="single" w:color="auto" w:sz="6" w:space="0"/>
                    <w:right w:val="single" w:color="auto" w:sz="6" w:space="0"/>
                  </w:tcBorders>
                  <w:vAlign w:val="center"/>
                </w:tcPr>
                <w:p w14:paraId="57D59715">
                  <w:pPr>
                    <w:pStyle w:val="220"/>
                    <w:spacing w:line="280" w:lineRule="exact"/>
                    <w:rPr>
                      <w:color w:val="auto"/>
                      <w:sz w:val="18"/>
                      <w:szCs w:val="18"/>
                    </w:rPr>
                  </w:pPr>
                </w:p>
              </w:tc>
              <w:tc>
                <w:tcPr>
                  <w:tcW w:w="760" w:type="pct"/>
                  <w:tcBorders>
                    <w:top w:val="single" w:color="auto" w:sz="6" w:space="0"/>
                    <w:left w:val="single" w:color="auto" w:sz="6" w:space="0"/>
                    <w:bottom w:val="single" w:color="auto" w:sz="6" w:space="0"/>
                    <w:right w:val="single" w:color="auto" w:sz="6" w:space="0"/>
                  </w:tcBorders>
                  <w:vAlign w:val="center"/>
                </w:tcPr>
                <w:p w14:paraId="542B2481">
                  <w:pPr>
                    <w:pStyle w:val="220"/>
                    <w:spacing w:line="280" w:lineRule="exact"/>
                    <w:rPr>
                      <w:rFonts w:hint="default" w:eastAsia="宋体"/>
                      <w:color w:val="auto"/>
                      <w:kern w:val="2"/>
                      <w:sz w:val="18"/>
                      <w:szCs w:val="18"/>
                      <w:lang w:val="en-US" w:eastAsia="zh-CN"/>
                    </w:rPr>
                  </w:pPr>
                  <w:r>
                    <w:rPr>
                      <w:rFonts w:hint="eastAsia" w:eastAsia="宋体"/>
                      <w:color w:val="auto"/>
                      <w:kern w:val="2"/>
                      <w:sz w:val="18"/>
                      <w:szCs w:val="18"/>
                      <w:lang w:val="en-US" w:eastAsia="zh-CN"/>
                    </w:rPr>
                    <w:t>57</w:t>
                  </w:r>
                </w:p>
              </w:tc>
              <w:tc>
                <w:tcPr>
                  <w:tcW w:w="823" w:type="pct"/>
                  <w:tcBorders>
                    <w:top w:val="single" w:color="auto" w:sz="6" w:space="0"/>
                    <w:left w:val="single" w:color="auto" w:sz="6" w:space="0"/>
                    <w:bottom w:val="single" w:color="auto" w:sz="6" w:space="0"/>
                    <w:right w:val="single" w:color="auto" w:sz="6" w:space="0"/>
                  </w:tcBorders>
                  <w:vAlign w:val="center"/>
                </w:tcPr>
                <w:p w14:paraId="618E7144">
                  <w:pPr>
                    <w:pStyle w:val="220"/>
                    <w:spacing w:line="280" w:lineRule="exact"/>
                    <w:rPr>
                      <w:rFonts w:eastAsia="宋体"/>
                      <w:color w:val="auto"/>
                      <w:kern w:val="2"/>
                      <w:sz w:val="18"/>
                      <w:szCs w:val="18"/>
                    </w:rPr>
                  </w:pPr>
                  <w:r>
                    <w:rPr>
                      <w:rFonts w:eastAsia="宋体"/>
                      <w:color w:val="auto"/>
                      <w:kern w:val="2"/>
                      <w:sz w:val="18"/>
                      <w:szCs w:val="18"/>
                    </w:rPr>
                    <w:t>70</w:t>
                  </w:r>
                </w:p>
              </w:tc>
              <w:tc>
                <w:tcPr>
                  <w:tcW w:w="740" w:type="pct"/>
                  <w:tcBorders>
                    <w:top w:val="single" w:color="auto" w:sz="6" w:space="0"/>
                    <w:left w:val="single" w:color="auto" w:sz="6" w:space="0"/>
                    <w:bottom w:val="single" w:color="auto" w:sz="6" w:space="0"/>
                    <w:right w:val="single" w:color="auto" w:sz="6" w:space="0"/>
                  </w:tcBorders>
                  <w:vAlign w:val="center"/>
                </w:tcPr>
                <w:p w14:paraId="773BB304">
                  <w:pPr>
                    <w:pStyle w:val="220"/>
                    <w:spacing w:line="280" w:lineRule="exact"/>
                    <w:rPr>
                      <w:rFonts w:eastAsia="宋体"/>
                      <w:color w:val="auto"/>
                      <w:kern w:val="2"/>
                      <w:sz w:val="18"/>
                      <w:szCs w:val="18"/>
                    </w:rPr>
                  </w:pPr>
                  <w:r>
                    <w:rPr>
                      <w:rFonts w:hint="eastAsia" w:eastAsia="宋体"/>
                      <w:color w:val="auto"/>
                      <w:kern w:val="2"/>
                      <w:sz w:val="18"/>
                      <w:szCs w:val="18"/>
                      <w:lang w:val="en-US" w:eastAsia="zh-CN"/>
                    </w:rPr>
                    <w:t>81.4</w:t>
                  </w:r>
                  <w:r>
                    <w:rPr>
                      <w:rFonts w:eastAsia="宋体"/>
                      <w:color w:val="auto"/>
                      <w:kern w:val="2"/>
                      <w:sz w:val="18"/>
                      <w:szCs w:val="18"/>
                    </w:rPr>
                    <w:t>%</w:t>
                  </w:r>
                </w:p>
              </w:tc>
              <w:tc>
                <w:tcPr>
                  <w:tcW w:w="741" w:type="pct"/>
                  <w:tcBorders>
                    <w:top w:val="single" w:color="auto" w:sz="6" w:space="0"/>
                    <w:left w:val="single" w:color="auto" w:sz="6" w:space="0"/>
                    <w:bottom w:val="single" w:color="auto" w:sz="6" w:space="0"/>
                    <w:right w:val="single" w:color="auto" w:sz="12" w:space="0"/>
                  </w:tcBorders>
                  <w:vAlign w:val="center"/>
                </w:tcPr>
                <w:p w14:paraId="476DE46E">
                  <w:pPr>
                    <w:pStyle w:val="220"/>
                    <w:spacing w:line="280" w:lineRule="exact"/>
                    <w:rPr>
                      <w:rFonts w:eastAsia="宋体"/>
                      <w:color w:val="auto"/>
                      <w:kern w:val="2"/>
                      <w:sz w:val="18"/>
                      <w:szCs w:val="18"/>
                    </w:rPr>
                  </w:pPr>
                  <w:r>
                    <w:rPr>
                      <w:rFonts w:hint="eastAsia" w:eastAsia="宋体"/>
                      <w:color w:val="auto"/>
                      <w:kern w:val="2"/>
                      <w:sz w:val="18"/>
                      <w:szCs w:val="18"/>
                    </w:rPr>
                    <w:t>达</w:t>
                  </w:r>
                  <w:r>
                    <w:rPr>
                      <w:rFonts w:eastAsia="宋体"/>
                      <w:color w:val="auto"/>
                      <w:kern w:val="2"/>
                      <w:sz w:val="18"/>
                      <w:szCs w:val="18"/>
                    </w:rPr>
                    <w:t>标</w:t>
                  </w:r>
                </w:p>
              </w:tc>
            </w:tr>
            <w:tr w14:paraId="6568987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380" w:type="pct"/>
                  <w:vMerge w:val="continue"/>
                  <w:tcBorders>
                    <w:top w:val="single" w:color="auto" w:sz="6" w:space="0"/>
                    <w:left w:val="single" w:color="auto" w:sz="12" w:space="0"/>
                    <w:bottom w:val="single" w:color="auto" w:sz="12" w:space="0"/>
                    <w:right w:val="single" w:color="auto" w:sz="6" w:space="0"/>
                  </w:tcBorders>
                  <w:vAlign w:val="center"/>
                </w:tcPr>
                <w:p w14:paraId="2E60B4A9">
                  <w:pPr>
                    <w:widowControl/>
                    <w:spacing w:line="280" w:lineRule="exact"/>
                    <w:jc w:val="center"/>
                    <w:rPr>
                      <w:color w:val="auto"/>
                      <w:sz w:val="18"/>
                      <w:szCs w:val="18"/>
                    </w:rPr>
                  </w:pPr>
                </w:p>
              </w:tc>
              <w:tc>
                <w:tcPr>
                  <w:tcW w:w="493" w:type="pct"/>
                  <w:tcBorders>
                    <w:top w:val="single" w:color="auto" w:sz="6" w:space="0"/>
                    <w:left w:val="single" w:color="auto" w:sz="6" w:space="0"/>
                    <w:bottom w:val="single" w:color="auto" w:sz="6" w:space="0"/>
                    <w:right w:val="single" w:color="auto" w:sz="6" w:space="0"/>
                  </w:tcBorders>
                  <w:vAlign w:val="center"/>
                </w:tcPr>
                <w:p w14:paraId="0FDD5086">
                  <w:pPr>
                    <w:pStyle w:val="220"/>
                    <w:spacing w:line="280" w:lineRule="exact"/>
                    <w:rPr>
                      <w:rFonts w:eastAsia="宋体"/>
                      <w:color w:val="auto"/>
                      <w:kern w:val="2"/>
                      <w:sz w:val="18"/>
                      <w:szCs w:val="18"/>
                    </w:rPr>
                  </w:pPr>
                  <w:r>
                    <w:rPr>
                      <w:rFonts w:eastAsia="宋体"/>
                      <w:color w:val="auto"/>
                      <w:kern w:val="2"/>
                      <w:sz w:val="18"/>
                      <w:szCs w:val="18"/>
                    </w:rPr>
                    <w:t>PM</w:t>
                  </w:r>
                  <w:r>
                    <w:rPr>
                      <w:rFonts w:eastAsia="宋体"/>
                      <w:color w:val="auto"/>
                      <w:kern w:val="2"/>
                      <w:sz w:val="18"/>
                      <w:szCs w:val="18"/>
                      <w:vertAlign w:val="subscript"/>
                    </w:rPr>
                    <w:t>2.5</w:t>
                  </w:r>
                </w:p>
              </w:tc>
              <w:tc>
                <w:tcPr>
                  <w:tcW w:w="1064" w:type="pct"/>
                  <w:vMerge w:val="continue"/>
                  <w:tcBorders>
                    <w:left w:val="single" w:color="auto" w:sz="6" w:space="0"/>
                    <w:bottom w:val="single" w:color="auto" w:sz="4" w:space="0"/>
                    <w:right w:val="single" w:color="auto" w:sz="6" w:space="0"/>
                  </w:tcBorders>
                  <w:vAlign w:val="center"/>
                </w:tcPr>
                <w:p w14:paraId="05F69BF0">
                  <w:pPr>
                    <w:pStyle w:val="220"/>
                    <w:spacing w:line="280" w:lineRule="exact"/>
                    <w:rPr>
                      <w:rFonts w:eastAsia="宋体"/>
                      <w:color w:val="auto"/>
                      <w:kern w:val="2"/>
                      <w:sz w:val="18"/>
                      <w:szCs w:val="18"/>
                    </w:rPr>
                  </w:pPr>
                </w:p>
              </w:tc>
              <w:tc>
                <w:tcPr>
                  <w:tcW w:w="760" w:type="pct"/>
                  <w:tcBorders>
                    <w:top w:val="single" w:color="auto" w:sz="6" w:space="0"/>
                    <w:left w:val="single" w:color="auto" w:sz="6" w:space="0"/>
                    <w:bottom w:val="single" w:color="auto" w:sz="6" w:space="0"/>
                    <w:right w:val="single" w:color="auto" w:sz="6" w:space="0"/>
                  </w:tcBorders>
                  <w:vAlign w:val="center"/>
                </w:tcPr>
                <w:p w14:paraId="255090B4">
                  <w:pPr>
                    <w:pStyle w:val="220"/>
                    <w:spacing w:line="280" w:lineRule="exact"/>
                    <w:rPr>
                      <w:rFonts w:hint="default" w:eastAsia="宋体"/>
                      <w:color w:val="auto"/>
                      <w:kern w:val="2"/>
                      <w:sz w:val="18"/>
                      <w:szCs w:val="18"/>
                      <w:lang w:val="en-US" w:eastAsia="zh-CN"/>
                    </w:rPr>
                  </w:pPr>
                  <w:r>
                    <w:rPr>
                      <w:rFonts w:hint="eastAsia" w:eastAsia="宋体"/>
                      <w:color w:val="auto"/>
                      <w:kern w:val="2"/>
                      <w:sz w:val="18"/>
                      <w:szCs w:val="18"/>
                      <w:lang w:val="en-US" w:eastAsia="zh-CN"/>
                    </w:rPr>
                    <w:t>31</w:t>
                  </w:r>
                </w:p>
              </w:tc>
              <w:tc>
                <w:tcPr>
                  <w:tcW w:w="823" w:type="pct"/>
                  <w:tcBorders>
                    <w:top w:val="single" w:color="auto" w:sz="6" w:space="0"/>
                    <w:left w:val="single" w:color="auto" w:sz="6" w:space="0"/>
                    <w:bottom w:val="single" w:color="auto" w:sz="6" w:space="0"/>
                    <w:right w:val="single" w:color="auto" w:sz="6" w:space="0"/>
                  </w:tcBorders>
                  <w:vAlign w:val="center"/>
                </w:tcPr>
                <w:p w14:paraId="61752DB8">
                  <w:pPr>
                    <w:pStyle w:val="220"/>
                    <w:spacing w:line="280" w:lineRule="exact"/>
                    <w:rPr>
                      <w:rFonts w:eastAsia="宋体"/>
                      <w:color w:val="auto"/>
                      <w:kern w:val="2"/>
                      <w:sz w:val="18"/>
                      <w:szCs w:val="18"/>
                    </w:rPr>
                  </w:pPr>
                  <w:r>
                    <w:rPr>
                      <w:rFonts w:eastAsia="宋体"/>
                      <w:color w:val="auto"/>
                      <w:kern w:val="2"/>
                      <w:sz w:val="18"/>
                      <w:szCs w:val="18"/>
                    </w:rPr>
                    <w:t>35</w:t>
                  </w:r>
                </w:p>
              </w:tc>
              <w:tc>
                <w:tcPr>
                  <w:tcW w:w="740" w:type="pct"/>
                  <w:tcBorders>
                    <w:top w:val="single" w:color="auto" w:sz="6" w:space="0"/>
                    <w:left w:val="single" w:color="auto" w:sz="6" w:space="0"/>
                    <w:bottom w:val="single" w:color="auto" w:sz="6" w:space="0"/>
                    <w:right w:val="single" w:color="auto" w:sz="6" w:space="0"/>
                  </w:tcBorders>
                  <w:vAlign w:val="center"/>
                </w:tcPr>
                <w:p w14:paraId="4ACB4909">
                  <w:pPr>
                    <w:pStyle w:val="220"/>
                    <w:spacing w:line="280" w:lineRule="exact"/>
                    <w:rPr>
                      <w:rFonts w:eastAsia="宋体"/>
                      <w:color w:val="auto"/>
                      <w:kern w:val="2"/>
                      <w:sz w:val="18"/>
                      <w:szCs w:val="18"/>
                    </w:rPr>
                  </w:pPr>
                  <w:r>
                    <w:rPr>
                      <w:rFonts w:hint="eastAsia" w:eastAsia="宋体"/>
                      <w:color w:val="auto"/>
                      <w:kern w:val="2"/>
                      <w:sz w:val="18"/>
                      <w:szCs w:val="18"/>
                      <w:lang w:val="en-US" w:eastAsia="zh-CN"/>
                    </w:rPr>
                    <w:t>88.6</w:t>
                  </w:r>
                  <w:r>
                    <w:rPr>
                      <w:rFonts w:eastAsia="宋体"/>
                      <w:color w:val="auto"/>
                      <w:kern w:val="2"/>
                      <w:sz w:val="18"/>
                      <w:szCs w:val="18"/>
                    </w:rPr>
                    <w:t>%</w:t>
                  </w:r>
                </w:p>
              </w:tc>
              <w:tc>
                <w:tcPr>
                  <w:tcW w:w="741" w:type="pct"/>
                  <w:tcBorders>
                    <w:top w:val="single" w:color="auto" w:sz="6" w:space="0"/>
                    <w:left w:val="single" w:color="auto" w:sz="6" w:space="0"/>
                    <w:bottom w:val="single" w:color="auto" w:sz="6" w:space="0"/>
                    <w:right w:val="single" w:color="auto" w:sz="12" w:space="0"/>
                  </w:tcBorders>
                  <w:vAlign w:val="center"/>
                </w:tcPr>
                <w:p w14:paraId="6B35E251">
                  <w:pPr>
                    <w:pStyle w:val="220"/>
                    <w:spacing w:line="280" w:lineRule="exact"/>
                    <w:rPr>
                      <w:rFonts w:eastAsia="宋体"/>
                      <w:color w:val="auto"/>
                      <w:kern w:val="2"/>
                      <w:sz w:val="18"/>
                      <w:szCs w:val="18"/>
                    </w:rPr>
                  </w:pPr>
                  <w:r>
                    <w:rPr>
                      <w:rFonts w:eastAsia="宋体"/>
                      <w:color w:val="auto"/>
                      <w:kern w:val="2"/>
                      <w:sz w:val="18"/>
                      <w:szCs w:val="18"/>
                    </w:rPr>
                    <w:t>达标</w:t>
                  </w:r>
                </w:p>
              </w:tc>
            </w:tr>
            <w:tr w14:paraId="2017BDF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380" w:type="pct"/>
                  <w:vMerge w:val="continue"/>
                  <w:tcBorders>
                    <w:top w:val="single" w:color="auto" w:sz="6" w:space="0"/>
                    <w:left w:val="single" w:color="auto" w:sz="12" w:space="0"/>
                    <w:bottom w:val="single" w:color="auto" w:sz="12" w:space="0"/>
                    <w:right w:val="single" w:color="auto" w:sz="6" w:space="0"/>
                  </w:tcBorders>
                  <w:vAlign w:val="center"/>
                </w:tcPr>
                <w:p w14:paraId="3DD3250F">
                  <w:pPr>
                    <w:widowControl/>
                    <w:spacing w:line="280" w:lineRule="exact"/>
                    <w:jc w:val="center"/>
                    <w:rPr>
                      <w:color w:val="auto"/>
                      <w:sz w:val="18"/>
                      <w:szCs w:val="18"/>
                    </w:rPr>
                  </w:pPr>
                </w:p>
              </w:tc>
              <w:tc>
                <w:tcPr>
                  <w:tcW w:w="493" w:type="pct"/>
                  <w:tcBorders>
                    <w:top w:val="single" w:color="auto" w:sz="6" w:space="0"/>
                    <w:left w:val="single" w:color="auto" w:sz="6" w:space="0"/>
                    <w:bottom w:val="single" w:color="auto" w:sz="6" w:space="0"/>
                    <w:right w:val="single" w:color="auto" w:sz="6" w:space="0"/>
                  </w:tcBorders>
                  <w:vAlign w:val="center"/>
                </w:tcPr>
                <w:p w14:paraId="45D2807B">
                  <w:pPr>
                    <w:pStyle w:val="220"/>
                    <w:spacing w:line="280" w:lineRule="exact"/>
                    <w:rPr>
                      <w:rFonts w:eastAsia="宋体"/>
                      <w:color w:val="auto"/>
                      <w:kern w:val="2"/>
                      <w:sz w:val="18"/>
                      <w:szCs w:val="18"/>
                    </w:rPr>
                  </w:pPr>
                  <w:r>
                    <w:rPr>
                      <w:rFonts w:eastAsia="宋体"/>
                      <w:color w:val="auto"/>
                      <w:kern w:val="2"/>
                      <w:sz w:val="18"/>
                      <w:szCs w:val="18"/>
                    </w:rPr>
                    <w:t>CO</w:t>
                  </w:r>
                </w:p>
              </w:tc>
              <w:tc>
                <w:tcPr>
                  <w:tcW w:w="1064" w:type="pct"/>
                  <w:tcBorders>
                    <w:top w:val="single" w:color="auto" w:sz="4" w:space="0"/>
                    <w:left w:val="single" w:color="auto" w:sz="6" w:space="0"/>
                    <w:bottom w:val="single" w:color="auto" w:sz="6" w:space="0"/>
                    <w:right w:val="single" w:color="auto" w:sz="6" w:space="0"/>
                  </w:tcBorders>
                  <w:vAlign w:val="center"/>
                </w:tcPr>
                <w:p w14:paraId="7E6A49A2">
                  <w:pPr>
                    <w:widowControl/>
                    <w:spacing w:line="280" w:lineRule="exact"/>
                    <w:jc w:val="center"/>
                    <w:rPr>
                      <w:color w:val="auto"/>
                      <w:sz w:val="18"/>
                      <w:szCs w:val="18"/>
                    </w:rPr>
                  </w:pPr>
                  <w:r>
                    <w:rPr>
                      <w:rFonts w:hint="eastAsia"/>
                      <w:color w:val="auto"/>
                      <w:sz w:val="18"/>
                      <w:szCs w:val="18"/>
                    </w:rPr>
                    <w:t>24小时平均</w:t>
                  </w:r>
                </w:p>
              </w:tc>
              <w:tc>
                <w:tcPr>
                  <w:tcW w:w="760" w:type="pct"/>
                  <w:tcBorders>
                    <w:top w:val="single" w:color="auto" w:sz="6" w:space="0"/>
                    <w:left w:val="single" w:color="auto" w:sz="6" w:space="0"/>
                    <w:bottom w:val="single" w:color="auto" w:sz="6" w:space="0"/>
                    <w:right w:val="single" w:color="auto" w:sz="6" w:space="0"/>
                  </w:tcBorders>
                  <w:vAlign w:val="center"/>
                </w:tcPr>
                <w:p w14:paraId="09596ED0">
                  <w:pPr>
                    <w:pStyle w:val="220"/>
                    <w:spacing w:line="280" w:lineRule="exact"/>
                    <w:rPr>
                      <w:rFonts w:hint="default" w:eastAsia="宋体"/>
                      <w:color w:val="auto"/>
                      <w:kern w:val="2"/>
                      <w:sz w:val="18"/>
                      <w:szCs w:val="18"/>
                      <w:lang w:val="en-US" w:eastAsia="zh-CN"/>
                    </w:rPr>
                  </w:pPr>
                  <w:r>
                    <w:rPr>
                      <w:rFonts w:hint="eastAsia" w:eastAsia="宋体"/>
                      <w:color w:val="auto"/>
                      <w:kern w:val="2"/>
                      <w:sz w:val="18"/>
                      <w:szCs w:val="18"/>
                      <w:lang w:val="en-US" w:eastAsia="zh-CN"/>
                    </w:rPr>
                    <w:t>1.4</w:t>
                  </w:r>
                </w:p>
              </w:tc>
              <w:tc>
                <w:tcPr>
                  <w:tcW w:w="823" w:type="pct"/>
                  <w:tcBorders>
                    <w:top w:val="single" w:color="auto" w:sz="6" w:space="0"/>
                    <w:left w:val="single" w:color="auto" w:sz="6" w:space="0"/>
                    <w:bottom w:val="single" w:color="auto" w:sz="6" w:space="0"/>
                    <w:right w:val="single" w:color="auto" w:sz="6" w:space="0"/>
                  </w:tcBorders>
                  <w:vAlign w:val="center"/>
                </w:tcPr>
                <w:p w14:paraId="373A3F3A">
                  <w:pPr>
                    <w:pStyle w:val="220"/>
                    <w:spacing w:line="280" w:lineRule="exact"/>
                    <w:rPr>
                      <w:rFonts w:hint="default" w:eastAsia="宋体"/>
                      <w:color w:val="auto"/>
                      <w:kern w:val="2"/>
                      <w:sz w:val="18"/>
                      <w:szCs w:val="18"/>
                      <w:lang w:val="en-US" w:eastAsia="zh-CN"/>
                    </w:rPr>
                  </w:pPr>
                  <w:r>
                    <w:rPr>
                      <w:rFonts w:eastAsia="宋体"/>
                      <w:color w:val="auto"/>
                      <w:kern w:val="2"/>
                      <w:sz w:val="18"/>
                      <w:szCs w:val="18"/>
                    </w:rPr>
                    <w:t>4</w:t>
                  </w:r>
                  <w:r>
                    <w:rPr>
                      <w:rFonts w:hint="eastAsia" w:eastAsia="宋体"/>
                      <w:color w:val="auto"/>
                      <w:kern w:val="2"/>
                      <w:sz w:val="18"/>
                      <w:szCs w:val="18"/>
                      <w:lang w:val="en-US" w:eastAsia="zh-CN"/>
                    </w:rPr>
                    <w:t>.0</w:t>
                  </w:r>
                </w:p>
              </w:tc>
              <w:tc>
                <w:tcPr>
                  <w:tcW w:w="740" w:type="pct"/>
                  <w:tcBorders>
                    <w:top w:val="single" w:color="auto" w:sz="6" w:space="0"/>
                    <w:left w:val="single" w:color="auto" w:sz="6" w:space="0"/>
                    <w:bottom w:val="single" w:color="auto" w:sz="6" w:space="0"/>
                    <w:right w:val="single" w:color="auto" w:sz="6" w:space="0"/>
                  </w:tcBorders>
                  <w:vAlign w:val="center"/>
                </w:tcPr>
                <w:p w14:paraId="4D6CE7FB">
                  <w:pPr>
                    <w:pStyle w:val="220"/>
                    <w:spacing w:line="280" w:lineRule="exact"/>
                    <w:rPr>
                      <w:rFonts w:eastAsia="宋体"/>
                      <w:color w:val="auto"/>
                      <w:kern w:val="2"/>
                      <w:sz w:val="18"/>
                      <w:szCs w:val="18"/>
                    </w:rPr>
                  </w:pPr>
                  <w:r>
                    <w:rPr>
                      <w:rFonts w:hint="eastAsia" w:eastAsia="宋体"/>
                      <w:color w:val="auto"/>
                      <w:kern w:val="2"/>
                      <w:sz w:val="18"/>
                      <w:szCs w:val="18"/>
                      <w:lang w:val="en-US" w:eastAsia="zh-CN"/>
                    </w:rPr>
                    <w:t>35.0</w:t>
                  </w:r>
                  <w:r>
                    <w:rPr>
                      <w:rFonts w:eastAsia="宋体"/>
                      <w:color w:val="auto"/>
                      <w:kern w:val="2"/>
                      <w:sz w:val="18"/>
                      <w:szCs w:val="18"/>
                    </w:rPr>
                    <w:t>%</w:t>
                  </w:r>
                </w:p>
              </w:tc>
              <w:tc>
                <w:tcPr>
                  <w:tcW w:w="741" w:type="pct"/>
                  <w:tcBorders>
                    <w:top w:val="single" w:color="auto" w:sz="6" w:space="0"/>
                    <w:left w:val="single" w:color="auto" w:sz="6" w:space="0"/>
                    <w:bottom w:val="single" w:color="auto" w:sz="6" w:space="0"/>
                    <w:right w:val="single" w:color="auto" w:sz="12" w:space="0"/>
                  </w:tcBorders>
                  <w:vAlign w:val="center"/>
                </w:tcPr>
                <w:p w14:paraId="55D2D8E3">
                  <w:pPr>
                    <w:pStyle w:val="220"/>
                    <w:spacing w:line="280" w:lineRule="exact"/>
                    <w:rPr>
                      <w:rFonts w:eastAsia="宋体"/>
                      <w:color w:val="auto"/>
                      <w:kern w:val="2"/>
                      <w:sz w:val="18"/>
                      <w:szCs w:val="18"/>
                    </w:rPr>
                  </w:pPr>
                  <w:r>
                    <w:rPr>
                      <w:rFonts w:eastAsia="宋体"/>
                      <w:color w:val="auto"/>
                      <w:kern w:val="2"/>
                      <w:sz w:val="18"/>
                      <w:szCs w:val="18"/>
                    </w:rPr>
                    <w:t>达标</w:t>
                  </w:r>
                </w:p>
              </w:tc>
            </w:tr>
            <w:tr w14:paraId="2101D5C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380" w:type="pct"/>
                  <w:vMerge w:val="continue"/>
                  <w:tcBorders>
                    <w:top w:val="single" w:color="auto" w:sz="6" w:space="0"/>
                    <w:left w:val="single" w:color="auto" w:sz="12" w:space="0"/>
                    <w:bottom w:val="single" w:color="auto" w:sz="12" w:space="0"/>
                    <w:right w:val="single" w:color="auto" w:sz="6" w:space="0"/>
                  </w:tcBorders>
                  <w:vAlign w:val="center"/>
                </w:tcPr>
                <w:p w14:paraId="5EE2C8FC">
                  <w:pPr>
                    <w:widowControl/>
                    <w:spacing w:line="280" w:lineRule="exact"/>
                    <w:jc w:val="center"/>
                    <w:rPr>
                      <w:color w:val="auto"/>
                      <w:sz w:val="18"/>
                      <w:szCs w:val="18"/>
                    </w:rPr>
                  </w:pPr>
                </w:p>
              </w:tc>
              <w:tc>
                <w:tcPr>
                  <w:tcW w:w="493" w:type="pct"/>
                  <w:tcBorders>
                    <w:top w:val="single" w:color="auto" w:sz="6" w:space="0"/>
                    <w:left w:val="single" w:color="auto" w:sz="6" w:space="0"/>
                    <w:bottom w:val="single" w:color="auto" w:sz="12" w:space="0"/>
                    <w:right w:val="single" w:color="auto" w:sz="6" w:space="0"/>
                  </w:tcBorders>
                  <w:vAlign w:val="center"/>
                </w:tcPr>
                <w:p w14:paraId="77D96D91">
                  <w:pPr>
                    <w:pStyle w:val="220"/>
                    <w:spacing w:line="280" w:lineRule="exact"/>
                    <w:rPr>
                      <w:rFonts w:eastAsia="宋体"/>
                      <w:color w:val="auto"/>
                      <w:kern w:val="2"/>
                      <w:sz w:val="18"/>
                      <w:szCs w:val="18"/>
                    </w:rPr>
                  </w:pPr>
                  <w:r>
                    <w:rPr>
                      <w:rFonts w:eastAsia="宋体"/>
                      <w:color w:val="auto"/>
                      <w:kern w:val="2"/>
                      <w:sz w:val="18"/>
                      <w:szCs w:val="18"/>
                    </w:rPr>
                    <w:t>O</w:t>
                  </w:r>
                  <w:r>
                    <w:rPr>
                      <w:rFonts w:eastAsia="宋体"/>
                      <w:color w:val="auto"/>
                      <w:kern w:val="2"/>
                      <w:sz w:val="18"/>
                      <w:szCs w:val="18"/>
                      <w:vertAlign w:val="subscript"/>
                    </w:rPr>
                    <w:t>3</w:t>
                  </w:r>
                </w:p>
              </w:tc>
              <w:tc>
                <w:tcPr>
                  <w:tcW w:w="1064" w:type="pct"/>
                  <w:tcBorders>
                    <w:top w:val="single" w:color="auto" w:sz="6" w:space="0"/>
                    <w:left w:val="single" w:color="auto" w:sz="6" w:space="0"/>
                    <w:bottom w:val="single" w:color="auto" w:sz="12" w:space="0"/>
                    <w:right w:val="single" w:color="auto" w:sz="6" w:space="0"/>
                  </w:tcBorders>
                  <w:vAlign w:val="center"/>
                </w:tcPr>
                <w:p w14:paraId="14235F3F">
                  <w:pPr>
                    <w:widowControl/>
                    <w:spacing w:line="280" w:lineRule="exact"/>
                    <w:jc w:val="center"/>
                    <w:rPr>
                      <w:color w:val="auto"/>
                      <w:sz w:val="18"/>
                      <w:szCs w:val="18"/>
                    </w:rPr>
                  </w:pPr>
                  <w:r>
                    <w:rPr>
                      <w:rFonts w:hint="eastAsia"/>
                      <w:color w:val="auto"/>
                      <w:sz w:val="18"/>
                      <w:szCs w:val="18"/>
                    </w:rPr>
                    <w:t>日最大8h平均</w:t>
                  </w:r>
                </w:p>
              </w:tc>
              <w:tc>
                <w:tcPr>
                  <w:tcW w:w="760" w:type="pct"/>
                  <w:tcBorders>
                    <w:top w:val="single" w:color="auto" w:sz="6" w:space="0"/>
                    <w:left w:val="single" w:color="auto" w:sz="6" w:space="0"/>
                    <w:bottom w:val="single" w:color="auto" w:sz="12" w:space="0"/>
                    <w:right w:val="single" w:color="auto" w:sz="6" w:space="0"/>
                  </w:tcBorders>
                  <w:vAlign w:val="center"/>
                </w:tcPr>
                <w:p w14:paraId="2AC11D47">
                  <w:pPr>
                    <w:pStyle w:val="220"/>
                    <w:spacing w:line="280" w:lineRule="exact"/>
                    <w:rPr>
                      <w:rFonts w:hint="default" w:eastAsia="宋体"/>
                      <w:color w:val="auto"/>
                      <w:kern w:val="2"/>
                      <w:sz w:val="18"/>
                      <w:szCs w:val="18"/>
                      <w:lang w:val="en-US" w:eastAsia="zh-CN"/>
                    </w:rPr>
                  </w:pPr>
                  <w:r>
                    <w:rPr>
                      <w:rFonts w:hint="eastAsia" w:eastAsia="宋体"/>
                      <w:color w:val="auto"/>
                      <w:kern w:val="2"/>
                      <w:sz w:val="18"/>
                      <w:szCs w:val="18"/>
                      <w:lang w:val="en-US" w:eastAsia="zh-CN"/>
                    </w:rPr>
                    <w:t>146</w:t>
                  </w:r>
                </w:p>
              </w:tc>
              <w:tc>
                <w:tcPr>
                  <w:tcW w:w="823" w:type="pct"/>
                  <w:tcBorders>
                    <w:top w:val="single" w:color="auto" w:sz="6" w:space="0"/>
                    <w:left w:val="single" w:color="auto" w:sz="6" w:space="0"/>
                    <w:bottom w:val="single" w:color="auto" w:sz="12" w:space="0"/>
                    <w:right w:val="single" w:color="auto" w:sz="6" w:space="0"/>
                  </w:tcBorders>
                  <w:vAlign w:val="center"/>
                </w:tcPr>
                <w:p w14:paraId="6042460F">
                  <w:pPr>
                    <w:pStyle w:val="220"/>
                    <w:spacing w:line="280" w:lineRule="exact"/>
                    <w:rPr>
                      <w:rFonts w:eastAsia="宋体"/>
                      <w:color w:val="auto"/>
                      <w:kern w:val="2"/>
                      <w:sz w:val="18"/>
                      <w:szCs w:val="18"/>
                    </w:rPr>
                  </w:pPr>
                  <w:r>
                    <w:rPr>
                      <w:rFonts w:eastAsia="宋体"/>
                      <w:color w:val="auto"/>
                      <w:kern w:val="2"/>
                      <w:sz w:val="18"/>
                      <w:szCs w:val="18"/>
                    </w:rPr>
                    <w:t>160</w:t>
                  </w:r>
                </w:p>
              </w:tc>
              <w:tc>
                <w:tcPr>
                  <w:tcW w:w="740" w:type="pct"/>
                  <w:tcBorders>
                    <w:top w:val="single" w:color="auto" w:sz="6" w:space="0"/>
                    <w:left w:val="single" w:color="auto" w:sz="6" w:space="0"/>
                    <w:bottom w:val="single" w:color="auto" w:sz="12" w:space="0"/>
                    <w:right w:val="single" w:color="auto" w:sz="6" w:space="0"/>
                  </w:tcBorders>
                  <w:vAlign w:val="center"/>
                </w:tcPr>
                <w:p w14:paraId="7C2865A0">
                  <w:pPr>
                    <w:pStyle w:val="220"/>
                    <w:spacing w:line="280" w:lineRule="exact"/>
                    <w:rPr>
                      <w:rFonts w:eastAsia="宋体"/>
                      <w:color w:val="auto"/>
                      <w:kern w:val="2"/>
                      <w:sz w:val="18"/>
                      <w:szCs w:val="18"/>
                    </w:rPr>
                  </w:pPr>
                  <w:r>
                    <w:rPr>
                      <w:rFonts w:hint="eastAsia" w:eastAsia="宋体"/>
                      <w:color w:val="auto"/>
                      <w:kern w:val="2"/>
                      <w:sz w:val="18"/>
                      <w:szCs w:val="18"/>
                      <w:lang w:val="en-US" w:eastAsia="zh-CN"/>
                    </w:rPr>
                    <w:t>91.3</w:t>
                  </w:r>
                  <w:r>
                    <w:rPr>
                      <w:rFonts w:eastAsia="宋体"/>
                      <w:color w:val="auto"/>
                      <w:kern w:val="2"/>
                      <w:sz w:val="18"/>
                      <w:szCs w:val="18"/>
                    </w:rPr>
                    <w:t>%</w:t>
                  </w:r>
                </w:p>
              </w:tc>
              <w:tc>
                <w:tcPr>
                  <w:tcW w:w="741" w:type="pct"/>
                  <w:tcBorders>
                    <w:top w:val="single" w:color="auto" w:sz="6" w:space="0"/>
                    <w:left w:val="single" w:color="auto" w:sz="6" w:space="0"/>
                    <w:bottom w:val="single" w:color="auto" w:sz="12" w:space="0"/>
                    <w:right w:val="single" w:color="auto" w:sz="12" w:space="0"/>
                  </w:tcBorders>
                  <w:vAlign w:val="center"/>
                </w:tcPr>
                <w:p w14:paraId="34AF4F25">
                  <w:pPr>
                    <w:pStyle w:val="220"/>
                    <w:spacing w:line="280" w:lineRule="exact"/>
                    <w:rPr>
                      <w:rFonts w:eastAsia="宋体"/>
                      <w:color w:val="auto"/>
                      <w:kern w:val="2"/>
                      <w:sz w:val="18"/>
                      <w:szCs w:val="18"/>
                    </w:rPr>
                  </w:pPr>
                  <w:r>
                    <w:rPr>
                      <w:rFonts w:hint="eastAsia" w:eastAsia="宋体"/>
                      <w:color w:val="auto"/>
                      <w:kern w:val="2"/>
                      <w:sz w:val="18"/>
                      <w:szCs w:val="18"/>
                    </w:rPr>
                    <w:t>达</w:t>
                  </w:r>
                  <w:r>
                    <w:rPr>
                      <w:rFonts w:eastAsia="宋体"/>
                      <w:color w:val="auto"/>
                      <w:kern w:val="2"/>
                      <w:sz w:val="18"/>
                      <w:szCs w:val="18"/>
                    </w:rPr>
                    <w:t>标</w:t>
                  </w:r>
                </w:p>
              </w:tc>
            </w:tr>
          </w:tbl>
          <w:p w14:paraId="2BDC5B08">
            <w:pPr>
              <w:spacing w:line="360" w:lineRule="auto"/>
              <w:ind w:firstLine="420" w:firstLineChars="200"/>
              <w:rPr>
                <w:rFonts w:hint="eastAsia"/>
                <w:color w:val="auto"/>
                <w:szCs w:val="21"/>
              </w:rPr>
            </w:pPr>
            <w:r>
              <w:rPr>
                <w:color w:val="auto"/>
                <w:szCs w:val="21"/>
              </w:rPr>
              <w:t>由该监测结果数据分析</w:t>
            </w:r>
            <w:r>
              <w:rPr>
                <w:rFonts w:hint="eastAsia"/>
                <w:color w:val="auto"/>
                <w:szCs w:val="21"/>
              </w:rPr>
              <w:t>可知</w:t>
            </w:r>
            <w:r>
              <w:rPr>
                <w:rFonts w:hint="eastAsia"/>
                <w:color w:val="auto"/>
                <w:szCs w:val="21"/>
                <w:lang w:val="zh-CN"/>
              </w:rPr>
              <w:t>污染物</w:t>
            </w:r>
            <w:r>
              <w:rPr>
                <w:color w:val="auto"/>
                <w:szCs w:val="21"/>
              </w:rPr>
              <w:t>SO</w:t>
            </w:r>
            <w:r>
              <w:rPr>
                <w:color w:val="auto"/>
                <w:szCs w:val="21"/>
                <w:vertAlign w:val="subscript"/>
              </w:rPr>
              <w:t>2</w:t>
            </w:r>
            <w:r>
              <w:rPr>
                <w:color w:val="auto"/>
                <w:szCs w:val="21"/>
              </w:rPr>
              <w:t>、NO</w:t>
            </w:r>
            <w:r>
              <w:rPr>
                <w:color w:val="auto"/>
                <w:szCs w:val="21"/>
                <w:vertAlign w:val="subscript"/>
              </w:rPr>
              <w:t>2</w:t>
            </w:r>
            <w:r>
              <w:rPr>
                <w:color w:val="auto"/>
                <w:szCs w:val="21"/>
              </w:rPr>
              <w:t>、PM</w:t>
            </w:r>
            <w:r>
              <w:rPr>
                <w:color w:val="auto"/>
                <w:szCs w:val="21"/>
                <w:vertAlign w:val="subscript"/>
              </w:rPr>
              <w:t>10</w:t>
            </w:r>
            <w:r>
              <w:rPr>
                <w:color w:val="auto"/>
                <w:szCs w:val="21"/>
              </w:rPr>
              <w:t>、PM</w:t>
            </w:r>
            <w:r>
              <w:rPr>
                <w:color w:val="auto"/>
                <w:szCs w:val="21"/>
                <w:vertAlign w:val="subscript"/>
              </w:rPr>
              <w:t>2.5</w:t>
            </w:r>
            <w:r>
              <w:rPr>
                <w:color w:val="auto"/>
                <w:szCs w:val="21"/>
              </w:rPr>
              <w:t>、CO、O</w:t>
            </w:r>
            <w:r>
              <w:rPr>
                <w:color w:val="auto"/>
                <w:szCs w:val="21"/>
                <w:vertAlign w:val="subscript"/>
              </w:rPr>
              <w:t>3</w:t>
            </w:r>
            <w:r>
              <w:rPr>
                <w:rFonts w:hint="eastAsia"/>
                <w:color w:val="auto"/>
                <w:szCs w:val="21"/>
                <w:lang w:val="zh-CN"/>
              </w:rPr>
              <w:t>均未</w:t>
            </w:r>
            <w:r>
              <w:rPr>
                <w:color w:val="auto"/>
                <w:szCs w:val="21"/>
                <w:lang w:val="zh-CN"/>
              </w:rPr>
              <w:t>超标</w:t>
            </w:r>
            <w:r>
              <w:rPr>
                <w:rFonts w:hint="eastAsia"/>
                <w:color w:val="auto"/>
                <w:szCs w:val="21"/>
                <w:lang w:val="zh-CN"/>
              </w:rPr>
              <w:t>，达到</w:t>
            </w:r>
            <w:r>
              <w:rPr>
                <w:color w:val="auto"/>
                <w:szCs w:val="21"/>
              </w:rPr>
              <w:t>《环境空气质量标准》（GB3095-2012）二级标准</w:t>
            </w:r>
            <w:r>
              <w:rPr>
                <w:rFonts w:hint="eastAsia"/>
                <w:color w:val="auto"/>
                <w:szCs w:val="21"/>
                <w:lang w:val="zh-CN"/>
              </w:rPr>
              <w:t>，</w:t>
            </w:r>
            <w:r>
              <w:rPr>
                <w:color w:val="auto"/>
                <w:szCs w:val="21"/>
              </w:rPr>
              <w:t>区域</w:t>
            </w:r>
            <w:r>
              <w:rPr>
                <w:rFonts w:hint="eastAsia"/>
                <w:color w:val="auto"/>
                <w:szCs w:val="21"/>
              </w:rPr>
              <w:t>属</w:t>
            </w:r>
            <w:r>
              <w:rPr>
                <w:color w:val="auto"/>
                <w:szCs w:val="21"/>
              </w:rPr>
              <w:t>达标区</w:t>
            </w:r>
            <w:r>
              <w:rPr>
                <w:rFonts w:hint="eastAsia"/>
                <w:color w:val="auto"/>
                <w:szCs w:val="21"/>
              </w:rPr>
              <w:t>。</w:t>
            </w:r>
          </w:p>
          <w:p w14:paraId="55D68C08">
            <w:pPr>
              <w:spacing w:line="360" w:lineRule="auto"/>
              <w:ind w:firstLine="420" w:firstLineChars="200"/>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eastAsia="zh-CN"/>
              </w:rPr>
              <w:t>（</w:t>
            </w:r>
            <w:r>
              <w:rPr>
                <w:rFonts w:hint="eastAsia" w:ascii="Times New Roman" w:hAnsi="Times New Roman" w:eastAsia="宋体" w:cs="Times New Roman"/>
                <w:color w:val="auto"/>
                <w:szCs w:val="21"/>
                <w:lang w:val="en-US" w:eastAsia="zh-CN"/>
              </w:rPr>
              <w:t>2</w:t>
            </w:r>
            <w:r>
              <w:rPr>
                <w:rFonts w:hint="eastAsia" w:ascii="Times New Roman" w:hAnsi="Times New Roman" w:eastAsia="宋体" w:cs="Times New Roman"/>
                <w:color w:val="auto"/>
                <w:szCs w:val="21"/>
                <w:lang w:eastAsia="zh-CN"/>
              </w:rPr>
              <w:t>）</w:t>
            </w:r>
            <w:r>
              <w:rPr>
                <w:rFonts w:hint="eastAsia" w:ascii="Times New Roman" w:hAnsi="Times New Roman" w:eastAsia="宋体" w:cs="Times New Roman"/>
                <w:color w:val="auto"/>
                <w:szCs w:val="21"/>
                <w:lang w:val="en-US" w:eastAsia="zh-CN"/>
              </w:rPr>
              <w:t>特征污染物</w:t>
            </w:r>
          </w:p>
          <w:p w14:paraId="01B3F9D2">
            <w:pPr>
              <w:spacing w:line="360" w:lineRule="auto"/>
              <w:ind w:firstLine="420" w:firstLineChars="200"/>
              <w:rPr>
                <w:rFonts w:hint="eastAsia"/>
                <w:color w:val="auto"/>
                <w:lang w:val="en-US" w:eastAsia="zh-CN"/>
              </w:rPr>
            </w:pPr>
            <w:r>
              <w:rPr>
                <w:rFonts w:hint="eastAsia"/>
                <w:color w:val="auto"/>
                <w:lang w:val="en-US" w:eastAsia="zh-CN"/>
              </w:rPr>
              <w:t>本项目运营期大气特征污染物为TSP和苯并[a]芘，为了解区域环境空气质量，建设单位委托山西科利华环境检测有限公司和山西运星环保科技有限公司，对本项目所在区域进行了环境空气现状监测。监测项目：TSP、苯并[a]芘；</w:t>
            </w:r>
          </w:p>
          <w:p w14:paraId="453A84DC">
            <w:pPr>
              <w:spacing w:line="360" w:lineRule="auto"/>
              <w:ind w:firstLine="420" w:firstLineChars="200"/>
              <w:rPr>
                <w:rFonts w:hint="eastAsia"/>
                <w:color w:val="auto"/>
                <w:lang w:val="en-US" w:eastAsia="zh-CN"/>
              </w:rPr>
            </w:pPr>
            <w:r>
              <w:rPr>
                <w:rFonts w:hint="eastAsia"/>
                <w:color w:val="auto"/>
                <w:lang w:val="en-US" w:eastAsia="zh-CN"/>
              </w:rPr>
              <w:t>TSP监测时间：2025年4月11日~14日；</w:t>
            </w:r>
          </w:p>
          <w:p w14:paraId="08D0F98D">
            <w:pPr>
              <w:spacing w:line="360" w:lineRule="auto"/>
              <w:ind w:firstLine="420" w:firstLineChars="200"/>
              <w:rPr>
                <w:rFonts w:hint="default"/>
                <w:color w:val="auto"/>
                <w:lang w:val="en-US" w:eastAsia="zh-CN"/>
              </w:rPr>
            </w:pPr>
            <w:r>
              <w:rPr>
                <w:rFonts w:hint="eastAsia"/>
                <w:color w:val="auto"/>
                <w:lang w:val="en-US" w:eastAsia="zh-CN"/>
              </w:rPr>
              <w:t>苯并[a]芘监测时间：2025年5月11日~14日；</w:t>
            </w:r>
          </w:p>
          <w:p w14:paraId="39EA755A">
            <w:pPr>
              <w:spacing w:line="360" w:lineRule="auto"/>
              <w:ind w:firstLine="420" w:firstLineChars="200"/>
              <w:rPr>
                <w:rFonts w:hint="eastAsia"/>
                <w:color w:val="auto"/>
                <w:lang w:val="en-US" w:eastAsia="zh-CN"/>
              </w:rPr>
            </w:pPr>
            <w:r>
              <w:rPr>
                <w:rFonts w:hint="eastAsia"/>
                <w:color w:val="auto"/>
                <w:lang w:val="en-US" w:eastAsia="zh-CN"/>
              </w:rPr>
              <w:t>TSP监测点位：1#项目区；</w:t>
            </w:r>
          </w:p>
          <w:p w14:paraId="05D56D20">
            <w:pPr>
              <w:spacing w:line="360" w:lineRule="auto"/>
              <w:ind w:firstLine="420" w:firstLineChars="200"/>
              <w:rPr>
                <w:rFonts w:hint="eastAsia"/>
                <w:color w:val="auto"/>
                <w:lang w:val="en-US" w:eastAsia="zh-CN"/>
              </w:rPr>
            </w:pPr>
            <w:r>
              <w:rPr>
                <w:rFonts w:hint="eastAsia"/>
                <w:color w:val="auto"/>
                <w:lang w:val="en-US" w:eastAsia="zh-CN"/>
              </w:rPr>
              <w:t>苯并[a]芘监测点位：1#厂区北侧居民区（监测点位位于本项目厂址北侧0.35km处）；</w:t>
            </w:r>
          </w:p>
          <w:p w14:paraId="27396DD4">
            <w:pPr>
              <w:spacing w:line="240" w:lineRule="exact"/>
              <w:jc w:val="center"/>
              <w:rPr>
                <w:b/>
                <w:color w:val="auto"/>
                <w:sz w:val="18"/>
                <w:szCs w:val="18"/>
              </w:rPr>
            </w:pPr>
            <w:r>
              <w:rPr>
                <w:b/>
                <w:color w:val="auto"/>
                <w:sz w:val="18"/>
                <w:szCs w:val="18"/>
              </w:rPr>
              <w:t>表3</w:t>
            </w:r>
            <w:r>
              <w:rPr>
                <w:rFonts w:hint="eastAsia"/>
                <w:b/>
                <w:color w:val="auto"/>
                <w:sz w:val="18"/>
                <w:szCs w:val="18"/>
                <w:lang w:val="en-US" w:eastAsia="zh-CN"/>
              </w:rPr>
              <w:t>.1</w:t>
            </w:r>
            <w:r>
              <w:rPr>
                <w:b/>
                <w:color w:val="auto"/>
                <w:sz w:val="18"/>
                <w:szCs w:val="18"/>
              </w:rPr>
              <w:t>-</w:t>
            </w:r>
            <w:r>
              <w:rPr>
                <w:rFonts w:hint="eastAsia"/>
                <w:b/>
                <w:color w:val="auto"/>
                <w:sz w:val="18"/>
                <w:szCs w:val="18"/>
                <w:lang w:val="en-US" w:eastAsia="zh-CN"/>
              </w:rPr>
              <w:t>2</w:t>
            </w:r>
            <w:r>
              <w:rPr>
                <w:b/>
                <w:color w:val="auto"/>
                <w:sz w:val="18"/>
                <w:szCs w:val="18"/>
              </w:rPr>
              <w:t xml:space="preserve">    环境空气现状监测结果统计表</w:t>
            </w:r>
          </w:p>
          <w:tbl>
            <w:tblPr>
              <w:tblStyle w:val="47"/>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22"/>
              <w:gridCol w:w="889"/>
              <w:gridCol w:w="560"/>
              <w:gridCol w:w="2030"/>
              <w:gridCol w:w="1146"/>
              <w:gridCol w:w="1080"/>
              <w:gridCol w:w="710"/>
              <w:gridCol w:w="807"/>
            </w:tblGrid>
            <w:tr w14:paraId="3FE51D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0" w:type="auto"/>
                  <w:tcBorders>
                    <w:tl2br w:val="nil"/>
                    <w:tr2bl w:val="nil"/>
                  </w:tcBorders>
                  <w:vAlign w:val="center"/>
                </w:tcPr>
                <w:p w14:paraId="2D08259E">
                  <w:pPr>
                    <w:pStyle w:val="220"/>
                    <w:spacing w:line="280" w:lineRule="exact"/>
                    <w:rPr>
                      <w:rFonts w:hint="eastAsia" w:eastAsia="宋体"/>
                      <w:color w:val="auto"/>
                      <w:kern w:val="2"/>
                      <w:sz w:val="18"/>
                      <w:szCs w:val="18"/>
                      <w:lang w:eastAsia="zh-CN"/>
                    </w:rPr>
                  </w:pPr>
                  <w:r>
                    <w:rPr>
                      <w:rFonts w:hint="eastAsia" w:eastAsia="宋体"/>
                      <w:color w:val="auto"/>
                      <w:kern w:val="2"/>
                      <w:sz w:val="18"/>
                      <w:szCs w:val="18"/>
                      <w:lang w:val="en-US" w:eastAsia="zh-CN"/>
                    </w:rPr>
                    <w:t>项目</w:t>
                  </w:r>
                </w:p>
              </w:tc>
              <w:tc>
                <w:tcPr>
                  <w:tcW w:w="0" w:type="auto"/>
                  <w:tcBorders>
                    <w:tl2br w:val="nil"/>
                    <w:tr2bl w:val="nil"/>
                  </w:tcBorders>
                  <w:vAlign w:val="center"/>
                </w:tcPr>
                <w:p w14:paraId="409AB038">
                  <w:pPr>
                    <w:pStyle w:val="220"/>
                    <w:spacing w:line="280" w:lineRule="exact"/>
                    <w:rPr>
                      <w:rFonts w:hint="default" w:eastAsia="宋体"/>
                      <w:color w:val="auto"/>
                      <w:kern w:val="2"/>
                      <w:sz w:val="18"/>
                      <w:szCs w:val="18"/>
                      <w:lang w:val="en-US" w:eastAsia="zh-CN"/>
                    </w:rPr>
                  </w:pPr>
                  <w:r>
                    <w:rPr>
                      <w:rFonts w:hint="eastAsia" w:eastAsia="宋体"/>
                      <w:color w:val="auto"/>
                      <w:kern w:val="2"/>
                      <w:sz w:val="18"/>
                      <w:szCs w:val="18"/>
                      <w:lang w:val="en-US" w:eastAsia="zh-CN"/>
                    </w:rPr>
                    <w:t>监测点位</w:t>
                  </w:r>
                </w:p>
              </w:tc>
              <w:tc>
                <w:tcPr>
                  <w:tcW w:w="0" w:type="auto"/>
                  <w:tcBorders>
                    <w:tl2br w:val="nil"/>
                    <w:tr2bl w:val="nil"/>
                  </w:tcBorders>
                  <w:vAlign w:val="center"/>
                </w:tcPr>
                <w:p w14:paraId="7B8F9F0A">
                  <w:pPr>
                    <w:pStyle w:val="220"/>
                    <w:spacing w:line="280" w:lineRule="exact"/>
                    <w:rPr>
                      <w:rFonts w:hint="eastAsia" w:eastAsia="宋体"/>
                      <w:color w:val="auto"/>
                      <w:kern w:val="2"/>
                      <w:sz w:val="18"/>
                      <w:szCs w:val="18"/>
                      <w:lang w:val="en-US" w:eastAsia="zh-CN"/>
                    </w:rPr>
                  </w:pPr>
                  <w:r>
                    <w:rPr>
                      <w:rFonts w:hint="eastAsia" w:eastAsia="宋体"/>
                      <w:color w:val="auto"/>
                      <w:kern w:val="2"/>
                      <w:sz w:val="18"/>
                      <w:szCs w:val="18"/>
                      <w:lang w:val="en-US" w:eastAsia="zh-CN"/>
                    </w:rPr>
                    <w:t>样品数</w:t>
                  </w:r>
                </w:p>
              </w:tc>
              <w:tc>
                <w:tcPr>
                  <w:tcW w:w="0" w:type="auto"/>
                  <w:tcBorders>
                    <w:tl2br w:val="nil"/>
                    <w:tr2bl w:val="nil"/>
                  </w:tcBorders>
                  <w:vAlign w:val="center"/>
                </w:tcPr>
                <w:p w14:paraId="5EAD73DD">
                  <w:pPr>
                    <w:pStyle w:val="220"/>
                    <w:spacing w:line="280" w:lineRule="exact"/>
                    <w:rPr>
                      <w:rFonts w:hint="eastAsia" w:eastAsia="宋体"/>
                      <w:color w:val="auto"/>
                      <w:kern w:val="2"/>
                      <w:sz w:val="18"/>
                      <w:szCs w:val="18"/>
                      <w:lang w:eastAsia="zh-CN"/>
                    </w:rPr>
                  </w:pPr>
                  <w:r>
                    <w:rPr>
                      <w:rFonts w:hint="eastAsia" w:eastAsia="宋体"/>
                      <w:color w:val="auto"/>
                      <w:kern w:val="2"/>
                      <w:sz w:val="18"/>
                      <w:szCs w:val="18"/>
                      <w:lang w:val="en-US" w:eastAsia="zh-CN"/>
                    </w:rPr>
                    <w:t>日均样平均浓度值范围</w:t>
                  </w:r>
                  <w:r>
                    <w:rPr>
                      <w:rFonts w:hint="eastAsia" w:eastAsia="宋体"/>
                      <w:color w:val="auto"/>
                      <w:kern w:val="2"/>
                      <w:sz w:val="18"/>
                      <w:szCs w:val="18"/>
                      <w:lang w:eastAsia="zh-CN"/>
                    </w:rPr>
                    <w:t>（</w:t>
                  </w:r>
                  <w:r>
                    <w:rPr>
                      <w:rFonts w:hint="eastAsia" w:eastAsia="宋体"/>
                      <w:color w:val="auto"/>
                      <w:kern w:val="2"/>
                      <w:sz w:val="18"/>
                      <w:szCs w:val="18"/>
                      <w:lang w:val="en-US" w:eastAsia="zh-CN"/>
                    </w:rPr>
                    <w:t>μ</w:t>
                  </w:r>
                  <w:r>
                    <w:rPr>
                      <w:rFonts w:eastAsia="宋体"/>
                      <w:color w:val="auto"/>
                      <w:kern w:val="2"/>
                      <w:sz w:val="18"/>
                      <w:szCs w:val="18"/>
                    </w:rPr>
                    <w:t>g/m</w:t>
                  </w:r>
                  <w:r>
                    <w:rPr>
                      <w:rFonts w:eastAsia="宋体"/>
                      <w:color w:val="auto"/>
                      <w:kern w:val="2"/>
                      <w:sz w:val="18"/>
                      <w:szCs w:val="18"/>
                      <w:vertAlign w:val="superscript"/>
                    </w:rPr>
                    <w:t>3</w:t>
                  </w:r>
                  <w:r>
                    <w:rPr>
                      <w:rFonts w:hint="eastAsia" w:eastAsia="宋体"/>
                      <w:color w:val="auto"/>
                      <w:kern w:val="2"/>
                      <w:sz w:val="18"/>
                      <w:szCs w:val="18"/>
                      <w:lang w:eastAsia="zh-CN"/>
                    </w:rPr>
                    <w:t>）</w:t>
                  </w:r>
                </w:p>
              </w:tc>
              <w:tc>
                <w:tcPr>
                  <w:tcW w:w="0" w:type="auto"/>
                  <w:tcBorders>
                    <w:tl2br w:val="nil"/>
                    <w:tr2bl w:val="nil"/>
                  </w:tcBorders>
                  <w:vAlign w:val="center"/>
                </w:tcPr>
                <w:p w14:paraId="13D7592E">
                  <w:pPr>
                    <w:pStyle w:val="220"/>
                    <w:spacing w:line="280" w:lineRule="exact"/>
                    <w:rPr>
                      <w:rFonts w:eastAsia="宋体"/>
                      <w:color w:val="auto"/>
                      <w:kern w:val="2"/>
                      <w:sz w:val="18"/>
                      <w:szCs w:val="18"/>
                    </w:rPr>
                  </w:pPr>
                  <w:r>
                    <w:rPr>
                      <w:rFonts w:eastAsia="宋体"/>
                      <w:color w:val="auto"/>
                      <w:kern w:val="2"/>
                      <w:sz w:val="18"/>
                      <w:szCs w:val="18"/>
                    </w:rPr>
                    <w:t>标准值</w:t>
                  </w:r>
                  <w:r>
                    <w:rPr>
                      <w:rFonts w:hint="eastAsia" w:eastAsia="宋体"/>
                      <w:color w:val="auto"/>
                      <w:kern w:val="2"/>
                      <w:sz w:val="18"/>
                      <w:szCs w:val="18"/>
                      <w:lang w:eastAsia="zh-CN"/>
                    </w:rPr>
                    <w:t>（</w:t>
                  </w:r>
                  <w:r>
                    <w:rPr>
                      <w:rFonts w:hint="eastAsia" w:eastAsia="宋体"/>
                      <w:color w:val="auto"/>
                      <w:kern w:val="2"/>
                      <w:sz w:val="18"/>
                      <w:szCs w:val="18"/>
                      <w:lang w:val="en-US" w:eastAsia="zh-CN"/>
                    </w:rPr>
                    <w:t>μ</w:t>
                  </w:r>
                  <w:r>
                    <w:rPr>
                      <w:rFonts w:eastAsia="宋体"/>
                      <w:color w:val="auto"/>
                      <w:kern w:val="2"/>
                      <w:sz w:val="18"/>
                      <w:szCs w:val="18"/>
                    </w:rPr>
                    <w:t>g/m</w:t>
                  </w:r>
                  <w:r>
                    <w:rPr>
                      <w:rFonts w:eastAsia="宋体"/>
                      <w:color w:val="auto"/>
                      <w:kern w:val="2"/>
                      <w:sz w:val="18"/>
                      <w:szCs w:val="18"/>
                      <w:vertAlign w:val="superscript"/>
                    </w:rPr>
                    <w:t>3</w:t>
                  </w:r>
                  <w:r>
                    <w:rPr>
                      <w:rFonts w:hint="eastAsia" w:eastAsia="宋体"/>
                      <w:color w:val="auto"/>
                      <w:kern w:val="2"/>
                      <w:sz w:val="18"/>
                      <w:szCs w:val="18"/>
                      <w:lang w:eastAsia="zh-CN"/>
                    </w:rPr>
                    <w:t>）</w:t>
                  </w:r>
                </w:p>
              </w:tc>
              <w:tc>
                <w:tcPr>
                  <w:tcW w:w="0" w:type="auto"/>
                  <w:tcBorders>
                    <w:tl2br w:val="nil"/>
                    <w:tr2bl w:val="nil"/>
                  </w:tcBorders>
                  <w:vAlign w:val="center"/>
                </w:tcPr>
                <w:p w14:paraId="3F7A19DD">
                  <w:pPr>
                    <w:pStyle w:val="220"/>
                    <w:spacing w:line="280" w:lineRule="exact"/>
                    <w:rPr>
                      <w:rFonts w:hint="default" w:eastAsia="宋体"/>
                      <w:color w:val="auto"/>
                      <w:kern w:val="2"/>
                      <w:sz w:val="18"/>
                      <w:szCs w:val="18"/>
                      <w:lang w:val="en-US" w:eastAsia="zh-CN"/>
                    </w:rPr>
                  </w:pPr>
                  <w:r>
                    <w:rPr>
                      <w:rFonts w:hint="eastAsia" w:eastAsia="宋体"/>
                      <w:color w:val="auto"/>
                      <w:kern w:val="2"/>
                      <w:sz w:val="18"/>
                      <w:szCs w:val="18"/>
                      <w:lang w:val="en-US" w:eastAsia="zh-CN"/>
                    </w:rPr>
                    <w:t>最大浓度占标率%</w:t>
                  </w:r>
                </w:p>
              </w:tc>
              <w:tc>
                <w:tcPr>
                  <w:tcW w:w="0" w:type="auto"/>
                  <w:tcBorders>
                    <w:tl2br w:val="nil"/>
                    <w:tr2bl w:val="nil"/>
                  </w:tcBorders>
                  <w:vAlign w:val="center"/>
                </w:tcPr>
                <w:p w14:paraId="533EDF70">
                  <w:pPr>
                    <w:pStyle w:val="220"/>
                    <w:spacing w:line="280" w:lineRule="exact"/>
                    <w:rPr>
                      <w:rFonts w:hint="default" w:eastAsia="宋体"/>
                      <w:color w:val="auto"/>
                      <w:kern w:val="2"/>
                      <w:sz w:val="18"/>
                      <w:szCs w:val="18"/>
                      <w:lang w:val="en-US" w:eastAsia="zh-CN"/>
                    </w:rPr>
                  </w:pPr>
                  <w:r>
                    <w:rPr>
                      <w:rFonts w:hint="eastAsia" w:eastAsia="宋体"/>
                      <w:color w:val="auto"/>
                      <w:kern w:val="2"/>
                      <w:sz w:val="18"/>
                      <w:szCs w:val="18"/>
                      <w:lang w:val="en-US" w:eastAsia="zh-CN"/>
                    </w:rPr>
                    <w:t>超标率%</w:t>
                  </w:r>
                </w:p>
              </w:tc>
              <w:tc>
                <w:tcPr>
                  <w:tcW w:w="0" w:type="auto"/>
                  <w:tcBorders>
                    <w:tl2br w:val="nil"/>
                    <w:tr2bl w:val="nil"/>
                  </w:tcBorders>
                  <w:vAlign w:val="center"/>
                </w:tcPr>
                <w:p w14:paraId="2F7BAD62">
                  <w:pPr>
                    <w:pStyle w:val="220"/>
                    <w:spacing w:line="280" w:lineRule="exact"/>
                    <w:rPr>
                      <w:rFonts w:eastAsia="宋体"/>
                      <w:color w:val="auto"/>
                      <w:kern w:val="2"/>
                      <w:sz w:val="18"/>
                      <w:szCs w:val="18"/>
                    </w:rPr>
                  </w:pPr>
                  <w:r>
                    <w:rPr>
                      <w:rFonts w:hint="eastAsia" w:eastAsia="宋体"/>
                      <w:color w:val="auto"/>
                      <w:kern w:val="2"/>
                      <w:sz w:val="18"/>
                      <w:szCs w:val="18"/>
                      <w:lang w:val="en-US" w:eastAsia="zh-CN"/>
                    </w:rPr>
                    <w:t>最大超标倍数</w:t>
                  </w:r>
                </w:p>
              </w:tc>
            </w:tr>
            <w:tr w14:paraId="15A8D5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0" w:type="auto"/>
                  <w:tcBorders>
                    <w:tl2br w:val="nil"/>
                    <w:tr2bl w:val="nil"/>
                  </w:tcBorders>
                  <w:vAlign w:val="center"/>
                </w:tcPr>
                <w:p w14:paraId="35258A24">
                  <w:pPr>
                    <w:pStyle w:val="220"/>
                    <w:spacing w:line="280" w:lineRule="exact"/>
                    <w:rPr>
                      <w:rFonts w:hint="default" w:eastAsia="宋体"/>
                      <w:color w:val="auto"/>
                      <w:kern w:val="2"/>
                      <w:sz w:val="18"/>
                      <w:szCs w:val="18"/>
                      <w:lang w:val="en-US" w:eastAsia="zh-CN"/>
                    </w:rPr>
                  </w:pPr>
                  <w:r>
                    <w:rPr>
                      <w:rFonts w:hint="eastAsia" w:eastAsia="宋体"/>
                      <w:color w:val="auto"/>
                      <w:kern w:val="2"/>
                      <w:sz w:val="18"/>
                      <w:szCs w:val="18"/>
                      <w:lang w:val="en-US" w:eastAsia="zh-CN"/>
                    </w:rPr>
                    <w:t>TSP</w:t>
                  </w:r>
                </w:p>
              </w:tc>
              <w:tc>
                <w:tcPr>
                  <w:tcW w:w="0" w:type="auto"/>
                  <w:tcBorders>
                    <w:tl2br w:val="nil"/>
                    <w:tr2bl w:val="nil"/>
                  </w:tcBorders>
                  <w:vAlign w:val="center"/>
                </w:tcPr>
                <w:p w14:paraId="6472EB9A">
                  <w:pPr>
                    <w:pStyle w:val="220"/>
                    <w:spacing w:line="280" w:lineRule="exact"/>
                    <w:rPr>
                      <w:rFonts w:hint="default" w:ascii="Times New Roman" w:hAnsi="Times New Roman" w:eastAsia="宋体" w:cs="Times New Roman"/>
                      <w:color w:val="auto"/>
                      <w:kern w:val="2"/>
                      <w:sz w:val="18"/>
                      <w:szCs w:val="18"/>
                      <w:lang w:val="en-US" w:eastAsia="zh-CN" w:bidi="ar-SA"/>
                    </w:rPr>
                  </w:pPr>
                  <w:r>
                    <w:rPr>
                      <w:rFonts w:hint="eastAsia" w:eastAsia="宋体" w:cs="Times New Roman"/>
                      <w:color w:val="auto"/>
                      <w:kern w:val="2"/>
                      <w:sz w:val="18"/>
                      <w:szCs w:val="18"/>
                      <w:lang w:val="en-US" w:eastAsia="zh-CN" w:bidi="ar-SA"/>
                    </w:rPr>
                    <w:t>项目区</w:t>
                  </w:r>
                </w:p>
              </w:tc>
              <w:tc>
                <w:tcPr>
                  <w:tcW w:w="0" w:type="auto"/>
                  <w:tcBorders>
                    <w:tl2br w:val="nil"/>
                    <w:tr2bl w:val="nil"/>
                  </w:tcBorders>
                  <w:vAlign w:val="center"/>
                </w:tcPr>
                <w:p w14:paraId="15B1D9F0">
                  <w:pPr>
                    <w:pStyle w:val="220"/>
                    <w:spacing w:line="280" w:lineRule="exact"/>
                    <w:rPr>
                      <w:rFonts w:hint="default" w:ascii="Times New Roman" w:hAnsi="Times New Roman" w:eastAsia="宋体" w:cs="Times New Roman"/>
                      <w:color w:val="auto"/>
                      <w:kern w:val="2"/>
                      <w:sz w:val="18"/>
                      <w:szCs w:val="18"/>
                      <w:lang w:val="en-US" w:eastAsia="zh-CN" w:bidi="ar-SA"/>
                    </w:rPr>
                  </w:pPr>
                  <w:r>
                    <w:rPr>
                      <w:rFonts w:hint="eastAsia" w:eastAsia="宋体"/>
                      <w:color w:val="auto"/>
                      <w:kern w:val="2"/>
                      <w:sz w:val="18"/>
                      <w:szCs w:val="18"/>
                      <w:lang w:val="en-US" w:eastAsia="zh-CN"/>
                    </w:rPr>
                    <w:t>12</w:t>
                  </w:r>
                </w:p>
              </w:tc>
              <w:tc>
                <w:tcPr>
                  <w:tcW w:w="0" w:type="auto"/>
                  <w:tcBorders>
                    <w:tl2br w:val="nil"/>
                    <w:tr2bl w:val="nil"/>
                  </w:tcBorders>
                  <w:vAlign w:val="center"/>
                </w:tcPr>
                <w:p w14:paraId="503E8CBF">
                  <w:pPr>
                    <w:pStyle w:val="220"/>
                    <w:spacing w:line="280" w:lineRule="exact"/>
                    <w:rPr>
                      <w:rFonts w:hint="default" w:ascii="Times New Roman" w:hAnsi="Times New Roman" w:eastAsia="宋体" w:cs="Times New Roman"/>
                      <w:color w:val="auto"/>
                      <w:kern w:val="2"/>
                      <w:sz w:val="18"/>
                      <w:szCs w:val="18"/>
                      <w:lang w:val="en-US" w:eastAsia="zh-CN" w:bidi="ar-SA"/>
                    </w:rPr>
                  </w:pPr>
                  <w:r>
                    <w:rPr>
                      <w:rFonts w:hint="eastAsia" w:eastAsia="宋体"/>
                      <w:color w:val="auto"/>
                      <w:kern w:val="2"/>
                      <w:sz w:val="18"/>
                      <w:szCs w:val="18"/>
                      <w:lang w:val="en-US" w:eastAsia="zh-CN"/>
                    </w:rPr>
                    <w:t>47~79</w:t>
                  </w:r>
                </w:p>
              </w:tc>
              <w:tc>
                <w:tcPr>
                  <w:tcW w:w="0" w:type="auto"/>
                  <w:tcBorders>
                    <w:tl2br w:val="nil"/>
                    <w:tr2bl w:val="nil"/>
                  </w:tcBorders>
                  <w:vAlign w:val="center"/>
                </w:tcPr>
                <w:p w14:paraId="42162195">
                  <w:pPr>
                    <w:pStyle w:val="220"/>
                    <w:spacing w:line="280" w:lineRule="exact"/>
                    <w:rPr>
                      <w:rFonts w:hint="default" w:eastAsia="宋体"/>
                      <w:color w:val="auto"/>
                      <w:kern w:val="2"/>
                      <w:sz w:val="18"/>
                      <w:szCs w:val="18"/>
                      <w:lang w:val="en-US" w:eastAsia="zh-CN"/>
                    </w:rPr>
                  </w:pPr>
                  <w:r>
                    <w:rPr>
                      <w:rFonts w:hint="eastAsia" w:eastAsia="宋体"/>
                      <w:color w:val="auto"/>
                      <w:kern w:val="2"/>
                      <w:sz w:val="18"/>
                      <w:szCs w:val="18"/>
                      <w:lang w:val="en-US" w:eastAsia="zh-CN"/>
                    </w:rPr>
                    <w:t>300</w:t>
                  </w:r>
                </w:p>
              </w:tc>
              <w:tc>
                <w:tcPr>
                  <w:tcW w:w="0" w:type="auto"/>
                  <w:tcBorders>
                    <w:tl2br w:val="nil"/>
                    <w:tr2bl w:val="nil"/>
                  </w:tcBorders>
                  <w:vAlign w:val="center"/>
                </w:tcPr>
                <w:p w14:paraId="3146F381">
                  <w:pPr>
                    <w:pStyle w:val="220"/>
                    <w:spacing w:line="280" w:lineRule="exact"/>
                    <w:rPr>
                      <w:rFonts w:hint="default" w:ascii="Times New Roman" w:hAnsi="Times New Roman" w:eastAsia="宋体" w:cs="Times New Roman"/>
                      <w:color w:val="auto"/>
                      <w:kern w:val="2"/>
                      <w:sz w:val="18"/>
                      <w:szCs w:val="18"/>
                      <w:lang w:val="en-US" w:eastAsia="zh-CN" w:bidi="ar-SA"/>
                    </w:rPr>
                  </w:pPr>
                  <w:r>
                    <w:rPr>
                      <w:rFonts w:hint="eastAsia" w:eastAsia="宋体" w:cs="Times New Roman"/>
                      <w:color w:val="auto"/>
                      <w:kern w:val="2"/>
                      <w:sz w:val="18"/>
                      <w:szCs w:val="18"/>
                      <w:lang w:val="en-US" w:eastAsia="zh-CN" w:bidi="ar-SA"/>
                    </w:rPr>
                    <w:t>26.33</w:t>
                  </w:r>
                </w:p>
              </w:tc>
              <w:tc>
                <w:tcPr>
                  <w:tcW w:w="0" w:type="auto"/>
                  <w:tcBorders>
                    <w:tl2br w:val="nil"/>
                    <w:tr2bl w:val="nil"/>
                  </w:tcBorders>
                  <w:vAlign w:val="center"/>
                </w:tcPr>
                <w:p w14:paraId="5CC7EB36">
                  <w:pPr>
                    <w:pStyle w:val="220"/>
                    <w:spacing w:line="280" w:lineRule="exact"/>
                    <w:rPr>
                      <w:rFonts w:hint="default" w:ascii="Times New Roman" w:hAnsi="Times New Roman" w:eastAsia="宋体" w:cs="Times New Roman"/>
                      <w:color w:val="auto"/>
                      <w:kern w:val="2"/>
                      <w:sz w:val="18"/>
                      <w:szCs w:val="18"/>
                      <w:lang w:val="en-US" w:eastAsia="zh-CN" w:bidi="ar-SA"/>
                    </w:rPr>
                  </w:pPr>
                  <w:r>
                    <w:rPr>
                      <w:rFonts w:hint="eastAsia" w:eastAsia="宋体" w:cs="Times New Roman"/>
                      <w:color w:val="auto"/>
                      <w:kern w:val="2"/>
                      <w:sz w:val="18"/>
                      <w:szCs w:val="18"/>
                      <w:lang w:val="en-US" w:eastAsia="zh-CN" w:bidi="ar-SA"/>
                    </w:rPr>
                    <w:t>0</w:t>
                  </w:r>
                </w:p>
              </w:tc>
              <w:tc>
                <w:tcPr>
                  <w:tcW w:w="0" w:type="auto"/>
                  <w:tcBorders>
                    <w:tl2br w:val="nil"/>
                    <w:tr2bl w:val="nil"/>
                  </w:tcBorders>
                  <w:vAlign w:val="center"/>
                </w:tcPr>
                <w:p w14:paraId="68883B4B">
                  <w:pPr>
                    <w:pStyle w:val="220"/>
                    <w:spacing w:line="280" w:lineRule="exact"/>
                    <w:rPr>
                      <w:rFonts w:hint="default" w:ascii="Times New Roman" w:hAnsi="Times New Roman" w:eastAsia="宋体" w:cs="Times New Roman"/>
                      <w:color w:val="auto"/>
                      <w:kern w:val="2"/>
                      <w:sz w:val="18"/>
                      <w:szCs w:val="18"/>
                      <w:lang w:val="en-US" w:eastAsia="zh-CN" w:bidi="ar-SA"/>
                    </w:rPr>
                  </w:pPr>
                  <w:r>
                    <w:rPr>
                      <w:rFonts w:hint="eastAsia" w:eastAsia="宋体" w:cs="Times New Roman"/>
                      <w:color w:val="auto"/>
                      <w:kern w:val="2"/>
                      <w:sz w:val="18"/>
                      <w:szCs w:val="18"/>
                      <w:lang w:val="en-US" w:eastAsia="zh-CN" w:bidi="ar-SA"/>
                    </w:rPr>
                    <w:t>0</w:t>
                  </w:r>
                </w:p>
              </w:tc>
            </w:tr>
            <w:tr w14:paraId="7AD266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0" w:type="auto"/>
                  <w:tcBorders>
                    <w:tl2br w:val="nil"/>
                    <w:tr2bl w:val="nil"/>
                  </w:tcBorders>
                  <w:vAlign w:val="center"/>
                </w:tcPr>
                <w:p w14:paraId="624C1449">
                  <w:pPr>
                    <w:pStyle w:val="220"/>
                    <w:spacing w:line="280" w:lineRule="exact"/>
                    <w:rPr>
                      <w:rFonts w:hint="eastAsia" w:eastAsia="宋体"/>
                      <w:color w:val="auto"/>
                      <w:kern w:val="2"/>
                      <w:sz w:val="18"/>
                      <w:szCs w:val="18"/>
                      <w:lang w:val="en-US" w:eastAsia="zh-CN"/>
                    </w:rPr>
                  </w:pPr>
                  <w:r>
                    <w:rPr>
                      <w:rFonts w:hint="eastAsia" w:eastAsia="宋体"/>
                      <w:color w:val="auto"/>
                      <w:kern w:val="2"/>
                      <w:sz w:val="18"/>
                      <w:szCs w:val="18"/>
                      <w:lang w:val="en-US" w:eastAsia="zh-CN"/>
                    </w:rPr>
                    <w:t>苯并[a]芘</w:t>
                  </w:r>
                </w:p>
              </w:tc>
              <w:tc>
                <w:tcPr>
                  <w:tcW w:w="0" w:type="auto"/>
                  <w:tcBorders>
                    <w:tl2br w:val="nil"/>
                    <w:tr2bl w:val="nil"/>
                  </w:tcBorders>
                  <w:vAlign w:val="center"/>
                </w:tcPr>
                <w:p w14:paraId="49251A13">
                  <w:pPr>
                    <w:pStyle w:val="220"/>
                    <w:spacing w:line="280" w:lineRule="exact"/>
                    <w:rPr>
                      <w:rFonts w:hint="eastAsia" w:eastAsia="宋体"/>
                      <w:color w:val="auto"/>
                      <w:kern w:val="2"/>
                      <w:sz w:val="18"/>
                      <w:szCs w:val="18"/>
                      <w:lang w:val="en-US" w:eastAsia="zh-CN"/>
                    </w:rPr>
                  </w:pPr>
                  <w:r>
                    <w:rPr>
                      <w:rFonts w:hint="eastAsia" w:eastAsia="宋体"/>
                      <w:color w:val="auto"/>
                      <w:kern w:val="2"/>
                      <w:sz w:val="18"/>
                      <w:szCs w:val="18"/>
                      <w:lang w:val="en-US" w:eastAsia="zh-CN"/>
                    </w:rPr>
                    <w:t>厂区北侧居民区</w:t>
                  </w:r>
                </w:p>
              </w:tc>
              <w:tc>
                <w:tcPr>
                  <w:tcW w:w="0" w:type="auto"/>
                  <w:tcBorders>
                    <w:tl2br w:val="nil"/>
                    <w:tr2bl w:val="nil"/>
                  </w:tcBorders>
                  <w:vAlign w:val="center"/>
                </w:tcPr>
                <w:p w14:paraId="4A09091B">
                  <w:pPr>
                    <w:pStyle w:val="220"/>
                    <w:spacing w:line="280" w:lineRule="exact"/>
                    <w:rPr>
                      <w:rFonts w:hint="default" w:eastAsia="宋体"/>
                      <w:color w:val="auto"/>
                      <w:kern w:val="2"/>
                      <w:sz w:val="18"/>
                      <w:szCs w:val="18"/>
                      <w:lang w:val="en-US" w:eastAsia="zh-CN"/>
                    </w:rPr>
                  </w:pPr>
                  <w:r>
                    <w:rPr>
                      <w:rFonts w:hint="eastAsia" w:eastAsia="宋体"/>
                      <w:color w:val="auto"/>
                      <w:kern w:val="2"/>
                      <w:sz w:val="18"/>
                      <w:szCs w:val="18"/>
                      <w:lang w:val="en-US" w:eastAsia="zh-CN"/>
                    </w:rPr>
                    <w:t>12</w:t>
                  </w:r>
                </w:p>
              </w:tc>
              <w:tc>
                <w:tcPr>
                  <w:tcW w:w="0" w:type="auto"/>
                  <w:tcBorders>
                    <w:tl2br w:val="nil"/>
                    <w:tr2bl w:val="nil"/>
                  </w:tcBorders>
                  <w:vAlign w:val="center"/>
                </w:tcPr>
                <w:p w14:paraId="06C2AA64">
                  <w:pPr>
                    <w:pStyle w:val="220"/>
                    <w:spacing w:line="280" w:lineRule="exact"/>
                    <w:rPr>
                      <w:rFonts w:hint="default" w:eastAsia="宋体"/>
                      <w:color w:val="auto"/>
                      <w:kern w:val="2"/>
                      <w:sz w:val="18"/>
                      <w:szCs w:val="18"/>
                      <w:lang w:val="en-US" w:eastAsia="zh-CN"/>
                    </w:rPr>
                  </w:pPr>
                  <w:r>
                    <w:rPr>
                      <w:rFonts w:hint="eastAsia" w:eastAsia="宋体"/>
                      <w:color w:val="auto"/>
                      <w:kern w:val="2"/>
                      <w:sz w:val="18"/>
                      <w:szCs w:val="18"/>
                      <w:lang w:val="en-US" w:eastAsia="zh-CN"/>
                    </w:rPr>
                    <w:t>0.0002~0.0003</w:t>
                  </w:r>
                </w:p>
              </w:tc>
              <w:tc>
                <w:tcPr>
                  <w:tcW w:w="0" w:type="auto"/>
                  <w:tcBorders>
                    <w:tl2br w:val="nil"/>
                    <w:tr2bl w:val="nil"/>
                  </w:tcBorders>
                  <w:shd w:val="clear" w:color="auto" w:fill="auto"/>
                  <w:vAlign w:val="center"/>
                </w:tcPr>
                <w:p w14:paraId="3F7DEB8D">
                  <w:pPr>
                    <w:pStyle w:val="220"/>
                    <w:spacing w:line="280" w:lineRule="exact"/>
                    <w:rPr>
                      <w:rFonts w:hint="eastAsia" w:ascii="Times New Roman" w:hAnsi="Times New Roman" w:eastAsia="宋体" w:cs="Times New Roman"/>
                      <w:color w:val="auto"/>
                      <w:kern w:val="2"/>
                      <w:sz w:val="18"/>
                      <w:szCs w:val="18"/>
                      <w:lang w:val="en-US" w:eastAsia="zh-CN" w:bidi="ar-SA"/>
                    </w:rPr>
                  </w:pPr>
                  <w:r>
                    <w:rPr>
                      <w:rFonts w:hint="eastAsia" w:eastAsia="宋体"/>
                      <w:color w:val="auto"/>
                      <w:kern w:val="2"/>
                      <w:sz w:val="18"/>
                      <w:szCs w:val="18"/>
                      <w:lang w:val="en-US" w:eastAsia="zh-CN"/>
                    </w:rPr>
                    <w:t>0.0025</w:t>
                  </w:r>
                </w:p>
              </w:tc>
              <w:tc>
                <w:tcPr>
                  <w:tcW w:w="0" w:type="auto"/>
                  <w:tcBorders>
                    <w:tl2br w:val="nil"/>
                    <w:tr2bl w:val="nil"/>
                  </w:tcBorders>
                  <w:shd w:val="clear" w:color="auto" w:fill="auto"/>
                  <w:vAlign w:val="center"/>
                </w:tcPr>
                <w:p w14:paraId="34F2B517">
                  <w:pPr>
                    <w:pStyle w:val="220"/>
                    <w:spacing w:line="280" w:lineRule="exact"/>
                    <w:rPr>
                      <w:rFonts w:hint="default" w:ascii="Times New Roman" w:hAnsi="Times New Roman" w:eastAsia="宋体" w:cs="Times New Roman"/>
                      <w:color w:val="auto"/>
                      <w:kern w:val="2"/>
                      <w:sz w:val="18"/>
                      <w:szCs w:val="18"/>
                      <w:lang w:val="en-US" w:eastAsia="zh-CN" w:bidi="ar-SA"/>
                    </w:rPr>
                  </w:pPr>
                  <w:r>
                    <w:rPr>
                      <w:rFonts w:hint="eastAsia" w:eastAsia="宋体"/>
                      <w:color w:val="auto"/>
                      <w:kern w:val="2"/>
                      <w:sz w:val="18"/>
                      <w:szCs w:val="18"/>
                      <w:lang w:val="en-US" w:eastAsia="zh-CN"/>
                    </w:rPr>
                    <w:t>12.0</w:t>
                  </w:r>
                </w:p>
              </w:tc>
              <w:tc>
                <w:tcPr>
                  <w:tcW w:w="0" w:type="auto"/>
                  <w:tcBorders>
                    <w:tl2br w:val="nil"/>
                    <w:tr2bl w:val="nil"/>
                  </w:tcBorders>
                  <w:shd w:val="clear" w:color="auto" w:fill="auto"/>
                  <w:vAlign w:val="center"/>
                </w:tcPr>
                <w:p w14:paraId="75E43AE6">
                  <w:pPr>
                    <w:pStyle w:val="220"/>
                    <w:spacing w:line="280" w:lineRule="exact"/>
                    <w:rPr>
                      <w:rFonts w:hint="eastAsia" w:ascii="Times New Roman" w:hAnsi="Times New Roman" w:eastAsia="宋体" w:cs="Times New Roman"/>
                      <w:color w:val="auto"/>
                      <w:kern w:val="2"/>
                      <w:sz w:val="18"/>
                      <w:szCs w:val="18"/>
                      <w:lang w:val="en-US" w:eastAsia="zh-CN" w:bidi="ar-SA"/>
                    </w:rPr>
                  </w:pPr>
                  <w:r>
                    <w:rPr>
                      <w:rFonts w:hint="eastAsia" w:eastAsia="宋体"/>
                      <w:color w:val="auto"/>
                      <w:kern w:val="2"/>
                      <w:sz w:val="18"/>
                      <w:szCs w:val="18"/>
                      <w:lang w:val="en-US" w:eastAsia="zh-CN"/>
                    </w:rPr>
                    <w:t>0</w:t>
                  </w:r>
                </w:p>
              </w:tc>
              <w:tc>
                <w:tcPr>
                  <w:tcW w:w="0" w:type="auto"/>
                  <w:tcBorders>
                    <w:tl2br w:val="nil"/>
                    <w:tr2bl w:val="nil"/>
                  </w:tcBorders>
                  <w:shd w:val="clear" w:color="auto" w:fill="auto"/>
                  <w:vAlign w:val="center"/>
                </w:tcPr>
                <w:p w14:paraId="2321499E">
                  <w:pPr>
                    <w:pStyle w:val="220"/>
                    <w:spacing w:line="280" w:lineRule="exact"/>
                    <w:rPr>
                      <w:rFonts w:hint="eastAsia" w:ascii="Times New Roman" w:hAnsi="Times New Roman" w:eastAsia="宋体" w:cs="Times New Roman"/>
                      <w:color w:val="auto"/>
                      <w:kern w:val="2"/>
                      <w:sz w:val="18"/>
                      <w:szCs w:val="18"/>
                      <w:lang w:val="en-US" w:eastAsia="zh-CN" w:bidi="ar-SA"/>
                    </w:rPr>
                  </w:pPr>
                  <w:r>
                    <w:rPr>
                      <w:rFonts w:hint="eastAsia" w:eastAsia="宋体"/>
                      <w:color w:val="auto"/>
                      <w:kern w:val="2"/>
                      <w:sz w:val="18"/>
                      <w:szCs w:val="18"/>
                      <w:lang w:val="en-US" w:eastAsia="zh-CN"/>
                    </w:rPr>
                    <w:t>0</w:t>
                  </w:r>
                </w:p>
              </w:tc>
            </w:tr>
          </w:tbl>
          <w:p w14:paraId="12CB1BC3">
            <w:pPr>
              <w:spacing w:line="360" w:lineRule="auto"/>
              <w:ind w:firstLine="420" w:firstLineChars="200"/>
              <w:rPr>
                <w:rFonts w:hint="default"/>
                <w:color w:val="auto"/>
                <w:lang w:val="en-US" w:eastAsia="zh-CN"/>
              </w:rPr>
            </w:pPr>
            <w:r>
              <w:rPr>
                <w:rFonts w:hint="eastAsia"/>
                <w:color w:val="auto"/>
                <w:lang w:val="en-US" w:eastAsia="zh-CN"/>
              </w:rPr>
              <w:t>根据引用监测资料显示，项目所在区域TSP日均浓度范围47~79</w:t>
            </w:r>
            <w:r>
              <w:rPr>
                <w:rFonts w:hint="eastAsia" w:eastAsia="宋体"/>
                <w:color w:val="auto"/>
                <w:kern w:val="2"/>
                <w:sz w:val="21"/>
                <w:szCs w:val="21"/>
                <w:lang w:val="en-US" w:eastAsia="zh-CN"/>
              </w:rPr>
              <w:t>μ</w:t>
            </w:r>
            <w:r>
              <w:rPr>
                <w:rFonts w:eastAsia="宋体"/>
                <w:color w:val="auto"/>
                <w:kern w:val="2"/>
                <w:sz w:val="21"/>
                <w:szCs w:val="21"/>
              </w:rPr>
              <w:t>g/m</w:t>
            </w:r>
            <w:r>
              <w:rPr>
                <w:rFonts w:eastAsia="宋体"/>
                <w:color w:val="auto"/>
                <w:kern w:val="2"/>
                <w:sz w:val="21"/>
                <w:szCs w:val="21"/>
                <w:vertAlign w:val="superscript"/>
              </w:rPr>
              <w:t>3</w:t>
            </w:r>
            <w:r>
              <w:rPr>
                <w:rFonts w:hint="eastAsia"/>
                <w:color w:val="auto"/>
                <w:lang w:val="en-US" w:eastAsia="zh-CN"/>
              </w:rPr>
              <w:t>之间，苯并[a]芘日均浓度范围0.0002~0.0003</w:t>
            </w:r>
            <w:r>
              <w:rPr>
                <w:rFonts w:hint="default" w:ascii="Cambria Math" w:hAnsi="Cambria Math" w:eastAsia="宋体" w:cs="Cambria Math"/>
                <w:color w:val="auto"/>
                <w:kern w:val="2"/>
                <w:sz w:val="21"/>
                <w:szCs w:val="21"/>
                <w:lang w:val="en-US" w:eastAsia="zh-CN"/>
              </w:rPr>
              <w:t>ս</w:t>
            </w:r>
            <w:r>
              <w:rPr>
                <w:rFonts w:eastAsia="宋体"/>
                <w:color w:val="auto"/>
                <w:kern w:val="2"/>
                <w:sz w:val="21"/>
                <w:szCs w:val="21"/>
              </w:rPr>
              <w:t>g/m</w:t>
            </w:r>
            <w:r>
              <w:rPr>
                <w:rFonts w:eastAsia="宋体"/>
                <w:color w:val="auto"/>
                <w:kern w:val="2"/>
                <w:sz w:val="21"/>
                <w:szCs w:val="21"/>
                <w:vertAlign w:val="superscript"/>
              </w:rPr>
              <w:t>3</w:t>
            </w:r>
            <w:r>
              <w:rPr>
                <w:rFonts w:hint="eastAsia"/>
                <w:color w:val="auto"/>
                <w:kern w:val="2"/>
                <w:sz w:val="21"/>
                <w:szCs w:val="21"/>
                <w:vertAlign w:val="superscript"/>
                <w:lang w:eastAsia="zh-CN"/>
              </w:rPr>
              <w:t>之间</w:t>
            </w:r>
            <w:r>
              <w:rPr>
                <w:rFonts w:hint="eastAsia"/>
                <w:color w:val="auto"/>
                <w:lang w:val="en-US" w:eastAsia="zh-CN"/>
              </w:rPr>
              <w:t>，均未超标，满足《环境空气质量标准》（GB3095-2012）中二级标准要求。</w:t>
            </w:r>
          </w:p>
          <w:p w14:paraId="52E3F106">
            <w:pPr>
              <w:spacing w:line="360" w:lineRule="auto"/>
              <w:ind w:firstLine="422" w:firstLineChars="200"/>
              <w:rPr>
                <w:rFonts w:hint="default" w:eastAsia="宋体"/>
                <w:b/>
                <w:bCs/>
                <w:color w:val="auto"/>
                <w:szCs w:val="21"/>
                <w:lang w:val="en-US" w:eastAsia="zh-CN"/>
              </w:rPr>
            </w:pPr>
            <w:r>
              <w:rPr>
                <w:rFonts w:hint="eastAsia"/>
                <w:b/>
                <w:bCs/>
                <w:color w:val="auto"/>
                <w:szCs w:val="21"/>
                <w:lang w:val="en-US" w:eastAsia="zh-CN"/>
              </w:rPr>
              <w:t>3.2地表水环境</w:t>
            </w:r>
          </w:p>
          <w:p w14:paraId="7489492D">
            <w:pPr>
              <w:spacing w:line="360" w:lineRule="auto"/>
              <w:ind w:firstLine="420" w:firstLineChars="200"/>
              <w:rPr>
                <w:color w:val="auto"/>
                <w:szCs w:val="21"/>
              </w:rPr>
            </w:pPr>
            <w:r>
              <w:rPr>
                <w:rFonts w:hint="eastAsia"/>
                <w:color w:val="auto"/>
                <w:szCs w:val="21"/>
              </w:rPr>
              <w:t>本项目地表水环境影响评价等级为三级B，且项目无直接外排废水。根据《环境影响评价技术导则 地表水环境》（HJ2.3-2018），故未进行地表水环境质量现状监测</w:t>
            </w:r>
            <w:r>
              <w:rPr>
                <w:color w:val="auto"/>
                <w:szCs w:val="21"/>
              </w:rPr>
              <w:t>。</w:t>
            </w:r>
          </w:p>
          <w:p w14:paraId="7C621F4C">
            <w:pPr>
              <w:spacing w:line="360" w:lineRule="auto"/>
              <w:ind w:firstLine="422" w:firstLineChars="200"/>
              <w:rPr>
                <w:color w:val="auto"/>
                <w:szCs w:val="21"/>
              </w:rPr>
            </w:pPr>
            <w:r>
              <w:rPr>
                <w:rFonts w:hint="eastAsia"/>
                <w:b/>
                <w:bCs/>
                <w:color w:val="auto"/>
                <w:szCs w:val="21"/>
                <w:lang w:val="en-US" w:eastAsia="zh-CN"/>
              </w:rPr>
              <w:t>3.3</w:t>
            </w:r>
            <w:r>
              <w:rPr>
                <w:b/>
                <w:bCs/>
                <w:color w:val="auto"/>
                <w:szCs w:val="21"/>
              </w:rPr>
              <w:t>声环境</w:t>
            </w:r>
          </w:p>
          <w:p w14:paraId="57B6AC54">
            <w:pPr>
              <w:spacing w:line="360" w:lineRule="auto"/>
              <w:ind w:firstLine="420" w:firstLineChars="200"/>
              <w:rPr>
                <w:color w:val="auto"/>
                <w:szCs w:val="21"/>
              </w:rPr>
            </w:pPr>
            <w:r>
              <w:rPr>
                <w:rFonts w:hint="eastAsia"/>
                <w:color w:val="auto"/>
                <w:szCs w:val="21"/>
                <w:lang w:val="en-US" w:eastAsia="zh-CN"/>
              </w:rPr>
              <w:t>经实地踏勘，本项目选址位于大同市天镇县玉泉镇三里屯村北侧0.85km处，周边均为荒地、空地等，厂址周围50m范围内无声环境敏感目标。根据《建设项目环境影响报告表编制技术指南（污染影响类）（试行）》，故未进行声环境质量现状监测。</w:t>
            </w:r>
          </w:p>
        </w:tc>
      </w:tr>
      <w:tr w14:paraId="79B9C6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63" w:hRule="atLeast"/>
          <w:jc w:val="center"/>
        </w:trPr>
        <w:tc>
          <w:tcPr>
            <w:tcW w:w="800" w:type="dxa"/>
            <w:vAlign w:val="center"/>
          </w:tcPr>
          <w:p w14:paraId="5BF2861D">
            <w:pPr>
              <w:adjustRightInd w:val="0"/>
              <w:snapToGrid w:val="0"/>
              <w:jc w:val="center"/>
              <w:rPr>
                <w:color w:val="auto"/>
                <w:kern w:val="0"/>
                <w:szCs w:val="21"/>
              </w:rPr>
            </w:pPr>
            <w:r>
              <w:rPr>
                <w:color w:val="auto"/>
                <w:kern w:val="0"/>
                <w:szCs w:val="21"/>
              </w:rPr>
              <w:t>环境</w:t>
            </w:r>
          </w:p>
          <w:p w14:paraId="005495AB">
            <w:pPr>
              <w:adjustRightInd w:val="0"/>
              <w:snapToGrid w:val="0"/>
              <w:jc w:val="center"/>
              <w:rPr>
                <w:color w:val="auto"/>
                <w:kern w:val="0"/>
                <w:szCs w:val="21"/>
              </w:rPr>
            </w:pPr>
            <w:r>
              <w:rPr>
                <w:color w:val="auto"/>
                <w:kern w:val="0"/>
                <w:szCs w:val="21"/>
              </w:rPr>
              <w:t>保护</w:t>
            </w:r>
          </w:p>
          <w:p w14:paraId="2C2394A5">
            <w:pPr>
              <w:adjustRightInd w:val="0"/>
              <w:snapToGrid w:val="0"/>
              <w:jc w:val="center"/>
              <w:rPr>
                <w:color w:val="auto"/>
                <w:kern w:val="0"/>
                <w:szCs w:val="21"/>
              </w:rPr>
            </w:pPr>
            <w:r>
              <w:rPr>
                <w:color w:val="auto"/>
                <w:kern w:val="0"/>
                <w:szCs w:val="21"/>
              </w:rPr>
              <w:t>目标</w:t>
            </w:r>
          </w:p>
        </w:tc>
        <w:tc>
          <w:tcPr>
            <w:tcW w:w="8190" w:type="dxa"/>
            <w:vAlign w:val="center"/>
          </w:tcPr>
          <w:p w14:paraId="3B660A2F">
            <w:pPr>
              <w:spacing w:line="360" w:lineRule="auto"/>
              <w:ind w:firstLine="422" w:firstLineChars="200"/>
              <w:rPr>
                <w:rFonts w:hint="eastAsia"/>
                <w:b/>
                <w:bCs/>
                <w:color w:val="auto"/>
                <w:szCs w:val="21"/>
                <w:lang w:val="en-US" w:eastAsia="zh-CN"/>
              </w:rPr>
            </w:pPr>
            <w:r>
              <w:rPr>
                <w:rFonts w:hint="eastAsia"/>
                <w:b/>
                <w:bCs/>
                <w:color w:val="auto"/>
                <w:szCs w:val="21"/>
                <w:lang w:val="en-US" w:eastAsia="zh-CN"/>
              </w:rPr>
              <w:t>3.4大气环境</w:t>
            </w:r>
          </w:p>
          <w:p w14:paraId="5C63EF22">
            <w:pPr>
              <w:spacing w:line="360" w:lineRule="auto"/>
              <w:ind w:firstLine="420" w:firstLineChars="200"/>
              <w:rPr>
                <w:rFonts w:hint="eastAsia"/>
                <w:color w:val="auto"/>
                <w:szCs w:val="21"/>
                <w:lang w:val="en-US" w:eastAsia="zh-CN"/>
              </w:rPr>
            </w:pPr>
            <w:r>
              <w:rPr>
                <w:rFonts w:hint="eastAsia"/>
                <w:color w:val="auto"/>
                <w:szCs w:val="21"/>
                <w:lang w:val="en-US" w:eastAsia="zh-CN"/>
              </w:rPr>
              <w:t>根据调查，项目厂址边界外500m范围内无自然保护区、风景名胜区、居住区、文化区等环境保护目标。主要环境保护目标为周围500m范围内的居民区、村庄等。</w:t>
            </w:r>
          </w:p>
          <w:p w14:paraId="54A0684A">
            <w:pPr>
              <w:spacing w:line="240" w:lineRule="exact"/>
              <w:ind w:firstLine="361" w:firstLineChars="200"/>
              <w:jc w:val="center"/>
              <w:rPr>
                <w:szCs w:val="21"/>
              </w:rPr>
            </w:pPr>
            <w:r>
              <w:rPr>
                <w:b/>
                <w:bCs/>
                <w:sz w:val="18"/>
                <w:szCs w:val="18"/>
              </w:rPr>
              <w:t>表3</w:t>
            </w:r>
            <w:r>
              <w:rPr>
                <w:rFonts w:hint="eastAsia"/>
                <w:b/>
                <w:bCs/>
                <w:sz w:val="18"/>
                <w:szCs w:val="18"/>
                <w:lang w:val="en-US" w:eastAsia="zh-CN"/>
              </w:rPr>
              <w:t>.4</w:t>
            </w:r>
            <w:r>
              <w:rPr>
                <w:b/>
                <w:bCs/>
                <w:sz w:val="18"/>
                <w:szCs w:val="18"/>
              </w:rPr>
              <w:t>-</w:t>
            </w:r>
            <w:r>
              <w:rPr>
                <w:rFonts w:hint="eastAsia"/>
                <w:b/>
                <w:bCs/>
                <w:sz w:val="18"/>
                <w:szCs w:val="18"/>
                <w:lang w:val="en-US" w:eastAsia="zh-CN"/>
              </w:rPr>
              <w:t>1</w:t>
            </w:r>
            <w:r>
              <w:rPr>
                <w:rFonts w:hint="eastAsia"/>
                <w:b/>
                <w:bCs/>
                <w:sz w:val="18"/>
                <w:szCs w:val="18"/>
              </w:rPr>
              <w:t xml:space="preserve"> </w:t>
            </w:r>
            <w:r>
              <w:rPr>
                <w:b/>
                <w:bCs/>
                <w:sz w:val="18"/>
                <w:szCs w:val="18"/>
              </w:rPr>
              <w:t xml:space="preserve">   主要环境保护对象表</w:t>
            </w:r>
          </w:p>
          <w:tbl>
            <w:tblPr>
              <w:tblStyle w:val="4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96"/>
              <w:gridCol w:w="1051"/>
              <w:gridCol w:w="1329"/>
              <w:gridCol w:w="1021"/>
              <w:gridCol w:w="825"/>
              <w:gridCol w:w="795"/>
              <w:gridCol w:w="2327"/>
            </w:tblGrid>
            <w:tr w14:paraId="336ECA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46" w:hRule="atLeast"/>
                <w:jc w:val="center"/>
              </w:trPr>
              <w:tc>
                <w:tcPr>
                  <w:tcW w:w="375" w:type="pct"/>
                  <w:tcBorders>
                    <w:tl2br w:val="nil"/>
                    <w:tr2bl w:val="nil"/>
                  </w:tcBorders>
                  <w:noWrap w:val="0"/>
                  <w:vAlign w:val="center"/>
                </w:tcPr>
                <w:p w14:paraId="20FDAFC5">
                  <w:pPr>
                    <w:jc w:val="center"/>
                    <w:rPr>
                      <w:bCs/>
                      <w:sz w:val="18"/>
                      <w:szCs w:val="18"/>
                    </w:rPr>
                  </w:pPr>
                  <w:r>
                    <w:rPr>
                      <w:bCs/>
                      <w:sz w:val="18"/>
                      <w:szCs w:val="18"/>
                    </w:rPr>
                    <w:t>类别</w:t>
                  </w:r>
                </w:p>
              </w:tc>
              <w:tc>
                <w:tcPr>
                  <w:tcW w:w="661" w:type="pct"/>
                  <w:tcBorders>
                    <w:tl2br w:val="nil"/>
                    <w:tr2bl w:val="nil"/>
                  </w:tcBorders>
                  <w:noWrap w:val="0"/>
                  <w:vAlign w:val="center"/>
                </w:tcPr>
                <w:p w14:paraId="02179C63">
                  <w:pPr>
                    <w:jc w:val="center"/>
                    <w:rPr>
                      <w:bCs/>
                      <w:sz w:val="18"/>
                      <w:szCs w:val="18"/>
                    </w:rPr>
                  </w:pPr>
                  <w:r>
                    <w:rPr>
                      <w:rFonts w:hint="eastAsia"/>
                      <w:bCs/>
                      <w:sz w:val="18"/>
                      <w:szCs w:val="18"/>
                    </w:rPr>
                    <w:t>环境保护目标名称</w:t>
                  </w:r>
                </w:p>
              </w:tc>
              <w:tc>
                <w:tcPr>
                  <w:tcW w:w="836" w:type="pct"/>
                  <w:tcBorders>
                    <w:tl2br w:val="nil"/>
                    <w:tr2bl w:val="nil"/>
                  </w:tcBorders>
                  <w:noWrap w:val="0"/>
                  <w:vAlign w:val="center"/>
                </w:tcPr>
                <w:p w14:paraId="6974A828">
                  <w:pPr>
                    <w:jc w:val="center"/>
                    <w:rPr>
                      <w:bCs/>
                      <w:sz w:val="18"/>
                      <w:szCs w:val="18"/>
                    </w:rPr>
                  </w:pPr>
                  <w:r>
                    <w:rPr>
                      <w:bCs/>
                      <w:sz w:val="18"/>
                      <w:szCs w:val="18"/>
                    </w:rPr>
                    <w:t>说明</w:t>
                  </w:r>
                </w:p>
              </w:tc>
              <w:tc>
                <w:tcPr>
                  <w:tcW w:w="642" w:type="pct"/>
                  <w:tcBorders>
                    <w:tl2br w:val="nil"/>
                    <w:tr2bl w:val="nil"/>
                  </w:tcBorders>
                  <w:noWrap w:val="0"/>
                  <w:vAlign w:val="center"/>
                </w:tcPr>
                <w:p w14:paraId="5014CD57">
                  <w:pPr>
                    <w:jc w:val="center"/>
                    <w:rPr>
                      <w:bCs/>
                      <w:sz w:val="18"/>
                      <w:szCs w:val="18"/>
                    </w:rPr>
                  </w:pPr>
                  <w:r>
                    <w:rPr>
                      <w:bCs/>
                      <w:sz w:val="18"/>
                      <w:szCs w:val="18"/>
                    </w:rPr>
                    <w:t>方位</w:t>
                  </w:r>
                  <w:r>
                    <w:rPr>
                      <w:rFonts w:hint="eastAsia"/>
                      <w:bCs/>
                      <w:sz w:val="18"/>
                      <w:szCs w:val="18"/>
                    </w:rPr>
                    <w:t>，</w:t>
                  </w:r>
                  <w:r>
                    <w:rPr>
                      <w:bCs/>
                      <w:sz w:val="18"/>
                      <w:szCs w:val="18"/>
                    </w:rPr>
                    <w:t>距离</w:t>
                  </w:r>
                </w:p>
              </w:tc>
              <w:tc>
                <w:tcPr>
                  <w:tcW w:w="519" w:type="pct"/>
                  <w:tcBorders>
                    <w:tl2br w:val="nil"/>
                    <w:tr2bl w:val="nil"/>
                  </w:tcBorders>
                  <w:noWrap w:val="0"/>
                  <w:vAlign w:val="center"/>
                </w:tcPr>
                <w:p w14:paraId="44F11519">
                  <w:pPr>
                    <w:widowControl/>
                    <w:jc w:val="center"/>
                    <w:rPr>
                      <w:bCs/>
                      <w:sz w:val="18"/>
                      <w:szCs w:val="18"/>
                    </w:rPr>
                  </w:pPr>
                  <w:r>
                    <w:rPr>
                      <w:bCs/>
                      <w:sz w:val="18"/>
                      <w:szCs w:val="18"/>
                    </w:rPr>
                    <w:t>规模</w:t>
                  </w:r>
                </w:p>
              </w:tc>
              <w:tc>
                <w:tcPr>
                  <w:tcW w:w="500" w:type="pct"/>
                  <w:tcBorders>
                    <w:tl2br w:val="nil"/>
                    <w:tr2bl w:val="nil"/>
                  </w:tcBorders>
                  <w:noWrap w:val="0"/>
                  <w:vAlign w:val="center"/>
                </w:tcPr>
                <w:p w14:paraId="1C356C2A">
                  <w:pPr>
                    <w:jc w:val="center"/>
                    <w:rPr>
                      <w:bCs/>
                      <w:sz w:val="18"/>
                      <w:szCs w:val="18"/>
                    </w:rPr>
                  </w:pPr>
                  <w:r>
                    <w:rPr>
                      <w:bCs/>
                      <w:sz w:val="18"/>
                      <w:szCs w:val="18"/>
                    </w:rPr>
                    <w:t>主要保护对象</w:t>
                  </w:r>
                </w:p>
              </w:tc>
              <w:tc>
                <w:tcPr>
                  <w:tcW w:w="1464" w:type="pct"/>
                  <w:tcBorders>
                    <w:tl2br w:val="nil"/>
                    <w:tr2bl w:val="nil"/>
                  </w:tcBorders>
                  <w:noWrap w:val="0"/>
                  <w:vAlign w:val="center"/>
                </w:tcPr>
                <w:p w14:paraId="527DDE9F">
                  <w:pPr>
                    <w:jc w:val="center"/>
                    <w:rPr>
                      <w:bCs/>
                      <w:sz w:val="18"/>
                      <w:szCs w:val="18"/>
                    </w:rPr>
                  </w:pPr>
                  <w:r>
                    <w:rPr>
                      <w:rFonts w:hint="eastAsia"/>
                      <w:bCs/>
                      <w:sz w:val="18"/>
                      <w:szCs w:val="18"/>
                      <w:lang w:eastAsia="zh-CN"/>
                    </w:rPr>
                    <w:t>环境</w:t>
                  </w:r>
                  <w:r>
                    <w:rPr>
                      <w:rFonts w:hint="eastAsia"/>
                      <w:bCs/>
                      <w:sz w:val="18"/>
                      <w:szCs w:val="18"/>
                    </w:rPr>
                    <w:t>功能</w:t>
                  </w:r>
                  <w:r>
                    <w:rPr>
                      <w:bCs/>
                      <w:sz w:val="18"/>
                      <w:szCs w:val="18"/>
                    </w:rPr>
                    <w:t>分区</w:t>
                  </w:r>
                </w:p>
              </w:tc>
            </w:tr>
            <w:tr w14:paraId="3C44C5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46" w:hRule="atLeast"/>
                <w:jc w:val="center"/>
              </w:trPr>
              <w:tc>
                <w:tcPr>
                  <w:tcW w:w="375" w:type="pct"/>
                  <w:vMerge w:val="restart"/>
                  <w:tcBorders>
                    <w:tl2br w:val="nil"/>
                    <w:tr2bl w:val="nil"/>
                  </w:tcBorders>
                  <w:noWrap w:val="0"/>
                  <w:vAlign w:val="center"/>
                </w:tcPr>
                <w:p w14:paraId="4073294F">
                  <w:pPr>
                    <w:ind w:left="-15" w:leftChars="-49" w:right="-88" w:rightChars="-42" w:hanging="88" w:hangingChars="49"/>
                    <w:jc w:val="center"/>
                    <w:rPr>
                      <w:bCs/>
                      <w:sz w:val="18"/>
                      <w:szCs w:val="18"/>
                    </w:rPr>
                  </w:pPr>
                  <w:r>
                    <w:rPr>
                      <w:rFonts w:hint="eastAsia"/>
                      <w:bCs/>
                      <w:sz w:val="18"/>
                      <w:szCs w:val="18"/>
                    </w:rPr>
                    <w:t>大</w:t>
                  </w:r>
                  <w:r>
                    <w:rPr>
                      <w:bCs/>
                      <w:sz w:val="18"/>
                      <w:szCs w:val="18"/>
                    </w:rPr>
                    <w:t>气</w:t>
                  </w:r>
                </w:p>
                <w:p w14:paraId="54E85C08">
                  <w:pPr>
                    <w:ind w:left="-15" w:leftChars="-49" w:right="-88" w:rightChars="-42" w:hanging="88" w:hangingChars="49"/>
                    <w:jc w:val="center"/>
                    <w:rPr>
                      <w:bCs/>
                      <w:sz w:val="18"/>
                      <w:szCs w:val="18"/>
                    </w:rPr>
                  </w:pPr>
                  <w:r>
                    <w:rPr>
                      <w:bCs/>
                      <w:sz w:val="18"/>
                      <w:szCs w:val="18"/>
                    </w:rPr>
                    <w:t>环境</w:t>
                  </w:r>
                </w:p>
              </w:tc>
              <w:tc>
                <w:tcPr>
                  <w:tcW w:w="661" w:type="pct"/>
                  <w:tcBorders>
                    <w:tl2br w:val="nil"/>
                    <w:tr2bl w:val="nil"/>
                  </w:tcBorders>
                  <w:noWrap w:val="0"/>
                  <w:vAlign w:val="center"/>
                </w:tcPr>
                <w:p w14:paraId="524483BA">
                  <w:pPr>
                    <w:ind w:left="-15" w:leftChars="-49" w:right="-88" w:rightChars="-42" w:hanging="88" w:hangingChars="49"/>
                    <w:jc w:val="center"/>
                    <w:rPr>
                      <w:rFonts w:hint="eastAsia"/>
                      <w:bCs/>
                      <w:sz w:val="18"/>
                      <w:szCs w:val="18"/>
                    </w:rPr>
                  </w:pPr>
                  <w:r>
                    <w:rPr>
                      <w:rFonts w:hint="eastAsia"/>
                      <w:bCs/>
                      <w:sz w:val="18"/>
                      <w:szCs w:val="18"/>
                      <w:lang w:eastAsia="zh-CN"/>
                    </w:rPr>
                    <w:t>居民区</w:t>
                  </w:r>
                </w:p>
              </w:tc>
              <w:tc>
                <w:tcPr>
                  <w:tcW w:w="836" w:type="pct"/>
                  <w:vMerge w:val="restart"/>
                  <w:tcBorders>
                    <w:tl2br w:val="nil"/>
                    <w:tr2bl w:val="nil"/>
                  </w:tcBorders>
                  <w:noWrap w:val="0"/>
                  <w:vAlign w:val="center"/>
                </w:tcPr>
                <w:p w14:paraId="7ACF1C96">
                  <w:pPr>
                    <w:ind w:left="-15" w:leftChars="-49" w:right="-88" w:rightChars="-42" w:hanging="88" w:hangingChars="49"/>
                    <w:jc w:val="center"/>
                    <w:rPr>
                      <w:rFonts w:hint="eastAsia" w:eastAsia="宋体"/>
                      <w:bCs/>
                      <w:sz w:val="18"/>
                      <w:szCs w:val="18"/>
                      <w:lang w:eastAsia="zh-CN"/>
                    </w:rPr>
                  </w:pPr>
                  <w:r>
                    <w:rPr>
                      <w:rFonts w:hint="eastAsia"/>
                      <w:bCs/>
                      <w:sz w:val="18"/>
                      <w:szCs w:val="18"/>
                      <w:lang w:eastAsia="zh-CN"/>
                    </w:rPr>
                    <w:t>项目厂界与敏感点距离（人口为厂界外</w:t>
                  </w:r>
                  <w:r>
                    <w:rPr>
                      <w:rFonts w:hint="eastAsia"/>
                      <w:bCs/>
                      <w:sz w:val="18"/>
                      <w:szCs w:val="18"/>
                      <w:lang w:val="en-US" w:eastAsia="zh-CN"/>
                    </w:rPr>
                    <w:t>500m范围内</w:t>
                  </w:r>
                  <w:r>
                    <w:rPr>
                      <w:rFonts w:hint="eastAsia"/>
                      <w:bCs/>
                      <w:sz w:val="18"/>
                      <w:szCs w:val="18"/>
                      <w:lang w:eastAsia="zh-CN"/>
                    </w:rPr>
                    <w:t>）</w:t>
                  </w:r>
                </w:p>
              </w:tc>
              <w:tc>
                <w:tcPr>
                  <w:tcW w:w="642" w:type="pct"/>
                  <w:tcBorders>
                    <w:tl2br w:val="nil"/>
                    <w:tr2bl w:val="nil"/>
                  </w:tcBorders>
                  <w:noWrap w:val="0"/>
                  <w:vAlign w:val="center"/>
                </w:tcPr>
                <w:p w14:paraId="2D3272AD">
                  <w:pPr>
                    <w:ind w:left="-15" w:leftChars="-49" w:right="-88" w:rightChars="-42" w:hanging="88" w:hangingChars="49"/>
                    <w:jc w:val="center"/>
                    <w:rPr>
                      <w:rFonts w:hint="eastAsia"/>
                      <w:bCs/>
                      <w:sz w:val="18"/>
                      <w:szCs w:val="18"/>
                    </w:rPr>
                  </w:pPr>
                  <w:r>
                    <w:rPr>
                      <w:rFonts w:hint="eastAsia"/>
                      <w:bCs/>
                      <w:sz w:val="18"/>
                      <w:szCs w:val="18"/>
                      <w:lang w:val="en-US" w:eastAsia="zh-CN"/>
                    </w:rPr>
                    <w:t>N</w:t>
                  </w:r>
                  <w:r>
                    <w:rPr>
                      <w:rFonts w:hint="eastAsia"/>
                      <w:bCs/>
                      <w:sz w:val="18"/>
                      <w:szCs w:val="18"/>
                    </w:rPr>
                    <w:t>，</w:t>
                  </w:r>
                  <w:r>
                    <w:rPr>
                      <w:rFonts w:hint="eastAsia"/>
                      <w:bCs/>
                      <w:sz w:val="18"/>
                      <w:szCs w:val="18"/>
                      <w:lang w:val="en-US" w:eastAsia="zh-CN"/>
                    </w:rPr>
                    <w:t>0.35</w:t>
                  </w:r>
                  <w:r>
                    <w:rPr>
                      <w:rFonts w:hint="eastAsia"/>
                      <w:bCs/>
                      <w:sz w:val="18"/>
                      <w:szCs w:val="18"/>
                    </w:rPr>
                    <w:t>km</w:t>
                  </w:r>
                </w:p>
              </w:tc>
              <w:tc>
                <w:tcPr>
                  <w:tcW w:w="519" w:type="pct"/>
                  <w:tcBorders>
                    <w:tl2br w:val="nil"/>
                    <w:tr2bl w:val="nil"/>
                  </w:tcBorders>
                  <w:noWrap w:val="0"/>
                  <w:vAlign w:val="center"/>
                </w:tcPr>
                <w:p w14:paraId="6CA02533">
                  <w:pPr>
                    <w:ind w:left="-15" w:leftChars="-49" w:right="-88" w:rightChars="-42" w:hanging="88" w:hangingChars="49"/>
                    <w:jc w:val="center"/>
                    <w:rPr>
                      <w:bCs/>
                      <w:sz w:val="18"/>
                      <w:szCs w:val="18"/>
                    </w:rPr>
                  </w:pPr>
                  <w:r>
                    <w:rPr>
                      <w:rFonts w:hint="eastAsia"/>
                      <w:bCs/>
                      <w:sz w:val="18"/>
                      <w:szCs w:val="18"/>
                    </w:rPr>
                    <w:t>812人</w:t>
                  </w:r>
                </w:p>
              </w:tc>
              <w:tc>
                <w:tcPr>
                  <w:tcW w:w="500" w:type="pct"/>
                  <w:vMerge w:val="restart"/>
                  <w:tcBorders>
                    <w:tl2br w:val="nil"/>
                    <w:tr2bl w:val="nil"/>
                  </w:tcBorders>
                  <w:noWrap w:val="0"/>
                  <w:vAlign w:val="center"/>
                </w:tcPr>
                <w:p w14:paraId="0800E0FD">
                  <w:pPr>
                    <w:ind w:right="-88" w:rightChars="-42"/>
                    <w:jc w:val="center"/>
                    <w:rPr>
                      <w:bCs/>
                      <w:sz w:val="18"/>
                      <w:szCs w:val="18"/>
                    </w:rPr>
                  </w:pPr>
                  <w:r>
                    <w:rPr>
                      <w:bCs/>
                      <w:sz w:val="18"/>
                      <w:szCs w:val="18"/>
                    </w:rPr>
                    <w:t>村庄</w:t>
                  </w:r>
                </w:p>
                <w:p w14:paraId="14202190">
                  <w:pPr>
                    <w:ind w:right="-88" w:rightChars="-42"/>
                    <w:jc w:val="center"/>
                    <w:rPr>
                      <w:bCs/>
                      <w:sz w:val="18"/>
                      <w:szCs w:val="18"/>
                    </w:rPr>
                  </w:pPr>
                  <w:r>
                    <w:rPr>
                      <w:bCs/>
                      <w:sz w:val="18"/>
                      <w:szCs w:val="18"/>
                    </w:rPr>
                    <w:t>居民</w:t>
                  </w:r>
                </w:p>
              </w:tc>
              <w:tc>
                <w:tcPr>
                  <w:tcW w:w="1464" w:type="pct"/>
                  <w:vMerge w:val="restart"/>
                  <w:tcBorders>
                    <w:tl2br w:val="nil"/>
                    <w:tr2bl w:val="nil"/>
                  </w:tcBorders>
                  <w:noWrap w:val="0"/>
                  <w:tcMar>
                    <w:left w:w="57" w:type="dxa"/>
                    <w:right w:w="57" w:type="dxa"/>
                  </w:tcMar>
                  <w:vAlign w:val="center"/>
                </w:tcPr>
                <w:p w14:paraId="6C43521C">
                  <w:pPr>
                    <w:jc w:val="center"/>
                    <w:rPr>
                      <w:bCs/>
                      <w:sz w:val="18"/>
                      <w:szCs w:val="18"/>
                    </w:rPr>
                  </w:pPr>
                  <w:r>
                    <w:rPr>
                      <w:bCs/>
                      <w:sz w:val="18"/>
                      <w:szCs w:val="18"/>
                    </w:rPr>
                    <w:t>《环境空气质量标准》（DB13/1577－2012）二级</w:t>
                  </w:r>
                </w:p>
              </w:tc>
            </w:tr>
            <w:tr w14:paraId="30F0C8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46" w:hRule="atLeast"/>
                <w:jc w:val="center"/>
              </w:trPr>
              <w:tc>
                <w:tcPr>
                  <w:tcW w:w="375" w:type="pct"/>
                  <w:vMerge w:val="continue"/>
                  <w:tcBorders>
                    <w:tl2br w:val="nil"/>
                    <w:tr2bl w:val="nil"/>
                  </w:tcBorders>
                  <w:noWrap w:val="0"/>
                  <w:vAlign w:val="center"/>
                </w:tcPr>
                <w:p w14:paraId="58C2A75E">
                  <w:pPr>
                    <w:ind w:left="-15" w:leftChars="-49" w:right="-88" w:rightChars="-42" w:hanging="88" w:hangingChars="49"/>
                    <w:jc w:val="center"/>
                    <w:rPr>
                      <w:rFonts w:hint="eastAsia"/>
                      <w:bCs/>
                      <w:sz w:val="18"/>
                      <w:szCs w:val="18"/>
                    </w:rPr>
                  </w:pPr>
                </w:p>
              </w:tc>
              <w:tc>
                <w:tcPr>
                  <w:tcW w:w="661" w:type="pct"/>
                  <w:tcBorders>
                    <w:tl2br w:val="nil"/>
                    <w:tr2bl w:val="nil"/>
                  </w:tcBorders>
                  <w:noWrap w:val="0"/>
                  <w:vAlign w:val="center"/>
                </w:tcPr>
                <w:p w14:paraId="4DED260D">
                  <w:pPr>
                    <w:ind w:left="-15" w:leftChars="-49" w:right="-88" w:rightChars="-42" w:hanging="88" w:hangingChars="49"/>
                    <w:jc w:val="center"/>
                    <w:rPr>
                      <w:rFonts w:hint="eastAsia"/>
                      <w:bCs/>
                      <w:sz w:val="18"/>
                      <w:szCs w:val="18"/>
                    </w:rPr>
                  </w:pPr>
                  <w:r>
                    <w:rPr>
                      <w:rFonts w:hint="eastAsia"/>
                      <w:bCs/>
                      <w:sz w:val="18"/>
                      <w:szCs w:val="18"/>
                      <w:lang w:eastAsia="zh-CN"/>
                    </w:rPr>
                    <w:t>居民区</w:t>
                  </w:r>
                </w:p>
              </w:tc>
              <w:tc>
                <w:tcPr>
                  <w:tcW w:w="836" w:type="pct"/>
                  <w:vMerge w:val="continue"/>
                  <w:tcBorders>
                    <w:tl2br w:val="nil"/>
                    <w:tr2bl w:val="nil"/>
                  </w:tcBorders>
                  <w:noWrap w:val="0"/>
                  <w:vAlign w:val="center"/>
                </w:tcPr>
                <w:p w14:paraId="1F7F3752">
                  <w:pPr>
                    <w:ind w:left="-15" w:leftChars="-49" w:right="-88" w:rightChars="-42" w:hanging="88" w:hangingChars="49"/>
                    <w:jc w:val="center"/>
                    <w:rPr>
                      <w:rFonts w:hint="eastAsia"/>
                      <w:bCs/>
                      <w:sz w:val="18"/>
                      <w:szCs w:val="18"/>
                    </w:rPr>
                  </w:pPr>
                </w:p>
              </w:tc>
              <w:tc>
                <w:tcPr>
                  <w:tcW w:w="642" w:type="pct"/>
                  <w:tcBorders>
                    <w:tl2br w:val="nil"/>
                    <w:tr2bl w:val="nil"/>
                  </w:tcBorders>
                  <w:noWrap w:val="0"/>
                  <w:vAlign w:val="center"/>
                </w:tcPr>
                <w:p w14:paraId="6BF4362B">
                  <w:pPr>
                    <w:ind w:left="-15" w:leftChars="-49" w:right="-88" w:rightChars="-42" w:hanging="88" w:hangingChars="49"/>
                    <w:jc w:val="center"/>
                    <w:rPr>
                      <w:rFonts w:hint="eastAsia"/>
                      <w:bCs/>
                      <w:sz w:val="18"/>
                      <w:szCs w:val="18"/>
                    </w:rPr>
                  </w:pPr>
                  <w:r>
                    <w:rPr>
                      <w:rFonts w:hint="eastAsia"/>
                      <w:bCs/>
                      <w:sz w:val="18"/>
                      <w:szCs w:val="18"/>
                      <w:lang w:val="en-US" w:eastAsia="zh-CN"/>
                    </w:rPr>
                    <w:t>NW</w:t>
                  </w:r>
                  <w:r>
                    <w:rPr>
                      <w:rFonts w:hint="eastAsia"/>
                      <w:bCs/>
                      <w:sz w:val="18"/>
                      <w:szCs w:val="18"/>
                    </w:rPr>
                    <w:t>，</w:t>
                  </w:r>
                  <w:r>
                    <w:rPr>
                      <w:rFonts w:hint="eastAsia"/>
                      <w:bCs/>
                      <w:sz w:val="18"/>
                      <w:szCs w:val="18"/>
                      <w:lang w:val="en-US" w:eastAsia="zh-CN"/>
                    </w:rPr>
                    <w:t>0.45</w:t>
                  </w:r>
                  <w:r>
                    <w:rPr>
                      <w:rFonts w:hint="eastAsia"/>
                      <w:bCs/>
                      <w:sz w:val="18"/>
                      <w:szCs w:val="18"/>
                    </w:rPr>
                    <w:t>km</w:t>
                  </w:r>
                </w:p>
              </w:tc>
              <w:tc>
                <w:tcPr>
                  <w:tcW w:w="519" w:type="pct"/>
                  <w:tcBorders>
                    <w:tl2br w:val="nil"/>
                    <w:tr2bl w:val="nil"/>
                  </w:tcBorders>
                  <w:noWrap w:val="0"/>
                  <w:vAlign w:val="center"/>
                </w:tcPr>
                <w:p w14:paraId="3FF9A604">
                  <w:pPr>
                    <w:ind w:left="-15" w:leftChars="-49" w:right="-88" w:rightChars="-42" w:hanging="88" w:hangingChars="49"/>
                    <w:jc w:val="center"/>
                    <w:rPr>
                      <w:rFonts w:hint="eastAsia"/>
                      <w:bCs/>
                      <w:sz w:val="18"/>
                      <w:szCs w:val="18"/>
                    </w:rPr>
                  </w:pPr>
                  <w:r>
                    <w:rPr>
                      <w:rFonts w:hint="eastAsia"/>
                      <w:bCs/>
                      <w:sz w:val="18"/>
                      <w:szCs w:val="18"/>
                      <w:lang w:val="en-US" w:eastAsia="zh-CN"/>
                    </w:rPr>
                    <w:t>2</w:t>
                  </w:r>
                  <w:r>
                    <w:rPr>
                      <w:rFonts w:hint="eastAsia"/>
                      <w:bCs/>
                      <w:sz w:val="18"/>
                      <w:szCs w:val="18"/>
                    </w:rPr>
                    <w:t>44人</w:t>
                  </w:r>
                </w:p>
              </w:tc>
              <w:tc>
                <w:tcPr>
                  <w:tcW w:w="500" w:type="pct"/>
                  <w:vMerge w:val="continue"/>
                  <w:tcBorders>
                    <w:tl2br w:val="nil"/>
                    <w:tr2bl w:val="nil"/>
                  </w:tcBorders>
                  <w:noWrap w:val="0"/>
                  <w:vAlign w:val="center"/>
                </w:tcPr>
                <w:p w14:paraId="3E5A005B">
                  <w:pPr>
                    <w:ind w:left="-15" w:leftChars="-49" w:right="-88" w:rightChars="-42" w:hanging="88" w:hangingChars="49"/>
                    <w:jc w:val="center"/>
                    <w:rPr>
                      <w:rFonts w:hint="eastAsia"/>
                      <w:bCs/>
                      <w:sz w:val="18"/>
                      <w:szCs w:val="18"/>
                    </w:rPr>
                  </w:pPr>
                </w:p>
              </w:tc>
              <w:tc>
                <w:tcPr>
                  <w:tcW w:w="1464" w:type="pct"/>
                  <w:vMerge w:val="continue"/>
                  <w:tcBorders>
                    <w:tl2br w:val="nil"/>
                    <w:tr2bl w:val="nil"/>
                  </w:tcBorders>
                  <w:noWrap w:val="0"/>
                  <w:tcMar>
                    <w:left w:w="57" w:type="dxa"/>
                    <w:right w:w="57" w:type="dxa"/>
                  </w:tcMar>
                  <w:vAlign w:val="center"/>
                </w:tcPr>
                <w:p w14:paraId="0DA37B84">
                  <w:pPr>
                    <w:jc w:val="center"/>
                    <w:rPr>
                      <w:bCs/>
                      <w:sz w:val="18"/>
                      <w:szCs w:val="18"/>
                    </w:rPr>
                  </w:pPr>
                </w:p>
              </w:tc>
            </w:tr>
          </w:tbl>
          <w:p w14:paraId="1665BA11">
            <w:pPr>
              <w:spacing w:line="360" w:lineRule="auto"/>
              <w:ind w:firstLine="422" w:firstLineChars="200"/>
              <w:rPr>
                <w:rFonts w:hint="eastAsia"/>
                <w:b/>
                <w:bCs/>
                <w:color w:val="auto"/>
                <w:szCs w:val="21"/>
                <w:lang w:val="en-US" w:eastAsia="zh-CN"/>
              </w:rPr>
            </w:pPr>
            <w:r>
              <w:rPr>
                <w:rFonts w:hint="eastAsia"/>
                <w:b/>
                <w:bCs/>
                <w:color w:val="auto"/>
                <w:szCs w:val="21"/>
                <w:lang w:val="en-US" w:eastAsia="zh-CN"/>
              </w:rPr>
              <w:t>3.5地表水环境</w:t>
            </w:r>
          </w:p>
          <w:p w14:paraId="7C113FA6">
            <w:pPr>
              <w:spacing w:line="360" w:lineRule="auto"/>
              <w:ind w:firstLine="420" w:firstLineChars="200"/>
              <w:rPr>
                <w:rFonts w:hint="default"/>
                <w:color w:val="auto"/>
                <w:szCs w:val="21"/>
                <w:lang w:val="en-US" w:eastAsia="zh-CN"/>
              </w:rPr>
            </w:pPr>
            <w:r>
              <w:rPr>
                <w:rFonts w:hint="eastAsia"/>
                <w:color w:val="auto"/>
                <w:szCs w:val="21"/>
                <w:lang w:val="en-US" w:eastAsia="zh-CN"/>
              </w:rPr>
              <w:t>本项目废水均循环使用，无直接外排废水。</w:t>
            </w:r>
          </w:p>
          <w:p w14:paraId="662500CF">
            <w:pPr>
              <w:spacing w:line="360" w:lineRule="auto"/>
              <w:ind w:firstLine="422" w:firstLineChars="200"/>
              <w:rPr>
                <w:rFonts w:hint="eastAsia"/>
                <w:b/>
                <w:bCs/>
                <w:color w:val="auto"/>
                <w:szCs w:val="21"/>
                <w:lang w:val="en-US" w:eastAsia="zh-CN"/>
              </w:rPr>
            </w:pPr>
            <w:r>
              <w:rPr>
                <w:rFonts w:hint="eastAsia"/>
                <w:b/>
                <w:bCs/>
                <w:color w:val="auto"/>
                <w:szCs w:val="21"/>
                <w:lang w:val="en-US" w:eastAsia="zh-CN"/>
              </w:rPr>
              <w:t>3.6声环境</w:t>
            </w:r>
          </w:p>
          <w:p w14:paraId="54B5620A">
            <w:pPr>
              <w:spacing w:line="360" w:lineRule="auto"/>
              <w:ind w:firstLine="420" w:firstLineChars="200"/>
              <w:rPr>
                <w:rFonts w:hint="eastAsia"/>
                <w:color w:val="auto"/>
                <w:szCs w:val="21"/>
                <w:lang w:val="en-US" w:eastAsia="zh-CN"/>
              </w:rPr>
            </w:pPr>
            <w:r>
              <w:rPr>
                <w:rFonts w:hint="eastAsia"/>
                <w:color w:val="auto"/>
                <w:szCs w:val="21"/>
                <w:lang w:val="en-US" w:eastAsia="zh-CN"/>
              </w:rPr>
              <w:t>根据调查，本项目场址外50m范围内无声环境保护目标。</w:t>
            </w:r>
          </w:p>
          <w:p w14:paraId="572C99DE">
            <w:pPr>
              <w:spacing w:line="360" w:lineRule="auto"/>
              <w:ind w:firstLine="422" w:firstLineChars="200"/>
              <w:rPr>
                <w:rFonts w:hint="default"/>
                <w:b/>
                <w:bCs/>
                <w:color w:val="auto"/>
                <w:szCs w:val="21"/>
                <w:lang w:val="en-US" w:eastAsia="zh-CN"/>
              </w:rPr>
            </w:pPr>
            <w:r>
              <w:rPr>
                <w:rFonts w:hint="eastAsia"/>
                <w:b/>
                <w:bCs/>
                <w:color w:val="auto"/>
                <w:szCs w:val="21"/>
                <w:lang w:val="en-US" w:eastAsia="zh-CN"/>
              </w:rPr>
              <w:t>3.7地下水环境</w:t>
            </w:r>
          </w:p>
          <w:p w14:paraId="219EBEAA">
            <w:pPr>
              <w:spacing w:line="360" w:lineRule="auto"/>
              <w:ind w:firstLine="420" w:firstLineChars="200"/>
              <w:rPr>
                <w:rFonts w:hint="eastAsia"/>
                <w:color w:val="auto"/>
                <w:szCs w:val="21"/>
                <w:lang w:val="en-US" w:eastAsia="zh-CN"/>
              </w:rPr>
            </w:pPr>
            <w:r>
              <w:rPr>
                <w:rFonts w:hint="eastAsia"/>
                <w:color w:val="auto"/>
                <w:szCs w:val="21"/>
                <w:lang w:val="en-US" w:eastAsia="zh-CN"/>
              </w:rPr>
              <w:t>据调查，项目场界外500m范围内无地下室集中式饮用水水源地和热水、矿泉水、温泉等特殊地下水资源，无地下水环境保护目标。</w:t>
            </w:r>
          </w:p>
          <w:p w14:paraId="1DF8D7C7">
            <w:pPr>
              <w:spacing w:line="360" w:lineRule="auto"/>
              <w:ind w:firstLine="422" w:firstLineChars="200"/>
              <w:rPr>
                <w:rFonts w:hint="default"/>
                <w:b/>
                <w:bCs/>
                <w:color w:val="auto"/>
                <w:szCs w:val="21"/>
                <w:lang w:val="en-US" w:eastAsia="zh-CN"/>
              </w:rPr>
            </w:pPr>
            <w:r>
              <w:rPr>
                <w:rFonts w:hint="eastAsia"/>
                <w:b/>
                <w:bCs/>
                <w:color w:val="auto"/>
                <w:szCs w:val="21"/>
                <w:lang w:val="en-US" w:eastAsia="zh-CN"/>
              </w:rPr>
              <w:t>3.8生态环境</w:t>
            </w:r>
          </w:p>
          <w:p w14:paraId="0535DB6E">
            <w:pPr>
              <w:spacing w:line="360" w:lineRule="auto"/>
              <w:ind w:firstLine="420" w:firstLineChars="200"/>
              <w:rPr>
                <w:rFonts w:hint="default"/>
                <w:color w:val="auto"/>
                <w:szCs w:val="21"/>
                <w:lang w:val="en-US" w:eastAsia="zh-CN"/>
              </w:rPr>
            </w:pPr>
            <w:r>
              <w:rPr>
                <w:rFonts w:hint="eastAsia"/>
                <w:color w:val="auto"/>
                <w:szCs w:val="21"/>
                <w:lang w:val="en-US" w:eastAsia="zh-CN"/>
              </w:rPr>
              <w:t>项目周边无生态环境保护目标。</w:t>
            </w:r>
          </w:p>
          <w:p w14:paraId="3913385C">
            <w:pPr>
              <w:spacing w:line="360" w:lineRule="auto"/>
              <w:ind w:firstLine="420" w:firstLineChars="200"/>
              <w:rPr>
                <w:color w:val="auto"/>
                <w:szCs w:val="21"/>
              </w:rPr>
            </w:pPr>
            <w:r>
              <w:rPr>
                <w:color w:val="auto"/>
                <w:szCs w:val="21"/>
              </w:rPr>
              <w:t>项目地理位置见附图1。</w:t>
            </w:r>
          </w:p>
        </w:tc>
      </w:tr>
      <w:tr w14:paraId="6B016B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2" w:hRule="atLeast"/>
          <w:jc w:val="center"/>
        </w:trPr>
        <w:tc>
          <w:tcPr>
            <w:tcW w:w="800" w:type="dxa"/>
            <w:tcMar>
              <w:left w:w="28" w:type="dxa"/>
              <w:right w:w="28" w:type="dxa"/>
            </w:tcMar>
            <w:vAlign w:val="center"/>
          </w:tcPr>
          <w:p w14:paraId="2D54C573">
            <w:pPr>
              <w:adjustRightInd w:val="0"/>
              <w:snapToGrid w:val="0"/>
              <w:jc w:val="center"/>
              <w:rPr>
                <w:color w:val="auto"/>
                <w:kern w:val="0"/>
                <w:szCs w:val="21"/>
              </w:rPr>
            </w:pPr>
            <w:r>
              <w:rPr>
                <w:color w:val="auto"/>
                <w:kern w:val="0"/>
                <w:szCs w:val="21"/>
              </w:rPr>
              <w:t>污染</w:t>
            </w:r>
          </w:p>
          <w:p w14:paraId="2EF1002B">
            <w:pPr>
              <w:adjustRightInd w:val="0"/>
              <w:snapToGrid w:val="0"/>
              <w:jc w:val="center"/>
              <w:rPr>
                <w:color w:val="auto"/>
                <w:kern w:val="0"/>
                <w:szCs w:val="21"/>
              </w:rPr>
            </w:pPr>
            <w:r>
              <w:rPr>
                <w:color w:val="auto"/>
                <w:kern w:val="0"/>
                <w:szCs w:val="21"/>
              </w:rPr>
              <w:t>物排</w:t>
            </w:r>
          </w:p>
          <w:p w14:paraId="6A0BC428">
            <w:pPr>
              <w:adjustRightInd w:val="0"/>
              <w:snapToGrid w:val="0"/>
              <w:jc w:val="center"/>
              <w:rPr>
                <w:color w:val="auto"/>
                <w:kern w:val="0"/>
                <w:szCs w:val="21"/>
              </w:rPr>
            </w:pPr>
            <w:r>
              <w:rPr>
                <w:color w:val="auto"/>
                <w:kern w:val="0"/>
                <w:szCs w:val="21"/>
              </w:rPr>
              <w:t>放控</w:t>
            </w:r>
          </w:p>
          <w:p w14:paraId="3060C3A2">
            <w:pPr>
              <w:adjustRightInd w:val="0"/>
              <w:snapToGrid w:val="0"/>
              <w:jc w:val="center"/>
              <w:rPr>
                <w:color w:val="auto"/>
                <w:kern w:val="0"/>
                <w:szCs w:val="21"/>
              </w:rPr>
            </w:pPr>
            <w:r>
              <w:rPr>
                <w:color w:val="auto"/>
                <w:kern w:val="0"/>
                <w:szCs w:val="21"/>
              </w:rPr>
              <w:t>制标</w:t>
            </w:r>
          </w:p>
          <w:p w14:paraId="4BD32481">
            <w:pPr>
              <w:adjustRightInd w:val="0"/>
              <w:snapToGrid w:val="0"/>
              <w:jc w:val="center"/>
              <w:rPr>
                <w:color w:val="auto"/>
                <w:kern w:val="0"/>
                <w:szCs w:val="21"/>
              </w:rPr>
            </w:pPr>
            <w:r>
              <w:rPr>
                <w:color w:val="auto"/>
                <w:kern w:val="0"/>
                <w:szCs w:val="21"/>
              </w:rPr>
              <w:t>准</w:t>
            </w:r>
          </w:p>
        </w:tc>
        <w:tc>
          <w:tcPr>
            <w:tcW w:w="8190" w:type="dxa"/>
            <w:vAlign w:val="center"/>
          </w:tcPr>
          <w:p w14:paraId="4904A83D">
            <w:pPr>
              <w:keepNext w:val="0"/>
              <w:keepLines w:val="0"/>
              <w:pageBreakBefore w:val="0"/>
              <w:widowControl w:val="0"/>
              <w:kinsoku/>
              <w:wordWrap/>
              <w:overflowPunct/>
              <w:topLinePunct w:val="0"/>
              <w:autoSpaceDE/>
              <w:autoSpaceDN/>
              <w:bidi w:val="0"/>
              <w:adjustRightInd/>
              <w:snapToGrid/>
              <w:spacing w:line="360" w:lineRule="auto"/>
              <w:ind w:firstLine="422" w:firstLineChars="200"/>
              <w:textAlignment w:val="auto"/>
              <w:rPr>
                <w:b/>
                <w:bCs/>
                <w:color w:val="auto"/>
                <w:szCs w:val="21"/>
              </w:rPr>
            </w:pPr>
            <w:r>
              <w:rPr>
                <w:rFonts w:hint="eastAsia"/>
                <w:b/>
                <w:bCs/>
                <w:color w:val="auto"/>
                <w:szCs w:val="21"/>
                <w:lang w:val="en-US" w:eastAsia="zh-CN"/>
              </w:rPr>
              <w:t>3.9</w:t>
            </w:r>
            <w:r>
              <w:rPr>
                <w:b/>
                <w:bCs/>
                <w:color w:val="auto"/>
                <w:szCs w:val="21"/>
              </w:rPr>
              <w:t>废气</w:t>
            </w:r>
          </w:p>
          <w:p w14:paraId="139E66DA">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项目储料库石料堆存装卸颗粒物、沥青烟、苯并[a]芘、非甲烷总烃执行《大气污染物综合排放标准》（GB16297－1996）二级标准限值要求；</w:t>
            </w:r>
          </w:p>
          <w:p w14:paraId="4E9526B2">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骨料烘干、筛分及燃烧器燃料燃烧产生的混合废气执行《山西省工业炉窑大气污染综合治理实施方案》（晋环大气[2019]164号）中规定的限值要求；</w:t>
            </w:r>
          </w:p>
          <w:p w14:paraId="2E341785">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导热油炉废气执行山西省《锅炉大气污染物排放标准》（DB14/1929-2019）中表4规定的燃油锅炉标准；</w:t>
            </w:r>
          </w:p>
          <w:p w14:paraId="261D2807">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cs="Times New Roman"/>
                <w:color w:val="auto"/>
                <w:szCs w:val="21"/>
                <w:lang w:val="en-US" w:eastAsia="zh-CN"/>
              </w:rPr>
            </w:pPr>
            <w:r>
              <w:rPr>
                <w:rFonts w:hint="eastAsia" w:cs="Times New Roman"/>
                <w:color w:val="auto"/>
                <w:szCs w:val="21"/>
                <w:lang w:val="en-US" w:eastAsia="zh-CN"/>
              </w:rPr>
              <w:t>混凝</w:t>
            </w:r>
            <w:r>
              <w:rPr>
                <w:rFonts w:hint="eastAsia" w:ascii="Times New Roman" w:hAnsi="Times New Roman" w:eastAsia="宋体" w:cs="Times New Roman"/>
                <w:color w:val="auto"/>
                <w:szCs w:val="21"/>
                <w:lang w:val="en-US" w:eastAsia="zh-CN"/>
              </w:rPr>
              <w:t>土</w:t>
            </w:r>
            <w:r>
              <w:rPr>
                <w:rFonts w:hint="eastAsia" w:cs="Times New Roman"/>
                <w:color w:val="auto"/>
                <w:szCs w:val="21"/>
                <w:lang w:val="en-US" w:eastAsia="zh-CN"/>
              </w:rPr>
              <w:t>、水稳土</w:t>
            </w:r>
            <w:r>
              <w:rPr>
                <w:rFonts w:hint="eastAsia" w:ascii="Times New Roman" w:hAnsi="Times New Roman" w:eastAsia="宋体" w:cs="Times New Roman"/>
                <w:color w:val="auto"/>
                <w:szCs w:val="21"/>
                <w:lang w:val="en-US" w:eastAsia="zh-CN"/>
              </w:rPr>
              <w:t>搅拌颗粒物执行《水泥工业大气污染物排放标准》（DB14/3176-2024）表1中水泥制品生产标准限值要求，配套设施无组织颗粒物应执行表2厂区内颗粒物无组织排放限值要求</w:t>
            </w:r>
            <w:r>
              <w:rPr>
                <w:rFonts w:hint="eastAsia" w:cs="Times New Roman"/>
                <w:color w:val="auto"/>
                <w:szCs w:val="21"/>
                <w:lang w:val="en-US" w:eastAsia="zh-CN"/>
              </w:rPr>
              <w:t>；</w:t>
            </w:r>
          </w:p>
          <w:p w14:paraId="3C8C5727">
            <w:pPr>
              <w:spacing w:line="240" w:lineRule="exact"/>
              <w:ind w:firstLine="361" w:firstLineChars="200"/>
              <w:jc w:val="center"/>
              <w:rPr>
                <w:color w:val="auto"/>
                <w:sz w:val="18"/>
                <w:szCs w:val="18"/>
              </w:rPr>
            </w:pPr>
            <w:r>
              <w:rPr>
                <w:b/>
                <w:bCs/>
                <w:color w:val="auto"/>
                <w:sz w:val="18"/>
                <w:szCs w:val="18"/>
              </w:rPr>
              <w:t>表</w:t>
            </w:r>
            <w:r>
              <w:rPr>
                <w:rFonts w:hint="eastAsia"/>
                <w:b/>
                <w:bCs/>
                <w:color w:val="auto"/>
                <w:sz w:val="18"/>
                <w:szCs w:val="18"/>
              </w:rPr>
              <w:t>3</w:t>
            </w:r>
            <w:r>
              <w:rPr>
                <w:rFonts w:hint="eastAsia"/>
                <w:b/>
                <w:bCs/>
                <w:color w:val="auto"/>
                <w:sz w:val="18"/>
                <w:szCs w:val="18"/>
                <w:lang w:val="en-US" w:eastAsia="zh-CN"/>
              </w:rPr>
              <w:t>.9</w:t>
            </w:r>
            <w:r>
              <w:rPr>
                <w:b/>
                <w:bCs/>
                <w:color w:val="auto"/>
                <w:sz w:val="18"/>
                <w:szCs w:val="18"/>
              </w:rPr>
              <w:t>-</w:t>
            </w:r>
            <w:r>
              <w:rPr>
                <w:rFonts w:hint="eastAsia"/>
                <w:b/>
                <w:bCs/>
                <w:color w:val="auto"/>
                <w:sz w:val="18"/>
                <w:szCs w:val="18"/>
                <w:lang w:val="en-US" w:eastAsia="zh-CN"/>
              </w:rPr>
              <w:t>1</w:t>
            </w:r>
            <w:r>
              <w:rPr>
                <w:rFonts w:hint="eastAsia"/>
                <w:b/>
                <w:bCs/>
                <w:color w:val="auto"/>
                <w:sz w:val="18"/>
                <w:szCs w:val="18"/>
              </w:rPr>
              <w:t xml:space="preserve">   </w:t>
            </w:r>
            <w:r>
              <w:rPr>
                <w:rFonts w:hint="eastAsia"/>
                <w:b/>
                <w:bCs/>
                <w:color w:val="auto"/>
                <w:sz w:val="18"/>
                <w:szCs w:val="18"/>
                <w:lang w:val="en-US" w:eastAsia="zh-CN"/>
              </w:rPr>
              <w:t xml:space="preserve"> 废气执行</w:t>
            </w:r>
            <w:r>
              <w:rPr>
                <w:b/>
                <w:bCs/>
                <w:color w:val="auto"/>
                <w:sz w:val="18"/>
                <w:szCs w:val="18"/>
              </w:rPr>
              <w:t>标准</w:t>
            </w:r>
          </w:p>
          <w:tbl>
            <w:tblPr>
              <w:tblStyle w:val="4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96"/>
              <w:gridCol w:w="702"/>
              <w:gridCol w:w="1171"/>
              <w:gridCol w:w="1055"/>
              <w:gridCol w:w="717"/>
              <w:gridCol w:w="989"/>
              <w:gridCol w:w="1078"/>
              <w:gridCol w:w="1836"/>
            </w:tblGrid>
            <w:tr w14:paraId="36CFB4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49" w:type="pct"/>
                  <w:tcBorders>
                    <w:tl2br w:val="nil"/>
                    <w:tr2bl w:val="nil"/>
                  </w:tcBorders>
                  <w:vAlign w:val="center"/>
                </w:tcPr>
                <w:p w14:paraId="69C4D5D5">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类别</w:t>
                  </w:r>
                </w:p>
              </w:tc>
              <w:tc>
                <w:tcPr>
                  <w:tcW w:w="442" w:type="pct"/>
                  <w:tcBorders>
                    <w:tl2br w:val="nil"/>
                    <w:tr2bl w:val="nil"/>
                  </w:tcBorders>
                  <w:vAlign w:val="center"/>
                </w:tcPr>
                <w:p w14:paraId="01065357">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污染源</w:t>
                  </w:r>
                </w:p>
              </w:tc>
              <w:tc>
                <w:tcPr>
                  <w:tcW w:w="737" w:type="pct"/>
                  <w:tcBorders>
                    <w:tl2br w:val="nil"/>
                    <w:tr2bl w:val="nil"/>
                  </w:tcBorders>
                  <w:vAlign w:val="center"/>
                </w:tcPr>
                <w:p w14:paraId="55BCFD70">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污染物</w:t>
                  </w:r>
                </w:p>
              </w:tc>
              <w:tc>
                <w:tcPr>
                  <w:tcW w:w="1737" w:type="pct"/>
                  <w:gridSpan w:val="3"/>
                  <w:tcBorders>
                    <w:tl2br w:val="nil"/>
                    <w:tr2bl w:val="nil"/>
                  </w:tcBorders>
                  <w:vAlign w:val="center"/>
                </w:tcPr>
                <w:p w14:paraId="3ED05DFD">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排放标准限值</w:t>
                  </w:r>
                </w:p>
              </w:tc>
              <w:tc>
                <w:tcPr>
                  <w:tcW w:w="678" w:type="pct"/>
                  <w:tcBorders>
                    <w:tl2br w:val="nil"/>
                    <w:tr2bl w:val="nil"/>
                  </w:tcBorders>
                  <w:vAlign w:val="center"/>
                </w:tcPr>
                <w:p w14:paraId="437E7089">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无组织排放监控浓度限值</w:t>
                  </w:r>
                </w:p>
              </w:tc>
              <w:tc>
                <w:tcPr>
                  <w:tcW w:w="1155" w:type="pct"/>
                  <w:tcBorders>
                    <w:tl2br w:val="nil"/>
                    <w:tr2bl w:val="nil"/>
                  </w:tcBorders>
                  <w:vAlign w:val="center"/>
                </w:tcPr>
                <w:p w14:paraId="1F8CA7F4">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color w:val="auto"/>
                      <w:sz w:val="18"/>
                      <w:szCs w:val="18"/>
                      <w:vertAlign w:val="baseline"/>
                      <w:lang w:eastAsia="zh-CN"/>
                    </w:rPr>
                  </w:pPr>
                  <w:r>
                    <w:rPr>
                      <w:rFonts w:hint="eastAsia"/>
                      <w:color w:val="auto"/>
                      <w:sz w:val="18"/>
                      <w:szCs w:val="18"/>
                      <w:vertAlign w:val="baseline"/>
                      <w:lang w:val="en-US" w:eastAsia="zh-CN"/>
                    </w:rPr>
                    <w:t>执行标准</w:t>
                  </w:r>
                </w:p>
              </w:tc>
            </w:tr>
            <w:tr w14:paraId="3FE926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49" w:type="pct"/>
                  <w:tcBorders>
                    <w:tl2br w:val="nil"/>
                    <w:tr2bl w:val="nil"/>
                  </w:tcBorders>
                  <w:vAlign w:val="center"/>
                </w:tcPr>
                <w:p w14:paraId="3E8C7600">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储料库</w:t>
                  </w:r>
                </w:p>
              </w:tc>
              <w:tc>
                <w:tcPr>
                  <w:tcW w:w="442" w:type="pct"/>
                  <w:tcBorders>
                    <w:tl2br w:val="nil"/>
                    <w:tr2bl w:val="nil"/>
                  </w:tcBorders>
                  <w:vAlign w:val="center"/>
                </w:tcPr>
                <w:p w14:paraId="57A370B0">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原料堆存装卸</w:t>
                  </w:r>
                </w:p>
              </w:tc>
              <w:tc>
                <w:tcPr>
                  <w:tcW w:w="737" w:type="pct"/>
                  <w:tcBorders>
                    <w:tl2br w:val="nil"/>
                    <w:tr2bl w:val="nil"/>
                  </w:tcBorders>
                  <w:vAlign w:val="center"/>
                </w:tcPr>
                <w:p w14:paraId="3C15851A">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颗粒物</w:t>
                  </w:r>
                </w:p>
              </w:tc>
              <w:tc>
                <w:tcPr>
                  <w:tcW w:w="1737" w:type="pct"/>
                  <w:gridSpan w:val="3"/>
                  <w:tcBorders>
                    <w:tl2br w:val="nil"/>
                    <w:tr2bl w:val="nil"/>
                  </w:tcBorders>
                  <w:vAlign w:val="center"/>
                </w:tcPr>
                <w:p w14:paraId="60513C62">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w:t>
                  </w:r>
                </w:p>
              </w:tc>
              <w:tc>
                <w:tcPr>
                  <w:tcW w:w="678" w:type="pct"/>
                  <w:tcBorders>
                    <w:tl2br w:val="nil"/>
                    <w:tr2bl w:val="nil"/>
                  </w:tcBorders>
                  <w:vAlign w:val="center"/>
                </w:tcPr>
                <w:p w14:paraId="59FFA490">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1.0（周界外浓度最高点）</w:t>
                  </w:r>
                </w:p>
              </w:tc>
              <w:tc>
                <w:tcPr>
                  <w:tcW w:w="1155" w:type="pct"/>
                  <w:vMerge w:val="restart"/>
                  <w:tcBorders>
                    <w:tl2br w:val="nil"/>
                    <w:tr2bl w:val="nil"/>
                  </w:tcBorders>
                  <w:vAlign w:val="center"/>
                </w:tcPr>
                <w:p w14:paraId="7F167055">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color w:val="auto"/>
                      <w:sz w:val="18"/>
                      <w:szCs w:val="18"/>
                      <w:vertAlign w:val="baseline"/>
                      <w:lang w:eastAsia="zh-CN"/>
                    </w:rPr>
                  </w:pPr>
                  <w:r>
                    <w:rPr>
                      <w:rFonts w:hint="eastAsia"/>
                      <w:color w:val="auto"/>
                      <w:sz w:val="18"/>
                      <w:szCs w:val="18"/>
                    </w:rPr>
                    <w:t>《大气污染物综合排放标准》（GB16297－1996）</w:t>
                  </w:r>
                  <w:r>
                    <w:rPr>
                      <w:rFonts w:hint="eastAsia"/>
                      <w:color w:val="auto"/>
                      <w:sz w:val="18"/>
                      <w:szCs w:val="18"/>
                      <w:lang w:val="en-US" w:eastAsia="zh-CN"/>
                    </w:rPr>
                    <w:t>表2</w:t>
                  </w:r>
                  <w:r>
                    <w:rPr>
                      <w:rFonts w:hint="eastAsia"/>
                      <w:color w:val="auto"/>
                      <w:sz w:val="18"/>
                      <w:szCs w:val="18"/>
                    </w:rPr>
                    <w:t>二级标准</w:t>
                  </w:r>
                </w:p>
              </w:tc>
            </w:tr>
            <w:tr w14:paraId="263164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49" w:type="pct"/>
                  <w:vMerge w:val="restart"/>
                  <w:tcBorders>
                    <w:tl2br w:val="nil"/>
                    <w:tr2bl w:val="nil"/>
                  </w:tcBorders>
                  <w:vAlign w:val="center"/>
                </w:tcPr>
                <w:p w14:paraId="6B184CB9">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沥青混凝土</w:t>
                  </w:r>
                </w:p>
              </w:tc>
              <w:tc>
                <w:tcPr>
                  <w:tcW w:w="442" w:type="pct"/>
                  <w:vMerge w:val="restart"/>
                  <w:tcBorders>
                    <w:tl2br w:val="nil"/>
                    <w:tr2bl w:val="nil"/>
                  </w:tcBorders>
                  <w:vAlign w:val="center"/>
                </w:tcPr>
                <w:p w14:paraId="05D00003">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沥青储罐呼吸、沥青搅拌</w:t>
                  </w:r>
                </w:p>
              </w:tc>
              <w:tc>
                <w:tcPr>
                  <w:tcW w:w="737" w:type="pct"/>
                  <w:tcBorders>
                    <w:tl2br w:val="nil"/>
                    <w:tr2bl w:val="nil"/>
                  </w:tcBorders>
                  <w:vAlign w:val="center"/>
                </w:tcPr>
                <w:p w14:paraId="60760D96">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沥青烟</w:t>
                  </w:r>
                </w:p>
              </w:tc>
              <w:tc>
                <w:tcPr>
                  <w:tcW w:w="664" w:type="pct"/>
                  <w:tcBorders>
                    <w:tl2br w:val="nil"/>
                    <w:tr2bl w:val="nil"/>
                  </w:tcBorders>
                  <w:vAlign w:val="center"/>
                </w:tcPr>
                <w:p w14:paraId="46857A2A">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75</w:t>
                  </w:r>
                </w:p>
              </w:tc>
              <w:tc>
                <w:tcPr>
                  <w:tcW w:w="451" w:type="pct"/>
                  <w:tcBorders>
                    <w:tl2br w:val="nil"/>
                    <w:tr2bl w:val="nil"/>
                  </w:tcBorders>
                  <w:vAlign w:val="center"/>
                </w:tcPr>
                <w:p w14:paraId="11550873">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15</w:t>
                  </w:r>
                </w:p>
              </w:tc>
              <w:tc>
                <w:tcPr>
                  <w:tcW w:w="621" w:type="pct"/>
                  <w:tcBorders>
                    <w:tl2br w:val="nil"/>
                    <w:tr2bl w:val="nil"/>
                  </w:tcBorders>
                  <w:vAlign w:val="center"/>
                </w:tcPr>
                <w:p w14:paraId="51E23639">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0.18</w:t>
                  </w:r>
                </w:p>
              </w:tc>
              <w:tc>
                <w:tcPr>
                  <w:tcW w:w="678" w:type="pct"/>
                  <w:tcBorders>
                    <w:tl2br w:val="nil"/>
                    <w:tr2bl w:val="nil"/>
                  </w:tcBorders>
                  <w:vAlign w:val="center"/>
                </w:tcPr>
                <w:p w14:paraId="158E2D92">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color w:val="auto"/>
                      <w:sz w:val="18"/>
                      <w:szCs w:val="18"/>
                      <w:vertAlign w:val="baseline"/>
                      <w:lang w:eastAsia="zh-CN"/>
                    </w:rPr>
                  </w:pPr>
                  <w:r>
                    <w:rPr>
                      <w:rFonts w:hint="eastAsia"/>
                      <w:color w:val="auto"/>
                      <w:sz w:val="18"/>
                      <w:szCs w:val="18"/>
                    </w:rPr>
                    <w:t>生产设备不得有明显的无组织排放存在</w:t>
                  </w:r>
                </w:p>
              </w:tc>
              <w:tc>
                <w:tcPr>
                  <w:tcW w:w="1155" w:type="pct"/>
                  <w:vMerge w:val="continue"/>
                  <w:tcBorders>
                    <w:tl2br w:val="nil"/>
                    <w:tr2bl w:val="nil"/>
                  </w:tcBorders>
                  <w:vAlign w:val="center"/>
                </w:tcPr>
                <w:p w14:paraId="1FC9FD24">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color w:val="auto"/>
                      <w:sz w:val="18"/>
                      <w:szCs w:val="18"/>
                      <w:vertAlign w:val="baseline"/>
                      <w:lang w:eastAsia="zh-CN"/>
                    </w:rPr>
                  </w:pPr>
                </w:p>
              </w:tc>
            </w:tr>
            <w:tr w14:paraId="2D685A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49" w:type="pct"/>
                  <w:vMerge w:val="continue"/>
                  <w:tcBorders>
                    <w:tl2br w:val="nil"/>
                    <w:tr2bl w:val="nil"/>
                  </w:tcBorders>
                  <w:vAlign w:val="center"/>
                </w:tcPr>
                <w:p w14:paraId="454A3BAA">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color w:val="auto"/>
                      <w:sz w:val="18"/>
                      <w:szCs w:val="18"/>
                      <w:vertAlign w:val="baseline"/>
                      <w:lang w:eastAsia="zh-CN"/>
                    </w:rPr>
                  </w:pPr>
                </w:p>
              </w:tc>
              <w:tc>
                <w:tcPr>
                  <w:tcW w:w="442" w:type="pct"/>
                  <w:vMerge w:val="continue"/>
                  <w:tcBorders>
                    <w:tl2br w:val="nil"/>
                    <w:tr2bl w:val="nil"/>
                  </w:tcBorders>
                  <w:vAlign w:val="center"/>
                </w:tcPr>
                <w:p w14:paraId="1009102E">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color w:val="auto"/>
                      <w:sz w:val="18"/>
                      <w:szCs w:val="18"/>
                      <w:vertAlign w:val="baseline"/>
                      <w:lang w:eastAsia="zh-CN"/>
                    </w:rPr>
                  </w:pPr>
                </w:p>
              </w:tc>
              <w:tc>
                <w:tcPr>
                  <w:tcW w:w="737" w:type="pct"/>
                  <w:tcBorders>
                    <w:tl2br w:val="nil"/>
                    <w:tr2bl w:val="nil"/>
                  </w:tcBorders>
                  <w:vAlign w:val="center"/>
                </w:tcPr>
                <w:p w14:paraId="3DF4D369">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苯并[a]芘</w:t>
                  </w:r>
                </w:p>
              </w:tc>
              <w:tc>
                <w:tcPr>
                  <w:tcW w:w="664" w:type="pct"/>
                  <w:tcBorders>
                    <w:tl2br w:val="nil"/>
                    <w:tr2bl w:val="nil"/>
                  </w:tcBorders>
                  <w:vAlign w:val="center"/>
                </w:tcPr>
                <w:p w14:paraId="1ECD30E6">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0.30×10</w:t>
                  </w:r>
                  <w:r>
                    <w:rPr>
                      <w:rFonts w:hint="eastAsia"/>
                      <w:color w:val="auto"/>
                      <w:sz w:val="18"/>
                      <w:szCs w:val="18"/>
                      <w:vertAlign w:val="superscript"/>
                      <w:lang w:val="en-US" w:eastAsia="zh-CN"/>
                    </w:rPr>
                    <w:t>-3</w:t>
                  </w:r>
                </w:p>
              </w:tc>
              <w:tc>
                <w:tcPr>
                  <w:tcW w:w="451" w:type="pct"/>
                  <w:tcBorders>
                    <w:tl2br w:val="nil"/>
                    <w:tr2bl w:val="nil"/>
                  </w:tcBorders>
                  <w:vAlign w:val="center"/>
                </w:tcPr>
                <w:p w14:paraId="7AA1893C">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15</w:t>
                  </w:r>
                </w:p>
              </w:tc>
              <w:tc>
                <w:tcPr>
                  <w:tcW w:w="621" w:type="pct"/>
                  <w:tcBorders>
                    <w:tl2br w:val="nil"/>
                    <w:tr2bl w:val="nil"/>
                  </w:tcBorders>
                  <w:vAlign w:val="center"/>
                </w:tcPr>
                <w:p w14:paraId="35DB9053">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0.05×10</w:t>
                  </w:r>
                  <w:r>
                    <w:rPr>
                      <w:rFonts w:hint="eastAsia"/>
                      <w:color w:val="auto"/>
                      <w:sz w:val="18"/>
                      <w:szCs w:val="18"/>
                      <w:vertAlign w:val="superscript"/>
                      <w:lang w:val="en-US" w:eastAsia="zh-CN"/>
                    </w:rPr>
                    <w:t>-3</w:t>
                  </w:r>
                </w:p>
              </w:tc>
              <w:tc>
                <w:tcPr>
                  <w:tcW w:w="678" w:type="pct"/>
                  <w:tcBorders>
                    <w:tl2br w:val="nil"/>
                    <w:tr2bl w:val="nil"/>
                  </w:tcBorders>
                  <w:vAlign w:val="center"/>
                </w:tcPr>
                <w:p w14:paraId="7A358DC2">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0.008×10</w:t>
                  </w:r>
                  <w:r>
                    <w:rPr>
                      <w:rFonts w:hint="eastAsia"/>
                      <w:color w:val="auto"/>
                      <w:sz w:val="18"/>
                      <w:szCs w:val="18"/>
                      <w:vertAlign w:val="superscript"/>
                      <w:lang w:val="en-US" w:eastAsia="zh-CN"/>
                    </w:rPr>
                    <w:t>-3</w:t>
                  </w:r>
                  <w:r>
                    <w:rPr>
                      <w:rFonts w:hint="eastAsia"/>
                      <w:color w:val="auto"/>
                      <w:sz w:val="18"/>
                      <w:szCs w:val="18"/>
                      <w:vertAlign w:val="baseline"/>
                      <w:lang w:val="en-US" w:eastAsia="zh-CN"/>
                    </w:rPr>
                    <w:t>（周界外浓度最高点）</w:t>
                  </w:r>
                </w:p>
              </w:tc>
              <w:tc>
                <w:tcPr>
                  <w:tcW w:w="1155" w:type="pct"/>
                  <w:vMerge w:val="continue"/>
                  <w:tcBorders>
                    <w:tl2br w:val="nil"/>
                    <w:tr2bl w:val="nil"/>
                  </w:tcBorders>
                  <w:vAlign w:val="center"/>
                </w:tcPr>
                <w:p w14:paraId="5216D11F">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color w:val="auto"/>
                      <w:sz w:val="18"/>
                      <w:szCs w:val="18"/>
                      <w:vertAlign w:val="baseline"/>
                      <w:lang w:eastAsia="zh-CN"/>
                    </w:rPr>
                  </w:pPr>
                </w:p>
              </w:tc>
            </w:tr>
            <w:tr w14:paraId="5EEFDD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49" w:type="pct"/>
                  <w:vMerge w:val="continue"/>
                  <w:tcBorders>
                    <w:tl2br w:val="nil"/>
                    <w:tr2bl w:val="nil"/>
                  </w:tcBorders>
                  <w:vAlign w:val="center"/>
                </w:tcPr>
                <w:p w14:paraId="68B8662B">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color w:val="auto"/>
                      <w:sz w:val="18"/>
                      <w:szCs w:val="18"/>
                      <w:vertAlign w:val="baseline"/>
                      <w:lang w:eastAsia="zh-CN"/>
                    </w:rPr>
                  </w:pPr>
                </w:p>
              </w:tc>
              <w:tc>
                <w:tcPr>
                  <w:tcW w:w="442" w:type="pct"/>
                  <w:vMerge w:val="continue"/>
                  <w:tcBorders>
                    <w:tl2br w:val="nil"/>
                    <w:tr2bl w:val="nil"/>
                  </w:tcBorders>
                  <w:vAlign w:val="center"/>
                </w:tcPr>
                <w:p w14:paraId="2D7331C1">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color w:val="auto"/>
                      <w:sz w:val="18"/>
                      <w:szCs w:val="18"/>
                      <w:vertAlign w:val="baseline"/>
                      <w:lang w:eastAsia="zh-CN"/>
                    </w:rPr>
                  </w:pPr>
                </w:p>
              </w:tc>
              <w:tc>
                <w:tcPr>
                  <w:tcW w:w="737" w:type="pct"/>
                  <w:tcBorders>
                    <w:tl2br w:val="nil"/>
                    <w:tr2bl w:val="nil"/>
                  </w:tcBorders>
                  <w:vAlign w:val="center"/>
                </w:tcPr>
                <w:p w14:paraId="73EEC4E2">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非甲烷总烃</w:t>
                  </w:r>
                </w:p>
              </w:tc>
              <w:tc>
                <w:tcPr>
                  <w:tcW w:w="664" w:type="pct"/>
                  <w:tcBorders>
                    <w:tl2br w:val="nil"/>
                    <w:tr2bl w:val="nil"/>
                  </w:tcBorders>
                  <w:vAlign w:val="center"/>
                </w:tcPr>
                <w:p w14:paraId="5B004143">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120</w:t>
                  </w:r>
                </w:p>
              </w:tc>
              <w:tc>
                <w:tcPr>
                  <w:tcW w:w="451" w:type="pct"/>
                  <w:tcBorders>
                    <w:tl2br w:val="nil"/>
                    <w:tr2bl w:val="nil"/>
                  </w:tcBorders>
                  <w:vAlign w:val="center"/>
                </w:tcPr>
                <w:p w14:paraId="517EFA26">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15</w:t>
                  </w:r>
                </w:p>
              </w:tc>
              <w:tc>
                <w:tcPr>
                  <w:tcW w:w="621" w:type="pct"/>
                  <w:tcBorders>
                    <w:tl2br w:val="nil"/>
                    <w:tr2bl w:val="nil"/>
                  </w:tcBorders>
                  <w:vAlign w:val="center"/>
                </w:tcPr>
                <w:p w14:paraId="60AB52A6">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10</w:t>
                  </w:r>
                </w:p>
              </w:tc>
              <w:tc>
                <w:tcPr>
                  <w:tcW w:w="678" w:type="pct"/>
                  <w:tcBorders>
                    <w:tl2br w:val="nil"/>
                    <w:tr2bl w:val="nil"/>
                  </w:tcBorders>
                  <w:vAlign w:val="center"/>
                </w:tcPr>
                <w:p w14:paraId="0976F1BE">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4.0（周界外浓度最高点）</w:t>
                  </w:r>
                </w:p>
              </w:tc>
              <w:tc>
                <w:tcPr>
                  <w:tcW w:w="1155" w:type="pct"/>
                  <w:vMerge w:val="continue"/>
                  <w:tcBorders>
                    <w:tl2br w:val="nil"/>
                    <w:tr2bl w:val="nil"/>
                  </w:tcBorders>
                  <w:vAlign w:val="center"/>
                </w:tcPr>
                <w:p w14:paraId="7962F86E">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color w:val="auto"/>
                      <w:sz w:val="18"/>
                      <w:szCs w:val="18"/>
                      <w:vertAlign w:val="baseline"/>
                      <w:lang w:eastAsia="zh-CN"/>
                    </w:rPr>
                  </w:pPr>
                </w:p>
              </w:tc>
            </w:tr>
            <w:tr w14:paraId="652899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49" w:type="pct"/>
                  <w:vMerge w:val="continue"/>
                  <w:tcBorders>
                    <w:tl2br w:val="nil"/>
                    <w:tr2bl w:val="nil"/>
                  </w:tcBorders>
                  <w:vAlign w:val="center"/>
                </w:tcPr>
                <w:p w14:paraId="7C6A9D40">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color w:val="auto"/>
                      <w:sz w:val="18"/>
                      <w:szCs w:val="18"/>
                      <w:vertAlign w:val="baseline"/>
                      <w:lang w:eastAsia="zh-CN"/>
                    </w:rPr>
                  </w:pPr>
                </w:p>
              </w:tc>
              <w:tc>
                <w:tcPr>
                  <w:tcW w:w="442" w:type="pct"/>
                  <w:vMerge w:val="restart"/>
                  <w:tcBorders>
                    <w:tl2br w:val="nil"/>
                    <w:tr2bl w:val="nil"/>
                  </w:tcBorders>
                  <w:vAlign w:val="center"/>
                </w:tcPr>
                <w:p w14:paraId="330EDA65">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骨料烘干、筛分、燃烧器烟气</w:t>
                  </w:r>
                </w:p>
              </w:tc>
              <w:tc>
                <w:tcPr>
                  <w:tcW w:w="737" w:type="pct"/>
                  <w:tcBorders>
                    <w:tl2br w:val="nil"/>
                    <w:tr2bl w:val="nil"/>
                  </w:tcBorders>
                  <w:vAlign w:val="center"/>
                </w:tcPr>
                <w:p w14:paraId="0A264B5A">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p>
              </w:tc>
              <w:tc>
                <w:tcPr>
                  <w:tcW w:w="664" w:type="pct"/>
                  <w:tcBorders>
                    <w:tl2br w:val="nil"/>
                    <w:tr2bl w:val="nil"/>
                  </w:tcBorders>
                  <w:vAlign w:val="center"/>
                </w:tcPr>
                <w:p w14:paraId="46709034">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执行标准限值（mg/m</w:t>
                  </w:r>
                  <w:r>
                    <w:rPr>
                      <w:rFonts w:hint="eastAsia"/>
                      <w:color w:val="auto"/>
                      <w:sz w:val="18"/>
                      <w:szCs w:val="18"/>
                      <w:vertAlign w:val="superscript"/>
                      <w:lang w:val="en-US" w:eastAsia="zh-CN"/>
                    </w:rPr>
                    <w:t>3</w:t>
                  </w:r>
                  <w:r>
                    <w:rPr>
                      <w:rFonts w:hint="eastAsia"/>
                      <w:color w:val="auto"/>
                      <w:sz w:val="18"/>
                      <w:szCs w:val="18"/>
                      <w:vertAlign w:val="baseline"/>
                      <w:lang w:val="en-US" w:eastAsia="zh-CN"/>
                    </w:rPr>
                    <w:t>）</w:t>
                  </w:r>
                </w:p>
              </w:tc>
              <w:tc>
                <w:tcPr>
                  <w:tcW w:w="1073" w:type="pct"/>
                  <w:gridSpan w:val="2"/>
                  <w:tcBorders>
                    <w:tl2br w:val="nil"/>
                    <w:tr2bl w:val="nil"/>
                  </w:tcBorders>
                  <w:vAlign w:val="center"/>
                </w:tcPr>
                <w:p w14:paraId="4752B7C9">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污染物排放监控位置</w:t>
                  </w:r>
                </w:p>
              </w:tc>
              <w:tc>
                <w:tcPr>
                  <w:tcW w:w="678" w:type="pct"/>
                  <w:tcBorders>
                    <w:tl2br w:val="nil"/>
                    <w:tr2bl w:val="nil"/>
                  </w:tcBorders>
                  <w:vAlign w:val="center"/>
                </w:tcPr>
                <w:p w14:paraId="21D30615">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w:t>
                  </w:r>
                </w:p>
              </w:tc>
              <w:tc>
                <w:tcPr>
                  <w:tcW w:w="1155" w:type="pct"/>
                  <w:vMerge w:val="restart"/>
                  <w:tcBorders>
                    <w:tl2br w:val="nil"/>
                    <w:tr2bl w:val="nil"/>
                  </w:tcBorders>
                  <w:vAlign w:val="center"/>
                </w:tcPr>
                <w:p w14:paraId="79E2A46E">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eastAsia="宋体"/>
                      <w:color w:val="auto"/>
                      <w:sz w:val="18"/>
                      <w:szCs w:val="18"/>
                      <w:vertAlign w:val="baseline"/>
                      <w:lang w:val="en-US" w:eastAsia="zh-CN"/>
                    </w:rPr>
                  </w:pPr>
                  <w:r>
                    <w:rPr>
                      <w:rFonts w:hint="eastAsia"/>
                      <w:color w:val="auto"/>
                      <w:sz w:val="18"/>
                      <w:szCs w:val="18"/>
                      <w:lang w:eastAsia="zh-CN"/>
                    </w:rPr>
                    <w:t>《</w:t>
                  </w:r>
                  <w:r>
                    <w:rPr>
                      <w:rFonts w:hint="eastAsia"/>
                      <w:color w:val="auto"/>
                      <w:sz w:val="18"/>
                      <w:szCs w:val="18"/>
                    </w:rPr>
                    <w:t>山西省工业炉窑大气污染综合治理实施方案》（晋环大气[2019]164号）</w:t>
                  </w:r>
                  <w:r>
                    <w:rPr>
                      <w:rFonts w:hint="eastAsia"/>
                      <w:color w:val="auto"/>
                      <w:sz w:val="18"/>
                      <w:szCs w:val="18"/>
                      <w:lang w:val="en-US" w:eastAsia="zh-CN"/>
                    </w:rPr>
                    <w:t>限值要求</w:t>
                  </w:r>
                </w:p>
              </w:tc>
            </w:tr>
            <w:tr w14:paraId="71FD9A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49" w:type="pct"/>
                  <w:vMerge w:val="continue"/>
                  <w:tcBorders>
                    <w:tl2br w:val="nil"/>
                    <w:tr2bl w:val="nil"/>
                  </w:tcBorders>
                  <w:vAlign w:val="center"/>
                </w:tcPr>
                <w:p w14:paraId="6044CA55">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color w:val="auto"/>
                      <w:sz w:val="18"/>
                      <w:szCs w:val="18"/>
                      <w:vertAlign w:val="baseline"/>
                      <w:lang w:eastAsia="zh-CN"/>
                    </w:rPr>
                  </w:pPr>
                </w:p>
              </w:tc>
              <w:tc>
                <w:tcPr>
                  <w:tcW w:w="442" w:type="pct"/>
                  <w:vMerge w:val="continue"/>
                  <w:tcBorders>
                    <w:tl2br w:val="nil"/>
                    <w:tr2bl w:val="nil"/>
                  </w:tcBorders>
                  <w:vAlign w:val="center"/>
                </w:tcPr>
                <w:p w14:paraId="0754F6E0">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color w:val="auto"/>
                      <w:sz w:val="18"/>
                      <w:szCs w:val="18"/>
                      <w:vertAlign w:val="baseline"/>
                      <w:lang w:val="en-US" w:eastAsia="zh-CN"/>
                    </w:rPr>
                  </w:pPr>
                </w:p>
              </w:tc>
              <w:tc>
                <w:tcPr>
                  <w:tcW w:w="737" w:type="pct"/>
                  <w:tcBorders>
                    <w:tl2br w:val="nil"/>
                    <w:tr2bl w:val="nil"/>
                  </w:tcBorders>
                  <w:shd w:val="clear" w:color="auto" w:fill="auto"/>
                  <w:vAlign w:val="center"/>
                </w:tcPr>
                <w:p w14:paraId="77B8416D">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s="Times New Roman"/>
                      <w:color w:val="auto"/>
                      <w:kern w:val="2"/>
                      <w:sz w:val="18"/>
                      <w:szCs w:val="18"/>
                      <w:vertAlign w:val="baseline"/>
                      <w:lang w:val="en-US" w:eastAsia="zh-CN" w:bidi="ar-SA"/>
                    </w:rPr>
                  </w:pPr>
                  <w:r>
                    <w:rPr>
                      <w:rFonts w:hint="eastAsia"/>
                      <w:color w:val="auto"/>
                      <w:sz w:val="18"/>
                      <w:szCs w:val="18"/>
                      <w:vertAlign w:val="baseline"/>
                      <w:lang w:val="en-US" w:eastAsia="zh-CN"/>
                    </w:rPr>
                    <w:t>颗粒物</w:t>
                  </w:r>
                </w:p>
              </w:tc>
              <w:tc>
                <w:tcPr>
                  <w:tcW w:w="664" w:type="pct"/>
                  <w:tcBorders>
                    <w:tl2br w:val="nil"/>
                    <w:tr2bl w:val="nil"/>
                  </w:tcBorders>
                  <w:shd w:val="clear" w:color="auto" w:fill="auto"/>
                  <w:vAlign w:val="center"/>
                </w:tcPr>
                <w:p w14:paraId="142F39FF">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s="Times New Roman"/>
                      <w:color w:val="auto"/>
                      <w:kern w:val="2"/>
                      <w:sz w:val="18"/>
                      <w:szCs w:val="18"/>
                      <w:vertAlign w:val="baseline"/>
                      <w:lang w:val="en-US" w:eastAsia="zh-CN" w:bidi="ar-SA"/>
                    </w:rPr>
                  </w:pPr>
                  <w:r>
                    <w:rPr>
                      <w:rFonts w:hint="eastAsia"/>
                      <w:color w:val="auto"/>
                      <w:sz w:val="18"/>
                      <w:szCs w:val="18"/>
                      <w:vertAlign w:val="baseline"/>
                      <w:lang w:val="en-US" w:eastAsia="zh-CN"/>
                    </w:rPr>
                    <w:t>30</w:t>
                  </w:r>
                </w:p>
              </w:tc>
              <w:tc>
                <w:tcPr>
                  <w:tcW w:w="1073" w:type="pct"/>
                  <w:gridSpan w:val="2"/>
                  <w:vMerge w:val="restart"/>
                  <w:tcBorders>
                    <w:tl2br w:val="nil"/>
                    <w:tr2bl w:val="nil"/>
                  </w:tcBorders>
                  <w:vAlign w:val="center"/>
                </w:tcPr>
                <w:p w14:paraId="448EFC8C">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烟囱或烟道</w:t>
                  </w:r>
                </w:p>
              </w:tc>
              <w:tc>
                <w:tcPr>
                  <w:tcW w:w="678" w:type="pct"/>
                  <w:tcBorders>
                    <w:tl2br w:val="nil"/>
                    <w:tr2bl w:val="nil"/>
                  </w:tcBorders>
                  <w:vAlign w:val="center"/>
                </w:tcPr>
                <w:p w14:paraId="2E36AD5D">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color w:val="auto"/>
                      <w:sz w:val="18"/>
                      <w:szCs w:val="18"/>
                      <w:vertAlign w:val="baseline"/>
                      <w:lang w:val="en-US" w:eastAsia="zh-CN"/>
                    </w:rPr>
                  </w:pPr>
                </w:p>
              </w:tc>
              <w:tc>
                <w:tcPr>
                  <w:tcW w:w="1155" w:type="pct"/>
                  <w:vMerge w:val="continue"/>
                  <w:tcBorders>
                    <w:tl2br w:val="nil"/>
                    <w:tr2bl w:val="nil"/>
                  </w:tcBorders>
                  <w:vAlign w:val="center"/>
                </w:tcPr>
                <w:p w14:paraId="0510EFB1">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color w:val="auto"/>
                      <w:sz w:val="18"/>
                      <w:szCs w:val="18"/>
                    </w:rPr>
                  </w:pPr>
                </w:p>
              </w:tc>
            </w:tr>
            <w:tr w14:paraId="309C03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49" w:type="pct"/>
                  <w:vMerge w:val="continue"/>
                  <w:tcBorders>
                    <w:tl2br w:val="nil"/>
                    <w:tr2bl w:val="nil"/>
                  </w:tcBorders>
                  <w:vAlign w:val="center"/>
                </w:tcPr>
                <w:p w14:paraId="2FA015DF">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color w:val="auto"/>
                      <w:sz w:val="18"/>
                      <w:szCs w:val="18"/>
                      <w:vertAlign w:val="baseline"/>
                      <w:lang w:eastAsia="zh-CN"/>
                    </w:rPr>
                  </w:pPr>
                </w:p>
              </w:tc>
              <w:tc>
                <w:tcPr>
                  <w:tcW w:w="442" w:type="pct"/>
                  <w:vMerge w:val="continue"/>
                  <w:tcBorders>
                    <w:tl2br w:val="nil"/>
                    <w:tr2bl w:val="nil"/>
                  </w:tcBorders>
                  <w:vAlign w:val="center"/>
                </w:tcPr>
                <w:p w14:paraId="7940A23E">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color w:val="auto"/>
                      <w:sz w:val="18"/>
                      <w:szCs w:val="18"/>
                      <w:vertAlign w:val="baseline"/>
                      <w:lang w:eastAsia="zh-CN"/>
                    </w:rPr>
                  </w:pPr>
                </w:p>
              </w:tc>
              <w:tc>
                <w:tcPr>
                  <w:tcW w:w="737" w:type="pct"/>
                  <w:tcBorders>
                    <w:tl2br w:val="nil"/>
                    <w:tr2bl w:val="nil"/>
                  </w:tcBorders>
                  <w:vAlign w:val="center"/>
                </w:tcPr>
                <w:p w14:paraId="57398C86">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二氧化硫</w:t>
                  </w:r>
                </w:p>
              </w:tc>
              <w:tc>
                <w:tcPr>
                  <w:tcW w:w="664" w:type="pct"/>
                  <w:tcBorders>
                    <w:tl2br w:val="nil"/>
                    <w:tr2bl w:val="nil"/>
                  </w:tcBorders>
                  <w:vAlign w:val="center"/>
                </w:tcPr>
                <w:p w14:paraId="2187B068">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200</w:t>
                  </w:r>
                </w:p>
              </w:tc>
              <w:tc>
                <w:tcPr>
                  <w:tcW w:w="1073" w:type="pct"/>
                  <w:gridSpan w:val="2"/>
                  <w:vMerge w:val="continue"/>
                  <w:tcBorders>
                    <w:tl2br w:val="nil"/>
                    <w:tr2bl w:val="nil"/>
                  </w:tcBorders>
                  <w:vAlign w:val="center"/>
                </w:tcPr>
                <w:p w14:paraId="17449058">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p>
              </w:tc>
              <w:tc>
                <w:tcPr>
                  <w:tcW w:w="678" w:type="pct"/>
                  <w:tcBorders>
                    <w:tl2br w:val="nil"/>
                    <w:tr2bl w:val="nil"/>
                  </w:tcBorders>
                  <w:vAlign w:val="center"/>
                </w:tcPr>
                <w:p w14:paraId="47B168AE">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w:t>
                  </w:r>
                </w:p>
              </w:tc>
              <w:tc>
                <w:tcPr>
                  <w:tcW w:w="1155" w:type="pct"/>
                  <w:vMerge w:val="continue"/>
                  <w:tcBorders>
                    <w:tl2br w:val="nil"/>
                    <w:tr2bl w:val="nil"/>
                  </w:tcBorders>
                  <w:vAlign w:val="center"/>
                </w:tcPr>
                <w:p w14:paraId="7632BDBC">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color w:val="auto"/>
                      <w:sz w:val="18"/>
                      <w:szCs w:val="18"/>
                      <w:vertAlign w:val="baseline"/>
                      <w:lang w:eastAsia="zh-CN"/>
                    </w:rPr>
                  </w:pPr>
                </w:p>
              </w:tc>
            </w:tr>
            <w:tr w14:paraId="47A235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49" w:type="pct"/>
                  <w:vMerge w:val="continue"/>
                  <w:tcBorders>
                    <w:tl2br w:val="nil"/>
                    <w:tr2bl w:val="nil"/>
                  </w:tcBorders>
                  <w:vAlign w:val="center"/>
                </w:tcPr>
                <w:p w14:paraId="09C9EA49">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color w:val="auto"/>
                      <w:sz w:val="18"/>
                      <w:szCs w:val="18"/>
                      <w:vertAlign w:val="baseline"/>
                      <w:lang w:eastAsia="zh-CN"/>
                    </w:rPr>
                  </w:pPr>
                </w:p>
              </w:tc>
              <w:tc>
                <w:tcPr>
                  <w:tcW w:w="442" w:type="pct"/>
                  <w:vMerge w:val="continue"/>
                  <w:tcBorders>
                    <w:tl2br w:val="nil"/>
                    <w:tr2bl w:val="nil"/>
                  </w:tcBorders>
                  <w:vAlign w:val="center"/>
                </w:tcPr>
                <w:p w14:paraId="7FF5ED21">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color w:val="auto"/>
                      <w:sz w:val="18"/>
                      <w:szCs w:val="18"/>
                      <w:vertAlign w:val="baseline"/>
                      <w:lang w:eastAsia="zh-CN"/>
                    </w:rPr>
                  </w:pPr>
                </w:p>
              </w:tc>
              <w:tc>
                <w:tcPr>
                  <w:tcW w:w="737" w:type="pct"/>
                  <w:tcBorders>
                    <w:tl2br w:val="nil"/>
                    <w:tr2bl w:val="nil"/>
                  </w:tcBorders>
                  <w:vAlign w:val="center"/>
                </w:tcPr>
                <w:p w14:paraId="6FC4775D">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氮氧化物</w:t>
                  </w:r>
                </w:p>
              </w:tc>
              <w:tc>
                <w:tcPr>
                  <w:tcW w:w="664" w:type="pct"/>
                  <w:tcBorders>
                    <w:tl2br w:val="nil"/>
                    <w:tr2bl w:val="nil"/>
                  </w:tcBorders>
                  <w:vAlign w:val="center"/>
                </w:tcPr>
                <w:p w14:paraId="1C7205BD">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300</w:t>
                  </w:r>
                </w:p>
              </w:tc>
              <w:tc>
                <w:tcPr>
                  <w:tcW w:w="1073" w:type="pct"/>
                  <w:gridSpan w:val="2"/>
                  <w:vMerge w:val="continue"/>
                  <w:tcBorders>
                    <w:tl2br w:val="nil"/>
                    <w:tr2bl w:val="nil"/>
                  </w:tcBorders>
                  <w:vAlign w:val="center"/>
                </w:tcPr>
                <w:p w14:paraId="76862486">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p>
              </w:tc>
              <w:tc>
                <w:tcPr>
                  <w:tcW w:w="678" w:type="pct"/>
                  <w:tcBorders>
                    <w:tl2br w:val="nil"/>
                    <w:tr2bl w:val="nil"/>
                  </w:tcBorders>
                  <w:vAlign w:val="center"/>
                </w:tcPr>
                <w:p w14:paraId="3B8B058B">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w:t>
                  </w:r>
                </w:p>
              </w:tc>
              <w:tc>
                <w:tcPr>
                  <w:tcW w:w="1155" w:type="pct"/>
                  <w:vMerge w:val="continue"/>
                  <w:tcBorders>
                    <w:tl2br w:val="nil"/>
                    <w:tr2bl w:val="nil"/>
                  </w:tcBorders>
                  <w:vAlign w:val="center"/>
                </w:tcPr>
                <w:p w14:paraId="51D0CE4C">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color w:val="auto"/>
                      <w:sz w:val="18"/>
                      <w:szCs w:val="18"/>
                      <w:vertAlign w:val="baseline"/>
                      <w:lang w:eastAsia="zh-CN"/>
                    </w:rPr>
                  </w:pPr>
                </w:p>
              </w:tc>
            </w:tr>
            <w:tr w14:paraId="34C7B6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49" w:type="pct"/>
                  <w:vMerge w:val="continue"/>
                  <w:tcBorders>
                    <w:tl2br w:val="nil"/>
                    <w:tr2bl w:val="nil"/>
                  </w:tcBorders>
                  <w:vAlign w:val="center"/>
                </w:tcPr>
                <w:p w14:paraId="20355606">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color w:val="auto"/>
                      <w:sz w:val="18"/>
                      <w:szCs w:val="18"/>
                      <w:vertAlign w:val="baseline"/>
                      <w:lang w:eastAsia="zh-CN"/>
                    </w:rPr>
                  </w:pPr>
                </w:p>
              </w:tc>
              <w:tc>
                <w:tcPr>
                  <w:tcW w:w="442" w:type="pct"/>
                  <w:vMerge w:val="restart"/>
                  <w:tcBorders>
                    <w:tl2br w:val="nil"/>
                    <w:tr2bl w:val="nil"/>
                  </w:tcBorders>
                  <w:vAlign w:val="center"/>
                </w:tcPr>
                <w:p w14:paraId="4EEB5722">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导热油炉烟气</w:t>
                  </w:r>
                </w:p>
              </w:tc>
              <w:tc>
                <w:tcPr>
                  <w:tcW w:w="737" w:type="pct"/>
                  <w:tcBorders>
                    <w:tl2br w:val="nil"/>
                    <w:tr2bl w:val="nil"/>
                  </w:tcBorders>
                  <w:vAlign w:val="center"/>
                </w:tcPr>
                <w:p w14:paraId="0A324FB3">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污染物</w:t>
                  </w:r>
                </w:p>
              </w:tc>
              <w:tc>
                <w:tcPr>
                  <w:tcW w:w="664" w:type="pct"/>
                  <w:tcBorders>
                    <w:tl2br w:val="nil"/>
                    <w:tr2bl w:val="nil"/>
                  </w:tcBorders>
                  <w:vAlign w:val="center"/>
                </w:tcPr>
                <w:p w14:paraId="6C9019F1">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执行标准限值（mg/m</w:t>
                  </w:r>
                  <w:r>
                    <w:rPr>
                      <w:rFonts w:hint="eastAsia"/>
                      <w:color w:val="auto"/>
                      <w:sz w:val="18"/>
                      <w:szCs w:val="18"/>
                      <w:vertAlign w:val="superscript"/>
                      <w:lang w:val="en-US" w:eastAsia="zh-CN"/>
                    </w:rPr>
                    <w:t>3</w:t>
                  </w:r>
                  <w:r>
                    <w:rPr>
                      <w:rFonts w:hint="eastAsia"/>
                      <w:color w:val="auto"/>
                      <w:sz w:val="18"/>
                      <w:szCs w:val="18"/>
                      <w:vertAlign w:val="baseline"/>
                      <w:lang w:val="en-US" w:eastAsia="zh-CN"/>
                    </w:rPr>
                    <w:t>）</w:t>
                  </w:r>
                </w:p>
              </w:tc>
              <w:tc>
                <w:tcPr>
                  <w:tcW w:w="1073" w:type="pct"/>
                  <w:gridSpan w:val="2"/>
                  <w:tcBorders>
                    <w:tl2br w:val="nil"/>
                    <w:tr2bl w:val="nil"/>
                  </w:tcBorders>
                  <w:vAlign w:val="center"/>
                </w:tcPr>
                <w:p w14:paraId="1A048B3E">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color w:val="auto"/>
                      <w:sz w:val="18"/>
                      <w:szCs w:val="18"/>
                      <w:vertAlign w:val="baseline"/>
                      <w:lang w:eastAsia="zh-CN"/>
                    </w:rPr>
                  </w:pPr>
                  <w:r>
                    <w:rPr>
                      <w:rFonts w:hint="eastAsia"/>
                      <w:color w:val="auto"/>
                      <w:sz w:val="18"/>
                      <w:szCs w:val="18"/>
                      <w:vertAlign w:val="baseline"/>
                      <w:lang w:val="en-US" w:eastAsia="zh-CN"/>
                    </w:rPr>
                    <w:t>污染物排放监控位置</w:t>
                  </w:r>
                </w:p>
              </w:tc>
              <w:tc>
                <w:tcPr>
                  <w:tcW w:w="678" w:type="pct"/>
                  <w:tcBorders>
                    <w:tl2br w:val="nil"/>
                    <w:tr2bl w:val="nil"/>
                  </w:tcBorders>
                  <w:vAlign w:val="center"/>
                </w:tcPr>
                <w:p w14:paraId="09D77C5B">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w:t>
                  </w:r>
                </w:p>
              </w:tc>
              <w:tc>
                <w:tcPr>
                  <w:tcW w:w="1155" w:type="pct"/>
                  <w:vMerge w:val="restart"/>
                  <w:tcBorders>
                    <w:tl2br w:val="nil"/>
                    <w:tr2bl w:val="nil"/>
                  </w:tcBorders>
                  <w:vAlign w:val="center"/>
                </w:tcPr>
                <w:p w14:paraId="286E94BC">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color w:val="auto"/>
                      <w:sz w:val="18"/>
                      <w:szCs w:val="18"/>
                      <w:vertAlign w:val="baseline"/>
                      <w:lang w:eastAsia="zh-CN"/>
                    </w:rPr>
                  </w:pPr>
                  <w:r>
                    <w:rPr>
                      <w:rFonts w:hint="eastAsia"/>
                      <w:color w:val="auto"/>
                      <w:sz w:val="18"/>
                      <w:szCs w:val="18"/>
                      <w:lang w:eastAsia="zh-CN"/>
                    </w:rPr>
                    <w:t>《</w:t>
                  </w:r>
                  <w:r>
                    <w:rPr>
                      <w:rFonts w:hint="eastAsia"/>
                      <w:color w:val="auto"/>
                      <w:sz w:val="18"/>
                      <w:szCs w:val="18"/>
                    </w:rPr>
                    <w:t>锅炉大气污染物排放标准》（DB14/1929-2019）中表4规定的燃油锅炉标准</w:t>
                  </w:r>
                </w:p>
              </w:tc>
            </w:tr>
            <w:tr w14:paraId="17833C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49" w:type="pct"/>
                  <w:vMerge w:val="continue"/>
                  <w:tcBorders>
                    <w:tl2br w:val="nil"/>
                    <w:tr2bl w:val="nil"/>
                  </w:tcBorders>
                  <w:vAlign w:val="center"/>
                </w:tcPr>
                <w:p w14:paraId="78153476">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color w:val="auto"/>
                      <w:sz w:val="18"/>
                      <w:szCs w:val="18"/>
                      <w:vertAlign w:val="baseline"/>
                      <w:lang w:eastAsia="zh-CN"/>
                    </w:rPr>
                  </w:pPr>
                </w:p>
              </w:tc>
              <w:tc>
                <w:tcPr>
                  <w:tcW w:w="442" w:type="pct"/>
                  <w:vMerge w:val="continue"/>
                  <w:tcBorders>
                    <w:tl2br w:val="nil"/>
                    <w:tr2bl w:val="nil"/>
                  </w:tcBorders>
                  <w:vAlign w:val="center"/>
                </w:tcPr>
                <w:p w14:paraId="6D90F260">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color w:val="auto"/>
                      <w:sz w:val="18"/>
                      <w:szCs w:val="18"/>
                      <w:vertAlign w:val="baseline"/>
                      <w:lang w:val="en-US" w:eastAsia="zh-CN"/>
                    </w:rPr>
                  </w:pPr>
                </w:p>
              </w:tc>
              <w:tc>
                <w:tcPr>
                  <w:tcW w:w="737" w:type="pct"/>
                  <w:tcBorders>
                    <w:tl2br w:val="nil"/>
                    <w:tr2bl w:val="nil"/>
                  </w:tcBorders>
                  <w:shd w:val="clear" w:color="auto" w:fill="auto"/>
                  <w:vAlign w:val="center"/>
                </w:tcPr>
                <w:p w14:paraId="274A6873">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s="Times New Roman"/>
                      <w:color w:val="auto"/>
                      <w:kern w:val="2"/>
                      <w:sz w:val="18"/>
                      <w:szCs w:val="18"/>
                      <w:vertAlign w:val="baseline"/>
                      <w:lang w:val="en-US" w:eastAsia="zh-CN" w:bidi="ar-SA"/>
                    </w:rPr>
                  </w:pPr>
                  <w:r>
                    <w:rPr>
                      <w:rFonts w:hint="eastAsia"/>
                      <w:color w:val="auto"/>
                      <w:sz w:val="18"/>
                      <w:szCs w:val="18"/>
                      <w:vertAlign w:val="baseline"/>
                      <w:lang w:val="en-US" w:eastAsia="zh-CN"/>
                    </w:rPr>
                    <w:t>颗粒物</w:t>
                  </w:r>
                </w:p>
              </w:tc>
              <w:tc>
                <w:tcPr>
                  <w:tcW w:w="664" w:type="pct"/>
                  <w:tcBorders>
                    <w:tl2br w:val="nil"/>
                    <w:tr2bl w:val="nil"/>
                  </w:tcBorders>
                  <w:shd w:val="clear" w:color="auto" w:fill="auto"/>
                  <w:vAlign w:val="center"/>
                </w:tcPr>
                <w:p w14:paraId="21C993CC">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s="Times New Roman"/>
                      <w:color w:val="auto"/>
                      <w:kern w:val="2"/>
                      <w:sz w:val="18"/>
                      <w:szCs w:val="18"/>
                      <w:vertAlign w:val="baseline"/>
                      <w:lang w:val="en-US" w:eastAsia="zh-CN" w:bidi="ar-SA"/>
                    </w:rPr>
                  </w:pPr>
                  <w:r>
                    <w:rPr>
                      <w:rFonts w:hint="eastAsia"/>
                      <w:color w:val="auto"/>
                      <w:sz w:val="18"/>
                      <w:szCs w:val="18"/>
                      <w:vertAlign w:val="baseline"/>
                      <w:lang w:val="en-US" w:eastAsia="zh-CN"/>
                    </w:rPr>
                    <w:t>10</w:t>
                  </w:r>
                </w:p>
              </w:tc>
              <w:tc>
                <w:tcPr>
                  <w:tcW w:w="1073" w:type="pct"/>
                  <w:gridSpan w:val="2"/>
                  <w:vMerge w:val="restart"/>
                  <w:tcBorders>
                    <w:tl2br w:val="nil"/>
                    <w:tr2bl w:val="nil"/>
                  </w:tcBorders>
                  <w:vAlign w:val="center"/>
                </w:tcPr>
                <w:p w14:paraId="51EED606">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color w:val="auto"/>
                      <w:sz w:val="18"/>
                      <w:szCs w:val="18"/>
                      <w:vertAlign w:val="baseline"/>
                      <w:lang w:eastAsia="zh-CN"/>
                    </w:rPr>
                  </w:pPr>
                  <w:r>
                    <w:rPr>
                      <w:rFonts w:hint="eastAsia"/>
                      <w:color w:val="auto"/>
                      <w:sz w:val="18"/>
                      <w:szCs w:val="18"/>
                      <w:vertAlign w:val="baseline"/>
                      <w:lang w:val="en-US" w:eastAsia="zh-CN"/>
                    </w:rPr>
                    <w:t>烟囱或烟道</w:t>
                  </w:r>
                </w:p>
              </w:tc>
              <w:tc>
                <w:tcPr>
                  <w:tcW w:w="678" w:type="pct"/>
                  <w:tcBorders>
                    <w:tl2br w:val="nil"/>
                    <w:tr2bl w:val="nil"/>
                  </w:tcBorders>
                  <w:vAlign w:val="center"/>
                </w:tcPr>
                <w:p w14:paraId="047200FA">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w:t>
                  </w:r>
                </w:p>
              </w:tc>
              <w:tc>
                <w:tcPr>
                  <w:tcW w:w="1155" w:type="pct"/>
                  <w:vMerge w:val="continue"/>
                  <w:tcBorders>
                    <w:tl2br w:val="nil"/>
                    <w:tr2bl w:val="nil"/>
                  </w:tcBorders>
                  <w:vAlign w:val="center"/>
                </w:tcPr>
                <w:p w14:paraId="2234A4E5">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color w:val="auto"/>
                      <w:sz w:val="18"/>
                      <w:szCs w:val="18"/>
                    </w:rPr>
                  </w:pPr>
                </w:p>
              </w:tc>
            </w:tr>
            <w:tr w14:paraId="716089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49" w:type="pct"/>
                  <w:vMerge w:val="continue"/>
                  <w:tcBorders>
                    <w:tl2br w:val="nil"/>
                    <w:tr2bl w:val="nil"/>
                  </w:tcBorders>
                  <w:vAlign w:val="center"/>
                </w:tcPr>
                <w:p w14:paraId="2DABA64B">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color w:val="auto"/>
                      <w:sz w:val="18"/>
                      <w:szCs w:val="18"/>
                      <w:vertAlign w:val="baseline"/>
                      <w:lang w:eastAsia="zh-CN"/>
                    </w:rPr>
                  </w:pPr>
                </w:p>
              </w:tc>
              <w:tc>
                <w:tcPr>
                  <w:tcW w:w="442" w:type="pct"/>
                  <w:vMerge w:val="continue"/>
                  <w:tcBorders>
                    <w:tl2br w:val="nil"/>
                    <w:tr2bl w:val="nil"/>
                  </w:tcBorders>
                  <w:vAlign w:val="center"/>
                </w:tcPr>
                <w:p w14:paraId="42B6C582">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color w:val="auto"/>
                      <w:sz w:val="18"/>
                      <w:szCs w:val="18"/>
                      <w:vertAlign w:val="baseline"/>
                      <w:lang w:eastAsia="zh-CN"/>
                    </w:rPr>
                  </w:pPr>
                </w:p>
              </w:tc>
              <w:tc>
                <w:tcPr>
                  <w:tcW w:w="737" w:type="pct"/>
                  <w:tcBorders>
                    <w:tl2br w:val="nil"/>
                    <w:tr2bl w:val="nil"/>
                  </w:tcBorders>
                  <w:vAlign w:val="center"/>
                </w:tcPr>
                <w:p w14:paraId="08E13F8B">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color w:val="auto"/>
                      <w:sz w:val="18"/>
                      <w:szCs w:val="18"/>
                      <w:vertAlign w:val="baseline"/>
                      <w:lang w:eastAsia="zh-CN"/>
                    </w:rPr>
                  </w:pPr>
                  <w:r>
                    <w:rPr>
                      <w:rFonts w:hint="eastAsia"/>
                      <w:color w:val="auto"/>
                      <w:sz w:val="18"/>
                      <w:szCs w:val="18"/>
                      <w:vertAlign w:val="baseline"/>
                      <w:lang w:val="en-US" w:eastAsia="zh-CN"/>
                    </w:rPr>
                    <w:t>二氧化硫</w:t>
                  </w:r>
                </w:p>
              </w:tc>
              <w:tc>
                <w:tcPr>
                  <w:tcW w:w="664" w:type="pct"/>
                  <w:tcBorders>
                    <w:tl2br w:val="nil"/>
                    <w:tr2bl w:val="nil"/>
                  </w:tcBorders>
                  <w:vAlign w:val="center"/>
                </w:tcPr>
                <w:p w14:paraId="06A10588">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35</w:t>
                  </w:r>
                </w:p>
              </w:tc>
              <w:tc>
                <w:tcPr>
                  <w:tcW w:w="1073" w:type="pct"/>
                  <w:gridSpan w:val="2"/>
                  <w:vMerge w:val="continue"/>
                  <w:tcBorders>
                    <w:tl2br w:val="nil"/>
                    <w:tr2bl w:val="nil"/>
                  </w:tcBorders>
                  <w:vAlign w:val="center"/>
                </w:tcPr>
                <w:p w14:paraId="05C14470">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color w:val="auto"/>
                      <w:sz w:val="18"/>
                      <w:szCs w:val="18"/>
                      <w:vertAlign w:val="baseline"/>
                      <w:lang w:eastAsia="zh-CN"/>
                    </w:rPr>
                  </w:pPr>
                </w:p>
              </w:tc>
              <w:tc>
                <w:tcPr>
                  <w:tcW w:w="678" w:type="pct"/>
                  <w:tcBorders>
                    <w:tl2br w:val="nil"/>
                    <w:tr2bl w:val="nil"/>
                  </w:tcBorders>
                  <w:vAlign w:val="center"/>
                </w:tcPr>
                <w:p w14:paraId="3F36B9E2">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w:t>
                  </w:r>
                </w:p>
              </w:tc>
              <w:tc>
                <w:tcPr>
                  <w:tcW w:w="1155" w:type="pct"/>
                  <w:vMerge w:val="continue"/>
                  <w:tcBorders>
                    <w:tl2br w:val="nil"/>
                    <w:tr2bl w:val="nil"/>
                  </w:tcBorders>
                  <w:vAlign w:val="center"/>
                </w:tcPr>
                <w:p w14:paraId="2E80BAF6">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color w:val="auto"/>
                      <w:sz w:val="18"/>
                      <w:szCs w:val="18"/>
                      <w:vertAlign w:val="baseline"/>
                      <w:lang w:eastAsia="zh-CN"/>
                    </w:rPr>
                  </w:pPr>
                </w:p>
              </w:tc>
            </w:tr>
            <w:tr w14:paraId="62F660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49" w:type="pct"/>
                  <w:vMerge w:val="continue"/>
                  <w:tcBorders>
                    <w:tl2br w:val="nil"/>
                    <w:tr2bl w:val="nil"/>
                  </w:tcBorders>
                  <w:vAlign w:val="center"/>
                </w:tcPr>
                <w:p w14:paraId="526F3BD7">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color w:val="auto"/>
                      <w:sz w:val="18"/>
                      <w:szCs w:val="18"/>
                      <w:vertAlign w:val="baseline"/>
                      <w:lang w:eastAsia="zh-CN"/>
                    </w:rPr>
                  </w:pPr>
                </w:p>
              </w:tc>
              <w:tc>
                <w:tcPr>
                  <w:tcW w:w="442" w:type="pct"/>
                  <w:vMerge w:val="continue"/>
                  <w:tcBorders>
                    <w:tl2br w:val="nil"/>
                    <w:tr2bl w:val="nil"/>
                  </w:tcBorders>
                  <w:vAlign w:val="center"/>
                </w:tcPr>
                <w:p w14:paraId="77C5B547">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color w:val="auto"/>
                      <w:sz w:val="18"/>
                      <w:szCs w:val="18"/>
                      <w:vertAlign w:val="baseline"/>
                      <w:lang w:eastAsia="zh-CN"/>
                    </w:rPr>
                  </w:pPr>
                </w:p>
              </w:tc>
              <w:tc>
                <w:tcPr>
                  <w:tcW w:w="737" w:type="pct"/>
                  <w:tcBorders>
                    <w:tl2br w:val="nil"/>
                    <w:tr2bl w:val="nil"/>
                  </w:tcBorders>
                  <w:shd w:val="clear" w:color="auto" w:fill="auto"/>
                  <w:vAlign w:val="center"/>
                </w:tcPr>
                <w:p w14:paraId="61E29E24">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s="Times New Roman"/>
                      <w:color w:val="auto"/>
                      <w:kern w:val="2"/>
                      <w:sz w:val="18"/>
                      <w:szCs w:val="18"/>
                      <w:vertAlign w:val="baseline"/>
                      <w:lang w:val="en-US" w:eastAsia="zh-CN" w:bidi="ar-SA"/>
                    </w:rPr>
                  </w:pPr>
                  <w:r>
                    <w:rPr>
                      <w:rFonts w:hint="eastAsia"/>
                      <w:color w:val="auto"/>
                      <w:sz w:val="18"/>
                      <w:szCs w:val="18"/>
                      <w:vertAlign w:val="baseline"/>
                      <w:lang w:val="en-US" w:eastAsia="zh-CN"/>
                    </w:rPr>
                    <w:t>氮氧化物</w:t>
                  </w:r>
                </w:p>
              </w:tc>
              <w:tc>
                <w:tcPr>
                  <w:tcW w:w="664" w:type="pct"/>
                  <w:tcBorders>
                    <w:tl2br w:val="nil"/>
                    <w:tr2bl w:val="nil"/>
                  </w:tcBorders>
                  <w:shd w:val="clear" w:color="auto" w:fill="auto"/>
                  <w:vAlign w:val="center"/>
                </w:tcPr>
                <w:p w14:paraId="3BF5AD49">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color w:val="auto"/>
                      <w:kern w:val="2"/>
                      <w:sz w:val="18"/>
                      <w:szCs w:val="18"/>
                      <w:vertAlign w:val="baseline"/>
                      <w:lang w:val="en-US" w:eastAsia="zh-CN" w:bidi="ar-SA"/>
                    </w:rPr>
                  </w:pPr>
                  <w:r>
                    <w:rPr>
                      <w:rFonts w:hint="eastAsia"/>
                      <w:color w:val="auto"/>
                      <w:sz w:val="18"/>
                      <w:szCs w:val="18"/>
                      <w:vertAlign w:val="baseline"/>
                      <w:lang w:val="en-US" w:eastAsia="zh-CN"/>
                    </w:rPr>
                    <w:t>100</w:t>
                  </w:r>
                </w:p>
              </w:tc>
              <w:tc>
                <w:tcPr>
                  <w:tcW w:w="1073" w:type="pct"/>
                  <w:gridSpan w:val="2"/>
                  <w:vMerge w:val="continue"/>
                  <w:tcBorders>
                    <w:tl2br w:val="nil"/>
                    <w:tr2bl w:val="nil"/>
                  </w:tcBorders>
                  <w:vAlign w:val="center"/>
                </w:tcPr>
                <w:p w14:paraId="0E6F26C3">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color w:val="auto"/>
                      <w:sz w:val="18"/>
                      <w:szCs w:val="18"/>
                      <w:vertAlign w:val="baseline"/>
                      <w:lang w:eastAsia="zh-CN"/>
                    </w:rPr>
                  </w:pPr>
                </w:p>
              </w:tc>
              <w:tc>
                <w:tcPr>
                  <w:tcW w:w="678" w:type="pct"/>
                  <w:tcBorders>
                    <w:tl2br w:val="nil"/>
                    <w:tr2bl w:val="nil"/>
                  </w:tcBorders>
                  <w:vAlign w:val="center"/>
                </w:tcPr>
                <w:p w14:paraId="4308B8EE">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w:t>
                  </w:r>
                </w:p>
              </w:tc>
              <w:tc>
                <w:tcPr>
                  <w:tcW w:w="1155" w:type="pct"/>
                  <w:vMerge w:val="continue"/>
                  <w:tcBorders>
                    <w:tl2br w:val="nil"/>
                    <w:tr2bl w:val="nil"/>
                  </w:tcBorders>
                  <w:vAlign w:val="center"/>
                </w:tcPr>
                <w:p w14:paraId="5C4C8453">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color w:val="auto"/>
                      <w:sz w:val="18"/>
                      <w:szCs w:val="18"/>
                      <w:vertAlign w:val="baseline"/>
                      <w:lang w:eastAsia="zh-CN"/>
                    </w:rPr>
                  </w:pPr>
                </w:p>
              </w:tc>
            </w:tr>
            <w:tr w14:paraId="2321F0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49" w:type="pct"/>
                  <w:vMerge w:val="continue"/>
                  <w:tcBorders>
                    <w:tl2br w:val="nil"/>
                    <w:tr2bl w:val="nil"/>
                  </w:tcBorders>
                  <w:vAlign w:val="center"/>
                </w:tcPr>
                <w:p w14:paraId="5DB89EC0">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color w:val="auto"/>
                      <w:sz w:val="18"/>
                      <w:szCs w:val="18"/>
                      <w:vertAlign w:val="baseline"/>
                      <w:lang w:eastAsia="zh-CN"/>
                    </w:rPr>
                  </w:pPr>
                </w:p>
              </w:tc>
              <w:tc>
                <w:tcPr>
                  <w:tcW w:w="442" w:type="pct"/>
                  <w:vMerge w:val="continue"/>
                  <w:tcBorders>
                    <w:tl2br w:val="nil"/>
                    <w:tr2bl w:val="nil"/>
                  </w:tcBorders>
                  <w:vAlign w:val="center"/>
                </w:tcPr>
                <w:p w14:paraId="00637016">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color w:val="auto"/>
                      <w:sz w:val="18"/>
                      <w:szCs w:val="18"/>
                      <w:vertAlign w:val="baseline"/>
                      <w:lang w:eastAsia="zh-CN"/>
                    </w:rPr>
                  </w:pPr>
                </w:p>
              </w:tc>
              <w:tc>
                <w:tcPr>
                  <w:tcW w:w="737" w:type="pct"/>
                  <w:tcBorders>
                    <w:tl2br w:val="nil"/>
                    <w:tr2bl w:val="nil"/>
                  </w:tcBorders>
                  <w:vAlign w:val="center"/>
                </w:tcPr>
                <w:p w14:paraId="12FE04A1">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烟气黑度（林格曼黑度）</w:t>
                  </w:r>
                </w:p>
              </w:tc>
              <w:tc>
                <w:tcPr>
                  <w:tcW w:w="664" w:type="pct"/>
                  <w:tcBorders>
                    <w:tl2br w:val="nil"/>
                    <w:tr2bl w:val="nil"/>
                  </w:tcBorders>
                  <w:vAlign w:val="center"/>
                </w:tcPr>
                <w:p w14:paraId="53C6ABB7">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≤1</w:t>
                  </w:r>
                </w:p>
              </w:tc>
              <w:tc>
                <w:tcPr>
                  <w:tcW w:w="1073" w:type="pct"/>
                  <w:gridSpan w:val="2"/>
                  <w:tcBorders>
                    <w:tl2br w:val="nil"/>
                    <w:tr2bl w:val="nil"/>
                  </w:tcBorders>
                  <w:vAlign w:val="center"/>
                </w:tcPr>
                <w:p w14:paraId="4165B802">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烟囱或排放口</w:t>
                  </w:r>
                </w:p>
              </w:tc>
              <w:tc>
                <w:tcPr>
                  <w:tcW w:w="678" w:type="pct"/>
                  <w:tcBorders>
                    <w:tl2br w:val="nil"/>
                    <w:tr2bl w:val="nil"/>
                  </w:tcBorders>
                  <w:vAlign w:val="center"/>
                </w:tcPr>
                <w:p w14:paraId="24D67D90">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w:t>
                  </w:r>
                </w:p>
              </w:tc>
              <w:tc>
                <w:tcPr>
                  <w:tcW w:w="1155" w:type="pct"/>
                  <w:vMerge w:val="continue"/>
                  <w:tcBorders>
                    <w:tl2br w:val="nil"/>
                    <w:tr2bl w:val="nil"/>
                  </w:tcBorders>
                  <w:vAlign w:val="center"/>
                </w:tcPr>
                <w:p w14:paraId="57E998CA">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color w:val="auto"/>
                      <w:sz w:val="18"/>
                      <w:szCs w:val="18"/>
                      <w:vertAlign w:val="baseline"/>
                      <w:lang w:eastAsia="zh-CN"/>
                    </w:rPr>
                  </w:pPr>
                </w:p>
              </w:tc>
            </w:tr>
            <w:tr w14:paraId="620123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49" w:type="pct"/>
                  <w:tcBorders>
                    <w:tl2br w:val="nil"/>
                    <w:tr2bl w:val="nil"/>
                  </w:tcBorders>
                  <w:vAlign w:val="center"/>
                </w:tcPr>
                <w:p w14:paraId="20C3F569">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混凝土</w:t>
                  </w:r>
                </w:p>
              </w:tc>
              <w:tc>
                <w:tcPr>
                  <w:tcW w:w="442" w:type="pct"/>
                  <w:tcBorders>
                    <w:tl2br w:val="nil"/>
                    <w:tr2bl w:val="nil"/>
                  </w:tcBorders>
                  <w:vAlign w:val="center"/>
                </w:tcPr>
                <w:p w14:paraId="5FD7EB0B">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混凝土、水稳土搅拌</w:t>
                  </w:r>
                </w:p>
              </w:tc>
              <w:tc>
                <w:tcPr>
                  <w:tcW w:w="737" w:type="pct"/>
                  <w:tcBorders>
                    <w:tl2br w:val="nil"/>
                    <w:tr2bl w:val="nil"/>
                  </w:tcBorders>
                  <w:vAlign w:val="center"/>
                </w:tcPr>
                <w:p w14:paraId="61CCB80E">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颗粒物</w:t>
                  </w:r>
                </w:p>
              </w:tc>
              <w:tc>
                <w:tcPr>
                  <w:tcW w:w="664" w:type="pct"/>
                  <w:tcBorders>
                    <w:tl2br w:val="nil"/>
                    <w:tr2bl w:val="nil"/>
                  </w:tcBorders>
                  <w:vAlign w:val="center"/>
                </w:tcPr>
                <w:p w14:paraId="3B5AF7AD">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10</w:t>
                  </w:r>
                </w:p>
              </w:tc>
              <w:tc>
                <w:tcPr>
                  <w:tcW w:w="1073" w:type="pct"/>
                  <w:gridSpan w:val="2"/>
                  <w:tcBorders>
                    <w:tl2br w:val="nil"/>
                    <w:tr2bl w:val="nil"/>
                  </w:tcBorders>
                  <w:vAlign w:val="center"/>
                </w:tcPr>
                <w:p w14:paraId="59A137A9">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w:t>
                  </w:r>
                </w:p>
              </w:tc>
              <w:tc>
                <w:tcPr>
                  <w:tcW w:w="678" w:type="pct"/>
                  <w:tcBorders>
                    <w:tl2br w:val="nil"/>
                    <w:tr2bl w:val="nil"/>
                  </w:tcBorders>
                  <w:vAlign w:val="center"/>
                </w:tcPr>
                <w:p w14:paraId="079189C4">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5（监控点处1h平均浓度值）</w:t>
                  </w:r>
                </w:p>
              </w:tc>
              <w:tc>
                <w:tcPr>
                  <w:tcW w:w="1155" w:type="pct"/>
                  <w:tcBorders>
                    <w:tl2br w:val="nil"/>
                    <w:tr2bl w:val="nil"/>
                  </w:tcBorders>
                  <w:vAlign w:val="center"/>
                </w:tcPr>
                <w:p w14:paraId="7C5B4A5E">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color w:val="auto"/>
                      <w:sz w:val="18"/>
                      <w:szCs w:val="18"/>
                      <w:vertAlign w:val="baseline"/>
                      <w:lang w:val="en-US" w:eastAsia="zh-CN"/>
                    </w:rPr>
                  </w:pPr>
                  <w:r>
                    <w:rPr>
                      <w:rFonts w:hint="eastAsia"/>
                      <w:color w:val="auto"/>
                      <w:sz w:val="18"/>
                      <w:szCs w:val="18"/>
                      <w:vertAlign w:val="baseline"/>
                      <w:lang w:eastAsia="zh-CN"/>
                    </w:rPr>
                    <w:t>《</w:t>
                  </w:r>
                  <w:r>
                    <w:rPr>
                      <w:rFonts w:hint="eastAsia"/>
                      <w:color w:val="auto"/>
                      <w:sz w:val="18"/>
                      <w:szCs w:val="18"/>
                      <w:vertAlign w:val="baseline"/>
                      <w:lang w:val="en-US" w:eastAsia="zh-CN"/>
                    </w:rPr>
                    <w:t>水泥工业大气污染物排放标准</w:t>
                  </w:r>
                  <w:r>
                    <w:rPr>
                      <w:rFonts w:hint="eastAsia"/>
                      <w:color w:val="auto"/>
                      <w:sz w:val="18"/>
                      <w:szCs w:val="18"/>
                      <w:vertAlign w:val="baseline"/>
                      <w:lang w:eastAsia="zh-CN"/>
                    </w:rPr>
                    <w:t>》（</w:t>
                  </w:r>
                  <w:r>
                    <w:rPr>
                      <w:rFonts w:hint="eastAsia"/>
                      <w:color w:val="auto"/>
                      <w:sz w:val="18"/>
                      <w:szCs w:val="18"/>
                      <w:vertAlign w:val="baseline"/>
                      <w:lang w:val="en-US" w:eastAsia="zh-CN"/>
                    </w:rPr>
                    <w:t>DB14/3176-2024</w:t>
                  </w:r>
                  <w:r>
                    <w:rPr>
                      <w:rFonts w:hint="eastAsia"/>
                      <w:color w:val="auto"/>
                      <w:sz w:val="18"/>
                      <w:szCs w:val="18"/>
                      <w:vertAlign w:val="baseline"/>
                      <w:lang w:eastAsia="zh-CN"/>
                    </w:rPr>
                    <w:t>）</w:t>
                  </w:r>
                  <w:r>
                    <w:rPr>
                      <w:rFonts w:hint="eastAsia"/>
                      <w:color w:val="auto"/>
                      <w:sz w:val="18"/>
                      <w:szCs w:val="18"/>
                      <w:vertAlign w:val="baseline"/>
                      <w:lang w:val="en-US" w:eastAsia="zh-CN"/>
                    </w:rPr>
                    <w:t>表1、表2排放限值</w:t>
                  </w:r>
                </w:p>
              </w:tc>
            </w:tr>
          </w:tbl>
          <w:p w14:paraId="7D232B62">
            <w:pPr>
              <w:spacing w:line="460" w:lineRule="exact"/>
              <w:ind w:firstLine="420" w:firstLineChars="200"/>
              <w:rPr>
                <w:rFonts w:hint="eastAsia"/>
                <w:b w:val="0"/>
                <w:bCs w:val="0"/>
                <w:color w:val="auto"/>
                <w:szCs w:val="21"/>
                <w:lang w:val="en-US" w:eastAsia="zh-CN"/>
              </w:rPr>
            </w:pPr>
            <w:r>
              <w:rPr>
                <w:rFonts w:hint="eastAsia"/>
                <w:b w:val="0"/>
                <w:bCs w:val="0"/>
                <w:color w:val="auto"/>
                <w:szCs w:val="21"/>
                <w:lang w:val="en-US" w:eastAsia="zh-CN"/>
              </w:rPr>
              <w:t>另外，本项目运营期企业边界</w:t>
            </w:r>
            <w:r>
              <w:rPr>
                <w:b w:val="0"/>
                <w:bCs w:val="0"/>
                <w:color w:val="auto"/>
                <w:szCs w:val="21"/>
              </w:rPr>
              <w:t>无组织非甲烷总烃</w:t>
            </w:r>
            <w:r>
              <w:rPr>
                <w:rFonts w:hint="eastAsia"/>
                <w:b w:val="0"/>
                <w:bCs w:val="0"/>
                <w:color w:val="auto"/>
                <w:szCs w:val="21"/>
                <w:lang w:val="en-US" w:eastAsia="zh-CN"/>
              </w:rPr>
              <w:t>需要满足</w:t>
            </w:r>
            <w:r>
              <w:rPr>
                <w:b w:val="0"/>
                <w:bCs w:val="0"/>
                <w:color w:val="auto"/>
                <w:szCs w:val="21"/>
              </w:rPr>
              <w:t>《山西省重点行业挥发性有机物（VOCs）2017年专项治理方案》中</w:t>
            </w:r>
            <w:r>
              <w:rPr>
                <w:rFonts w:hint="eastAsia"/>
                <w:b w:val="0"/>
                <w:bCs w:val="0"/>
                <w:color w:val="auto"/>
                <w:szCs w:val="21"/>
              </w:rPr>
              <w:t>规定的</w:t>
            </w:r>
            <w:r>
              <w:rPr>
                <w:b w:val="0"/>
                <w:bCs w:val="0"/>
                <w:color w:val="auto"/>
                <w:szCs w:val="21"/>
              </w:rPr>
              <w:t>排放限值</w:t>
            </w:r>
            <w:r>
              <w:rPr>
                <w:rFonts w:hint="eastAsia"/>
                <w:b w:val="0"/>
                <w:bCs w:val="0"/>
                <w:color w:val="auto"/>
                <w:szCs w:val="21"/>
                <w:lang w:eastAsia="zh-CN"/>
              </w:rPr>
              <w:t>（</w:t>
            </w:r>
            <w:r>
              <w:rPr>
                <w:rFonts w:hint="eastAsia"/>
                <w:b w:val="0"/>
                <w:bCs w:val="0"/>
                <w:color w:val="auto"/>
                <w:szCs w:val="21"/>
                <w:lang w:val="en-US" w:eastAsia="zh-CN"/>
              </w:rPr>
              <w:t>2.0mg/m</w:t>
            </w:r>
            <w:r>
              <w:rPr>
                <w:rFonts w:hint="eastAsia"/>
                <w:b w:val="0"/>
                <w:bCs w:val="0"/>
                <w:color w:val="auto"/>
                <w:szCs w:val="21"/>
                <w:vertAlign w:val="superscript"/>
                <w:lang w:val="en-US" w:eastAsia="zh-CN"/>
              </w:rPr>
              <w:t>3</w:t>
            </w:r>
            <w:r>
              <w:rPr>
                <w:rFonts w:hint="eastAsia"/>
                <w:b w:val="0"/>
                <w:bCs w:val="0"/>
                <w:color w:val="auto"/>
                <w:szCs w:val="21"/>
                <w:lang w:eastAsia="zh-CN"/>
              </w:rPr>
              <w:t>）</w:t>
            </w:r>
            <w:r>
              <w:rPr>
                <w:rFonts w:hint="eastAsia"/>
                <w:b w:val="0"/>
                <w:bCs w:val="0"/>
                <w:color w:val="auto"/>
                <w:szCs w:val="21"/>
                <w:lang w:val="en-US" w:eastAsia="zh-CN"/>
              </w:rPr>
              <w:t>的管控</w:t>
            </w:r>
            <w:r>
              <w:rPr>
                <w:rFonts w:hint="eastAsia"/>
                <w:b w:val="0"/>
                <w:bCs w:val="0"/>
                <w:color w:val="auto"/>
                <w:szCs w:val="21"/>
              </w:rPr>
              <w:t>要求</w:t>
            </w:r>
            <w:r>
              <w:rPr>
                <w:rFonts w:hint="eastAsia"/>
                <w:b w:val="0"/>
                <w:bCs w:val="0"/>
                <w:color w:val="auto"/>
                <w:szCs w:val="21"/>
                <w:lang w:eastAsia="zh-CN"/>
              </w:rPr>
              <w:t>；</w:t>
            </w:r>
            <w:r>
              <w:rPr>
                <w:rFonts w:hint="eastAsia"/>
                <w:b w:val="0"/>
                <w:bCs w:val="0"/>
                <w:color w:val="auto"/>
                <w:szCs w:val="21"/>
                <w:lang w:val="en-US" w:eastAsia="zh-CN"/>
              </w:rPr>
              <w:t>厂内无组织NMHC执行《挥发性有机物无组织排放控制标准》（GB37822-2019）表A.1排放限值要求。</w:t>
            </w:r>
          </w:p>
          <w:p w14:paraId="6C3B519E">
            <w:pPr>
              <w:spacing w:line="240" w:lineRule="exact"/>
              <w:jc w:val="center"/>
              <w:rPr>
                <w:rFonts w:hint="default" w:eastAsia="宋体"/>
                <w:b/>
                <w:bCs/>
                <w:color w:val="auto"/>
                <w:sz w:val="18"/>
                <w:szCs w:val="18"/>
                <w:lang w:val="en-US" w:eastAsia="zh-CN"/>
              </w:rPr>
            </w:pPr>
            <w:r>
              <w:rPr>
                <w:b/>
                <w:bCs/>
                <w:color w:val="auto"/>
                <w:sz w:val="18"/>
                <w:szCs w:val="18"/>
              </w:rPr>
              <w:t>表3</w:t>
            </w:r>
            <w:r>
              <w:rPr>
                <w:rFonts w:hint="eastAsia"/>
                <w:b/>
                <w:bCs/>
                <w:color w:val="auto"/>
                <w:sz w:val="18"/>
                <w:szCs w:val="18"/>
                <w:lang w:val="en-US" w:eastAsia="zh-CN"/>
              </w:rPr>
              <w:t>.9</w:t>
            </w:r>
            <w:r>
              <w:rPr>
                <w:b/>
                <w:bCs/>
                <w:color w:val="auto"/>
                <w:sz w:val="18"/>
                <w:szCs w:val="18"/>
              </w:rPr>
              <w:t>-</w:t>
            </w:r>
            <w:r>
              <w:rPr>
                <w:rFonts w:hint="eastAsia"/>
                <w:b/>
                <w:bCs/>
                <w:color w:val="auto"/>
                <w:sz w:val="18"/>
                <w:szCs w:val="18"/>
                <w:lang w:val="en-US" w:eastAsia="zh-CN"/>
              </w:rPr>
              <w:t>2</w:t>
            </w:r>
            <w:r>
              <w:rPr>
                <w:b/>
                <w:bCs/>
                <w:color w:val="auto"/>
                <w:sz w:val="18"/>
                <w:szCs w:val="18"/>
              </w:rPr>
              <w:t xml:space="preserve">    </w:t>
            </w:r>
            <w:r>
              <w:rPr>
                <w:rFonts w:hint="eastAsia"/>
                <w:b/>
                <w:bCs/>
                <w:color w:val="auto"/>
                <w:sz w:val="18"/>
                <w:szCs w:val="18"/>
                <w:lang w:val="en-US" w:eastAsia="zh-CN"/>
              </w:rPr>
              <w:t>无组织非甲烷总烃执行标准要求</w:t>
            </w:r>
          </w:p>
          <w:tbl>
            <w:tblPr>
              <w:tblStyle w:val="4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883"/>
              <w:gridCol w:w="1883"/>
              <w:gridCol w:w="1883"/>
              <w:gridCol w:w="2295"/>
            </w:tblGrid>
            <w:tr w14:paraId="2C3B2FB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9" w:hRule="atLeast"/>
                <w:jc w:val="center"/>
              </w:trPr>
              <w:tc>
                <w:tcPr>
                  <w:tcW w:w="1185" w:type="pct"/>
                  <w:vAlign w:val="center"/>
                </w:tcPr>
                <w:p w14:paraId="7FDA318C">
                  <w:pPr>
                    <w:snapToGrid w:val="0"/>
                    <w:spacing w:line="320" w:lineRule="exact"/>
                    <w:ind w:left="-101" w:leftChars="-49" w:hanging="2"/>
                    <w:jc w:val="center"/>
                    <w:rPr>
                      <w:color w:val="auto"/>
                      <w:sz w:val="18"/>
                      <w:szCs w:val="18"/>
                    </w:rPr>
                  </w:pPr>
                  <w:r>
                    <w:rPr>
                      <w:color w:val="auto"/>
                      <w:sz w:val="18"/>
                      <w:szCs w:val="18"/>
                    </w:rPr>
                    <w:t>类别</w:t>
                  </w:r>
                </w:p>
              </w:tc>
              <w:tc>
                <w:tcPr>
                  <w:tcW w:w="1185" w:type="pct"/>
                  <w:vAlign w:val="center"/>
                </w:tcPr>
                <w:p w14:paraId="3BFBA607">
                  <w:pPr>
                    <w:snapToGrid w:val="0"/>
                    <w:spacing w:line="320" w:lineRule="exact"/>
                    <w:ind w:left="-101" w:leftChars="-49" w:hanging="2"/>
                    <w:jc w:val="center"/>
                    <w:rPr>
                      <w:rFonts w:hint="eastAsia" w:eastAsia="宋体"/>
                      <w:color w:val="auto"/>
                      <w:sz w:val="18"/>
                      <w:szCs w:val="18"/>
                      <w:lang w:val="en-US" w:eastAsia="zh-CN"/>
                    </w:rPr>
                  </w:pPr>
                  <w:r>
                    <w:rPr>
                      <w:rFonts w:hint="eastAsia"/>
                      <w:color w:val="auto"/>
                      <w:sz w:val="18"/>
                      <w:szCs w:val="18"/>
                      <w:lang w:val="en-US" w:eastAsia="zh-CN"/>
                    </w:rPr>
                    <w:t>名称</w:t>
                  </w:r>
                </w:p>
              </w:tc>
              <w:tc>
                <w:tcPr>
                  <w:tcW w:w="1185" w:type="pct"/>
                  <w:tcBorders>
                    <w:right w:val="single" w:color="auto" w:sz="4" w:space="0"/>
                  </w:tcBorders>
                  <w:vAlign w:val="center"/>
                </w:tcPr>
                <w:p w14:paraId="7CCDFECF">
                  <w:pPr>
                    <w:snapToGrid w:val="0"/>
                    <w:spacing w:line="320" w:lineRule="exact"/>
                    <w:ind w:left="-101" w:leftChars="-49" w:hanging="2"/>
                    <w:jc w:val="center"/>
                    <w:rPr>
                      <w:rFonts w:hint="default" w:eastAsia="宋体"/>
                      <w:color w:val="auto"/>
                      <w:sz w:val="18"/>
                      <w:szCs w:val="18"/>
                      <w:lang w:val="en-US" w:eastAsia="zh-CN"/>
                    </w:rPr>
                  </w:pPr>
                  <w:r>
                    <w:rPr>
                      <w:rFonts w:hint="eastAsia"/>
                      <w:color w:val="auto"/>
                      <w:sz w:val="18"/>
                      <w:szCs w:val="18"/>
                      <w:lang w:val="en-US" w:eastAsia="zh-CN"/>
                    </w:rPr>
                    <w:t>标准限值</w:t>
                  </w:r>
                </w:p>
              </w:tc>
              <w:tc>
                <w:tcPr>
                  <w:tcW w:w="1444" w:type="pct"/>
                  <w:tcBorders>
                    <w:left w:val="single" w:color="auto" w:sz="4" w:space="0"/>
                  </w:tcBorders>
                  <w:vAlign w:val="center"/>
                </w:tcPr>
                <w:p w14:paraId="2A2B69BC">
                  <w:pPr>
                    <w:snapToGrid w:val="0"/>
                    <w:spacing w:line="320" w:lineRule="exact"/>
                    <w:jc w:val="center"/>
                    <w:rPr>
                      <w:rFonts w:hint="eastAsia" w:eastAsia="宋体"/>
                      <w:color w:val="auto"/>
                      <w:sz w:val="18"/>
                      <w:szCs w:val="18"/>
                      <w:lang w:val="en-US" w:eastAsia="zh-CN"/>
                    </w:rPr>
                  </w:pPr>
                  <w:r>
                    <w:rPr>
                      <w:rFonts w:hint="eastAsia"/>
                      <w:color w:val="auto"/>
                      <w:sz w:val="18"/>
                      <w:szCs w:val="18"/>
                      <w:lang w:val="en-US" w:eastAsia="zh-CN"/>
                    </w:rPr>
                    <w:t>备注</w:t>
                  </w:r>
                </w:p>
              </w:tc>
            </w:tr>
            <w:tr w14:paraId="79D5496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9" w:hRule="atLeast"/>
                <w:jc w:val="center"/>
              </w:trPr>
              <w:tc>
                <w:tcPr>
                  <w:tcW w:w="1185" w:type="pct"/>
                  <w:vAlign w:val="center"/>
                </w:tcPr>
                <w:p w14:paraId="1B1C672C">
                  <w:pPr>
                    <w:snapToGrid w:val="0"/>
                    <w:spacing w:line="320" w:lineRule="exact"/>
                    <w:ind w:left="-101" w:leftChars="-49" w:hanging="2"/>
                    <w:jc w:val="center"/>
                    <w:rPr>
                      <w:rFonts w:hint="default" w:eastAsia="宋体"/>
                      <w:color w:val="auto"/>
                      <w:sz w:val="18"/>
                      <w:szCs w:val="18"/>
                      <w:lang w:val="en-US" w:eastAsia="zh-CN"/>
                    </w:rPr>
                  </w:pPr>
                  <w:r>
                    <w:rPr>
                      <w:rFonts w:hint="eastAsia"/>
                      <w:color w:val="auto"/>
                      <w:sz w:val="18"/>
                      <w:szCs w:val="18"/>
                      <w:lang w:val="en-US" w:eastAsia="zh-CN"/>
                    </w:rPr>
                    <w:t>企业边界</w:t>
                  </w:r>
                </w:p>
              </w:tc>
              <w:tc>
                <w:tcPr>
                  <w:tcW w:w="1185" w:type="pct"/>
                  <w:vMerge w:val="restart"/>
                  <w:vAlign w:val="center"/>
                </w:tcPr>
                <w:p w14:paraId="1DDD84A2">
                  <w:pPr>
                    <w:snapToGrid w:val="0"/>
                    <w:spacing w:line="320" w:lineRule="exact"/>
                    <w:ind w:left="-101" w:leftChars="-49" w:hanging="2"/>
                    <w:jc w:val="center"/>
                    <w:rPr>
                      <w:rFonts w:hint="default" w:eastAsia="宋体"/>
                      <w:color w:val="auto"/>
                      <w:sz w:val="18"/>
                      <w:szCs w:val="18"/>
                      <w:lang w:val="en-US" w:eastAsia="zh-CN"/>
                    </w:rPr>
                  </w:pPr>
                  <w:r>
                    <w:rPr>
                      <w:rFonts w:hint="eastAsia" w:eastAsia="宋体"/>
                      <w:color w:val="auto"/>
                      <w:sz w:val="18"/>
                      <w:szCs w:val="18"/>
                      <w:lang w:val="en-US" w:eastAsia="zh-CN"/>
                    </w:rPr>
                    <w:t>非甲烷总烃</w:t>
                  </w:r>
                </w:p>
              </w:tc>
              <w:tc>
                <w:tcPr>
                  <w:tcW w:w="1185" w:type="pct"/>
                  <w:tcBorders>
                    <w:right w:val="single" w:color="auto" w:sz="4" w:space="0"/>
                  </w:tcBorders>
                  <w:vAlign w:val="center"/>
                </w:tcPr>
                <w:p w14:paraId="5ABFF74A">
                  <w:pPr>
                    <w:snapToGrid w:val="0"/>
                    <w:spacing w:line="320" w:lineRule="exact"/>
                    <w:ind w:left="-101" w:leftChars="-49" w:hanging="2"/>
                    <w:jc w:val="center"/>
                    <w:rPr>
                      <w:rFonts w:hint="default" w:eastAsia="宋体"/>
                      <w:color w:val="auto"/>
                      <w:sz w:val="18"/>
                      <w:szCs w:val="18"/>
                      <w:lang w:val="en-US" w:eastAsia="zh-CN"/>
                    </w:rPr>
                  </w:pPr>
                  <w:r>
                    <w:rPr>
                      <w:rFonts w:hint="eastAsia" w:eastAsia="宋体"/>
                      <w:color w:val="auto"/>
                      <w:sz w:val="18"/>
                      <w:szCs w:val="18"/>
                      <w:lang w:val="en-US" w:eastAsia="zh-CN"/>
                    </w:rPr>
                    <w:t>2.0mg/m</w:t>
                  </w:r>
                  <w:r>
                    <w:rPr>
                      <w:rFonts w:hint="eastAsia" w:eastAsia="宋体"/>
                      <w:color w:val="auto"/>
                      <w:sz w:val="18"/>
                      <w:szCs w:val="18"/>
                      <w:vertAlign w:val="superscript"/>
                      <w:lang w:val="en-US" w:eastAsia="zh-CN"/>
                    </w:rPr>
                    <w:t>3</w:t>
                  </w:r>
                </w:p>
              </w:tc>
              <w:tc>
                <w:tcPr>
                  <w:tcW w:w="1444" w:type="pct"/>
                  <w:tcBorders>
                    <w:left w:val="single" w:color="auto" w:sz="4" w:space="0"/>
                  </w:tcBorders>
                  <w:vAlign w:val="center"/>
                </w:tcPr>
                <w:p w14:paraId="61B1E3F6">
                  <w:pPr>
                    <w:snapToGrid w:val="0"/>
                    <w:spacing w:line="320" w:lineRule="exact"/>
                    <w:jc w:val="center"/>
                    <w:rPr>
                      <w:rFonts w:hint="default" w:eastAsia="宋体"/>
                      <w:color w:val="auto"/>
                      <w:sz w:val="18"/>
                      <w:szCs w:val="18"/>
                      <w:lang w:val="en-US" w:eastAsia="zh-CN"/>
                    </w:rPr>
                  </w:pPr>
                </w:p>
              </w:tc>
            </w:tr>
            <w:tr w14:paraId="780A97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9" w:hRule="atLeast"/>
                <w:jc w:val="center"/>
              </w:trPr>
              <w:tc>
                <w:tcPr>
                  <w:tcW w:w="1185" w:type="pct"/>
                  <w:vMerge w:val="restart"/>
                  <w:vAlign w:val="center"/>
                </w:tcPr>
                <w:p w14:paraId="7BA699A0">
                  <w:pPr>
                    <w:snapToGrid w:val="0"/>
                    <w:spacing w:line="320" w:lineRule="exact"/>
                    <w:ind w:left="-101" w:leftChars="-49" w:hanging="2"/>
                    <w:jc w:val="center"/>
                    <w:rPr>
                      <w:rFonts w:hint="default"/>
                      <w:color w:val="auto"/>
                      <w:sz w:val="18"/>
                      <w:szCs w:val="18"/>
                      <w:lang w:val="en-US" w:eastAsia="zh-CN"/>
                    </w:rPr>
                  </w:pPr>
                  <w:r>
                    <w:rPr>
                      <w:rFonts w:hint="eastAsia"/>
                      <w:color w:val="auto"/>
                      <w:sz w:val="18"/>
                      <w:szCs w:val="18"/>
                      <w:lang w:val="en-US" w:eastAsia="zh-CN"/>
                    </w:rPr>
                    <w:t>厂区内</w:t>
                  </w:r>
                </w:p>
              </w:tc>
              <w:tc>
                <w:tcPr>
                  <w:tcW w:w="1185" w:type="pct"/>
                  <w:vMerge w:val="continue"/>
                  <w:vAlign w:val="center"/>
                </w:tcPr>
                <w:p w14:paraId="5B7FAEA4">
                  <w:pPr>
                    <w:snapToGrid w:val="0"/>
                    <w:spacing w:line="320" w:lineRule="exact"/>
                    <w:ind w:left="-101" w:leftChars="-49" w:hanging="2"/>
                    <w:jc w:val="center"/>
                    <w:rPr>
                      <w:rFonts w:hint="eastAsia" w:eastAsia="宋体"/>
                      <w:color w:val="auto"/>
                      <w:sz w:val="18"/>
                      <w:szCs w:val="18"/>
                      <w:lang w:val="en-US" w:eastAsia="zh-CN"/>
                    </w:rPr>
                  </w:pPr>
                </w:p>
              </w:tc>
              <w:tc>
                <w:tcPr>
                  <w:tcW w:w="1185" w:type="pct"/>
                  <w:tcBorders>
                    <w:right w:val="single" w:color="auto" w:sz="4" w:space="0"/>
                  </w:tcBorders>
                  <w:vAlign w:val="center"/>
                </w:tcPr>
                <w:p w14:paraId="591CF1A3">
                  <w:pPr>
                    <w:snapToGrid w:val="0"/>
                    <w:spacing w:line="320" w:lineRule="exact"/>
                    <w:ind w:left="-101" w:leftChars="-49" w:hanging="2"/>
                    <w:jc w:val="center"/>
                    <w:rPr>
                      <w:rFonts w:hint="default" w:eastAsia="宋体"/>
                      <w:color w:val="auto"/>
                      <w:sz w:val="18"/>
                      <w:szCs w:val="18"/>
                      <w:lang w:val="en-US" w:eastAsia="zh-CN"/>
                    </w:rPr>
                  </w:pPr>
                  <w:r>
                    <w:rPr>
                      <w:rFonts w:hint="eastAsia" w:eastAsia="宋体"/>
                      <w:color w:val="auto"/>
                      <w:sz w:val="18"/>
                      <w:szCs w:val="18"/>
                      <w:lang w:val="en-US" w:eastAsia="zh-CN"/>
                    </w:rPr>
                    <w:t>10mg/m</w:t>
                  </w:r>
                  <w:r>
                    <w:rPr>
                      <w:rFonts w:hint="eastAsia" w:eastAsia="宋体"/>
                      <w:color w:val="auto"/>
                      <w:sz w:val="18"/>
                      <w:szCs w:val="18"/>
                      <w:vertAlign w:val="superscript"/>
                      <w:lang w:val="en-US" w:eastAsia="zh-CN"/>
                    </w:rPr>
                    <w:t>3</w:t>
                  </w:r>
                </w:p>
              </w:tc>
              <w:tc>
                <w:tcPr>
                  <w:tcW w:w="1444" w:type="pct"/>
                  <w:tcBorders>
                    <w:left w:val="single" w:color="auto" w:sz="4" w:space="0"/>
                  </w:tcBorders>
                  <w:vAlign w:val="center"/>
                </w:tcPr>
                <w:p w14:paraId="3E735146">
                  <w:pPr>
                    <w:snapToGrid w:val="0"/>
                    <w:spacing w:line="320" w:lineRule="exact"/>
                    <w:jc w:val="center"/>
                    <w:rPr>
                      <w:rFonts w:hint="default" w:eastAsia="宋体"/>
                      <w:color w:val="auto"/>
                      <w:sz w:val="18"/>
                      <w:szCs w:val="18"/>
                      <w:lang w:val="en-US" w:eastAsia="zh-CN"/>
                    </w:rPr>
                  </w:pPr>
                  <w:r>
                    <w:rPr>
                      <w:rFonts w:hint="eastAsia" w:eastAsia="宋体"/>
                      <w:color w:val="auto"/>
                      <w:sz w:val="18"/>
                      <w:szCs w:val="18"/>
                      <w:lang w:val="en-US" w:eastAsia="zh-CN"/>
                    </w:rPr>
                    <w:t>监控点处1h平均浓度</w:t>
                  </w:r>
                </w:p>
              </w:tc>
            </w:tr>
            <w:tr w14:paraId="4A7E34B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9" w:hRule="atLeast"/>
                <w:jc w:val="center"/>
              </w:trPr>
              <w:tc>
                <w:tcPr>
                  <w:tcW w:w="1185" w:type="pct"/>
                  <w:vMerge w:val="continue"/>
                  <w:vAlign w:val="center"/>
                </w:tcPr>
                <w:p w14:paraId="7F4E2168">
                  <w:pPr>
                    <w:snapToGrid w:val="0"/>
                    <w:spacing w:line="320" w:lineRule="exact"/>
                    <w:ind w:left="-101" w:leftChars="-49" w:hanging="2"/>
                    <w:jc w:val="center"/>
                    <w:rPr>
                      <w:rFonts w:hint="default"/>
                      <w:color w:val="auto"/>
                      <w:sz w:val="18"/>
                      <w:szCs w:val="18"/>
                      <w:lang w:val="en-US" w:eastAsia="zh-CN"/>
                    </w:rPr>
                  </w:pPr>
                </w:p>
              </w:tc>
              <w:tc>
                <w:tcPr>
                  <w:tcW w:w="1185" w:type="pct"/>
                  <w:vMerge w:val="continue"/>
                  <w:vAlign w:val="center"/>
                </w:tcPr>
                <w:p w14:paraId="0385E1D6">
                  <w:pPr>
                    <w:snapToGrid w:val="0"/>
                    <w:spacing w:line="320" w:lineRule="exact"/>
                    <w:ind w:left="-101" w:leftChars="-49" w:hanging="2"/>
                    <w:jc w:val="center"/>
                    <w:rPr>
                      <w:rFonts w:hint="eastAsia"/>
                      <w:color w:val="auto"/>
                      <w:sz w:val="18"/>
                      <w:szCs w:val="18"/>
                      <w:lang w:val="en-US" w:eastAsia="zh-CN"/>
                    </w:rPr>
                  </w:pPr>
                </w:p>
              </w:tc>
              <w:tc>
                <w:tcPr>
                  <w:tcW w:w="1185" w:type="pct"/>
                  <w:tcBorders>
                    <w:right w:val="single" w:color="auto" w:sz="4" w:space="0"/>
                  </w:tcBorders>
                  <w:vAlign w:val="center"/>
                </w:tcPr>
                <w:p w14:paraId="1D954A2F">
                  <w:pPr>
                    <w:snapToGrid w:val="0"/>
                    <w:spacing w:line="320" w:lineRule="exact"/>
                    <w:ind w:left="-101" w:leftChars="-49" w:hanging="2"/>
                    <w:jc w:val="center"/>
                    <w:rPr>
                      <w:rFonts w:hint="default" w:eastAsia="宋体"/>
                      <w:color w:val="auto"/>
                      <w:sz w:val="18"/>
                      <w:szCs w:val="18"/>
                      <w:lang w:val="en-US" w:eastAsia="zh-CN"/>
                    </w:rPr>
                  </w:pPr>
                  <w:r>
                    <w:rPr>
                      <w:rFonts w:hint="eastAsia"/>
                      <w:color w:val="auto"/>
                      <w:sz w:val="18"/>
                      <w:szCs w:val="18"/>
                      <w:lang w:val="en-US" w:eastAsia="zh-CN"/>
                    </w:rPr>
                    <w:t>30</w:t>
                  </w:r>
                  <w:r>
                    <w:rPr>
                      <w:rFonts w:hint="eastAsia" w:eastAsia="宋体"/>
                      <w:color w:val="auto"/>
                      <w:sz w:val="18"/>
                      <w:szCs w:val="18"/>
                      <w:lang w:val="en-US" w:eastAsia="zh-CN"/>
                    </w:rPr>
                    <w:t>mg/m</w:t>
                  </w:r>
                  <w:r>
                    <w:rPr>
                      <w:rFonts w:hint="eastAsia" w:eastAsia="宋体"/>
                      <w:color w:val="auto"/>
                      <w:sz w:val="18"/>
                      <w:szCs w:val="18"/>
                      <w:vertAlign w:val="superscript"/>
                      <w:lang w:val="en-US" w:eastAsia="zh-CN"/>
                    </w:rPr>
                    <w:t>3</w:t>
                  </w:r>
                </w:p>
              </w:tc>
              <w:tc>
                <w:tcPr>
                  <w:tcW w:w="1444" w:type="pct"/>
                  <w:tcBorders>
                    <w:left w:val="single" w:color="auto" w:sz="4" w:space="0"/>
                  </w:tcBorders>
                  <w:vAlign w:val="center"/>
                </w:tcPr>
                <w:p w14:paraId="6521184E">
                  <w:pPr>
                    <w:snapToGrid w:val="0"/>
                    <w:spacing w:line="320" w:lineRule="exact"/>
                    <w:jc w:val="center"/>
                    <w:rPr>
                      <w:rFonts w:hint="default"/>
                      <w:color w:val="auto"/>
                      <w:sz w:val="18"/>
                      <w:szCs w:val="18"/>
                      <w:lang w:val="en-US"/>
                    </w:rPr>
                  </w:pPr>
                  <w:r>
                    <w:rPr>
                      <w:rFonts w:hint="eastAsia" w:eastAsia="宋体"/>
                      <w:color w:val="auto"/>
                      <w:sz w:val="18"/>
                      <w:szCs w:val="18"/>
                      <w:lang w:val="en-US" w:eastAsia="zh-CN"/>
                    </w:rPr>
                    <w:t>监控点处任意一次浓度值</w:t>
                  </w:r>
                </w:p>
              </w:tc>
            </w:tr>
          </w:tbl>
          <w:p w14:paraId="202BA573">
            <w:pPr>
              <w:spacing w:line="360" w:lineRule="auto"/>
              <w:ind w:firstLine="422" w:firstLineChars="200"/>
              <w:rPr>
                <w:b/>
                <w:color w:val="auto"/>
                <w:szCs w:val="21"/>
              </w:rPr>
            </w:pPr>
            <w:r>
              <w:rPr>
                <w:rFonts w:hint="eastAsia"/>
                <w:b/>
                <w:color w:val="auto"/>
                <w:szCs w:val="21"/>
                <w:lang w:val="en-US" w:eastAsia="zh-CN"/>
              </w:rPr>
              <w:t>3.10</w:t>
            </w:r>
            <w:r>
              <w:rPr>
                <w:b/>
                <w:color w:val="auto"/>
                <w:szCs w:val="21"/>
              </w:rPr>
              <w:t>废水</w:t>
            </w:r>
          </w:p>
          <w:p w14:paraId="5C5A1E01">
            <w:pPr>
              <w:spacing w:line="360" w:lineRule="auto"/>
              <w:ind w:firstLine="420" w:firstLineChars="200"/>
              <w:rPr>
                <w:rFonts w:hint="default"/>
                <w:b w:val="0"/>
                <w:bCs/>
                <w:color w:val="auto"/>
                <w:szCs w:val="21"/>
                <w:lang w:val="en-US" w:eastAsia="zh-CN"/>
              </w:rPr>
            </w:pPr>
            <w:r>
              <w:rPr>
                <w:rFonts w:hint="eastAsia"/>
                <w:b w:val="0"/>
                <w:bCs/>
                <w:color w:val="auto"/>
                <w:szCs w:val="21"/>
                <w:lang w:val="en-US" w:eastAsia="zh-CN"/>
              </w:rPr>
              <w:t>本项目生活污水经化粪池沉淀后，定期清掏由附近村民拉走施肥；搅拌机组冲洗废水、搅拌场地冲洗废水经沉淀池沉淀后回用于混凝土、水稳土搅拌生产线，不外排；洗车废水循环使用；本项目运营期无废水外排。</w:t>
            </w:r>
          </w:p>
          <w:p w14:paraId="0D1A0529">
            <w:pPr>
              <w:spacing w:line="360" w:lineRule="auto"/>
              <w:ind w:firstLine="422" w:firstLineChars="200"/>
              <w:rPr>
                <w:b/>
                <w:color w:val="auto"/>
                <w:szCs w:val="21"/>
              </w:rPr>
            </w:pPr>
            <w:r>
              <w:rPr>
                <w:rFonts w:hint="eastAsia"/>
                <w:b/>
                <w:color w:val="auto"/>
                <w:szCs w:val="21"/>
                <w:lang w:val="en-US" w:eastAsia="zh-CN"/>
              </w:rPr>
              <w:t>3.11</w:t>
            </w:r>
            <w:r>
              <w:rPr>
                <w:b/>
                <w:color w:val="auto"/>
                <w:szCs w:val="21"/>
              </w:rPr>
              <w:t>噪声</w:t>
            </w:r>
          </w:p>
          <w:p w14:paraId="7434A93B">
            <w:pPr>
              <w:spacing w:line="360" w:lineRule="auto"/>
              <w:ind w:firstLine="420" w:firstLineChars="200"/>
              <w:rPr>
                <w:color w:val="auto"/>
                <w:szCs w:val="21"/>
              </w:rPr>
            </w:pPr>
            <w:r>
              <w:rPr>
                <w:color w:val="auto"/>
                <w:szCs w:val="21"/>
              </w:rPr>
              <w:t>施工噪声执行《建筑施工场界环境噪声排放标准》（GB12523-2011）相关要求。</w:t>
            </w:r>
          </w:p>
          <w:p w14:paraId="6CEC2CFF">
            <w:pPr>
              <w:spacing w:line="240" w:lineRule="exact"/>
              <w:jc w:val="center"/>
              <w:rPr>
                <w:b/>
                <w:bCs/>
                <w:color w:val="auto"/>
                <w:sz w:val="18"/>
                <w:szCs w:val="18"/>
              </w:rPr>
            </w:pPr>
            <w:r>
              <w:rPr>
                <w:b/>
                <w:bCs/>
                <w:color w:val="auto"/>
                <w:sz w:val="18"/>
                <w:szCs w:val="18"/>
              </w:rPr>
              <w:t>表3</w:t>
            </w:r>
            <w:r>
              <w:rPr>
                <w:rFonts w:hint="eastAsia"/>
                <w:b/>
                <w:bCs/>
                <w:color w:val="auto"/>
                <w:sz w:val="18"/>
                <w:szCs w:val="18"/>
                <w:lang w:val="en-US" w:eastAsia="zh-CN"/>
              </w:rPr>
              <w:t>.9</w:t>
            </w:r>
            <w:r>
              <w:rPr>
                <w:b/>
                <w:bCs/>
                <w:color w:val="auto"/>
                <w:sz w:val="18"/>
                <w:szCs w:val="18"/>
              </w:rPr>
              <w:t>-</w:t>
            </w:r>
            <w:r>
              <w:rPr>
                <w:rFonts w:hint="eastAsia"/>
                <w:b/>
                <w:bCs/>
                <w:color w:val="auto"/>
                <w:sz w:val="18"/>
                <w:szCs w:val="18"/>
                <w:lang w:val="en-US" w:eastAsia="zh-CN"/>
              </w:rPr>
              <w:t>3</w:t>
            </w:r>
            <w:r>
              <w:rPr>
                <w:b/>
                <w:bCs/>
                <w:color w:val="auto"/>
                <w:sz w:val="18"/>
                <w:szCs w:val="18"/>
              </w:rPr>
              <w:t xml:space="preserve">    施工期噪声限值     单位：dB（A）</w:t>
            </w:r>
          </w:p>
          <w:tbl>
            <w:tblPr>
              <w:tblStyle w:val="4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131"/>
              <w:gridCol w:w="3813"/>
            </w:tblGrid>
            <w:tr w14:paraId="4BD10C6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08" w:hRule="atLeast"/>
                <w:jc w:val="center"/>
              </w:trPr>
              <w:tc>
                <w:tcPr>
                  <w:tcW w:w="2600" w:type="pct"/>
                  <w:vAlign w:val="center"/>
                </w:tcPr>
                <w:p w14:paraId="1D74DD17">
                  <w:pPr>
                    <w:snapToGrid w:val="0"/>
                    <w:spacing w:line="320" w:lineRule="exact"/>
                    <w:ind w:left="-101" w:leftChars="-49" w:hanging="2"/>
                    <w:jc w:val="center"/>
                    <w:rPr>
                      <w:color w:val="auto"/>
                      <w:sz w:val="18"/>
                      <w:szCs w:val="18"/>
                    </w:rPr>
                  </w:pPr>
                  <w:r>
                    <w:rPr>
                      <w:color w:val="auto"/>
                      <w:sz w:val="18"/>
                      <w:szCs w:val="18"/>
                    </w:rPr>
                    <w:t>昼间</w:t>
                  </w:r>
                </w:p>
              </w:tc>
              <w:tc>
                <w:tcPr>
                  <w:tcW w:w="2400" w:type="pct"/>
                  <w:vAlign w:val="center"/>
                </w:tcPr>
                <w:p w14:paraId="4B4B817D">
                  <w:pPr>
                    <w:snapToGrid w:val="0"/>
                    <w:spacing w:line="320" w:lineRule="exact"/>
                    <w:ind w:left="-101" w:leftChars="-49" w:hanging="2"/>
                    <w:jc w:val="center"/>
                    <w:rPr>
                      <w:color w:val="auto"/>
                      <w:sz w:val="18"/>
                      <w:szCs w:val="18"/>
                    </w:rPr>
                  </w:pPr>
                  <w:r>
                    <w:rPr>
                      <w:color w:val="auto"/>
                      <w:sz w:val="18"/>
                      <w:szCs w:val="18"/>
                    </w:rPr>
                    <w:t>夜间</w:t>
                  </w:r>
                </w:p>
              </w:tc>
            </w:tr>
            <w:tr w14:paraId="09AFAB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5" w:hRule="atLeast"/>
                <w:jc w:val="center"/>
              </w:trPr>
              <w:tc>
                <w:tcPr>
                  <w:tcW w:w="2600" w:type="pct"/>
                  <w:vAlign w:val="center"/>
                </w:tcPr>
                <w:p w14:paraId="034CAD78">
                  <w:pPr>
                    <w:snapToGrid w:val="0"/>
                    <w:spacing w:line="320" w:lineRule="exact"/>
                    <w:ind w:left="-101" w:leftChars="-49" w:hanging="2"/>
                    <w:jc w:val="center"/>
                    <w:rPr>
                      <w:color w:val="auto"/>
                      <w:sz w:val="18"/>
                      <w:szCs w:val="18"/>
                    </w:rPr>
                  </w:pPr>
                  <w:r>
                    <w:rPr>
                      <w:color w:val="auto"/>
                      <w:sz w:val="18"/>
                      <w:szCs w:val="18"/>
                    </w:rPr>
                    <w:t>70</w:t>
                  </w:r>
                </w:p>
              </w:tc>
              <w:tc>
                <w:tcPr>
                  <w:tcW w:w="2400" w:type="pct"/>
                  <w:vAlign w:val="center"/>
                </w:tcPr>
                <w:p w14:paraId="7AC52A43">
                  <w:pPr>
                    <w:snapToGrid w:val="0"/>
                    <w:spacing w:line="320" w:lineRule="exact"/>
                    <w:ind w:left="-101" w:leftChars="-49" w:hanging="2"/>
                    <w:jc w:val="center"/>
                    <w:rPr>
                      <w:color w:val="auto"/>
                      <w:sz w:val="18"/>
                      <w:szCs w:val="18"/>
                    </w:rPr>
                  </w:pPr>
                  <w:r>
                    <w:rPr>
                      <w:color w:val="auto"/>
                      <w:sz w:val="18"/>
                      <w:szCs w:val="18"/>
                    </w:rPr>
                    <w:t>55</w:t>
                  </w:r>
                </w:p>
              </w:tc>
            </w:tr>
          </w:tbl>
          <w:p w14:paraId="5525E5A1">
            <w:pPr>
              <w:spacing w:line="360" w:lineRule="auto"/>
              <w:ind w:firstLine="420" w:firstLineChars="200"/>
              <w:rPr>
                <w:color w:val="auto"/>
                <w:szCs w:val="21"/>
              </w:rPr>
            </w:pPr>
            <w:r>
              <w:rPr>
                <w:color w:val="auto"/>
                <w:szCs w:val="21"/>
              </w:rPr>
              <w:t>运营期厂界噪声执行《工业企业厂界环境噪声排放标准》（GB12348-2008）中</w:t>
            </w:r>
            <w:r>
              <w:rPr>
                <w:rFonts w:hint="eastAsia"/>
                <w:color w:val="auto"/>
                <w:szCs w:val="21"/>
                <w:lang w:val="en-US" w:eastAsia="zh-CN"/>
              </w:rPr>
              <w:t>2</w:t>
            </w:r>
            <w:r>
              <w:rPr>
                <w:color w:val="auto"/>
                <w:szCs w:val="21"/>
              </w:rPr>
              <w:t>类标准要求。</w:t>
            </w:r>
          </w:p>
          <w:p w14:paraId="707A7721">
            <w:pPr>
              <w:spacing w:line="240" w:lineRule="exact"/>
              <w:jc w:val="center"/>
              <w:rPr>
                <w:b/>
                <w:bCs/>
                <w:color w:val="auto"/>
                <w:sz w:val="18"/>
                <w:szCs w:val="18"/>
              </w:rPr>
            </w:pPr>
            <w:r>
              <w:rPr>
                <w:b/>
                <w:bCs/>
                <w:color w:val="auto"/>
                <w:sz w:val="18"/>
                <w:szCs w:val="18"/>
              </w:rPr>
              <w:t>表3</w:t>
            </w:r>
            <w:r>
              <w:rPr>
                <w:rFonts w:hint="eastAsia"/>
                <w:b/>
                <w:bCs/>
                <w:color w:val="auto"/>
                <w:sz w:val="18"/>
                <w:szCs w:val="18"/>
                <w:lang w:val="en-US" w:eastAsia="zh-CN"/>
              </w:rPr>
              <w:t>.9</w:t>
            </w:r>
            <w:r>
              <w:rPr>
                <w:b/>
                <w:bCs/>
                <w:color w:val="auto"/>
                <w:sz w:val="18"/>
                <w:szCs w:val="18"/>
              </w:rPr>
              <w:t>-</w:t>
            </w:r>
            <w:r>
              <w:rPr>
                <w:rFonts w:hint="eastAsia"/>
                <w:b/>
                <w:bCs/>
                <w:color w:val="auto"/>
                <w:sz w:val="18"/>
                <w:szCs w:val="18"/>
                <w:lang w:val="en-US" w:eastAsia="zh-CN"/>
              </w:rPr>
              <w:t>4</w:t>
            </w:r>
            <w:r>
              <w:rPr>
                <w:b/>
                <w:bCs/>
                <w:color w:val="auto"/>
                <w:sz w:val="18"/>
                <w:szCs w:val="18"/>
              </w:rPr>
              <w:t xml:space="preserve">    工业企业厂界环境噪声排放标准  单位：dB（A）</w:t>
            </w:r>
          </w:p>
          <w:tbl>
            <w:tblPr>
              <w:tblStyle w:val="4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883"/>
              <w:gridCol w:w="1883"/>
              <w:gridCol w:w="1883"/>
              <w:gridCol w:w="2295"/>
            </w:tblGrid>
            <w:tr w14:paraId="1080CA4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9" w:hRule="atLeast"/>
                <w:jc w:val="center"/>
              </w:trPr>
              <w:tc>
                <w:tcPr>
                  <w:tcW w:w="1185" w:type="pct"/>
                  <w:vAlign w:val="center"/>
                </w:tcPr>
                <w:p w14:paraId="079F8CCB">
                  <w:pPr>
                    <w:snapToGrid w:val="0"/>
                    <w:spacing w:line="320" w:lineRule="exact"/>
                    <w:ind w:left="-101" w:leftChars="-49" w:hanging="2"/>
                    <w:jc w:val="center"/>
                    <w:rPr>
                      <w:color w:val="auto"/>
                      <w:sz w:val="18"/>
                      <w:szCs w:val="18"/>
                    </w:rPr>
                  </w:pPr>
                  <w:r>
                    <w:rPr>
                      <w:color w:val="auto"/>
                      <w:sz w:val="18"/>
                      <w:szCs w:val="18"/>
                    </w:rPr>
                    <w:t>类别</w:t>
                  </w:r>
                </w:p>
              </w:tc>
              <w:tc>
                <w:tcPr>
                  <w:tcW w:w="1185" w:type="pct"/>
                  <w:vAlign w:val="center"/>
                </w:tcPr>
                <w:p w14:paraId="1BF3C365">
                  <w:pPr>
                    <w:snapToGrid w:val="0"/>
                    <w:spacing w:line="320" w:lineRule="exact"/>
                    <w:ind w:left="-101" w:leftChars="-49" w:hanging="2"/>
                    <w:jc w:val="center"/>
                    <w:rPr>
                      <w:color w:val="auto"/>
                      <w:sz w:val="18"/>
                      <w:szCs w:val="18"/>
                    </w:rPr>
                  </w:pPr>
                  <w:r>
                    <w:rPr>
                      <w:color w:val="auto"/>
                      <w:sz w:val="18"/>
                      <w:szCs w:val="18"/>
                    </w:rPr>
                    <w:t>昼间</w:t>
                  </w:r>
                </w:p>
              </w:tc>
              <w:tc>
                <w:tcPr>
                  <w:tcW w:w="1185" w:type="pct"/>
                  <w:tcBorders>
                    <w:right w:val="single" w:color="auto" w:sz="4" w:space="0"/>
                  </w:tcBorders>
                  <w:vAlign w:val="center"/>
                </w:tcPr>
                <w:p w14:paraId="70E52450">
                  <w:pPr>
                    <w:snapToGrid w:val="0"/>
                    <w:spacing w:line="320" w:lineRule="exact"/>
                    <w:ind w:left="-101" w:leftChars="-49" w:hanging="2"/>
                    <w:jc w:val="center"/>
                    <w:rPr>
                      <w:color w:val="auto"/>
                      <w:sz w:val="18"/>
                      <w:szCs w:val="18"/>
                    </w:rPr>
                  </w:pPr>
                  <w:r>
                    <w:rPr>
                      <w:color w:val="auto"/>
                      <w:sz w:val="18"/>
                      <w:szCs w:val="18"/>
                    </w:rPr>
                    <w:t>夜间</w:t>
                  </w:r>
                </w:p>
              </w:tc>
              <w:tc>
                <w:tcPr>
                  <w:tcW w:w="1444" w:type="pct"/>
                  <w:tcBorders>
                    <w:left w:val="single" w:color="auto" w:sz="4" w:space="0"/>
                  </w:tcBorders>
                  <w:vAlign w:val="center"/>
                </w:tcPr>
                <w:p w14:paraId="1DC8B940">
                  <w:pPr>
                    <w:snapToGrid w:val="0"/>
                    <w:spacing w:line="320" w:lineRule="exact"/>
                    <w:jc w:val="center"/>
                    <w:rPr>
                      <w:color w:val="auto"/>
                      <w:sz w:val="18"/>
                      <w:szCs w:val="18"/>
                    </w:rPr>
                  </w:pPr>
                  <w:r>
                    <w:rPr>
                      <w:color w:val="auto"/>
                      <w:sz w:val="18"/>
                      <w:szCs w:val="18"/>
                    </w:rPr>
                    <w:t>备注</w:t>
                  </w:r>
                </w:p>
              </w:tc>
            </w:tr>
            <w:tr w14:paraId="0C02E41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9" w:hRule="atLeast"/>
                <w:jc w:val="center"/>
              </w:trPr>
              <w:tc>
                <w:tcPr>
                  <w:tcW w:w="1185" w:type="pct"/>
                  <w:vAlign w:val="center"/>
                </w:tcPr>
                <w:p w14:paraId="02F6D674">
                  <w:pPr>
                    <w:snapToGrid w:val="0"/>
                    <w:spacing w:line="320" w:lineRule="exact"/>
                    <w:ind w:left="-101" w:leftChars="-49" w:hanging="2"/>
                    <w:jc w:val="center"/>
                    <w:rPr>
                      <w:rFonts w:hint="eastAsia" w:eastAsia="宋体"/>
                      <w:color w:val="auto"/>
                      <w:sz w:val="18"/>
                      <w:szCs w:val="18"/>
                      <w:lang w:eastAsia="zh-CN"/>
                    </w:rPr>
                  </w:pPr>
                  <w:r>
                    <w:rPr>
                      <w:rFonts w:hint="eastAsia"/>
                      <w:color w:val="auto"/>
                      <w:sz w:val="18"/>
                      <w:szCs w:val="18"/>
                      <w:lang w:val="en-US" w:eastAsia="zh-CN"/>
                    </w:rPr>
                    <w:t>2</w:t>
                  </w:r>
                </w:p>
              </w:tc>
              <w:tc>
                <w:tcPr>
                  <w:tcW w:w="1185" w:type="pct"/>
                  <w:vAlign w:val="center"/>
                </w:tcPr>
                <w:p w14:paraId="68B29B95">
                  <w:pPr>
                    <w:snapToGrid w:val="0"/>
                    <w:spacing w:line="320" w:lineRule="exact"/>
                    <w:ind w:left="-101" w:leftChars="-49" w:hanging="2"/>
                    <w:jc w:val="center"/>
                    <w:rPr>
                      <w:rFonts w:hint="default" w:eastAsia="宋体"/>
                      <w:color w:val="auto"/>
                      <w:sz w:val="18"/>
                      <w:szCs w:val="18"/>
                      <w:lang w:val="en-US" w:eastAsia="zh-CN"/>
                    </w:rPr>
                  </w:pPr>
                  <w:r>
                    <w:rPr>
                      <w:rFonts w:hint="eastAsia"/>
                      <w:color w:val="auto"/>
                      <w:sz w:val="18"/>
                      <w:szCs w:val="18"/>
                      <w:lang w:val="en-US" w:eastAsia="zh-CN"/>
                    </w:rPr>
                    <w:t>60</w:t>
                  </w:r>
                </w:p>
              </w:tc>
              <w:tc>
                <w:tcPr>
                  <w:tcW w:w="1185" w:type="pct"/>
                  <w:tcBorders>
                    <w:right w:val="single" w:color="auto" w:sz="4" w:space="0"/>
                  </w:tcBorders>
                  <w:vAlign w:val="center"/>
                </w:tcPr>
                <w:p w14:paraId="33BC4E5E">
                  <w:pPr>
                    <w:snapToGrid w:val="0"/>
                    <w:spacing w:line="320" w:lineRule="exact"/>
                    <w:ind w:left="-101" w:leftChars="-49" w:hanging="2"/>
                    <w:jc w:val="center"/>
                    <w:rPr>
                      <w:rFonts w:hint="eastAsia" w:eastAsia="宋体"/>
                      <w:color w:val="auto"/>
                      <w:sz w:val="18"/>
                      <w:szCs w:val="18"/>
                      <w:lang w:eastAsia="zh-CN"/>
                    </w:rPr>
                  </w:pPr>
                  <w:r>
                    <w:rPr>
                      <w:color w:val="auto"/>
                      <w:sz w:val="18"/>
                      <w:szCs w:val="18"/>
                    </w:rPr>
                    <w:t>5</w:t>
                  </w:r>
                  <w:r>
                    <w:rPr>
                      <w:rFonts w:hint="eastAsia"/>
                      <w:color w:val="auto"/>
                      <w:sz w:val="18"/>
                      <w:szCs w:val="18"/>
                      <w:lang w:val="en-US" w:eastAsia="zh-CN"/>
                    </w:rPr>
                    <w:t>0</w:t>
                  </w:r>
                </w:p>
              </w:tc>
              <w:tc>
                <w:tcPr>
                  <w:tcW w:w="1444" w:type="pct"/>
                  <w:tcBorders>
                    <w:left w:val="single" w:color="auto" w:sz="4" w:space="0"/>
                  </w:tcBorders>
                  <w:vAlign w:val="center"/>
                </w:tcPr>
                <w:p w14:paraId="6D9EC7B6">
                  <w:pPr>
                    <w:snapToGrid w:val="0"/>
                    <w:spacing w:line="320" w:lineRule="exact"/>
                    <w:jc w:val="center"/>
                    <w:rPr>
                      <w:rFonts w:hint="default" w:eastAsia="宋体"/>
                      <w:color w:val="auto"/>
                      <w:sz w:val="18"/>
                      <w:szCs w:val="18"/>
                      <w:lang w:val="en-US" w:eastAsia="zh-CN"/>
                    </w:rPr>
                  </w:pPr>
                  <w:r>
                    <w:rPr>
                      <w:color w:val="auto"/>
                      <w:sz w:val="18"/>
                      <w:szCs w:val="18"/>
                    </w:rPr>
                    <w:t>厂界</w:t>
                  </w:r>
                </w:p>
              </w:tc>
            </w:tr>
          </w:tbl>
          <w:p w14:paraId="333DDCAD">
            <w:pPr>
              <w:tabs>
                <w:tab w:val="left" w:pos="3780"/>
                <w:tab w:val="left" w:pos="6195"/>
                <w:tab w:val="left" w:pos="8613"/>
              </w:tabs>
              <w:spacing w:line="360" w:lineRule="auto"/>
              <w:ind w:firstLine="422" w:firstLineChars="200"/>
              <w:rPr>
                <w:b/>
                <w:color w:val="auto"/>
                <w:szCs w:val="21"/>
              </w:rPr>
            </w:pPr>
            <w:r>
              <w:rPr>
                <w:rFonts w:hint="eastAsia"/>
                <w:b/>
                <w:color w:val="auto"/>
                <w:szCs w:val="21"/>
                <w:lang w:val="en-US" w:eastAsia="zh-CN"/>
              </w:rPr>
              <w:t>3.12</w:t>
            </w:r>
            <w:r>
              <w:rPr>
                <w:b/>
                <w:color w:val="auto"/>
                <w:szCs w:val="21"/>
              </w:rPr>
              <w:t>固体废物</w:t>
            </w:r>
          </w:p>
          <w:p w14:paraId="71CFC60F">
            <w:pPr>
              <w:spacing w:line="360" w:lineRule="auto"/>
              <w:ind w:firstLine="420" w:firstLineChars="200"/>
              <w:rPr>
                <w:rFonts w:hint="default"/>
                <w:color w:val="auto"/>
                <w:szCs w:val="21"/>
                <w:lang w:val="en-US"/>
              </w:rPr>
            </w:pPr>
            <w:r>
              <w:rPr>
                <w:rFonts w:hint="eastAsia"/>
                <w:color w:val="auto"/>
                <w:szCs w:val="21"/>
                <w:lang w:val="en-US" w:eastAsia="zh-CN"/>
              </w:rPr>
              <w:t>一般工业</w:t>
            </w:r>
            <w:r>
              <w:rPr>
                <w:color w:val="auto"/>
                <w:szCs w:val="21"/>
              </w:rPr>
              <w:t>固体废物执行《一般工业固体废物贮存和填埋污染控制标准》（GB 18599-2020）的有关规定</w:t>
            </w:r>
            <w:r>
              <w:rPr>
                <w:rFonts w:hint="eastAsia"/>
                <w:color w:val="auto"/>
                <w:szCs w:val="21"/>
                <w:lang w:val="en-US" w:eastAsia="zh-CN"/>
              </w:rPr>
              <w:t>；</w:t>
            </w:r>
            <w:r>
              <w:rPr>
                <w:rFonts w:hint="eastAsia"/>
                <w:color w:val="auto"/>
                <w:szCs w:val="21"/>
                <w:lang w:eastAsia="zh-CN"/>
              </w:rPr>
              <w:t>危险废物执行《危险废物贮存污染控制标准》（GB18597</w:t>
            </w:r>
            <w:r>
              <w:rPr>
                <w:rFonts w:hint="eastAsia"/>
                <w:color w:val="auto"/>
                <w:szCs w:val="21"/>
                <w:lang w:val="en-US" w:eastAsia="zh-CN"/>
              </w:rPr>
              <w:t>-2023</w:t>
            </w:r>
            <w:r>
              <w:rPr>
                <w:rFonts w:hint="eastAsia"/>
                <w:color w:val="auto"/>
                <w:szCs w:val="21"/>
                <w:lang w:eastAsia="zh-CN"/>
              </w:rPr>
              <w:t>）；</w:t>
            </w:r>
            <w:r>
              <w:rPr>
                <w:rFonts w:hint="eastAsia"/>
                <w:color w:val="auto"/>
                <w:szCs w:val="21"/>
                <w:lang w:val="en-US" w:eastAsia="zh-CN"/>
              </w:rPr>
              <w:t>生活垃圾收集于封闭式垃圾箱内，由环卫部门清运处置。</w:t>
            </w:r>
          </w:p>
        </w:tc>
      </w:tr>
      <w:tr w14:paraId="4FED43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0" w:hRule="atLeast"/>
          <w:jc w:val="center"/>
        </w:trPr>
        <w:tc>
          <w:tcPr>
            <w:tcW w:w="800" w:type="dxa"/>
            <w:vAlign w:val="center"/>
          </w:tcPr>
          <w:p w14:paraId="4355ACAE">
            <w:pPr>
              <w:adjustRightInd w:val="0"/>
              <w:snapToGrid w:val="0"/>
              <w:jc w:val="center"/>
              <w:rPr>
                <w:color w:val="auto"/>
                <w:kern w:val="0"/>
                <w:szCs w:val="21"/>
              </w:rPr>
            </w:pPr>
            <w:r>
              <w:rPr>
                <w:color w:val="auto"/>
                <w:kern w:val="0"/>
                <w:szCs w:val="21"/>
              </w:rPr>
              <w:t>总量</w:t>
            </w:r>
          </w:p>
          <w:p w14:paraId="36B56E0A">
            <w:pPr>
              <w:adjustRightInd w:val="0"/>
              <w:snapToGrid w:val="0"/>
              <w:jc w:val="center"/>
              <w:rPr>
                <w:color w:val="auto"/>
                <w:kern w:val="0"/>
                <w:szCs w:val="21"/>
              </w:rPr>
            </w:pPr>
            <w:r>
              <w:rPr>
                <w:color w:val="auto"/>
                <w:kern w:val="0"/>
                <w:szCs w:val="21"/>
              </w:rPr>
              <w:t>控制</w:t>
            </w:r>
          </w:p>
          <w:p w14:paraId="5AC0D00A">
            <w:pPr>
              <w:adjustRightInd w:val="0"/>
              <w:snapToGrid w:val="0"/>
              <w:jc w:val="center"/>
              <w:rPr>
                <w:color w:val="auto"/>
                <w:kern w:val="0"/>
                <w:szCs w:val="21"/>
              </w:rPr>
            </w:pPr>
            <w:r>
              <w:rPr>
                <w:color w:val="auto"/>
                <w:kern w:val="0"/>
                <w:szCs w:val="21"/>
              </w:rPr>
              <w:t>指标</w:t>
            </w:r>
          </w:p>
        </w:tc>
        <w:tc>
          <w:tcPr>
            <w:tcW w:w="8190" w:type="dxa"/>
            <w:vAlign w:val="center"/>
          </w:tcPr>
          <w:p w14:paraId="51D247C8">
            <w:pPr>
              <w:tabs>
                <w:tab w:val="left" w:pos="3780"/>
                <w:tab w:val="left" w:pos="6195"/>
                <w:tab w:val="left" w:pos="8613"/>
              </w:tabs>
              <w:spacing w:line="360" w:lineRule="auto"/>
              <w:ind w:firstLine="420" w:firstLineChars="200"/>
              <w:rPr>
                <w:rFonts w:hint="eastAsia"/>
                <w:color w:val="auto"/>
                <w:szCs w:val="21"/>
              </w:rPr>
            </w:pPr>
          </w:p>
          <w:p w14:paraId="57C2C2C6">
            <w:pPr>
              <w:tabs>
                <w:tab w:val="left" w:pos="3780"/>
                <w:tab w:val="left" w:pos="6195"/>
                <w:tab w:val="left" w:pos="8613"/>
              </w:tabs>
              <w:spacing w:line="360" w:lineRule="auto"/>
              <w:ind w:firstLine="420" w:firstLineChars="200"/>
              <w:rPr>
                <w:rFonts w:hint="eastAsia"/>
                <w:color w:val="auto"/>
                <w:szCs w:val="21"/>
              </w:rPr>
            </w:pPr>
          </w:p>
          <w:p w14:paraId="313137FB">
            <w:pPr>
              <w:tabs>
                <w:tab w:val="left" w:pos="3780"/>
                <w:tab w:val="left" w:pos="6195"/>
                <w:tab w:val="left" w:pos="8613"/>
              </w:tabs>
              <w:spacing w:line="360" w:lineRule="auto"/>
              <w:ind w:firstLine="420" w:firstLineChars="200"/>
              <w:rPr>
                <w:rFonts w:hint="eastAsia"/>
                <w:color w:val="auto"/>
                <w:szCs w:val="21"/>
              </w:rPr>
            </w:pPr>
          </w:p>
          <w:p w14:paraId="48FB020B">
            <w:pPr>
              <w:tabs>
                <w:tab w:val="left" w:pos="3780"/>
                <w:tab w:val="left" w:pos="6195"/>
                <w:tab w:val="left" w:pos="8613"/>
              </w:tabs>
              <w:spacing w:line="360" w:lineRule="auto"/>
              <w:ind w:firstLine="420" w:firstLineChars="200"/>
              <w:rPr>
                <w:rFonts w:hint="eastAsia"/>
                <w:color w:val="auto"/>
                <w:szCs w:val="21"/>
              </w:rPr>
            </w:pPr>
          </w:p>
          <w:p w14:paraId="22AAD826">
            <w:pPr>
              <w:tabs>
                <w:tab w:val="left" w:pos="3780"/>
                <w:tab w:val="left" w:pos="6195"/>
                <w:tab w:val="left" w:pos="8613"/>
              </w:tabs>
              <w:spacing w:line="360" w:lineRule="auto"/>
              <w:ind w:firstLine="420" w:firstLineChars="200"/>
              <w:rPr>
                <w:rFonts w:hint="eastAsia"/>
                <w:color w:val="auto"/>
                <w:szCs w:val="21"/>
              </w:rPr>
            </w:pPr>
          </w:p>
          <w:p w14:paraId="61C59A41">
            <w:pPr>
              <w:tabs>
                <w:tab w:val="left" w:pos="3780"/>
                <w:tab w:val="left" w:pos="6195"/>
                <w:tab w:val="left" w:pos="8613"/>
              </w:tabs>
              <w:spacing w:line="360" w:lineRule="auto"/>
              <w:ind w:firstLine="420" w:firstLineChars="200"/>
              <w:rPr>
                <w:rFonts w:hint="eastAsia"/>
                <w:color w:val="auto"/>
                <w:szCs w:val="21"/>
              </w:rPr>
            </w:pPr>
          </w:p>
          <w:p w14:paraId="133E1B04">
            <w:pPr>
              <w:tabs>
                <w:tab w:val="left" w:pos="3780"/>
                <w:tab w:val="left" w:pos="6195"/>
                <w:tab w:val="left" w:pos="8613"/>
              </w:tabs>
              <w:spacing w:line="360" w:lineRule="auto"/>
              <w:ind w:firstLine="420" w:firstLineChars="200"/>
              <w:rPr>
                <w:rFonts w:hint="eastAsia"/>
                <w:color w:val="auto"/>
                <w:szCs w:val="21"/>
              </w:rPr>
            </w:pPr>
          </w:p>
          <w:p w14:paraId="7D5662F6">
            <w:pPr>
              <w:tabs>
                <w:tab w:val="left" w:pos="3780"/>
                <w:tab w:val="left" w:pos="6195"/>
                <w:tab w:val="left" w:pos="8613"/>
              </w:tabs>
              <w:spacing w:line="360" w:lineRule="auto"/>
              <w:ind w:firstLine="420" w:firstLineChars="200"/>
              <w:rPr>
                <w:rFonts w:hint="eastAsia"/>
                <w:color w:val="auto"/>
                <w:szCs w:val="21"/>
              </w:rPr>
            </w:pPr>
          </w:p>
          <w:p w14:paraId="47FF559A">
            <w:pPr>
              <w:tabs>
                <w:tab w:val="left" w:pos="3780"/>
                <w:tab w:val="left" w:pos="6195"/>
                <w:tab w:val="left" w:pos="8613"/>
              </w:tabs>
              <w:spacing w:line="360" w:lineRule="auto"/>
              <w:ind w:firstLine="420" w:firstLineChars="200"/>
              <w:rPr>
                <w:rFonts w:hint="eastAsia"/>
                <w:color w:val="auto"/>
                <w:szCs w:val="21"/>
              </w:rPr>
            </w:pPr>
          </w:p>
          <w:p w14:paraId="0F761021">
            <w:pPr>
              <w:tabs>
                <w:tab w:val="left" w:pos="3780"/>
                <w:tab w:val="left" w:pos="6195"/>
                <w:tab w:val="left" w:pos="8613"/>
              </w:tabs>
              <w:spacing w:line="360" w:lineRule="auto"/>
              <w:ind w:firstLine="420" w:firstLineChars="200"/>
              <w:rPr>
                <w:rFonts w:hint="eastAsia"/>
                <w:color w:val="auto"/>
                <w:szCs w:val="21"/>
              </w:rPr>
            </w:pPr>
          </w:p>
          <w:p w14:paraId="39890D58">
            <w:pPr>
              <w:tabs>
                <w:tab w:val="left" w:pos="3780"/>
                <w:tab w:val="left" w:pos="6195"/>
                <w:tab w:val="left" w:pos="8613"/>
              </w:tabs>
              <w:spacing w:line="360" w:lineRule="auto"/>
              <w:ind w:firstLine="420" w:firstLineChars="200"/>
              <w:rPr>
                <w:rFonts w:hint="eastAsia"/>
                <w:color w:val="auto"/>
                <w:szCs w:val="21"/>
              </w:rPr>
            </w:pPr>
          </w:p>
          <w:p w14:paraId="4023F35D">
            <w:pPr>
              <w:tabs>
                <w:tab w:val="left" w:pos="3780"/>
                <w:tab w:val="left" w:pos="6195"/>
                <w:tab w:val="left" w:pos="8613"/>
              </w:tabs>
              <w:spacing w:line="360" w:lineRule="auto"/>
              <w:ind w:firstLine="420" w:firstLineChars="200"/>
              <w:rPr>
                <w:rFonts w:hint="eastAsia"/>
                <w:color w:val="auto"/>
                <w:szCs w:val="21"/>
              </w:rPr>
            </w:pPr>
          </w:p>
          <w:p w14:paraId="65B25E5D">
            <w:pPr>
              <w:tabs>
                <w:tab w:val="left" w:pos="3780"/>
                <w:tab w:val="left" w:pos="6195"/>
                <w:tab w:val="left" w:pos="8613"/>
              </w:tabs>
              <w:spacing w:line="360" w:lineRule="auto"/>
              <w:ind w:firstLine="420" w:firstLineChars="200"/>
              <w:rPr>
                <w:rFonts w:hint="eastAsia"/>
                <w:color w:val="auto"/>
                <w:szCs w:val="21"/>
              </w:rPr>
            </w:pPr>
          </w:p>
          <w:p w14:paraId="2CF2E7E9">
            <w:pPr>
              <w:tabs>
                <w:tab w:val="left" w:pos="3780"/>
                <w:tab w:val="left" w:pos="6195"/>
                <w:tab w:val="left" w:pos="8613"/>
              </w:tabs>
              <w:spacing w:line="360" w:lineRule="auto"/>
              <w:ind w:firstLine="420" w:firstLineChars="200"/>
              <w:rPr>
                <w:rFonts w:hint="eastAsia"/>
                <w:color w:val="auto"/>
                <w:szCs w:val="21"/>
              </w:rPr>
            </w:pPr>
            <w:r>
              <w:rPr>
                <w:rFonts w:hint="eastAsia"/>
                <w:color w:val="auto"/>
                <w:szCs w:val="21"/>
              </w:rPr>
              <w:t>根据《</w:t>
            </w:r>
            <w:r>
              <w:rPr>
                <w:rFonts w:hint="eastAsia"/>
                <w:color w:val="auto"/>
                <w:szCs w:val="21"/>
                <w:lang w:val="en-US" w:eastAsia="zh-CN"/>
              </w:rPr>
              <w:t>山西省生态环境厅关于印发&lt;建设项目主要污染物总量指标核定办法&gt;的通知</w:t>
            </w:r>
            <w:r>
              <w:rPr>
                <w:rFonts w:hint="eastAsia"/>
                <w:color w:val="auto"/>
                <w:szCs w:val="21"/>
              </w:rPr>
              <w:t>》（晋环规[2023]1号）要求，进行总量控制的主要污染物包括颗粒物、SO</w:t>
            </w:r>
            <w:r>
              <w:rPr>
                <w:rFonts w:hint="eastAsia"/>
                <w:color w:val="auto"/>
                <w:szCs w:val="21"/>
                <w:vertAlign w:val="subscript"/>
              </w:rPr>
              <w:t>2</w:t>
            </w:r>
            <w:r>
              <w:rPr>
                <w:rFonts w:hint="eastAsia"/>
                <w:color w:val="auto"/>
                <w:szCs w:val="21"/>
              </w:rPr>
              <w:t>、NOx、挥发性有机物、化学需氧量、氨氮。废气二氧化硫、氮氧化物、颗粒物排放量分别不大于3 吨/年，挥发性有机物排放量不大于0.3 吨/年；废水化学需氧量排放量不大于1 吨/年和氨氮排放量不大于0.5 吨/年的建设项目，主要污染物排放总量指标可直接予以核定，不需进行主要污染物总量置换。</w:t>
            </w:r>
          </w:p>
          <w:p w14:paraId="7821B4EE">
            <w:pPr>
              <w:tabs>
                <w:tab w:val="left" w:pos="3780"/>
                <w:tab w:val="left" w:pos="6195"/>
                <w:tab w:val="left" w:pos="8613"/>
              </w:tabs>
              <w:spacing w:line="360" w:lineRule="auto"/>
              <w:ind w:firstLine="420" w:firstLineChars="200"/>
              <w:rPr>
                <w:rFonts w:hint="default" w:eastAsia="宋体"/>
                <w:color w:val="auto"/>
                <w:szCs w:val="21"/>
                <w:lang w:val="en-US" w:eastAsia="zh-CN"/>
              </w:rPr>
            </w:pPr>
            <w:r>
              <w:rPr>
                <w:rFonts w:hint="eastAsia"/>
                <w:color w:val="auto"/>
                <w:szCs w:val="21"/>
                <w:lang w:val="en-US" w:eastAsia="zh-CN"/>
              </w:rPr>
              <w:t>根据环评分析计算，本项目运营期大气污染物排放量：颗粒物2.7601t/a、二氧化硫0.0046t/a、氮氧化物0.6388t/a、挥发性有机物0.007t/a。</w:t>
            </w:r>
          </w:p>
          <w:p w14:paraId="7E8F1655">
            <w:pPr>
              <w:tabs>
                <w:tab w:val="left" w:pos="3780"/>
                <w:tab w:val="left" w:pos="6195"/>
                <w:tab w:val="left" w:pos="8613"/>
              </w:tabs>
              <w:spacing w:line="360" w:lineRule="auto"/>
              <w:ind w:firstLine="420" w:firstLineChars="200"/>
              <w:rPr>
                <w:rFonts w:hint="default" w:eastAsia="宋体"/>
                <w:color w:val="auto"/>
                <w:szCs w:val="21"/>
                <w:lang w:val="en-US" w:eastAsia="zh-CN"/>
              </w:rPr>
            </w:pPr>
          </w:p>
          <w:p w14:paraId="565A3761">
            <w:pPr>
              <w:tabs>
                <w:tab w:val="left" w:pos="3780"/>
                <w:tab w:val="left" w:pos="6195"/>
                <w:tab w:val="left" w:pos="8613"/>
              </w:tabs>
              <w:spacing w:line="360" w:lineRule="auto"/>
              <w:ind w:firstLine="420" w:firstLineChars="200"/>
              <w:rPr>
                <w:rFonts w:hint="default" w:eastAsia="宋体"/>
                <w:color w:val="auto"/>
                <w:szCs w:val="21"/>
                <w:lang w:val="en-US" w:eastAsia="zh-CN"/>
              </w:rPr>
            </w:pPr>
          </w:p>
          <w:p w14:paraId="091D15B6">
            <w:pPr>
              <w:tabs>
                <w:tab w:val="left" w:pos="3780"/>
                <w:tab w:val="left" w:pos="6195"/>
                <w:tab w:val="left" w:pos="8613"/>
              </w:tabs>
              <w:spacing w:line="360" w:lineRule="auto"/>
              <w:ind w:firstLine="420" w:firstLineChars="200"/>
              <w:rPr>
                <w:rFonts w:hint="default" w:eastAsia="宋体"/>
                <w:color w:val="auto"/>
                <w:szCs w:val="21"/>
                <w:lang w:val="en-US" w:eastAsia="zh-CN"/>
              </w:rPr>
            </w:pPr>
          </w:p>
          <w:p w14:paraId="6F15FB76">
            <w:pPr>
              <w:tabs>
                <w:tab w:val="left" w:pos="3780"/>
                <w:tab w:val="left" w:pos="6195"/>
                <w:tab w:val="left" w:pos="8613"/>
              </w:tabs>
              <w:spacing w:line="360" w:lineRule="auto"/>
              <w:ind w:firstLine="420" w:firstLineChars="200"/>
              <w:rPr>
                <w:rFonts w:hint="default" w:eastAsia="宋体"/>
                <w:color w:val="auto"/>
                <w:szCs w:val="21"/>
                <w:lang w:val="en-US" w:eastAsia="zh-CN"/>
              </w:rPr>
            </w:pPr>
          </w:p>
          <w:p w14:paraId="1707960C">
            <w:pPr>
              <w:tabs>
                <w:tab w:val="left" w:pos="3780"/>
                <w:tab w:val="left" w:pos="6195"/>
                <w:tab w:val="left" w:pos="8613"/>
              </w:tabs>
              <w:spacing w:line="360" w:lineRule="auto"/>
              <w:ind w:firstLine="420" w:firstLineChars="200"/>
              <w:rPr>
                <w:rFonts w:hint="default" w:eastAsia="宋体"/>
                <w:color w:val="auto"/>
                <w:szCs w:val="21"/>
                <w:lang w:val="en-US" w:eastAsia="zh-CN"/>
              </w:rPr>
            </w:pPr>
          </w:p>
          <w:p w14:paraId="5FDAE4BC">
            <w:pPr>
              <w:tabs>
                <w:tab w:val="left" w:pos="3780"/>
                <w:tab w:val="left" w:pos="6195"/>
                <w:tab w:val="left" w:pos="8613"/>
              </w:tabs>
              <w:spacing w:line="360" w:lineRule="auto"/>
              <w:ind w:firstLine="420" w:firstLineChars="200"/>
              <w:rPr>
                <w:rFonts w:hint="default" w:eastAsia="宋体"/>
                <w:color w:val="auto"/>
                <w:szCs w:val="21"/>
                <w:lang w:val="en-US" w:eastAsia="zh-CN"/>
              </w:rPr>
            </w:pPr>
          </w:p>
          <w:p w14:paraId="5DC30F68">
            <w:pPr>
              <w:tabs>
                <w:tab w:val="left" w:pos="3780"/>
                <w:tab w:val="left" w:pos="6195"/>
                <w:tab w:val="left" w:pos="8613"/>
              </w:tabs>
              <w:spacing w:line="360" w:lineRule="auto"/>
              <w:ind w:firstLine="420" w:firstLineChars="200"/>
              <w:rPr>
                <w:rFonts w:hint="default" w:eastAsia="宋体"/>
                <w:color w:val="auto"/>
                <w:szCs w:val="21"/>
                <w:lang w:val="en-US" w:eastAsia="zh-CN"/>
              </w:rPr>
            </w:pPr>
          </w:p>
          <w:p w14:paraId="70418C4F">
            <w:pPr>
              <w:tabs>
                <w:tab w:val="left" w:pos="3780"/>
                <w:tab w:val="left" w:pos="6195"/>
                <w:tab w:val="left" w:pos="8613"/>
              </w:tabs>
              <w:spacing w:line="360" w:lineRule="auto"/>
              <w:ind w:firstLine="420" w:firstLineChars="200"/>
              <w:rPr>
                <w:rFonts w:hint="default" w:eastAsia="宋体"/>
                <w:color w:val="auto"/>
                <w:szCs w:val="21"/>
                <w:lang w:val="en-US" w:eastAsia="zh-CN"/>
              </w:rPr>
            </w:pPr>
          </w:p>
          <w:p w14:paraId="2BC5C537">
            <w:pPr>
              <w:tabs>
                <w:tab w:val="left" w:pos="3780"/>
                <w:tab w:val="left" w:pos="6195"/>
                <w:tab w:val="left" w:pos="8613"/>
              </w:tabs>
              <w:spacing w:line="360" w:lineRule="auto"/>
              <w:ind w:firstLine="420" w:firstLineChars="200"/>
              <w:rPr>
                <w:rFonts w:hint="default" w:eastAsia="宋体"/>
                <w:color w:val="auto"/>
                <w:szCs w:val="21"/>
                <w:lang w:val="en-US" w:eastAsia="zh-CN"/>
              </w:rPr>
            </w:pPr>
          </w:p>
          <w:p w14:paraId="14024E52">
            <w:pPr>
              <w:tabs>
                <w:tab w:val="left" w:pos="3780"/>
                <w:tab w:val="left" w:pos="6195"/>
                <w:tab w:val="left" w:pos="8613"/>
              </w:tabs>
              <w:spacing w:line="360" w:lineRule="auto"/>
              <w:ind w:firstLine="420" w:firstLineChars="200"/>
              <w:rPr>
                <w:rFonts w:hint="default" w:eastAsia="宋体"/>
                <w:color w:val="auto"/>
                <w:szCs w:val="21"/>
                <w:lang w:val="en-US" w:eastAsia="zh-CN"/>
              </w:rPr>
            </w:pPr>
          </w:p>
          <w:p w14:paraId="352AA808">
            <w:pPr>
              <w:tabs>
                <w:tab w:val="left" w:pos="3780"/>
                <w:tab w:val="left" w:pos="6195"/>
                <w:tab w:val="left" w:pos="8613"/>
              </w:tabs>
              <w:spacing w:line="360" w:lineRule="auto"/>
              <w:ind w:firstLine="420" w:firstLineChars="200"/>
              <w:rPr>
                <w:rFonts w:hint="default" w:eastAsia="宋体"/>
                <w:color w:val="auto"/>
                <w:szCs w:val="21"/>
                <w:lang w:val="en-US" w:eastAsia="zh-CN"/>
              </w:rPr>
            </w:pPr>
          </w:p>
        </w:tc>
      </w:tr>
    </w:tbl>
    <w:p w14:paraId="7BA8E05E">
      <w:pPr>
        <w:pStyle w:val="41"/>
        <w:jc w:val="center"/>
        <w:outlineLvl w:val="0"/>
        <w:rPr>
          <w:rFonts w:ascii="Times New Roman" w:hAnsi="Times New Roman" w:eastAsia="黑体"/>
          <w:snapToGrid w:val="0"/>
          <w:color w:val="auto"/>
          <w:sz w:val="30"/>
          <w:szCs w:val="30"/>
        </w:rPr>
      </w:pPr>
      <w:r>
        <w:rPr>
          <w:rFonts w:ascii="Times New Roman" w:hAnsi="Times New Roman" w:eastAsia="黑体"/>
          <w:snapToGrid w:val="0"/>
          <w:color w:val="auto"/>
          <w:sz w:val="36"/>
          <w:szCs w:val="36"/>
        </w:rPr>
        <w:br w:type="page"/>
      </w:r>
      <w:bookmarkStart w:id="4" w:name="_Toc16543"/>
      <w:r>
        <w:rPr>
          <w:rFonts w:ascii="Times New Roman" w:hAnsi="Times New Roman" w:eastAsia="黑体"/>
          <w:snapToGrid w:val="0"/>
          <w:color w:val="auto"/>
          <w:sz w:val="30"/>
          <w:szCs w:val="30"/>
        </w:rPr>
        <w:t>四、主要环境影响和保护措施</w:t>
      </w:r>
      <w:bookmarkEnd w:id="4"/>
    </w:p>
    <w:tbl>
      <w:tblPr>
        <w:tblStyle w:val="4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82"/>
        <w:gridCol w:w="8299"/>
      </w:tblGrid>
      <w:tr w14:paraId="2FFD0A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49" w:hRule="atLeast"/>
          <w:jc w:val="center"/>
        </w:trPr>
        <w:tc>
          <w:tcPr>
            <w:tcW w:w="746" w:type="dxa"/>
            <w:tcMar>
              <w:left w:w="28" w:type="dxa"/>
              <w:right w:w="28" w:type="dxa"/>
            </w:tcMar>
            <w:vAlign w:val="center"/>
          </w:tcPr>
          <w:p w14:paraId="2618733F">
            <w:pPr>
              <w:pStyle w:val="41"/>
              <w:adjustRightInd w:val="0"/>
              <w:snapToGrid w:val="0"/>
              <w:spacing w:before="0" w:beforeAutospacing="0" w:after="0" w:afterAutospacing="0"/>
              <w:jc w:val="center"/>
              <w:rPr>
                <w:rFonts w:ascii="Times New Roman" w:hAnsi="Times New Roman"/>
                <w:color w:val="auto"/>
                <w:kern w:val="2"/>
                <w:sz w:val="21"/>
                <w:szCs w:val="21"/>
              </w:rPr>
            </w:pPr>
            <w:r>
              <w:rPr>
                <w:rFonts w:ascii="Times New Roman" w:hAnsi="Times New Roman"/>
                <w:color w:val="auto"/>
                <w:kern w:val="2"/>
                <w:sz w:val="21"/>
                <w:szCs w:val="21"/>
              </w:rPr>
              <w:t>施工</w:t>
            </w:r>
          </w:p>
          <w:p w14:paraId="09ED3145">
            <w:pPr>
              <w:pStyle w:val="41"/>
              <w:adjustRightInd w:val="0"/>
              <w:snapToGrid w:val="0"/>
              <w:spacing w:before="0" w:beforeAutospacing="0" w:after="0" w:afterAutospacing="0"/>
              <w:jc w:val="center"/>
              <w:rPr>
                <w:rFonts w:ascii="Times New Roman" w:hAnsi="Times New Roman"/>
                <w:color w:val="auto"/>
                <w:kern w:val="2"/>
                <w:sz w:val="21"/>
                <w:szCs w:val="21"/>
              </w:rPr>
            </w:pPr>
            <w:r>
              <w:rPr>
                <w:rFonts w:ascii="Times New Roman" w:hAnsi="Times New Roman"/>
                <w:color w:val="auto"/>
                <w:kern w:val="2"/>
                <w:sz w:val="21"/>
                <w:szCs w:val="21"/>
              </w:rPr>
              <w:t>期环</w:t>
            </w:r>
          </w:p>
          <w:p w14:paraId="39500A15">
            <w:pPr>
              <w:pStyle w:val="41"/>
              <w:adjustRightInd w:val="0"/>
              <w:snapToGrid w:val="0"/>
              <w:spacing w:before="0" w:beforeAutospacing="0" w:after="0" w:afterAutospacing="0"/>
              <w:jc w:val="center"/>
              <w:rPr>
                <w:rFonts w:ascii="Times New Roman" w:hAnsi="Times New Roman"/>
                <w:color w:val="auto"/>
                <w:kern w:val="2"/>
                <w:sz w:val="21"/>
                <w:szCs w:val="21"/>
              </w:rPr>
            </w:pPr>
            <w:r>
              <w:rPr>
                <w:rFonts w:ascii="Times New Roman" w:hAnsi="Times New Roman"/>
                <w:color w:val="auto"/>
                <w:kern w:val="2"/>
                <w:sz w:val="21"/>
                <w:szCs w:val="21"/>
              </w:rPr>
              <w:t>境保</w:t>
            </w:r>
          </w:p>
          <w:p w14:paraId="12C09A6E">
            <w:pPr>
              <w:pStyle w:val="41"/>
              <w:adjustRightInd w:val="0"/>
              <w:snapToGrid w:val="0"/>
              <w:spacing w:before="0" w:beforeAutospacing="0" w:after="0" w:afterAutospacing="0"/>
              <w:jc w:val="center"/>
              <w:rPr>
                <w:rFonts w:ascii="Times New Roman" w:hAnsi="Times New Roman"/>
                <w:color w:val="auto"/>
                <w:kern w:val="2"/>
                <w:sz w:val="21"/>
                <w:szCs w:val="21"/>
              </w:rPr>
            </w:pPr>
            <w:r>
              <w:rPr>
                <w:rFonts w:ascii="Times New Roman" w:hAnsi="Times New Roman"/>
                <w:color w:val="auto"/>
                <w:kern w:val="2"/>
                <w:sz w:val="21"/>
                <w:szCs w:val="21"/>
              </w:rPr>
              <w:t>护措</w:t>
            </w:r>
          </w:p>
          <w:p w14:paraId="005D353D">
            <w:pPr>
              <w:pStyle w:val="41"/>
              <w:adjustRightInd w:val="0"/>
              <w:snapToGrid w:val="0"/>
              <w:spacing w:before="0" w:beforeAutospacing="0" w:after="0" w:afterAutospacing="0"/>
              <w:jc w:val="center"/>
              <w:rPr>
                <w:rFonts w:ascii="Times New Roman" w:hAnsi="Times New Roman"/>
                <w:bCs/>
                <w:color w:val="auto"/>
                <w:kern w:val="2"/>
                <w:sz w:val="21"/>
                <w:szCs w:val="21"/>
              </w:rPr>
            </w:pPr>
            <w:r>
              <w:rPr>
                <w:rFonts w:ascii="Times New Roman" w:hAnsi="Times New Roman"/>
                <w:color w:val="auto"/>
                <w:kern w:val="2"/>
                <w:sz w:val="21"/>
                <w:szCs w:val="21"/>
              </w:rPr>
              <w:t>施</w:t>
            </w:r>
          </w:p>
        </w:tc>
        <w:tc>
          <w:tcPr>
            <w:tcW w:w="8162" w:type="dxa"/>
            <w:vAlign w:val="center"/>
          </w:tcPr>
          <w:p w14:paraId="397B95A4">
            <w:pPr>
              <w:spacing w:line="360" w:lineRule="auto"/>
              <w:ind w:firstLine="420" w:firstLineChars="200"/>
              <w:rPr>
                <w:rFonts w:hint="default"/>
                <w:color w:val="auto"/>
                <w:szCs w:val="21"/>
                <w:lang w:val="en-US" w:eastAsia="zh-CN"/>
              </w:rPr>
            </w:pPr>
            <w:r>
              <w:rPr>
                <w:rFonts w:hint="default"/>
                <w:color w:val="auto"/>
                <w:szCs w:val="21"/>
                <w:lang w:val="en-US" w:eastAsia="zh-CN"/>
              </w:rPr>
              <w:t>1、施工期大气污染防治措施</w:t>
            </w:r>
          </w:p>
          <w:p w14:paraId="6951385A">
            <w:pPr>
              <w:spacing w:line="360" w:lineRule="auto"/>
              <w:ind w:firstLine="420" w:firstLineChars="200"/>
              <w:rPr>
                <w:rFonts w:hint="default"/>
                <w:color w:val="auto"/>
                <w:szCs w:val="21"/>
                <w:lang w:val="en-US" w:eastAsia="zh-CN"/>
              </w:rPr>
            </w:pPr>
            <w:r>
              <w:rPr>
                <w:rFonts w:hint="default"/>
                <w:color w:val="auto"/>
                <w:szCs w:val="21"/>
                <w:lang w:val="en-US" w:eastAsia="zh-CN"/>
              </w:rPr>
              <w:t>（1）建设单位应加强环境保护措施的监理工作，确保施工期各项环保措施的实施，建筑工地必须做到“6个100%”：施工工地100%围挡，物料堆放100%覆盖，出入车辆100%冲洗，施工场地100%硬化，拆迁工地100%湿法作业，渣土车辆100%密闭；企业不得进行现场搅拌，采用商品混凝土。</w:t>
            </w:r>
          </w:p>
          <w:p w14:paraId="2393C2BF">
            <w:pPr>
              <w:spacing w:line="360" w:lineRule="auto"/>
              <w:ind w:firstLine="420" w:firstLineChars="200"/>
              <w:rPr>
                <w:rFonts w:hint="default"/>
                <w:color w:val="auto"/>
                <w:szCs w:val="21"/>
                <w:lang w:val="en-US" w:eastAsia="zh-CN"/>
              </w:rPr>
            </w:pPr>
            <w:r>
              <w:rPr>
                <w:rFonts w:hint="default"/>
                <w:color w:val="auto"/>
                <w:szCs w:val="21"/>
                <w:lang w:val="en-US" w:eastAsia="zh-CN"/>
              </w:rPr>
              <w:t>（2）施工期间燃油机械设备较多，施工单位应选用先进设备和优质燃料，使尾气达标排放。运输车辆禁止超载。</w:t>
            </w:r>
          </w:p>
          <w:p w14:paraId="333CC9CF">
            <w:pPr>
              <w:spacing w:line="360" w:lineRule="auto"/>
              <w:ind w:firstLine="420" w:firstLineChars="200"/>
              <w:rPr>
                <w:rFonts w:hint="eastAsia"/>
                <w:color w:val="auto"/>
                <w:szCs w:val="21"/>
                <w:lang w:val="en-US" w:eastAsia="zh-CN"/>
              </w:rPr>
            </w:pPr>
            <w:r>
              <w:rPr>
                <w:rFonts w:hint="eastAsia"/>
                <w:color w:val="auto"/>
                <w:szCs w:val="21"/>
                <w:lang w:val="en-US" w:eastAsia="zh-CN"/>
              </w:rPr>
              <w:t>2、施工期水污染防治措施</w:t>
            </w:r>
          </w:p>
          <w:p w14:paraId="674E0408">
            <w:pPr>
              <w:spacing w:line="360" w:lineRule="auto"/>
              <w:ind w:firstLine="420" w:firstLineChars="200"/>
              <w:rPr>
                <w:rFonts w:hint="eastAsia"/>
                <w:color w:val="auto"/>
                <w:szCs w:val="21"/>
                <w:lang w:val="en-US" w:eastAsia="zh-CN"/>
              </w:rPr>
            </w:pPr>
            <w:r>
              <w:rPr>
                <w:rFonts w:hint="eastAsia"/>
                <w:color w:val="auto"/>
                <w:szCs w:val="21"/>
                <w:lang w:val="en-US" w:eastAsia="zh-CN"/>
              </w:rPr>
              <w:t xml:space="preserve">（1）施工废水：施工期设备、车辆等冲洗水只含有少量泥沙，排放量较小，经沉淀池沉淀后用于施工现场洒水抑尘，不外排。 </w:t>
            </w:r>
          </w:p>
          <w:p w14:paraId="1F43232F">
            <w:pPr>
              <w:spacing w:line="360" w:lineRule="auto"/>
              <w:ind w:firstLine="420" w:firstLineChars="200"/>
              <w:rPr>
                <w:color w:val="auto"/>
                <w:szCs w:val="21"/>
              </w:rPr>
            </w:pPr>
            <w:r>
              <w:rPr>
                <w:rFonts w:hint="eastAsia"/>
                <w:color w:val="auto"/>
                <w:szCs w:val="21"/>
                <w:lang w:val="en-US" w:eastAsia="zh-CN"/>
              </w:rPr>
              <w:t xml:space="preserve">（2）施工人员的生活污水：排入旱厕定期清掏。 </w:t>
            </w:r>
          </w:p>
          <w:p w14:paraId="53AB5B70">
            <w:pPr>
              <w:spacing w:line="360" w:lineRule="auto"/>
              <w:ind w:firstLine="420" w:firstLineChars="200"/>
              <w:rPr>
                <w:color w:val="auto"/>
                <w:szCs w:val="21"/>
              </w:rPr>
            </w:pPr>
            <w:r>
              <w:rPr>
                <w:rFonts w:hint="default"/>
                <w:color w:val="auto"/>
                <w:szCs w:val="21"/>
                <w:lang w:val="en-US" w:eastAsia="zh-CN"/>
              </w:rPr>
              <w:t>3</w:t>
            </w:r>
            <w:r>
              <w:rPr>
                <w:rFonts w:hint="eastAsia"/>
                <w:color w:val="auto"/>
                <w:szCs w:val="21"/>
                <w:lang w:val="en-US" w:eastAsia="zh-CN"/>
              </w:rPr>
              <w:t xml:space="preserve">、固体废物防治措施 </w:t>
            </w:r>
          </w:p>
          <w:p w14:paraId="0FB877CA">
            <w:pPr>
              <w:spacing w:line="360" w:lineRule="auto"/>
              <w:ind w:firstLine="420" w:firstLineChars="200"/>
              <w:rPr>
                <w:color w:val="auto"/>
                <w:szCs w:val="21"/>
              </w:rPr>
            </w:pPr>
            <w:r>
              <w:rPr>
                <w:rFonts w:hint="eastAsia"/>
                <w:color w:val="auto"/>
                <w:szCs w:val="21"/>
                <w:lang w:val="en-US" w:eastAsia="zh-CN"/>
              </w:rPr>
              <w:t xml:space="preserve">环评要求项目施工期产生的建筑垃圾及时清运至城建部门指定的建筑垃圾填埋场； </w:t>
            </w:r>
          </w:p>
          <w:p w14:paraId="66DACADB">
            <w:pPr>
              <w:spacing w:line="360" w:lineRule="auto"/>
              <w:ind w:firstLine="420" w:firstLineChars="200"/>
              <w:rPr>
                <w:color w:val="auto"/>
                <w:szCs w:val="21"/>
              </w:rPr>
            </w:pPr>
            <w:r>
              <w:rPr>
                <w:rFonts w:hint="eastAsia"/>
                <w:color w:val="auto"/>
                <w:szCs w:val="21"/>
                <w:lang w:val="en-US" w:eastAsia="zh-CN"/>
              </w:rPr>
              <w:t xml:space="preserve">场地内设置封闭式垃圾箱，施工人员产生的生活垃圾收集后运至附近生活垃圾转运点，由环卫部门处置。 </w:t>
            </w:r>
          </w:p>
          <w:p w14:paraId="58A5E01C">
            <w:pPr>
              <w:spacing w:line="360" w:lineRule="auto"/>
              <w:ind w:firstLine="420" w:firstLineChars="200"/>
              <w:rPr>
                <w:rFonts w:hint="eastAsia"/>
                <w:color w:val="auto"/>
                <w:szCs w:val="21"/>
                <w:lang w:val="en-US" w:eastAsia="zh-CN"/>
              </w:rPr>
            </w:pPr>
            <w:r>
              <w:rPr>
                <w:rFonts w:hint="eastAsia"/>
                <w:color w:val="auto"/>
                <w:szCs w:val="21"/>
                <w:lang w:val="en-US" w:eastAsia="zh-CN"/>
              </w:rPr>
              <w:t>4、施工期噪声污染防治措施</w:t>
            </w:r>
          </w:p>
          <w:p w14:paraId="1469E807">
            <w:pPr>
              <w:spacing w:line="360" w:lineRule="auto"/>
              <w:ind w:firstLine="420" w:firstLineChars="200"/>
              <w:rPr>
                <w:rFonts w:hint="eastAsia"/>
                <w:color w:val="auto"/>
                <w:szCs w:val="21"/>
                <w:lang w:val="en-US" w:eastAsia="zh-CN"/>
              </w:rPr>
            </w:pPr>
            <w:r>
              <w:rPr>
                <w:rFonts w:hint="eastAsia"/>
                <w:color w:val="auto"/>
                <w:szCs w:val="21"/>
                <w:lang w:val="en-US" w:eastAsia="zh-CN"/>
              </w:rPr>
              <w:t>（1）降低施工设备噪声：要定期对机械设备进行维护和保养，使其一直保持良好的状态，减轻因设备运行状态不佳而造成的噪声污染；对动力机械、设备加强定期检修、养护；</w:t>
            </w:r>
          </w:p>
          <w:p w14:paraId="56613E6F">
            <w:pPr>
              <w:spacing w:line="360" w:lineRule="auto"/>
              <w:ind w:firstLine="420" w:firstLineChars="200"/>
              <w:rPr>
                <w:rFonts w:hint="eastAsia"/>
                <w:color w:val="auto"/>
                <w:szCs w:val="21"/>
                <w:lang w:val="en-US" w:eastAsia="zh-CN"/>
              </w:rPr>
            </w:pPr>
            <w:r>
              <w:rPr>
                <w:rFonts w:hint="eastAsia"/>
                <w:color w:val="auto"/>
                <w:szCs w:val="21"/>
                <w:lang w:val="en-US" w:eastAsia="zh-CN"/>
              </w:rPr>
              <w:t>（2）施工现场合理布局，避免在同一地点安排大量动力机械设备，以避免局部声级过高，噪声大的某些施工设备尽量远离敏感区，将施工阶段的噪声减至最小；运输车辆在路过沿线村庄等敏感点及进入施工院内时限制车速，尽量减少鸣笛；</w:t>
            </w:r>
          </w:p>
          <w:p w14:paraId="4FF08BE0">
            <w:pPr>
              <w:spacing w:line="360" w:lineRule="auto"/>
              <w:ind w:firstLine="420" w:firstLineChars="200"/>
              <w:rPr>
                <w:rFonts w:hint="eastAsia"/>
                <w:color w:val="auto"/>
                <w:szCs w:val="21"/>
                <w:lang w:val="en-US" w:eastAsia="zh-CN"/>
              </w:rPr>
            </w:pPr>
            <w:r>
              <w:rPr>
                <w:rFonts w:hint="eastAsia"/>
                <w:color w:val="auto"/>
                <w:szCs w:val="21"/>
                <w:lang w:val="en-US" w:eastAsia="zh-CN"/>
              </w:rPr>
              <w:t>（3）合理安排施工时间，所有产噪设备施工时间应尽量安排在日间，严格控制夜间施工，在22时至次日6时不得施工，高噪声设备禁止夜间施工；</w:t>
            </w:r>
          </w:p>
          <w:p w14:paraId="0558256F">
            <w:pPr>
              <w:spacing w:line="360" w:lineRule="auto"/>
              <w:ind w:firstLine="420" w:firstLineChars="200"/>
              <w:rPr>
                <w:color w:val="auto"/>
                <w:szCs w:val="21"/>
              </w:rPr>
            </w:pPr>
            <w:r>
              <w:rPr>
                <w:rFonts w:hint="eastAsia"/>
                <w:color w:val="auto"/>
                <w:szCs w:val="21"/>
                <w:lang w:val="en-US" w:eastAsia="zh-CN"/>
              </w:rPr>
              <w:t>（4）为避免设备噪声对施工人员造成影响，建议项目施工时要合理安排工作人员，轮流操作机械，减少工人接触高噪音时间；对声源附近工作时间较长的工人，应采取分发防护耳塞保护措施，使工人自身防护得到保障。</w:t>
            </w:r>
          </w:p>
          <w:p w14:paraId="208640FB">
            <w:pPr>
              <w:spacing w:line="360" w:lineRule="auto"/>
              <w:ind w:firstLine="420" w:firstLineChars="200"/>
              <w:rPr>
                <w:color w:val="auto"/>
                <w:szCs w:val="21"/>
              </w:rPr>
            </w:pPr>
          </w:p>
          <w:p w14:paraId="4552E729">
            <w:pPr>
              <w:spacing w:line="360" w:lineRule="auto"/>
              <w:ind w:firstLine="420" w:firstLineChars="200"/>
              <w:rPr>
                <w:color w:val="auto"/>
                <w:szCs w:val="21"/>
              </w:rPr>
            </w:pPr>
          </w:p>
        </w:tc>
      </w:tr>
      <w:tr w14:paraId="47237E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810" w:hRule="atLeast"/>
          <w:jc w:val="center"/>
        </w:trPr>
        <w:tc>
          <w:tcPr>
            <w:tcW w:w="746" w:type="dxa"/>
            <w:tcMar>
              <w:left w:w="28" w:type="dxa"/>
              <w:right w:w="28" w:type="dxa"/>
            </w:tcMar>
            <w:vAlign w:val="center"/>
          </w:tcPr>
          <w:p w14:paraId="10780F99">
            <w:pPr>
              <w:adjustRightInd w:val="0"/>
              <w:snapToGrid w:val="0"/>
              <w:jc w:val="center"/>
              <w:rPr>
                <w:bCs/>
                <w:color w:val="auto"/>
                <w:szCs w:val="21"/>
              </w:rPr>
            </w:pPr>
            <w:r>
              <w:rPr>
                <w:bCs/>
                <w:color w:val="auto"/>
                <w:szCs w:val="21"/>
              </w:rPr>
              <w:t>运营</w:t>
            </w:r>
          </w:p>
          <w:p w14:paraId="127A0E74">
            <w:pPr>
              <w:adjustRightInd w:val="0"/>
              <w:snapToGrid w:val="0"/>
              <w:jc w:val="center"/>
              <w:rPr>
                <w:bCs/>
                <w:color w:val="auto"/>
                <w:szCs w:val="21"/>
              </w:rPr>
            </w:pPr>
            <w:r>
              <w:rPr>
                <w:bCs/>
                <w:color w:val="auto"/>
                <w:szCs w:val="21"/>
              </w:rPr>
              <w:t>期环</w:t>
            </w:r>
          </w:p>
          <w:p w14:paraId="648A607A">
            <w:pPr>
              <w:adjustRightInd w:val="0"/>
              <w:snapToGrid w:val="0"/>
              <w:jc w:val="center"/>
              <w:rPr>
                <w:bCs/>
                <w:color w:val="auto"/>
                <w:szCs w:val="21"/>
              </w:rPr>
            </w:pPr>
            <w:r>
              <w:rPr>
                <w:bCs/>
                <w:color w:val="auto"/>
                <w:szCs w:val="21"/>
              </w:rPr>
              <w:t>境影</w:t>
            </w:r>
          </w:p>
          <w:p w14:paraId="423BA231">
            <w:pPr>
              <w:adjustRightInd w:val="0"/>
              <w:snapToGrid w:val="0"/>
              <w:jc w:val="center"/>
              <w:rPr>
                <w:bCs/>
                <w:color w:val="auto"/>
                <w:szCs w:val="21"/>
              </w:rPr>
            </w:pPr>
            <w:r>
              <w:rPr>
                <w:bCs/>
                <w:color w:val="auto"/>
                <w:szCs w:val="21"/>
              </w:rPr>
              <w:t>响和</w:t>
            </w:r>
          </w:p>
          <w:p w14:paraId="02417904">
            <w:pPr>
              <w:adjustRightInd w:val="0"/>
              <w:snapToGrid w:val="0"/>
              <w:jc w:val="center"/>
              <w:rPr>
                <w:bCs/>
                <w:color w:val="auto"/>
                <w:szCs w:val="21"/>
              </w:rPr>
            </w:pPr>
            <w:r>
              <w:rPr>
                <w:bCs/>
                <w:color w:val="auto"/>
                <w:szCs w:val="21"/>
              </w:rPr>
              <w:t>保护</w:t>
            </w:r>
          </w:p>
          <w:p w14:paraId="1BB919F6">
            <w:pPr>
              <w:adjustRightInd w:val="0"/>
              <w:snapToGrid w:val="0"/>
              <w:jc w:val="center"/>
              <w:rPr>
                <w:bCs/>
                <w:color w:val="auto"/>
                <w:szCs w:val="21"/>
              </w:rPr>
            </w:pPr>
            <w:r>
              <w:rPr>
                <w:bCs/>
                <w:color w:val="auto"/>
                <w:szCs w:val="21"/>
              </w:rPr>
              <w:t>措施</w:t>
            </w:r>
          </w:p>
        </w:tc>
        <w:tc>
          <w:tcPr>
            <w:tcW w:w="8162" w:type="dxa"/>
            <w:vAlign w:val="center"/>
          </w:tcPr>
          <w:p w14:paraId="7FA60E71">
            <w:pPr>
              <w:snapToGrid w:val="0"/>
              <w:spacing w:line="360" w:lineRule="auto"/>
              <w:ind w:firstLine="413" w:firstLineChars="196"/>
              <w:rPr>
                <w:rFonts w:hint="eastAsia"/>
                <w:b/>
                <w:color w:val="auto"/>
                <w:szCs w:val="21"/>
                <w:lang w:val="en-US" w:eastAsia="zh-CN"/>
              </w:rPr>
            </w:pPr>
            <w:r>
              <w:rPr>
                <w:rFonts w:hint="eastAsia"/>
                <w:b/>
                <w:color w:val="auto"/>
                <w:szCs w:val="21"/>
                <w:lang w:val="en-US" w:eastAsia="zh-CN"/>
              </w:rPr>
              <w:t>4.</w:t>
            </w:r>
            <w:r>
              <w:rPr>
                <w:b/>
                <w:color w:val="auto"/>
                <w:szCs w:val="21"/>
              </w:rPr>
              <w:t>1、</w:t>
            </w:r>
            <w:r>
              <w:rPr>
                <w:rFonts w:hint="eastAsia"/>
                <w:b/>
                <w:color w:val="auto"/>
                <w:szCs w:val="21"/>
                <w:lang w:val="en-US" w:eastAsia="zh-CN"/>
              </w:rPr>
              <w:t>废气</w:t>
            </w:r>
          </w:p>
          <w:p w14:paraId="6028383C">
            <w:pPr>
              <w:snapToGrid w:val="0"/>
              <w:spacing w:line="360" w:lineRule="auto"/>
              <w:ind w:firstLine="411" w:firstLineChars="196"/>
              <w:rPr>
                <w:rFonts w:hint="eastAsia"/>
                <w:b/>
                <w:color w:val="auto"/>
                <w:szCs w:val="21"/>
                <w:lang w:val="en-US" w:eastAsia="zh-CN"/>
              </w:rPr>
            </w:pPr>
            <w:r>
              <w:rPr>
                <w:rFonts w:hint="eastAsia"/>
                <w:bCs/>
                <w:color w:val="auto"/>
                <w:szCs w:val="21"/>
                <w:lang w:val="en-US" w:eastAsia="zh-CN"/>
              </w:rPr>
              <w:t>本项目营运期主要大气污染因素包括原料堆存装卸扬尘、</w:t>
            </w:r>
            <w:r>
              <w:rPr>
                <w:rFonts w:hint="eastAsia"/>
                <w:b w:val="0"/>
                <w:bCs/>
                <w:color w:val="auto"/>
                <w:szCs w:val="21"/>
                <w:lang w:val="en-US" w:eastAsia="zh-CN"/>
              </w:rPr>
              <w:t>骨料烘干筛分及燃烧器混合废气</w:t>
            </w:r>
            <w:r>
              <w:rPr>
                <w:rFonts w:hint="eastAsia"/>
                <w:bCs/>
                <w:color w:val="auto"/>
                <w:szCs w:val="21"/>
                <w:lang w:val="en-US" w:eastAsia="zh-CN"/>
              </w:rPr>
              <w:t xml:space="preserve">、导热油炉烟气、沥青预处理及搅拌废气、混凝土搅拌废气、水稳土搅拌废气、粉料暂存粉尘、柴油储罐呼吸废气、物料输送转载扬尘、运输扬尘。 </w:t>
            </w:r>
          </w:p>
          <w:p w14:paraId="51FB2118">
            <w:pPr>
              <w:spacing w:line="360" w:lineRule="auto"/>
              <w:ind w:firstLine="422" w:firstLineChars="200"/>
              <w:rPr>
                <w:b/>
                <w:bCs/>
                <w:color w:val="auto"/>
                <w:szCs w:val="21"/>
              </w:rPr>
            </w:pPr>
            <w:r>
              <w:rPr>
                <w:rFonts w:hint="eastAsia"/>
                <w:b/>
                <w:bCs/>
                <w:color w:val="auto"/>
                <w:szCs w:val="21"/>
                <w:lang w:val="en-US" w:eastAsia="zh-CN"/>
              </w:rPr>
              <w:t>4.1.1、</w:t>
            </w:r>
            <w:r>
              <w:rPr>
                <w:b/>
                <w:bCs/>
                <w:color w:val="auto"/>
                <w:szCs w:val="21"/>
              </w:rPr>
              <w:t>污染源强计算及防治措施</w:t>
            </w:r>
          </w:p>
          <w:p w14:paraId="0F456D29">
            <w:pPr>
              <w:pStyle w:val="153"/>
              <w:spacing w:before="0" w:after="0" w:line="240" w:lineRule="exact"/>
              <w:rPr>
                <w:rFonts w:hint="eastAsia"/>
                <w:color w:val="auto"/>
                <w:sz w:val="18"/>
                <w:szCs w:val="18"/>
                <w:lang w:val="en-US" w:eastAsia="zh-CN"/>
              </w:rPr>
            </w:pPr>
            <w:r>
              <w:rPr>
                <w:color w:val="auto"/>
                <w:sz w:val="18"/>
                <w:szCs w:val="18"/>
              </w:rPr>
              <w:t>表4</w:t>
            </w:r>
            <w:r>
              <w:rPr>
                <w:rFonts w:hint="eastAsia"/>
                <w:color w:val="auto"/>
                <w:sz w:val="18"/>
                <w:szCs w:val="18"/>
                <w:lang w:val="en-US" w:eastAsia="zh-CN"/>
              </w:rPr>
              <w:t>.1</w:t>
            </w:r>
            <w:r>
              <w:rPr>
                <w:color w:val="auto"/>
                <w:sz w:val="18"/>
                <w:szCs w:val="18"/>
              </w:rPr>
              <w:t>-</w:t>
            </w:r>
            <w:r>
              <w:rPr>
                <w:rFonts w:hint="eastAsia"/>
                <w:color w:val="auto"/>
                <w:sz w:val="18"/>
                <w:szCs w:val="18"/>
                <w:lang w:val="en-US" w:eastAsia="zh-CN"/>
              </w:rPr>
              <w:t>1</w:t>
            </w:r>
            <w:r>
              <w:rPr>
                <w:color w:val="auto"/>
                <w:sz w:val="18"/>
                <w:szCs w:val="18"/>
              </w:rPr>
              <w:t xml:space="preserve"> </w:t>
            </w:r>
            <w:r>
              <w:rPr>
                <w:rFonts w:hint="eastAsia"/>
                <w:color w:val="auto"/>
                <w:sz w:val="18"/>
                <w:szCs w:val="18"/>
              </w:rPr>
              <w:t xml:space="preserve">  </w:t>
            </w:r>
            <w:r>
              <w:rPr>
                <w:rFonts w:hint="eastAsia"/>
                <w:color w:val="auto"/>
                <w:sz w:val="18"/>
                <w:szCs w:val="18"/>
                <w:lang w:val="en-US" w:eastAsia="zh-CN"/>
              </w:rPr>
              <w:t>废气污染源产生排放情况表</w:t>
            </w:r>
          </w:p>
          <w:tbl>
            <w:tblPr>
              <w:tblStyle w:val="4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59"/>
              <w:gridCol w:w="1265"/>
              <w:gridCol w:w="1276"/>
              <w:gridCol w:w="45"/>
              <w:gridCol w:w="738"/>
              <w:gridCol w:w="404"/>
              <w:gridCol w:w="412"/>
              <w:gridCol w:w="404"/>
              <w:gridCol w:w="403"/>
              <w:gridCol w:w="791"/>
              <w:gridCol w:w="74"/>
              <w:gridCol w:w="696"/>
              <w:gridCol w:w="786"/>
            </w:tblGrid>
            <w:tr w14:paraId="51F4E5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56" w:type="pct"/>
                  <w:gridSpan w:val="2"/>
                  <w:tcBorders>
                    <w:tl2br w:val="nil"/>
                    <w:tr2bl w:val="nil"/>
                  </w:tcBorders>
                  <w:vAlign w:val="center"/>
                </w:tcPr>
                <w:p w14:paraId="6CA7DA3C">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污染源名称</w:t>
                  </w:r>
                </w:p>
              </w:tc>
              <w:tc>
                <w:tcPr>
                  <w:tcW w:w="792" w:type="pct"/>
                  <w:tcBorders>
                    <w:tl2br w:val="nil"/>
                    <w:tr2bl w:val="nil"/>
                  </w:tcBorders>
                  <w:vAlign w:val="center"/>
                </w:tcPr>
                <w:p w14:paraId="61980B59">
                  <w:pPr>
                    <w:pStyle w:val="153"/>
                    <w:spacing w:before="0" w:after="0" w:line="240" w:lineRule="exact"/>
                    <w:jc w:val="center"/>
                    <w:rPr>
                      <w:rFonts w:hint="default"/>
                      <w:b/>
                      <w:bCs w:val="0"/>
                      <w:color w:val="auto"/>
                      <w:sz w:val="18"/>
                      <w:szCs w:val="18"/>
                      <w:vertAlign w:val="baseline"/>
                      <w:lang w:val="en-US" w:eastAsia="zh-CN"/>
                    </w:rPr>
                  </w:pPr>
                  <w:r>
                    <w:rPr>
                      <w:rFonts w:hint="eastAsia"/>
                      <w:b/>
                      <w:bCs w:val="0"/>
                      <w:color w:val="auto"/>
                      <w:spacing w:val="-20"/>
                      <w:sz w:val="18"/>
                      <w:szCs w:val="18"/>
                      <w:vertAlign w:val="baseline"/>
                      <w:lang w:val="en-US" w:eastAsia="zh-CN"/>
                    </w:rPr>
                    <w:t>原料堆存装卸</w:t>
                  </w:r>
                </w:p>
              </w:tc>
              <w:tc>
                <w:tcPr>
                  <w:tcW w:w="1493" w:type="pct"/>
                  <w:gridSpan w:val="6"/>
                  <w:tcBorders>
                    <w:tl2br w:val="nil"/>
                    <w:tr2bl w:val="nil"/>
                  </w:tcBorders>
                  <w:vAlign w:val="center"/>
                </w:tcPr>
                <w:p w14:paraId="5CFD653B">
                  <w:pPr>
                    <w:pStyle w:val="153"/>
                    <w:spacing w:before="0" w:after="0" w:line="240" w:lineRule="exact"/>
                    <w:jc w:val="center"/>
                    <w:rPr>
                      <w:rFonts w:hint="default"/>
                      <w:b/>
                      <w:bCs w:val="0"/>
                      <w:color w:val="auto"/>
                      <w:sz w:val="18"/>
                      <w:szCs w:val="18"/>
                      <w:vertAlign w:val="baseline"/>
                      <w:lang w:val="en-US" w:eastAsia="zh-CN"/>
                    </w:rPr>
                  </w:pPr>
                  <w:r>
                    <w:rPr>
                      <w:rFonts w:hint="eastAsia"/>
                      <w:b/>
                      <w:bCs w:val="0"/>
                      <w:color w:val="auto"/>
                      <w:sz w:val="18"/>
                      <w:szCs w:val="18"/>
                      <w:vertAlign w:val="baseline"/>
                      <w:lang w:val="en-US" w:eastAsia="zh-CN"/>
                    </w:rPr>
                    <w:t>骨料烘干筛分及燃烧器</w:t>
                  </w:r>
                </w:p>
              </w:tc>
              <w:tc>
                <w:tcPr>
                  <w:tcW w:w="1457" w:type="pct"/>
                  <w:gridSpan w:val="4"/>
                  <w:tcBorders>
                    <w:tl2br w:val="nil"/>
                    <w:tr2bl w:val="nil"/>
                  </w:tcBorders>
                  <w:vAlign w:val="center"/>
                </w:tcPr>
                <w:p w14:paraId="7AAD89B1">
                  <w:pPr>
                    <w:pStyle w:val="153"/>
                    <w:spacing w:before="0" w:after="0" w:line="240" w:lineRule="exact"/>
                    <w:jc w:val="center"/>
                    <w:rPr>
                      <w:rFonts w:hint="default"/>
                      <w:b/>
                      <w:bCs w:val="0"/>
                      <w:color w:val="auto"/>
                      <w:sz w:val="18"/>
                      <w:szCs w:val="18"/>
                      <w:vertAlign w:val="baseline"/>
                      <w:lang w:val="en-US" w:eastAsia="zh-CN"/>
                    </w:rPr>
                  </w:pPr>
                  <w:r>
                    <w:rPr>
                      <w:rFonts w:hint="eastAsia"/>
                      <w:b/>
                      <w:bCs w:val="0"/>
                      <w:color w:val="auto"/>
                      <w:sz w:val="18"/>
                      <w:szCs w:val="18"/>
                      <w:vertAlign w:val="baseline"/>
                      <w:lang w:val="en-US" w:eastAsia="zh-CN"/>
                    </w:rPr>
                    <w:t>导热油炉燃烧</w:t>
                  </w:r>
                </w:p>
              </w:tc>
            </w:tr>
            <w:tr w14:paraId="65533C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56" w:type="pct"/>
                  <w:gridSpan w:val="2"/>
                  <w:tcBorders>
                    <w:tl2br w:val="nil"/>
                    <w:tr2bl w:val="nil"/>
                  </w:tcBorders>
                  <w:vAlign w:val="center"/>
                </w:tcPr>
                <w:p w14:paraId="1719DB06">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污染物种类</w:t>
                  </w:r>
                </w:p>
              </w:tc>
              <w:tc>
                <w:tcPr>
                  <w:tcW w:w="792" w:type="pct"/>
                  <w:tcBorders>
                    <w:tl2br w:val="nil"/>
                    <w:tr2bl w:val="nil"/>
                  </w:tcBorders>
                  <w:vAlign w:val="center"/>
                </w:tcPr>
                <w:p w14:paraId="3459615B">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颗粒物</w:t>
                  </w:r>
                </w:p>
              </w:tc>
              <w:tc>
                <w:tcPr>
                  <w:tcW w:w="486" w:type="pct"/>
                  <w:gridSpan w:val="2"/>
                  <w:tcBorders>
                    <w:tl2br w:val="nil"/>
                    <w:tr2bl w:val="nil"/>
                  </w:tcBorders>
                  <w:vAlign w:val="center"/>
                </w:tcPr>
                <w:p w14:paraId="34274ED5">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颗粒物</w:t>
                  </w:r>
                </w:p>
              </w:tc>
              <w:tc>
                <w:tcPr>
                  <w:tcW w:w="506" w:type="pct"/>
                  <w:gridSpan w:val="2"/>
                  <w:tcBorders>
                    <w:tl2br w:val="nil"/>
                    <w:tr2bl w:val="nil"/>
                  </w:tcBorders>
                  <w:vAlign w:val="center"/>
                </w:tcPr>
                <w:p w14:paraId="6DE7166F">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SO</w:t>
                  </w:r>
                  <w:r>
                    <w:rPr>
                      <w:rFonts w:hint="eastAsia"/>
                      <w:b w:val="0"/>
                      <w:bCs/>
                      <w:color w:val="auto"/>
                      <w:sz w:val="18"/>
                      <w:szCs w:val="18"/>
                      <w:vertAlign w:val="subscript"/>
                      <w:lang w:val="en-US" w:eastAsia="zh-CN"/>
                    </w:rPr>
                    <w:t>2</w:t>
                  </w:r>
                </w:p>
              </w:tc>
              <w:tc>
                <w:tcPr>
                  <w:tcW w:w="501" w:type="pct"/>
                  <w:gridSpan w:val="2"/>
                  <w:tcBorders>
                    <w:tl2br w:val="nil"/>
                    <w:tr2bl w:val="nil"/>
                  </w:tcBorders>
                  <w:vAlign w:val="center"/>
                </w:tcPr>
                <w:p w14:paraId="348445CA">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NO</w:t>
                  </w:r>
                  <w:r>
                    <w:rPr>
                      <w:rFonts w:hint="eastAsia"/>
                      <w:b w:val="0"/>
                      <w:bCs/>
                      <w:color w:val="auto"/>
                      <w:sz w:val="18"/>
                      <w:szCs w:val="18"/>
                      <w:vertAlign w:val="subscript"/>
                      <w:lang w:val="en-US" w:eastAsia="zh-CN"/>
                    </w:rPr>
                    <w:t>x</w:t>
                  </w:r>
                </w:p>
              </w:tc>
              <w:tc>
                <w:tcPr>
                  <w:tcW w:w="491" w:type="pct"/>
                  <w:tcBorders>
                    <w:tl2br w:val="nil"/>
                    <w:tr2bl w:val="nil"/>
                  </w:tcBorders>
                  <w:shd w:val="clear" w:color="auto" w:fill="auto"/>
                  <w:vAlign w:val="center"/>
                </w:tcPr>
                <w:p w14:paraId="5723E523">
                  <w:pPr>
                    <w:pStyle w:val="153"/>
                    <w:spacing w:before="0" w:after="0" w:line="240" w:lineRule="exact"/>
                    <w:jc w:val="center"/>
                    <w:rPr>
                      <w:rFonts w:hint="default" w:ascii="Times New Roman" w:hAnsi="Times New Roman" w:eastAsia="宋体" w:cs="Times New Roman"/>
                      <w:b w:val="0"/>
                      <w:bCs/>
                      <w:color w:val="auto"/>
                      <w:kern w:val="32"/>
                      <w:sz w:val="18"/>
                      <w:szCs w:val="18"/>
                      <w:vertAlign w:val="baseline"/>
                      <w:lang w:val="en-US" w:eastAsia="zh-CN" w:bidi="ar-SA"/>
                    </w:rPr>
                  </w:pPr>
                  <w:r>
                    <w:rPr>
                      <w:rFonts w:hint="eastAsia"/>
                      <w:b w:val="0"/>
                      <w:bCs/>
                      <w:color w:val="auto"/>
                      <w:sz w:val="18"/>
                      <w:szCs w:val="18"/>
                      <w:vertAlign w:val="baseline"/>
                      <w:lang w:val="en-US" w:eastAsia="zh-CN"/>
                    </w:rPr>
                    <w:t>颗粒物</w:t>
                  </w:r>
                </w:p>
              </w:tc>
              <w:tc>
                <w:tcPr>
                  <w:tcW w:w="478" w:type="pct"/>
                  <w:gridSpan w:val="2"/>
                  <w:tcBorders>
                    <w:tl2br w:val="nil"/>
                    <w:tr2bl w:val="nil"/>
                  </w:tcBorders>
                  <w:shd w:val="clear" w:color="auto" w:fill="auto"/>
                  <w:vAlign w:val="center"/>
                </w:tcPr>
                <w:p w14:paraId="7C667517">
                  <w:pPr>
                    <w:pStyle w:val="153"/>
                    <w:spacing w:before="0" w:after="0" w:line="240" w:lineRule="exact"/>
                    <w:jc w:val="center"/>
                    <w:rPr>
                      <w:rFonts w:hint="default" w:ascii="Times New Roman" w:hAnsi="Times New Roman" w:eastAsia="宋体" w:cs="Times New Roman"/>
                      <w:b w:val="0"/>
                      <w:bCs/>
                      <w:color w:val="auto"/>
                      <w:kern w:val="32"/>
                      <w:sz w:val="18"/>
                      <w:szCs w:val="18"/>
                      <w:vertAlign w:val="baseline"/>
                      <w:lang w:val="en-US" w:eastAsia="zh-CN" w:bidi="ar-SA"/>
                    </w:rPr>
                  </w:pPr>
                  <w:r>
                    <w:rPr>
                      <w:rFonts w:hint="eastAsia"/>
                      <w:b w:val="0"/>
                      <w:bCs/>
                      <w:color w:val="auto"/>
                      <w:sz w:val="18"/>
                      <w:szCs w:val="18"/>
                      <w:vertAlign w:val="baseline"/>
                      <w:lang w:val="en-US" w:eastAsia="zh-CN"/>
                    </w:rPr>
                    <w:t>SO</w:t>
                  </w:r>
                  <w:r>
                    <w:rPr>
                      <w:rFonts w:hint="eastAsia"/>
                      <w:b w:val="0"/>
                      <w:bCs/>
                      <w:color w:val="auto"/>
                      <w:sz w:val="18"/>
                      <w:szCs w:val="18"/>
                      <w:vertAlign w:val="subscript"/>
                      <w:lang w:val="en-US" w:eastAsia="zh-CN"/>
                    </w:rPr>
                    <w:t>2</w:t>
                  </w:r>
                </w:p>
              </w:tc>
              <w:tc>
                <w:tcPr>
                  <w:tcW w:w="488" w:type="pct"/>
                  <w:tcBorders>
                    <w:tl2br w:val="nil"/>
                    <w:tr2bl w:val="nil"/>
                  </w:tcBorders>
                  <w:shd w:val="clear" w:color="auto" w:fill="auto"/>
                  <w:vAlign w:val="center"/>
                </w:tcPr>
                <w:p w14:paraId="6B2384B5">
                  <w:pPr>
                    <w:pStyle w:val="153"/>
                    <w:spacing w:before="0" w:after="0" w:line="240" w:lineRule="exact"/>
                    <w:jc w:val="center"/>
                    <w:rPr>
                      <w:rFonts w:hint="default" w:ascii="Times New Roman" w:hAnsi="Times New Roman" w:eastAsia="宋体" w:cs="Times New Roman"/>
                      <w:b w:val="0"/>
                      <w:bCs/>
                      <w:color w:val="auto"/>
                      <w:kern w:val="32"/>
                      <w:sz w:val="18"/>
                      <w:szCs w:val="18"/>
                      <w:vertAlign w:val="baseline"/>
                      <w:lang w:val="en-US" w:eastAsia="zh-CN" w:bidi="ar-SA"/>
                    </w:rPr>
                  </w:pPr>
                  <w:r>
                    <w:rPr>
                      <w:rFonts w:hint="eastAsia"/>
                      <w:b w:val="0"/>
                      <w:bCs/>
                      <w:color w:val="auto"/>
                      <w:sz w:val="18"/>
                      <w:szCs w:val="18"/>
                      <w:vertAlign w:val="baseline"/>
                      <w:lang w:val="en-US" w:eastAsia="zh-CN"/>
                    </w:rPr>
                    <w:t>NO</w:t>
                  </w:r>
                  <w:r>
                    <w:rPr>
                      <w:rFonts w:hint="eastAsia"/>
                      <w:b w:val="0"/>
                      <w:bCs/>
                      <w:color w:val="auto"/>
                      <w:sz w:val="18"/>
                      <w:szCs w:val="18"/>
                      <w:vertAlign w:val="subscript"/>
                      <w:lang w:val="en-US" w:eastAsia="zh-CN"/>
                    </w:rPr>
                    <w:t>x</w:t>
                  </w:r>
                </w:p>
              </w:tc>
            </w:tr>
            <w:tr w14:paraId="6F5014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56" w:type="pct"/>
                  <w:gridSpan w:val="2"/>
                  <w:tcBorders>
                    <w:tl2br w:val="nil"/>
                    <w:tr2bl w:val="nil"/>
                  </w:tcBorders>
                  <w:vAlign w:val="center"/>
                </w:tcPr>
                <w:p w14:paraId="7008E583">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排放方式</w:t>
                  </w:r>
                </w:p>
              </w:tc>
              <w:tc>
                <w:tcPr>
                  <w:tcW w:w="792" w:type="pct"/>
                  <w:tcBorders>
                    <w:tl2br w:val="nil"/>
                    <w:tr2bl w:val="nil"/>
                  </w:tcBorders>
                  <w:vAlign w:val="center"/>
                </w:tcPr>
                <w:p w14:paraId="6668FB39">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无组织</w:t>
                  </w:r>
                </w:p>
              </w:tc>
              <w:tc>
                <w:tcPr>
                  <w:tcW w:w="1493" w:type="pct"/>
                  <w:gridSpan w:val="6"/>
                  <w:tcBorders>
                    <w:tl2br w:val="nil"/>
                    <w:tr2bl w:val="nil"/>
                  </w:tcBorders>
                  <w:vAlign w:val="center"/>
                </w:tcPr>
                <w:p w14:paraId="0E0B426B">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有组织</w:t>
                  </w:r>
                </w:p>
              </w:tc>
              <w:tc>
                <w:tcPr>
                  <w:tcW w:w="1457" w:type="pct"/>
                  <w:gridSpan w:val="4"/>
                  <w:tcBorders>
                    <w:tl2br w:val="nil"/>
                    <w:tr2bl w:val="nil"/>
                  </w:tcBorders>
                  <w:vAlign w:val="center"/>
                </w:tcPr>
                <w:p w14:paraId="01403C04">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有组织</w:t>
                  </w:r>
                </w:p>
              </w:tc>
            </w:tr>
            <w:tr w14:paraId="0465CD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56" w:type="pct"/>
                  <w:gridSpan w:val="2"/>
                  <w:tcBorders>
                    <w:tl2br w:val="nil"/>
                    <w:tr2bl w:val="nil"/>
                  </w:tcBorders>
                  <w:vAlign w:val="center"/>
                </w:tcPr>
                <w:p w14:paraId="3CB3F63C">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废气量（Nm</w:t>
                  </w:r>
                  <w:r>
                    <w:rPr>
                      <w:rFonts w:hint="eastAsia"/>
                      <w:b/>
                      <w:bCs w:val="0"/>
                      <w:color w:val="auto"/>
                      <w:sz w:val="18"/>
                      <w:szCs w:val="18"/>
                      <w:vertAlign w:val="superscript"/>
                      <w:lang w:val="en-US" w:eastAsia="zh-CN"/>
                    </w:rPr>
                    <w:t>3</w:t>
                  </w:r>
                  <w:r>
                    <w:rPr>
                      <w:rFonts w:hint="eastAsia"/>
                      <w:b/>
                      <w:bCs w:val="0"/>
                      <w:color w:val="auto"/>
                      <w:sz w:val="18"/>
                      <w:szCs w:val="18"/>
                      <w:vertAlign w:val="baseline"/>
                      <w:lang w:val="en-US" w:eastAsia="zh-CN"/>
                    </w:rPr>
                    <w:t>/h）</w:t>
                  </w:r>
                </w:p>
              </w:tc>
              <w:tc>
                <w:tcPr>
                  <w:tcW w:w="792" w:type="pct"/>
                  <w:tcBorders>
                    <w:tl2br w:val="nil"/>
                    <w:tr2bl w:val="nil"/>
                  </w:tcBorders>
                  <w:vAlign w:val="center"/>
                </w:tcPr>
                <w:p w14:paraId="2127B10D">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w:t>
                  </w:r>
                </w:p>
              </w:tc>
              <w:tc>
                <w:tcPr>
                  <w:tcW w:w="1493" w:type="pct"/>
                  <w:gridSpan w:val="6"/>
                  <w:tcBorders>
                    <w:tl2br w:val="nil"/>
                    <w:tr2bl w:val="nil"/>
                  </w:tcBorders>
                  <w:vAlign w:val="center"/>
                </w:tcPr>
                <w:p w14:paraId="48276BD8">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110000</w:t>
                  </w:r>
                </w:p>
              </w:tc>
              <w:tc>
                <w:tcPr>
                  <w:tcW w:w="1457" w:type="pct"/>
                  <w:gridSpan w:val="4"/>
                  <w:tcBorders>
                    <w:tl2br w:val="nil"/>
                    <w:tr2bl w:val="nil"/>
                  </w:tcBorders>
                  <w:vAlign w:val="center"/>
                </w:tcPr>
                <w:p w14:paraId="66A42B90">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854.60</w:t>
                  </w:r>
                </w:p>
              </w:tc>
            </w:tr>
            <w:tr w14:paraId="0F6FA6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1" w:type="pct"/>
                  <w:vMerge w:val="restart"/>
                  <w:tcBorders>
                    <w:tl2br w:val="nil"/>
                    <w:tr2bl w:val="nil"/>
                  </w:tcBorders>
                  <w:vAlign w:val="center"/>
                </w:tcPr>
                <w:p w14:paraId="10106518">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污染物产生情况</w:t>
                  </w:r>
                </w:p>
              </w:tc>
              <w:tc>
                <w:tcPr>
                  <w:tcW w:w="784" w:type="pct"/>
                  <w:tcBorders>
                    <w:tl2br w:val="nil"/>
                    <w:tr2bl w:val="nil"/>
                  </w:tcBorders>
                  <w:vAlign w:val="center"/>
                </w:tcPr>
                <w:p w14:paraId="30F7B4CF">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浓度（mg/m</w:t>
                  </w:r>
                  <w:r>
                    <w:rPr>
                      <w:rFonts w:hint="eastAsia"/>
                      <w:b/>
                      <w:bCs w:val="0"/>
                      <w:color w:val="auto"/>
                      <w:sz w:val="18"/>
                      <w:szCs w:val="18"/>
                      <w:vertAlign w:val="superscript"/>
                      <w:lang w:val="en-US" w:eastAsia="zh-CN"/>
                    </w:rPr>
                    <w:t>3</w:t>
                  </w:r>
                  <w:r>
                    <w:rPr>
                      <w:rFonts w:hint="eastAsia"/>
                      <w:b/>
                      <w:bCs w:val="0"/>
                      <w:color w:val="auto"/>
                      <w:sz w:val="18"/>
                      <w:szCs w:val="18"/>
                      <w:vertAlign w:val="baseline"/>
                      <w:lang w:val="en-US" w:eastAsia="zh-CN"/>
                    </w:rPr>
                    <w:t>）</w:t>
                  </w:r>
                </w:p>
              </w:tc>
              <w:tc>
                <w:tcPr>
                  <w:tcW w:w="792" w:type="pct"/>
                  <w:tcBorders>
                    <w:tl2br w:val="nil"/>
                    <w:tr2bl w:val="nil"/>
                  </w:tcBorders>
                  <w:vAlign w:val="center"/>
                </w:tcPr>
                <w:p w14:paraId="2FEDDCD7">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500</w:t>
                  </w:r>
                </w:p>
              </w:tc>
              <w:tc>
                <w:tcPr>
                  <w:tcW w:w="486" w:type="pct"/>
                  <w:gridSpan w:val="2"/>
                  <w:tcBorders>
                    <w:tl2br w:val="nil"/>
                    <w:tr2bl w:val="nil"/>
                  </w:tcBorders>
                  <w:vAlign w:val="center"/>
                </w:tcPr>
                <w:p w14:paraId="1494DD62">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50</w:t>
                  </w:r>
                </w:p>
              </w:tc>
              <w:tc>
                <w:tcPr>
                  <w:tcW w:w="506" w:type="pct"/>
                  <w:gridSpan w:val="2"/>
                  <w:tcBorders>
                    <w:tl2br w:val="nil"/>
                    <w:tr2bl w:val="nil"/>
                  </w:tcBorders>
                  <w:vAlign w:val="center"/>
                </w:tcPr>
                <w:p w14:paraId="2556998A">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w:t>
                  </w:r>
                </w:p>
              </w:tc>
              <w:tc>
                <w:tcPr>
                  <w:tcW w:w="501" w:type="pct"/>
                  <w:gridSpan w:val="2"/>
                  <w:tcBorders>
                    <w:tl2br w:val="nil"/>
                    <w:tr2bl w:val="nil"/>
                  </w:tcBorders>
                  <w:vAlign w:val="center"/>
                </w:tcPr>
                <w:p w14:paraId="3EF6339F">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w:t>
                  </w:r>
                </w:p>
              </w:tc>
              <w:tc>
                <w:tcPr>
                  <w:tcW w:w="491" w:type="pct"/>
                  <w:tcBorders>
                    <w:tl2br w:val="nil"/>
                    <w:tr2bl w:val="nil"/>
                  </w:tcBorders>
                  <w:vAlign w:val="center"/>
                </w:tcPr>
                <w:p w14:paraId="7A3F9CF1">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14.60</w:t>
                  </w:r>
                </w:p>
              </w:tc>
              <w:tc>
                <w:tcPr>
                  <w:tcW w:w="478" w:type="pct"/>
                  <w:gridSpan w:val="2"/>
                  <w:tcBorders>
                    <w:tl2br w:val="nil"/>
                    <w:tr2bl w:val="nil"/>
                  </w:tcBorders>
                  <w:vAlign w:val="center"/>
                </w:tcPr>
                <w:p w14:paraId="26491606">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1.07</w:t>
                  </w:r>
                </w:p>
              </w:tc>
              <w:tc>
                <w:tcPr>
                  <w:tcW w:w="488" w:type="pct"/>
                  <w:tcBorders>
                    <w:tl2br w:val="nil"/>
                    <w:tr2bl w:val="nil"/>
                  </w:tcBorders>
                  <w:vAlign w:val="center"/>
                </w:tcPr>
                <w:p w14:paraId="57FF41D6">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85.09</w:t>
                  </w:r>
                </w:p>
              </w:tc>
            </w:tr>
            <w:tr w14:paraId="4B4581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3" w:hRule="atLeast"/>
              </w:trPr>
              <w:tc>
                <w:tcPr>
                  <w:tcW w:w="471" w:type="pct"/>
                  <w:vMerge w:val="continue"/>
                  <w:tcBorders>
                    <w:tl2br w:val="nil"/>
                    <w:tr2bl w:val="nil"/>
                  </w:tcBorders>
                  <w:vAlign w:val="center"/>
                </w:tcPr>
                <w:p w14:paraId="01EE3C5E">
                  <w:pPr>
                    <w:pStyle w:val="153"/>
                    <w:spacing w:before="0" w:after="0" w:line="240" w:lineRule="exact"/>
                    <w:jc w:val="center"/>
                    <w:rPr>
                      <w:rFonts w:hint="default" w:eastAsia="宋体"/>
                      <w:b/>
                      <w:bCs w:val="0"/>
                      <w:color w:val="auto"/>
                      <w:sz w:val="18"/>
                      <w:szCs w:val="18"/>
                      <w:vertAlign w:val="baseline"/>
                      <w:lang w:val="en-US" w:eastAsia="zh-CN"/>
                    </w:rPr>
                  </w:pPr>
                </w:p>
              </w:tc>
              <w:tc>
                <w:tcPr>
                  <w:tcW w:w="784" w:type="pct"/>
                  <w:tcBorders>
                    <w:tl2br w:val="nil"/>
                    <w:tr2bl w:val="nil"/>
                  </w:tcBorders>
                  <w:vAlign w:val="center"/>
                </w:tcPr>
                <w:p w14:paraId="7BE5E273">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产生量（kg/h）</w:t>
                  </w:r>
                </w:p>
              </w:tc>
              <w:tc>
                <w:tcPr>
                  <w:tcW w:w="792" w:type="pct"/>
                  <w:tcBorders>
                    <w:tl2br w:val="nil"/>
                    <w:tr2bl w:val="nil"/>
                  </w:tcBorders>
                  <w:vAlign w:val="center"/>
                </w:tcPr>
                <w:p w14:paraId="13518DBE">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0.147</w:t>
                  </w:r>
                </w:p>
              </w:tc>
              <w:tc>
                <w:tcPr>
                  <w:tcW w:w="486" w:type="pct"/>
                  <w:gridSpan w:val="2"/>
                  <w:tcBorders>
                    <w:tl2br w:val="nil"/>
                    <w:tr2bl w:val="nil"/>
                  </w:tcBorders>
                  <w:vAlign w:val="center"/>
                </w:tcPr>
                <w:p w14:paraId="2B16FCCD">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5.456</w:t>
                  </w:r>
                </w:p>
              </w:tc>
              <w:tc>
                <w:tcPr>
                  <w:tcW w:w="506" w:type="pct"/>
                  <w:gridSpan w:val="2"/>
                  <w:tcBorders>
                    <w:tl2br w:val="nil"/>
                    <w:tr2bl w:val="nil"/>
                  </w:tcBorders>
                  <w:vAlign w:val="center"/>
                </w:tcPr>
                <w:p w14:paraId="4C859FFC">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0.003</w:t>
                  </w:r>
                </w:p>
              </w:tc>
              <w:tc>
                <w:tcPr>
                  <w:tcW w:w="501" w:type="pct"/>
                  <w:gridSpan w:val="2"/>
                  <w:tcBorders>
                    <w:tl2br w:val="nil"/>
                    <w:tr2bl w:val="nil"/>
                  </w:tcBorders>
                  <w:vAlign w:val="center"/>
                </w:tcPr>
                <w:p w14:paraId="678805E9">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0.460</w:t>
                  </w:r>
                </w:p>
              </w:tc>
              <w:tc>
                <w:tcPr>
                  <w:tcW w:w="491" w:type="pct"/>
                  <w:tcBorders>
                    <w:tl2br w:val="nil"/>
                    <w:tr2bl w:val="nil"/>
                  </w:tcBorders>
                  <w:vAlign w:val="center"/>
                </w:tcPr>
                <w:p w14:paraId="471F48B4">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0.0125</w:t>
                  </w:r>
                </w:p>
              </w:tc>
              <w:tc>
                <w:tcPr>
                  <w:tcW w:w="478" w:type="pct"/>
                  <w:gridSpan w:val="2"/>
                  <w:tcBorders>
                    <w:tl2br w:val="nil"/>
                    <w:tr2bl w:val="nil"/>
                  </w:tcBorders>
                  <w:vAlign w:val="center"/>
                </w:tcPr>
                <w:p w14:paraId="12E4B431">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0.001</w:t>
                  </w:r>
                </w:p>
              </w:tc>
              <w:tc>
                <w:tcPr>
                  <w:tcW w:w="488" w:type="pct"/>
                  <w:tcBorders>
                    <w:tl2br w:val="nil"/>
                    <w:tr2bl w:val="nil"/>
                  </w:tcBorders>
                  <w:vAlign w:val="center"/>
                </w:tcPr>
                <w:p w14:paraId="164A0CDA">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0.114</w:t>
                  </w:r>
                </w:p>
              </w:tc>
            </w:tr>
            <w:tr w14:paraId="3B8B5E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1" w:type="pct"/>
                  <w:vMerge w:val="continue"/>
                  <w:tcBorders>
                    <w:tl2br w:val="nil"/>
                    <w:tr2bl w:val="nil"/>
                  </w:tcBorders>
                  <w:vAlign w:val="center"/>
                </w:tcPr>
                <w:p w14:paraId="0AA9BA14">
                  <w:pPr>
                    <w:pStyle w:val="153"/>
                    <w:spacing w:before="0" w:after="0" w:line="240" w:lineRule="exact"/>
                    <w:jc w:val="center"/>
                    <w:rPr>
                      <w:rFonts w:hint="default" w:eastAsia="宋体"/>
                      <w:b/>
                      <w:bCs w:val="0"/>
                      <w:color w:val="auto"/>
                      <w:sz w:val="18"/>
                      <w:szCs w:val="18"/>
                      <w:vertAlign w:val="baseline"/>
                      <w:lang w:val="en-US" w:eastAsia="zh-CN"/>
                    </w:rPr>
                  </w:pPr>
                </w:p>
              </w:tc>
              <w:tc>
                <w:tcPr>
                  <w:tcW w:w="784" w:type="pct"/>
                  <w:tcBorders>
                    <w:tl2br w:val="nil"/>
                    <w:tr2bl w:val="nil"/>
                  </w:tcBorders>
                  <w:vAlign w:val="center"/>
                </w:tcPr>
                <w:p w14:paraId="5041CE07">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核算方法</w:t>
                  </w:r>
                </w:p>
              </w:tc>
              <w:tc>
                <w:tcPr>
                  <w:tcW w:w="792" w:type="pct"/>
                  <w:tcBorders>
                    <w:tl2br w:val="nil"/>
                    <w:tr2bl w:val="nil"/>
                  </w:tcBorders>
                  <w:vAlign w:val="center"/>
                </w:tcPr>
                <w:p w14:paraId="31169F56">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pacing w:val="-17"/>
                      <w:sz w:val="18"/>
                      <w:szCs w:val="18"/>
                      <w:vertAlign w:val="baseline"/>
                      <w:lang w:val="en-US" w:eastAsia="zh-CN"/>
                    </w:rPr>
                    <w:t>产污系数法</w:t>
                  </w:r>
                </w:p>
              </w:tc>
              <w:tc>
                <w:tcPr>
                  <w:tcW w:w="1493" w:type="pct"/>
                  <w:gridSpan w:val="6"/>
                  <w:tcBorders>
                    <w:tl2br w:val="nil"/>
                    <w:tr2bl w:val="nil"/>
                  </w:tcBorders>
                  <w:vAlign w:val="center"/>
                </w:tcPr>
                <w:p w14:paraId="2A193F05">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产污系数法</w:t>
                  </w:r>
                </w:p>
              </w:tc>
              <w:tc>
                <w:tcPr>
                  <w:tcW w:w="1457" w:type="pct"/>
                  <w:gridSpan w:val="4"/>
                  <w:tcBorders>
                    <w:tl2br w:val="nil"/>
                    <w:tr2bl w:val="nil"/>
                  </w:tcBorders>
                  <w:vAlign w:val="center"/>
                </w:tcPr>
                <w:p w14:paraId="4A24185E">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产污系数法</w:t>
                  </w:r>
                </w:p>
              </w:tc>
            </w:tr>
            <w:tr w14:paraId="691DDB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1" w:type="pct"/>
                  <w:vMerge w:val="restart"/>
                  <w:tcBorders>
                    <w:tl2br w:val="nil"/>
                    <w:tr2bl w:val="nil"/>
                  </w:tcBorders>
                  <w:vAlign w:val="center"/>
                </w:tcPr>
                <w:p w14:paraId="0671C989">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污染防治措施</w:t>
                  </w:r>
                </w:p>
              </w:tc>
              <w:tc>
                <w:tcPr>
                  <w:tcW w:w="784" w:type="pct"/>
                  <w:tcBorders>
                    <w:tl2br w:val="nil"/>
                    <w:tr2bl w:val="nil"/>
                  </w:tcBorders>
                  <w:vAlign w:val="center"/>
                </w:tcPr>
                <w:p w14:paraId="7F317FD7">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治理设施</w:t>
                  </w:r>
                </w:p>
              </w:tc>
              <w:tc>
                <w:tcPr>
                  <w:tcW w:w="792" w:type="pct"/>
                  <w:tcBorders>
                    <w:tl2br w:val="nil"/>
                    <w:tr2bl w:val="nil"/>
                  </w:tcBorders>
                  <w:vAlign w:val="center"/>
                </w:tcPr>
                <w:p w14:paraId="1DAAD931">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pacing w:val="-17"/>
                      <w:sz w:val="18"/>
                      <w:szCs w:val="18"/>
                      <w:vertAlign w:val="baseline"/>
                      <w:lang w:val="en-US" w:eastAsia="zh-CN"/>
                    </w:rPr>
                    <w:t>封闭式储料库</w:t>
                  </w:r>
                </w:p>
              </w:tc>
              <w:tc>
                <w:tcPr>
                  <w:tcW w:w="1493" w:type="pct"/>
                  <w:gridSpan w:val="6"/>
                  <w:tcBorders>
                    <w:tl2br w:val="nil"/>
                    <w:tr2bl w:val="nil"/>
                  </w:tcBorders>
                  <w:vAlign w:val="center"/>
                </w:tcPr>
                <w:p w14:paraId="76514CF4">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旋风除尘器+布袋除尘器</w:t>
                  </w:r>
                </w:p>
              </w:tc>
              <w:tc>
                <w:tcPr>
                  <w:tcW w:w="1457" w:type="pct"/>
                  <w:gridSpan w:val="4"/>
                  <w:tcBorders>
                    <w:tl2br w:val="nil"/>
                    <w:tr2bl w:val="nil"/>
                  </w:tcBorders>
                  <w:vAlign w:val="center"/>
                </w:tcPr>
                <w:p w14:paraId="75F9E695">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布袋除尘器，采用低氮燃烧技术</w:t>
                  </w:r>
                </w:p>
              </w:tc>
            </w:tr>
            <w:tr w14:paraId="795080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1" w:type="pct"/>
                  <w:vMerge w:val="continue"/>
                  <w:tcBorders>
                    <w:tl2br w:val="nil"/>
                    <w:tr2bl w:val="nil"/>
                  </w:tcBorders>
                  <w:vAlign w:val="center"/>
                </w:tcPr>
                <w:p w14:paraId="0CFF9AF8">
                  <w:pPr>
                    <w:pStyle w:val="153"/>
                    <w:spacing w:before="0" w:after="0" w:line="240" w:lineRule="exact"/>
                    <w:jc w:val="center"/>
                    <w:rPr>
                      <w:rFonts w:hint="default" w:eastAsia="宋体"/>
                      <w:b/>
                      <w:bCs w:val="0"/>
                      <w:color w:val="auto"/>
                      <w:sz w:val="18"/>
                      <w:szCs w:val="18"/>
                      <w:vertAlign w:val="baseline"/>
                      <w:lang w:val="en-US" w:eastAsia="zh-CN"/>
                    </w:rPr>
                  </w:pPr>
                </w:p>
              </w:tc>
              <w:tc>
                <w:tcPr>
                  <w:tcW w:w="784" w:type="pct"/>
                  <w:tcBorders>
                    <w:tl2br w:val="nil"/>
                    <w:tr2bl w:val="nil"/>
                  </w:tcBorders>
                  <w:vAlign w:val="center"/>
                </w:tcPr>
                <w:p w14:paraId="035EA3FD">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收集效率（%）</w:t>
                  </w:r>
                </w:p>
              </w:tc>
              <w:tc>
                <w:tcPr>
                  <w:tcW w:w="792" w:type="pct"/>
                  <w:tcBorders>
                    <w:tl2br w:val="nil"/>
                    <w:tr2bl w:val="nil"/>
                  </w:tcBorders>
                  <w:vAlign w:val="center"/>
                </w:tcPr>
                <w:p w14:paraId="27FE1418">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w:t>
                  </w:r>
                </w:p>
              </w:tc>
              <w:tc>
                <w:tcPr>
                  <w:tcW w:w="1493" w:type="pct"/>
                  <w:gridSpan w:val="6"/>
                  <w:tcBorders>
                    <w:tl2br w:val="nil"/>
                    <w:tr2bl w:val="nil"/>
                  </w:tcBorders>
                  <w:vAlign w:val="center"/>
                </w:tcPr>
                <w:p w14:paraId="145C5052">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95</w:t>
                  </w:r>
                </w:p>
              </w:tc>
              <w:tc>
                <w:tcPr>
                  <w:tcW w:w="1457" w:type="pct"/>
                  <w:gridSpan w:val="4"/>
                  <w:tcBorders>
                    <w:tl2br w:val="nil"/>
                    <w:tr2bl w:val="nil"/>
                  </w:tcBorders>
                  <w:vAlign w:val="center"/>
                </w:tcPr>
                <w:p w14:paraId="33C5F1CE">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100</w:t>
                  </w:r>
                </w:p>
              </w:tc>
            </w:tr>
            <w:tr w14:paraId="0FFECD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1" w:type="pct"/>
                  <w:vMerge w:val="continue"/>
                  <w:tcBorders>
                    <w:tl2br w:val="nil"/>
                    <w:tr2bl w:val="nil"/>
                  </w:tcBorders>
                  <w:vAlign w:val="center"/>
                </w:tcPr>
                <w:p w14:paraId="775E72D8">
                  <w:pPr>
                    <w:pStyle w:val="153"/>
                    <w:spacing w:before="0" w:after="0" w:line="240" w:lineRule="exact"/>
                    <w:jc w:val="center"/>
                    <w:rPr>
                      <w:rFonts w:hint="default" w:eastAsia="宋体"/>
                      <w:b/>
                      <w:bCs w:val="0"/>
                      <w:color w:val="auto"/>
                      <w:sz w:val="18"/>
                      <w:szCs w:val="18"/>
                      <w:vertAlign w:val="baseline"/>
                      <w:lang w:val="en-US" w:eastAsia="zh-CN"/>
                    </w:rPr>
                  </w:pPr>
                </w:p>
              </w:tc>
              <w:tc>
                <w:tcPr>
                  <w:tcW w:w="784" w:type="pct"/>
                  <w:tcBorders>
                    <w:tl2br w:val="nil"/>
                    <w:tr2bl w:val="nil"/>
                  </w:tcBorders>
                  <w:vAlign w:val="center"/>
                </w:tcPr>
                <w:p w14:paraId="2B83A8B3">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处理效率（%）</w:t>
                  </w:r>
                </w:p>
              </w:tc>
              <w:tc>
                <w:tcPr>
                  <w:tcW w:w="792" w:type="pct"/>
                  <w:tcBorders>
                    <w:tl2br w:val="nil"/>
                    <w:tr2bl w:val="nil"/>
                  </w:tcBorders>
                  <w:vAlign w:val="center"/>
                </w:tcPr>
                <w:p w14:paraId="6A411656">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98</w:t>
                  </w:r>
                </w:p>
              </w:tc>
              <w:tc>
                <w:tcPr>
                  <w:tcW w:w="486" w:type="pct"/>
                  <w:gridSpan w:val="2"/>
                  <w:tcBorders>
                    <w:tl2br w:val="nil"/>
                    <w:tr2bl w:val="nil"/>
                  </w:tcBorders>
                  <w:vAlign w:val="center"/>
                </w:tcPr>
                <w:p w14:paraId="670AEBC0">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70</w:t>
                  </w:r>
                </w:p>
              </w:tc>
              <w:tc>
                <w:tcPr>
                  <w:tcW w:w="506" w:type="pct"/>
                  <w:gridSpan w:val="2"/>
                  <w:tcBorders>
                    <w:tl2br w:val="nil"/>
                    <w:tr2bl w:val="nil"/>
                  </w:tcBorders>
                  <w:vAlign w:val="center"/>
                </w:tcPr>
                <w:p w14:paraId="0D66011C">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w:t>
                  </w:r>
                </w:p>
              </w:tc>
              <w:tc>
                <w:tcPr>
                  <w:tcW w:w="501" w:type="pct"/>
                  <w:gridSpan w:val="2"/>
                  <w:tcBorders>
                    <w:tl2br w:val="nil"/>
                    <w:tr2bl w:val="nil"/>
                  </w:tcBorders>
                  <w:vAlign w:val="center"/>
                </w:tcPr>
                <w:p w14:paraId="14CF24B3">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w:t>
                  </w:r>
                </w:p>
              </w:tc>
              <w:tc>
                <w:tcPr>
                  <w:tcW w:w="491" w:type="pct"/>
                  <w:tcBorders>
                    <w:tl2br w:val="nil"/>
                    <w:tr2bl w:val="nil"/>
                  </w:tcBorders>
                  <w:vAlign w:val="center"/>
                </w:tcPr>
                <w:p w14:paraId="2FEC6BE5">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32</w:t>
                  </w:r>
                </w:p>
              </w:tc>
              <w:tc>
                <w:tcPr>
                  <w:tcW w:w="478" w:type="pct"/>
                  <w:gridSpan w:val="2"/>
                  <w:tcBorders>
                    <w:tl2br w:val="nil"/>
                    <w:tr2bl w:val="nil"/>
                  </w:tcBorders>
                  <w:vAlign w:val="center"/>
                </w:tcPr>
                <w:p w14:paraId="00A39C05">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w:t>
                  </w:r>
                </w:p>
              </w:tc>
              <w:tc>
                <w:tcPr>
                  <w:tcW w:w="488" w:type="pct"/>
                  <w:tcBorders>
                    <w:tl2br w:val="nil"/>
                    <w:tr2bl w:val="nil"/>
                  </w:tcBorders>
                  <w:vAlign w:val="center"/>
                </w:tcPr>
                <w:p w14:paraId="51421695">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w:t>
                  </w:r>
                </w:p>
              </w:tc>
            </w:tr>
            <w:tr w14:paraId="4E8CC4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1" w:type="pct"/>
                  <w:vMerge w:val="restart"/>
                  <w:tcBorders>
                    <w:tl2br w:val="nil"/>
                    <w:tr2bl w:val="nil"/>
                  </w:tcBorders>
                  <w:vAlign w:val="center"/>
                </w:tcPr>
                <w:p w14:paraId="4FD829EA">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污染物排放情况</w:t>
                  </w:r>
                </w:p>
              </w:tc>
              <w:tc>
                <w:tcPr>
                  <w:tcW w:w="784" w:type="pct"/>
                  <w:tcBorders>
                    <w:tl2br w:val="nil"/>
                    <w:tr2bl w:val="nil"/>
                  </w:tcBorders>
                  <w:vAlign w:val="center"/>
                </w:tcPr>
                <w:p w14:paraId="1CC6CD86">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浓度（mg/m</w:t>
                  </w:r>
                  <w:r>
                    <w:rPr>
                      <w:rFonts w:hint="eastAsia"/>
                      <w:b/>
                      <w:bCs w:val="0"/>
                      <w:color w:val="auto"/>
                      <w:sz w:val="18"/>
                      <w:szCs w:val="18"/>
                      <w:vertAlign w:val="superscript"/>
                      <w:lang w:val="en-US" w:eastAsia="zh-CN"/>
                    </w:rPr>
                    <w:t>3</w:t>
                  </w:r>
                  <w:r>
                    <w:rPr>
                      <w:rFonts w:hint="eastAsia"/>
                      <w:b/>
                      <w:bCs w:val="0"/>
                      <w:color w:val="auto"/>
                      <w:sz w:val="18"/>
                      <w:szCs w:val="18"/>
                      <w:vertAlign w:val="baseline"/>
                      <w:lang w:val="en-US" w:eastAsia="zh-CN"/>
                    </w:rPr>
                    <w:t>）</w:t>
                  </w:r>
                </w:p>
              </w:tc>
              <w:tc>
                <w:tcPr>
                  <w:tcW w:w="792" w:type="pct"/>
                  <w:tcBorders>
                    <w:tl2br w:val="nil"/>
                    <w:tr2bl w:val="nil"/>
                  </w:tcBorders>
                  <w:vAlign w:val="center"/>
                </w:tcPr>
                <w:p w14:paraId="04FA0849">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小于1.0</w:t>
                  </w:r>
                </w:p>
              </w:tc>
              <w:tc>
                <w:tcPr>
                  <w:tcW w:w="486" w:type="pct"/>
                  <w:gridSpan w:val="2"/>
                  <w:tcBorders>
                    <w:tl2br w:val="nil"/>
                    <w:tr2bl w:val="nil"/>
                  </w:tcBorders>
                  <w:vAlign w:val="center"/>
                </w:tcPr>
                <w:p w14:paraId="59810753">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15.0</w:t>
                  </w:r>
                </w:p>
              </w:tc>
              <w:tc>
                <w:tcPr>
                  <w:tcW w:w="506" w:type="pct"/>
                  <w:gridSpan w:val="2"/>
                  <w:tcBorders>
                    <w:tl2br w:val="nil"/>
                    <w:tr2bl w:val="nil"/>
                  </w:tcBorders>
                  <w:vAlign w:val="center"/>
                </w:tcPr>
                <w:p w14:paraId="4C9923AD">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0.03</w:t>
                  </w:r>
                </w:p>
              </w:tc>
              <w:tc>
                <w:tcPr>
                  <w:tcW w:w="501" w:type="pct"/>
                  <w:gridSpan w:val="2"/>
                  <w:tcBorders>
                    <w:tl2br w:val="nil"/>
                    <w:tr2bl w:val="nil"/>
                  </w:tcBorders>
                  <w:vAlign w:val="center"/>
                </w:tcPr>
                <w:p w14:paraId="249E48B8">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4.18</w:t>
                  </w:r>
                </w:p>
              </w:tc>
              <w:tc>
                <w:tcPr>
                  <w:tcW w:w="491" w:type="pct"/>
                  <w:tcBorders>
                    <w:tl2br w:val="nil"/>
                    <w:tr2bl w:val="nil"/>
                  </w:tcBorders>
                  <w:vAlign w:val="center"/>
                </w:tcPr>
                <w:p w14:paraId="1DF1F17E">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10.0</w:t>
                  </w:r>
                </w:p>
              </w:tc>
              <w:tc>
                <w:tcPr>
                  <w:tcW w:w="478" w:type="pct"/>
                  <w:gridSpan w:val="2"/>
                  <w:tcBorders>
                    <w:tl2br w:val="nil"/>
                    <w:tr2bl w:val="nil"/>
                  </w:tcBorders>
                  <w:vAlign w:val="center"/>
                </w:tcPr>
                <w:p w14:paraId="7B0C30E7">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1.07</w:t>
                  </w:r>
                </w:p>
              </w:tc>
              <w:tc>
                <w:tcPr>
                  <w:tcW w:w="488" w:type="pct"/>
                  <w:tcBorders>
                    <w:tl2br w:val="nil"/>
                    <w:tr2bl w:val="nil"/>
                  </w:tcBorders>
                  <w:vAlign w:val="center"/>
                </w:tcPr>
                <w:p w14:paraId="6EAD7C78">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85.09</w:t>
                  </w:r>
                </w:p>
              </w:tc>
            </w:tr>
            <w:tr w14:paraId="0AB6F1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1" w:type="pct"/>
                  <w:vMerge w:val="continue"/>
                  <w:tcBorders>
                    <w:tl2br w:val="nil"/>
                    <w:tr2bl w:val="nil"/>
                  </w:tcBorders>
                  <w:vAlign w:val="center"/>
                </w:tcPr>
                <w:p w14:paraId="450F5B50">
                  <w:pPr>
                    <w:pStyle w:val="153"/>
                    <w:spacing w:before="0" w:after="0" w:line="240" w:lineRule="exact"/>
                    <w:jc w:val="center"/>
                    <w:rPr>
                      <w:rFonts w:hint="default" w:eastAsia="宋体"/>
                      <w:b/>
                      <w:bCs w:val="0"/>
                      <w:color w:val="auto"/>
                      <w:sz w:val="18"/>
                      <w:szCs w:val="18"/>
                      <w:vertAlign w:val="baseline"/>
                      <w:lang w:val="en-US" w:eastAsia="zh-CN"/>
                    </w:rPr>
                  </w:pPr>
                </w:p>
              </w:tc>
              <w:tc>
                <w:tcPr>
                  <w:tcW w:w="784" w:type="pct"/>
                  <w:tcBorders>
                    <w:tl2br w:val="nil"/>
                    <w:tr2bl w:val="nil"/>
                  </w:tcBorders>
                  <w:vAlign w:val="center"/>
                </w:tcPr>
                <w:p w14:paraId="14AB66C8">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排放量（kg/h）</w:t>
                  </w:r>
                </w:p>
              </w:tc>
              <w:tc>
                <w:tcPr>
                  <w:tcW w:w="792" w:type="pct"/>
                  <w:tcBorders>
                    <w:tl2br w:val="nil"/>
                    <w:tr2bl w:val="nil"/>
                  </w:tcBorders>
                  <w:vAlign w:val="center"/>
                </w:tcPr>
                <w:p w14:paraId="3907CDBE">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0.003</w:t>
                  </w:r>
                </w:p>
              </w:tc>
              <w:tc>
                <w:tcPr>
                  <w:tcW w:w="486" w:type="pct"/>
                  <w:gridSpan w:val="2"/>
                  <w:tcBorders>
                    <w:tl2br w:val="nil"/>
                    <w:tr2bl w:val="nil"/>
                  </w:tcBorders>
                  <w:vAlign w:val="center"/>
                </w:tcPr>
                <w:p w14:paraId="5E2C5B16">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1.65</w:t>
                  </w:r>
                </w:p>
              </w:tc>
              <w:tc>
                <w:tcPr>
                  <w:tcW w:w="506" w:type="pct"/>
                  <w:gridSpan w:val="2"/>
                  <w:tcBorders>
                    <w:tl2br w:val="nil"/>
                    <w:tr2bl w:val="nil"/>
                  </w:tcBorders>
                  <w:vAlign w:val="center"/>
                </w:tcPr>
                <w:p w14:paraId="03AE0906">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0.003</w:t>
                  </w:r>
                </w:p>
              </w:tc>
              <w:tc>
                <w:tcPr>
                  <w:tcW w:w="501" w:type="pct"/>
                  <w:gridSpan w:val="2"/>
                  <w:tcBorders>
                    <w:tl2br w:val="nil"/>
                    <w:tr2bl w:val="nil"/>
                  </w:tcBorders>
                  <w:vAlign w:val="center"/>
                </w:tcPr>
                <w:p w14:paraId="078227D6">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0.460</w:t>
                  </w:r>
                </w:p>
              </w:tc>
              <w:tc>
                <w:tcPr>
                  <w:tcW w:w="491" w:type="pct"/>
                  <w:tcBorders>
                    <w:tl2br w:val="nil"/>
                    <w:tr2bl w:val="nil"/>
                  </w:tcBorders>
                  <w:vAlign w:val="center"/>
                </w:tcPr>
                <w:p w14:paraId="3499F3D0">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0.009</w:t>
                  </w:r>
                </w:p>
              </w:tc>
              <w:tc>
                <w:tcPr>
                  <w:tcW w:w="478" w:type="pct"/>
                  <w:gridSpan w:val="2"/>
                  <w:tcBorders>
                    <w:tl2br w:val="nil"/>
                    <w:tr2bl w:val="nil"/>
                  </w:tcBorders>
                  <w:vAlign w:val="center"/>
                </w:tcPr>
                <w:p w14:paraId="05272E51">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0.001</w:t>
                  </w:r>
                </w:p>
              </w:tc>
              <w:tc>
                <w:tcPr>
                  <w:tcW w:w="488" w:type="pct"/>
                  <w:tcBorders>
                    <w:tl2br w:val="nil"/>
                    <w:tr2bl w:val="nil"/>
                  </w:tcBorders>
                  <w:vAlign w:val="center"/>
                </w:tcPr>
                <w:p w14:paraId="42BDDA48">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0.073</w:t>
                  </w:r>
                </w:p>
              </w:tc>
            </w:tr>
            <w:tr w14:paraId="7E329B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56" w:type="pct"/>
                  <w:gridSpan w:val="2"/>
                  <w:tcBorders>
                    <w:tl2br w:val="nil"/>
                    <w:tr2bl w:val="nil"/>
                  </w:tcBorders>
                  <w:vAlign w:val="center"/>
                </w:tcPr>
                <w:p w14:paraId="7CDA0AD5">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年运行时间（h）</w:t>
                  </w:r>
                </w:p>
              </w:tc>
              <w:tc>
                <w:tcPr>
                  <w:tcW w:w="792" w:type="pct"/>
                  <w:tcBorders>
                    <w:tl2br w:val="nil"/>
                    <w:tr2bl w:val="nil"/>
                  </w:tcBorders>
                  <w:vAlign w:val="center"/>
                </w:tcPr>
                <w:p w14:paraId="2CA5EC69">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3600</w:t>
                  </w:r>
                </w:p>
              </w:tc>
              <w:tc>
                <w:tcPr>
                  <w:tcW w:w="1493" w:type="pct"/>
                  <w:gridSpan w:val="6"/>
                  <w:tcBorders>
                    <w:tl2br w:val="nil"/>
                    <w:tr2bl w:val="nil"/>
                  </w:tcBorders>
                  <w:vAlign w:val="center"/>
                </w:tcPr>
                <w:p w14:paraId="463C3998">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1200</w:t>
                  </w:r>
                </w:p>
              </w:tc>
              <w:tc>
                <w:tcPr>
                  <w:tcW w:w="1457" w:type="pct"/>
                  <w:gridSpan w:val="4"/>
                  <w:tcBorders>
                    <w:tl2br w:val="nil"/>
                    <w:tr2bl w:val="nil"/>
                  </w:tcBorders>
                  <w:vAlign w:val="center"/>
                </w:tcPr>
                <w:p w14:paraId="4B81D571">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1200</w:t>
                  </w:r>
                </w:p>
              </w:tc>
            </w:tr>
            <w:tr w14:paraId="6B4471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56" w:type="pct"/>
                  <w:gridSpan w:val="2"/>
                  <w:tcBorders>
                    <w:tl2br w:val="nil"/>
                    <w:tr2bl w:val="nil"/>
                  </w:tcBorders>
                  <w:vAlign w:val="center"/>
                </w:tcPr>
                <w:p w14:paraId="615EB759">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年排放量（t/a）</w:t>
                  </w:r>
                </w:p>
              </w:tc>
              <w:tc>
                <w:tcPr>
                  <w:tcW w:w="792" w:type="pct"/>
                  <w:tcBorders>
                    <w:tl2br w:val="nil"/>
                    <w:tr2bl w:val="nil"/>
                  </w:tcBorders>
                  <w:vAlign w:val="center"/>
                </w:tcPr>
                <w:p w14:paraId="21B7F7FF">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0.01</w:t>
                  </w:r>
                </w:p>
              </w:tc>
              <w:tc>
                <w:tcPr>
                  <w:tcW w:w="486" w:type="pct"/>
                  <w:gridSpan w:val="2"/>
                  <w:tcBorders>
                    <w:tl2br w:val="nil"/>
                    <w:tr2bl w:val="nil"/>
                  </w:tcBorders>
                  <w:vAlign w:val="center"/>
                </w:tcPr>
                <w:p w14:paraId="2DD746F5">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1.98</w:t>
                  </w:r>
                </w:p>
              </w:tc>
              <w:tc>
                <w:tcPr>
                  <w:tcW w:w="506" w:type="pct"/>
                  <w:gridSpan w:val="2"/>
                  <w:tcBorders>
                    <w:tl2br w:val="nil"/>
                    <w:tr2bl w:val="nil"/>
                  </w:tcBorders>
                  <w:vAlign w:val="center"/>
                </w:tcPr>
                <w:p w14:paraId="5509662F">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0.0035</w:t>
                  </w:r>
                </w:p>
              </w:tc>
              <w:tc>
                <w:tcPr>
                  <w:tcW w:w="501" w:type="pct"/>
                  <w:gridSpan w:val="2"/>
                  <w:tcBorders>
                    <w:tl2br w:val="nil"/>
                    <w:tr2bl w:val="nil"/>
                  </w:tcBorders>
                  <w:vAlign w:val="center"/>
                </w:tcPr>
                <w:p w14:paraId="48AF0574">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0.5515</w:t>
                  </w:r>
                </w:p>
              </w:tc>
              <w:tc>
                <w:tcPr>
                  <w:tcW w:w="491" w:type="pct"/>
                  <w:tcBorders>
                    <w:tl2br w:val="nil"/>
                    <w:tr2bl w:val="nil"/>
                  </w:tcBorders>
                  <w:vAlign w:val="center"/>
                </w:tcPr>
                <w:p w14:paraId="3768F397">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0.0103</w:t>
                  </w:r>
                </w:p>
              </w:tc>
              <w:tc>
                <w:tcPr>
                  <w:tcW w:w="478" w:type="pct"/>
                  <w:gridSpan w:val="2"/>
                  <w:tcBorders>
                    <w:tl2br w:val="nil"/>
                    <w:tr2bl w:val="nil"/>
                  </w:tcBorders>
                  <w:vAlign w:val="center"/>
                </w:tcPr>
                <w:p w14:paraId="25992E32">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0.0011</w:t>
                  </w:r>
                </w:p>
              </w:tc>
              <w:tc>
                <w:tcPr>
                  <w:tcW w:w="488" w:type="pct"/>
                  <w:tcBorders>
                    <w:tl2br w:val="nil"/>
                    <w:tr2bl w:val="nil"/>
                  </w:tcBorders>
                  <w:vAlign w:val="center"/>
                </w:tcPr>
                <w:p w14:paraId="1FC9F78A">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0.0873</w:t>
                  </w:r>
                </w:p>
              </w:tc>
            </w:tr>
            <w:tr w14:paraId="4F80D9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1" w:type="pct"/>
                  <w:vMerge w:val="restart"/>
                  <w:tcBorders>
                    <w:tl2br w:val="nil"/>
                    <w:tr2bl w:val="nil"/>
                  </w:tcBorders>
                  <w:vAlign w:val="center"/>
                </w:tcPr>
                <w:p w14:paraId="72390DA4">
                  <w:pPr>
                    <w:pStyle w:val="153"/>
                    <w:spacing w:before="0" w:after="0" w:line="240" w:lineRule="exact"/>
                    <w:jc w:val="center"/>
                    <w:rPr>
                      <w:rFonts w:hint="eastAsia"/>
                      <w:b/>
                      <w:bCs w:val="0"/>
                      <w:color w:val="auto"/>
                      <w:sz w:val="18"/>
                      <w:szCs w:val="18"/>
                      <w:vertAlign w:val="baseline"/>
                      <w:lang w:val="en-US" w:eastAsia="zh-CN"/>
                    </w:rPr>
                  </w:pPr>
                  <w:r>
                    <w:rPr>
                      <w:rFonts w:hint="eastAsia"/>
                      <w:b/>
                      <w:bCs w:val="0"/>
                      <w:color w:val="auto"/>
                      <w:sz w:val="18"/>
                      <w:szCs w:val="18"/>
                      <w:vertAlign w:val="baseline"/>
                      <w:lang w:val="en-US" w:eastAsia="zh-CN"/>
                    </w:rPr>
                    <w:t>排放参数</w:t>
                  </w:r>
                </w:p>
                <w:p w14:paraId="45150F70">
                  <w:pPr>
                    <w:pStyle w:val="153"/>
                    <w:spacing w:before="0" w:after="0" w:line="240" w:lineRule="exact"/>
                    <w:jc w:val="center"/>
                    <w:rPr>
                      <w:rFonts w:hint="default" w:eastAsia="宋体"/>
                      <w:b/>
                      <w:bCs w:val="0"/>
                      <w:color w:val="auto"/>
                      <w:sz w:val="18"/>
                      <w:szCs w:val="18"/>
                      <w:vertAlign w:val="baseline"/>
                      <w:lang w:val="en-US" w:eastAsia="zh-CN"/>
                    </w:rPr>
                  </w:pPr>
                </w:p>
              </w:tc>
              <w:tc>
                <w:tcPr>
                  <w:tcW w:w="784" w:type="pct"/>
                  <w:tcBorders>
                    <w:tl2br w:val="nil"/>
                    <w:tr2bl w:val="nil"/>
                  </w:tcBorders>
                  <w:vAlign w:val="center"/>
                </w:tcPr>
                <w:p w14:paraId="3A4F42D1">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排气筒高度（m）</w:t>
                  </w:r>
                </w:p>
              </w:tc>
              <w:tc>
                <w:tcPr>
                  <w:tcW w:w="792" w:type="pct"/>
                  <w:tcBorders>
                    <w:tl2br w:val="nil"/>
                    <w:tr2bl w:val="nil"/>
                  </w:tcBorders>
                  <w:vAlign w:val="center"/>
                </w:tcPr>
                <w:p w14:paraId="09C67184">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w:t>
                  </w:r>
                </w:p>
              </w:tc>
              <w:tc>
                <w:tcPr>
                  <w:tcW w:w="1493" w:type="pct"/>
                  <w:gridSpan w:val="6"/>
                  <w:tcBorders>
                    <w:tl2br w:val="nil"/>
                    <w:tr2bl w:val="nil"/>
                  </w:tcBorders>
                  <w:vAlign w:val="center"/>
                </w:tcPr>
                <w:p w14:paraId="19913539">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15</w:t>
                  </w:r>
                </w:p>
              </w:tc>
              <w:tc>
                <w:tcPr>
                  <w:tcW w:w="1457" w:type="pct"/>
                  <w:gridSpan w:val="4"/>
                  <w:tcBorders>
                    <w:tl2br w:val="nil"/>
                    <w:tr2bl w:val="nil"/>
                  </w:tcBorders>
                  <w:vAlign w:val="center"/>
                </w:tcPr>
                <w:p w14:paraId="41F7266B">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15</w:t>
                  </w:r>
                </w:p>
              </w:tc>
            </w:tr>
            <w:tr w14:paraId="27E882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1" w:type="pct"/>
                  <w:vMerge w:val="continue"/>
                  <w:tcBorders>
                    <w:tl2br w:val="nil"/>
                    <w:tr2bl w:val="nil"/>
                  </w:tcBorders>
                  <w:vAlign w:val="center"/>
                </w:tcPr>
                <w:p w14:paraId="33992F1E">
                  <w:pPr>
                    <w:pStyle w:val="153"/>
                    <w:spacing w:before="0" w:after="0" w:line="240" w:lineRule="exact"/>
                    <w:jc w:val="center"/>
                    <w:rPr>
                      <w:rFonts w:hint="default" w:eastAsia="宋体"/>
                      <w:b/>
                      <w:bCs w:val="0"/>
                      <w:color w:val="auto"/>
                      <w:sz w:val="18"/>
                      <w:szCs w:val="18"/>
                      <w:vertAlign w:val="baseline"/>
                      <w:lang w:val="en-US" w:eastAsia="zh-CN"/>
                    </w:rPr>
                  </w:pPr>
                </w:p>
              </w:tc>
              <w:tc>
                <w:tcPr>
                  <w:tcW w:w="784" w:type="pct"/>
                  <w:tcBorders>
                    <w:tl2br w:val="nil"/>
                    <w:tr2bl w:val="nil"/>
                  </w:tcBorders>
                  <w:vAlign w:val="center"/>
                </w:tcPr>
                <w:p w14:paraId="27C76340">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出口内径（m）</w:t>
                  </w:r>
                </w:p>
              </w:tc>
              <w:tc>
                <w:tcPr>
                  <w:tcW w:w="792" w:type="pct"/>
                  <w:tcBorders>
                    <w:tl2br w:val="nil"/>
                    <w:tr2bl w:val="nil"/>
                  </w:tcBorders>
                  <w:vAlign w:val="center"/>
                </w:tcPr>
                <w:p w14:paraId="3F445FBE">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w:t>
                  </w:r>
                </w:p>
              </w:tc>
              <w:tc>
                <w:tcPr>
                  <w:tcW w:w="1493" w:type="pct"/>
                  <w:gridSpan w:val="6"/>
                  <w:tcBorders>
                    <w:tl2br w:val="nil"/>
                    <w:tr2bl w:val="nil"/>
                  </w:tcBorders>
                  <w:vAlign w:val="center"/>
                </w:tcPr>
                <w:p w14:paraId="7CA1C3A3">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1.5</w:t>
                  </w:r>
                </w:p>
              </w:tc>
              <w:tc>
                <w:tcPr>
                  <w:tcW w:w="1457" w:type="pct"/>
                  <w:gridSpan w:val="4"/>
                  <w:tcBorders>
                    <w:tl2br w:val="nil"/>
                    <w:tr2bl w:val="nil"/>
                  </w:tcBorders>
                  <w:vAlign w:val="center"/>
                </w:tcPr>
                <w:p w14:paraId="0C8AA9E8">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0.3</w:t>
                  </w:r>
                </w:p>
              </w:tc>
            </w:tr>
            <w:tr w14:paraId="2FF42C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1" w:type="pct"/>
                  <w:vMerge w:val="continue"/>
                  <w:tcBorders>
                    <w:tl2br w:val="nil"/>
                    <w:tr2bl w:val="nil"/>
                  </w:tcBorders>
                  <w:vAlign w:val="center"/>
                </w:tcPr>
                <w:p w14:paraId="2AA93792">
                  <w:pPr>
                    <w:pStyle w:val="153"/>
                    <w:spacing w:before="0" w:after="0" w:line="240" w:lineRule="exact"/>
                    <w:jc w:val="center"/>
                    <w:rPr>
                      <w:rFonts w:hint="default" w:eastAsia="宋体"/>
                      <w:b/>
                      <w:bCs w:val="0"/>
                      <w:color w:val="auto"/>
                      <w:sz w:val="18"/>
                      <w:szCs w:val="18"/>
                      <w:vertAlign w:val="baseline"/>
                      <w:lang w:val="en-US" w:eastAsia="zh-CN"/>
                    </w:rPr>
                  </w:pPr>
                </w:p>
              </w:tc>
              <w:tc>
                <w:tcPr>
                  <w:tcW w:w="784" w:type="pct"/>
                  <w:tcBorders>
                    <w:tl2br w:val="nil"/>
                    <w:tr2bl w:val="nil"/>
                  </w:tcBorders>
                  <w:vAlign w:val="center"/>
                </w:tcPr>
                <w:p w14:paraId="499D4F9D">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排放温度（℃）</w:t>
                  </w:r>
                </w:p>
              </w:tc>
              <w:tc>
                <w:tcPr>
                  <w:tcW w:w="792" w:type="pct"/>
                  <w:tcBorders>
                    <w:tl2br w:val="nil"/>
                    <w:tr2bl w:val="nil"/>
                  </w:tcBorders>
                  <w:vAlign w:val="center"/>
                </w:tcPr>
                <w:p w14:paraId="518684D3">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w:t>
                  </w:r>
                </w:p>
              </w:tc>
              <w:tc>
                <w:tcPr>
                  <w:tcW w:w="1493" w:type="pct"/>
                  <w:gridSpan w:val="6"/>
                  <w:tcBorders>
                    <w:tl2br w:val="nil"/>
                    <w:tr2bl w:val="nil"/>
                  </w:tcBorders>
                  <w:vAlign w:val="center"/>
                </w:tcPr>
                <w:p w14:paraId="171F3A14">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125</w:t>
                  </w:r>
                </w:p>
              </w:tc>
              <w:tc>
                <w:tcPr>
                  <w:tcW w:w="1457" w:type="pct"/>
                  <w:gridSpan w:val="4"/>
                  <w:tcBorders>
                    <w:tl2br w:val="nil"/>
                    <w:tr2bl w:val="nil"/>
                  </w:tcBorders>
                  <w:vAlign w:val="center"/>
                </w:tcPr>
                <w:p w14:paraId="7B63E780">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125</w:t>
                  </w:r>
                </w:p>
              </w:tc>
            </w:tr>
            <w:tr w14:paraId="69589D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56" w:type="pct"/>
                  <w:gridSpan w:val="2"/>
                  <w:tcBorders>
                    <w:tl2br w:val="nil"/>
                    <w:tr2bl w:val="nil"/>
                  </w:tcBorders>
                  <w:vAlign w:val="center"/>
                </w:tcPr>
                <w:p w14:paraId="76D56295">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污染源名称</w:t>
                  </w:r>
                </w:p>
              </w:tc>
              <w:tc>
                <w:tcPr>
                  <w:tcW w:w="1785" w:type="pct"/>
                  <w:gridSpan w:val="5"/>
                  <w:tcBorders>
                    <w:tl2br w:val="nil"/>
                    <w:tr2bl w:val="nil"/>
                  </w:tcBorders>
                  <w:vAlign w:val="center"/>
                </w:tcPr>
                <w:p w14:paraId="7442BA99">
                  <w:pPr>
                    <w:pStyle w:val="153"/>
                    <w:spacing w:before="0" w:after="0" w:line="240" w:lineRule="exact"/>
                    <w:jc w:val="center"/>
                    <w:rPr>
                      <w:rFonts w:hint="default"/>
                      <w:b/>
                      <w:bCs w:val="0"/>
                      <w:color w:val="auto"/>
                      <w:sz w:val="18"/>
                      <w:szCs w:val="18"/>
                      <w:vertAlign w:val="baseline"/>
                      <w:lang w:val="en-US" w:eastAsia="zh-CN"/>
                    </w:rPr>
                  </w:pPr>
                  <w:r>
                    <w:rPr>
                      <w:rFonts w:hint="eastAsia" w:ascii="Times New Roman" w:hAnsi="Times New Roman" w:cs="Times New Roman"/>
                      <w:b/>
                      <w:bCs w:val="0"/>
                      <w:color w:val="auto"/>
                      <w:sz w:val="18"/>
                      <w:szCs w:val="18"/>
                      <w:vertAlign w:val="baseline"/>
                      <w:lang w:val="en-US" w:eastAsia="zh-CN"/>
                    </w:rPr>
                    <w:t>沥青</w:t>
                  </w:r>
                  <w:r>
                    <w:rPr>
                      <w:rFonts w:hint="eastAsia" w:cs="Times New Roman"/>
                      <w:b/>
                      <w:bCs w:val="0"/>
                      <w:color w:val="auto"/>
                      <w:sz w:val="18"/>
                      <w:szCs w:val="18"/>
                      <w:vertAlign w:val="baseline"/>
                      <w:lang w:val="en-US" w:eastAsia="zh-CN"/>
                    </w:rPr>
                    <w:t>预处理及</w:t>
                  </w:r>
                  <w:r>
                    <w:rPr>
                      <w:rFonts w:hint="eastAsia" w:ascii="Times New Roman" w:hAnsi="Times New Roman" w:cs="Times New Roman"/>
                      <w:b/>
                      <w:bCs w:val="0"/>
                      <w:color w:val="auto"/>
                      <w:sz w:val="18"/>
                      <w:szCs w:val="18"/>
                      <w:vertAlign w:val="baseline"/>
                      <w:lang w:val="en-US" w:eastAsia="zh-CN"/>
                    </w:rPr>
                    <w:t>搅拌</w:t>
                  </w:r>
                </w:p>
              </w:tc>
              <w:tc>
                <w:tcPr>
                  <w:tcW w:w="1038" w:type="pct"/>
                  <w:gridSpan w:val="4"/>
                  <w:tcBorders>
                    <w:tl2br w:val="nil"/>
                    <w:tr2bl w:val="nil"/>
                  </w:tcBorders>
                  <w:vAlign w:val="center"/>
                </w:tcPr>
                <w:p w14:paraId="159A70F0">
                  <w:pPr>
                    <w:pStyle w:val="153"/>
                    <w:spacing w:before="0" w:after="0" w:line="240" w:lineRule="exact"/>
                    <w:jc w:val="center"/>
                    <w:rPr>
                      <w:rFonts w:hint="default"/>
                      <w:b/>
                      <w:bCs w:val="0"/>
                      <w:color w:val="auto"/>
                      <w:sz w:val="18"/>
                      <w:szCs w:val="18"/>
                      <w:vertAlign w:val="baseline"/>
                      <w:lang w:val="en-US" w:eastAsia="zh-CN"/>
                    </w:rPr>
                  </w:pPr>
                  <w:r>
                    <w:rPr>
                      <w:rFonts w:hint="eastAsia"/>
                      <w:b/>
                      <w:bCs w:val="0"/>
                      <w:color w:val="auto"/>
                      <w:sz w:val="18"/>
                      <w:szCs w:val="18"/>
                      <w:vertAlign w:val="baseline"/>
                      <w:lang w:val="en-US" w:eastAsia="zh-CN"/>
                    </w:rPr>
                    <w:t>混凝土搅拌</w:t>
                  </w:r>
                </w:p>
              </w:tc>
              <w:tc>
                <w:tcPr>
                  <w:tcW w:w="1482" w:type="dxa"/>
                  <w:gridSpan w:val="2"/>
                  <w:tcBorders>
                    <w:tl2br w:val="nil"/>
                    <w:tr2bl w:val="nil"/>
                  </w:tcBorders>
                  <w:vAlign w:val="center"/>
                </w:tcPr>
                <w:p w14:paraId="47ACD56E">
                  <w:pPr>
                    <w:pStyle w:val="153"/>
                    <w:spacing w:before="0" w:after="0" w:line="240" w:lineRule="exact"/>
                    <w:jc w:val="center"/>
                    <w:rPr>
                      <w:rFonts w:hint="eastAsia"/>
                      <w:b/>
                      <w:bCs w:val="0"/>
                      <w:color w:val="auto"/>
                      <w:sz w:val="18"/>
                      <w:szCs w:val="18"/>
                      <w:vertAlign w:val="baseline"/>
                      <w:lang w:val="en-US" w:eastAsia="zh-CN"/>
                    </w:rPr>
                  </w:pPr>
                  <w:r>
                    <w:rPr>
                      <w:rFonts w:hint="eastAsia"/>
                      <w:b/>
                      <w:bCs w:val="0"/>
                      <w:color w:val="auto"/>
                      <w:sz w:val="18"/>
                      <w:szCs w:val="18"/>
                      <w:vertAlign w:val="baseline"/>
                      <w:lang w:val="en-US" w:eastAsia="zh-CN"/>
                    </w:rPr>
                    <w:t>水稳土搅拌</w:t>
                  </w:r>
                </w:p>
              </w:tc>
            </w:tr>
            <w:tr w14:paraId="7ADFE0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56" w:type="pct"/>
                  <w:gridSpan w:val="2"/>
                  <w:tcBorders>
                    <w:tl2br w:val="nil"/>
                    <w:tr2bl w:val="nil"/>
                  </w:tcBorders>
                  <w:vAlign w:val="center"/>
                </w:tcPr>
                <w:p w14:paraId="536CC5D1">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污染物种类</w:t>
                  </w:r>
                </w:p>
              </w:tc>
              <w:tc>
                <w:tcPr>
                  <w:tcW w:w="792" w:type="pct"/>
                  <w:tcBorders>
                    <w:tl2br w:val="nil"/>
                    <w:tr2bl w:val="nil"/>
                  </w:tcBorders>
                  <w:vAlign w:val="center"/>
                </w:tcPr>
                <w:p w14:paraId="192F4CB6">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苯并[a]芘</w:t>
                  </w:r>
                </w:p>
              </w:tc>
              <w:tc>
                <w:tcPr>
                  <w:tcW w:w="486" w:type="pct"/>
                  <w:gridSpan w:val="2"/>
                  <w:tcBorders>
                    <w:tl2br w:val="nil"/>
                    <w:tr2bl w:val="nil"/>
                  </w:tcBorders>
                  <w:vAlign w:val="center"/>
                </w:tcPr>
                <w:p w14:paraId="752041B5">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沥青烟</w:t>
                  </w:r>
                </w:p>
              </w:tc>
              <w:tc>
                <w:tcPr>
                  <w:tcW w:w="506" w:type="pct"/>
                  <w:gridSpan w:val="2"/>
                  <w:tcBorders>
                    <w:tl2br w:val="nil"/>
                    <w:tr2bl w:val="nil"/>
                  </w:tcBorders>
                  <w:vAlign w:val="center"/>
                </w:tcPr>
                <w:p w14:paraId="005A8C15">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非甲烷总烃</w:t>
                  </w:r>
                </w:p>
              </w:tc>
              <w:tc>
                <w:tcPr>
                  <w:tcW w:w="1038" w:type="pct"/>
                  <w:gridSpan w:val="4"/>
                  <w:tcBorders>
                    <w:tl2br w:val="nil"/>
                    <w:tr2bl w:val="nil"/>
                  </w:tcBorders>
                  <w:vAlign w:val="center"/>
                </w:tcPr>
                <w:p w14:paraId="0EAC21D0">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颗粒物</w:t>
                  </w:r>
                </w:p>
              </w:tc>
              <w:tc>
                <w:tcPr>
                  <w:tcW w:w="1482" w:type="dxa"/>
                  <w:gridSpan w:val="2"/>
                  <w:tcBorders>
                    <w:tl2br w:val="nil"/>
                    <w:tr2bl w:val="nil"/>
                  </w:tcBorders>
                  <w:vAlign w:val="center"/>
                </w:tcPr>
                <w:p w14:paraId="49414B53">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颗粒物</w:t>
                  </w:r>
                </w:p>
              </w:tc>
            </w:tr>
            <w:tr w14:paraId="4F6AD3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56" w:type="pct"/>
                  <w:gridSpan w:val="2"/>
                  <w:tcBorders>
                    <w:tl2br w:val="nil"/>
                    <w:tr2bl w:val="nil"/>
                  </w:tcBorders>
                  <w:vAlign w:val="center"/>
                </w:tcPr>
                <w:p w14:paraId="47EEF11D">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排放方式</w:t>
                  </w:r>
                </w:p>
              </w:tc>
              <w:tc>
                <w:tcPr>
                  <w:tcW w:w="1785" w:type="pct"/>
                  <w:gridSpan w:val="5"/>
                  <w:tcBorders>
                    <w:tl2br w:val="nil"/>
                    <w:tr2bl w:val="nil"/>
                  </w:tcBorders>
                  <w:vAlign w:val="center"/>
                </w:tcPr>
                <w:p w14:paraId="6D67E38F">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有组织</w:t>
                  </w:r>
                </w:p>
              </w:tc>
              <w:tc>
                <w:tcPr>
                  <w:tcW w:w="1038" w:type="pct"/>
                  <w:gridSpan w:val="4"/>
                  <w:tcBorders>
                    <w:tl2br w:val="nil"/>
                    <w:tr2bl w:val="nil"/>
                  </w:tcBorders>
                  <w:vAlign w:val="center"/>
                </w:tcPr>
                <w:p w14:paraId="176682AF">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有组织</w:t>
                  </w:r>
                </w:p>
              </w:tc>
              <w:tc>
                <w:tcPr>
                  <w:tcW w:w="1482" w:type="dxa"/>
                  <w:gridSpan w:val="2"/>
                  <w:tcBorders>
                    <w:tl2br w:val="nil"/>
                    <w:tr2bl w:val="nil"/>
                  </w:tcBorders>
                  <w:vAlign w:val="center"/>
                </w:tcPr>
                <w:p w14:paraId="64373657">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有组织</w:t>
                  </w:r>
                </w:p>
              </w:tc>
            </w:tr>
            <w:tr w14:paraId="4E1A8A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56" w:type="pct"/>
                  <w:gridSpan w:val="2"/>
                  <w:tcBorders>
                    <w:tl2br w:val="nil"/>
                    <w:tr2bl w:val="nil"/>
                  </w:tcBorders>
                  <w:vAlign w:val="center"/>
                </w:tcPr>
                <w:p w14:paraId="3AB8CE29">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废气量（Nm</w:t>
                  </w:r>
                  <w:r>
                    <w:rPr>
                      <w:rFonts w:hint="eastAsia"/>
                      <w:b/>
                      <w:bCs w:val="0"/>
                      <w:color w:val="auto"/>
                      <w:sz w:val="18"/>
                      <w:szCs w:val="18"/>
                      <w:vertAlign w:val="superscript"/>
                      <w:lang w:val="en-US" w:eastAsia="zh-CN"/>
                    </w:rPr>
                    <w:t>3</w:t>
                  </w:r>
                  <w:r>
                    <w:rPr>
                      <w:rFonts w:hint="eastAsia"/>
                      <w:b/>
                      <w:bCs w:val="0"/>
                      <w:color w:val="auto"/>
                      <w:sz w:val="18"/>
                      <w:szCs w:val="18"/>
                      <w:vertAlign w:val="baseline"/>
                      <w:lang w:val="en-US" w:eastAsia="zh-CN"/>
                    </w:rPr>
                    <w:t>/h）</w:t>
                  </w:r>
                </w:p>
              </w:tc>
              <w:tc>
                <w:tcPr>
                  <w:tcW w:w="1785" w:type="pct"/>
                  <w:gridSpan w:val="5"/>
                  <w:tcBorders>
                    <w:tl2br w:val="nil"/>
                    <w:tr2bl w:val="nil"/>
                  </w:tcBorders>
                  <w:vAlign w:val="center"/>
                </w:tcPr>
                <w:p w14:paraId="2A97544A">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5500</w:t>
                  </w:r>
                </w:p>
              </w:tc>
              <w:tc>
                <w:tcPr>
                  <w:tcW w:w="1038" w:type="pct"/>
                  <w:gridSpan w:val="4"/>
                  <w:tcBorders>
                    <w:tl2br w:val="nil"/>
                    <w:tr2bl w:val="nil"/>
                  </w:tcBorders>
                  <w:vAlign w:val="center"/>
                </w:tcPr>
                <w:p w14:paraId="68FD6D70">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50000</w:t>
                  </w:r>
                </w:p>
              </w:tc>
              <w:tc>
                <w:tcPr>
                  <w:tcW w:w="1482" w:type="dxa"/>
                  <w:gridSpan w:val="2"/>
                  <w:tcBorders>
                    <w:tl2br w:val="nil"/>
                    <w:tr2bl w:val="nil"/>
                  </w:tcBorders>
                  <w:vAlign w:val="center"/>
                </w:tcPr>
                <w:p w14:paraId="3C3BEB38">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12000</w:t>
                  </w:r>
                </w:p>
              </w:tc>
            </w:tr>
            <w:tr w14:paraId="6E2645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1" w:type="pct"/>
                  <w:vMerge w:val="restart"/>
                  <w:tcBorders>
                    <w:tl2br w:val="nil"/>
                    <w:tr2bl w:val="nil"/>
                  </w:tcBorders>
                  <w:vAlign w:val="center"/>
                </w:tcPr>
                <w:p w14:paraId="42828DD3">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污染物产生情况</w:t>
                  </w:r>
                </w:p>
              </w:tc>
              <w:tc>
                <w:tcPr>
                  <w:tcW w:w="784" w:type="pct"/>
                  <w:tcBorders>
                    <w:tl2br w:val="nil"/>
                    <w:tr2bl w:val="nil"/>
                  </w:tcBorders>
                  <w:vAlign w:val="center"/>
                </w:tcPr>
                <w:p w14:paraId="1778E260">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浓度（mg/m</w:t>
                  </w:r>
                  <w:r>
                    <w:rPr>
                      <w:rFonts w:hint="eastAsia"/>
                      <w:b/>
                      <w:bCs w:val="0"/>
                      <w:color w:val="auto"/>
                      <w:sz w:val="18"/>
                      <w:szCs w:val="18"/>
                      <w:vertAlign w:val="superscript"/>
                      <w:lang w:val="en-US" w:eastAsia="zh-CN"/>
                    </w:rPr>
                    <w:t>3</w:t>
                  </w:r>
                  <w:r>
                    <w:rPr>
                      <w:rFonts w:hint="eastAsia"/>
                      <w:b/>
                      <w:bCs w:val="0"/>
                      <w:color w:val="auto"/>
                      <w:sz w:val="18"/>
                      <w:szCs w:val="18"/>
                      <w:vertAlign w:val="baseline"/>
                      <w:lang w:val="en-US" w:eastAsia="zh-CN"/>
                    </w:rPr>
                    <w:t>）</w:t>
                  </w:r>
                </w:p>
              </w:tc>
              <w:tc>
                <w:tcPr>
                  <w:tcW w:w="792" w:type="pct"/>
                  <w:tcBorders>
                    <w:tl2br w:val="nil"/>
                    <w:tr2bl w:val="nil"/>
                  </w:tcBorders>
                  <w:vAlign w:val="center"/>
                </w:tcPr>
                <w:p w14:paraId="00819B08">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w:t>
                  </w:r>
                </w:p>
              </w:tc>
              <w:tc>
                <w:tcPr>
                  <w:tcW w:w="486" w:type="pct"/>
                  <w:gridSpan w:val="2"/>
                  <w:tcBorders>
                    <w:tl2br w:val="nil"/>
                    <w:tr2bl w:val="nil"/>
                  </w:tcBorders>
                  <w:vAlign w:val="center"/>
                </w:tcPr>
                <w:p w14:paraId="0E0A2B7F">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w:t>
                  </w:r>
                </w:p>
              </w:tc>
              <w:tc>
                <w:tcPr>
                  <w:tcW w:w="506" w:type="pct"/>
                  <w:gridSpan w:val="2"/>
                  <w:tcBorders>
                    <w:tl2br w:val="nil"/>
                    <w:tr2bl w:val="nil"/>
                  </w:tcBorders>
                  <w:vAlign w:val="center"/>
                </w:tcPr>
                <w:p w14:paraId="1B3837FB">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w:t>
                  </w:r>
                </w:p>
              </w:tc>
              <w:tc>
                <w:tcPr>
                  <w:tcW w:w="1038" w:type="pct"/>
                  <w:gridSpan w:val="4"/>
                  <w:tcBorders>
                    <w:tl2br w:val="nil"/>
                    <w:tr2bl w:val="nil"/>
                  </w:tcBorders>
                  <w:vAlign w:val="center"/>
                </w:tcPr>
                <w:p w14:paraId="18F2E7AC">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1040</w:t>
                  </w:r>
                </w:p>
              </w:tc>
              <w:tc>
                <w:tcPr>
                  <w:tcW w:w="1482" w:type="dxa"/>
                  <w:gridSpan w:val="2"/>
                  <w:tcBorders>
                    <w:tl2br w:val="nil"/>
                    <w:tr2bl w:val="nil"/>
                  </w:tcBorders>
                  <w:vAlign w:val="center"/>
                </w:tcPr>
                <w:p w14:paraId="28EA34A6">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993</w:t>
                  </w:r>
                </w:p>
              </w:tc>
            </w:tr>
            <w:tr w14:paraId="227B30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1" w:type="pct"/>
                  <w:vMerge w:val="continue"/>
                  <w:tcBorders>
                    <w:tl2br w:val="nil"/>
                    <w:tr2bl w:val="nil"/>
                  </w:tcBorders>
                  <w:vAlign w:val="center"/>
                </w:tcPr>
                <w:p w14:paraId="6AB47ACE">
                  <w:pPr>
                    <w:pStyle w:val="153"/>
                    <w:spacing w:before="0" w:after="0" w:line="240" w:lineRule="exact"/>
                    <w:jc w:val="center"/>
                    <w:rPr>
                      <w:rFonts w:hint="default" w:eastAsia="宋体"/>
                      <w:b/>
                      <w:bCs w:val="0"/>
                      <w:color w:val="auto"/>
                      <w:sz w:val="18"/>
                      <w:szCs w:val="18"/>
                      <w:vertAlign w:val="baseline"/>
                      <w:lang w:val="en-US" w:eastAsia="zh-CN"/>
                    </w:rPr>
                  </w:pPr>
                </w:p>
              </w:tc>
              <w:tc>
                <w:tcPr>
                  <w:tcW w:w="784" w:type="pct"/>
                  <w:tcBorders>
                    <w:tl2br w:val="nil"/>
                    <w:tr2bl w:val="nil"/>
                  </w:tcBorders>
                  <w:vAlign w:val="center"/>
                </w:tcPr>
                <w:p w14:paraId="487B53E3">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产生量（kg/h）</w:t>
                  </w:r>
                </w:p>
              </w:tc>
              <w:tc>
                <w:tcPr>
                  <w:tcW w:w="792" w:type="pct"/>
                  <w:tcBorders>
                    <w:tl2br w:val="nil"/>
                    <w:tr2bl w:val="nil"/>
                  </w:tcBorders>
                  <w:vAlign w:val="center"/>
                </w:tcPr>
                <w:p w14:paraId="2205E1EA">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0.0003</w:t>
                  </w:r>
                </w:p>
              </w:tc>
              <w:tc>
                <w:tcPr>
                  <w:tcW w:w="486" w:type="pct"/>
                  <w:gridSpan w:val="2"/>
                  <w:tcBorders>
                    <w:tl2br w:val="nil"/>
                    <w:tr2bl w:val="nil"/>
                  </w:tcBorders>
                  <w:vAlign w:val="center"/>
                </w:tcPr>
                <w:p w14:paraId="5C31B8D0">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0.094</w:t>
                  </w:r>
                </w:p>
              </w:tc>
              <w:tc>
                <w:tcPr>
                  <w:tcW w:w="506" w:type="pct"/>
                  <w:gridSpan w:val="2"/>
                  <w:tcBorders>
                    <w:tl2br w:val="nil"/>
                    <w:tr2bl w:val="nil"/>
                  </w:tcBorders>
                  <w:vAlign w:val="center"/>
                </w:tcPr>
                <w:p w14:paraId="5194F710">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0.060</w:t>
                  </w:r>
                </w:p>
              </w:tc>
              <w:tc>
                <w:tcPr>
                  <w:tcW w:w="1038" w:type="pct"/>
                  <w:gridSpan w:val="4"/>
                  <w:tcBorders>
                    <w:tl2br w:val="nil"/>
                    <w:tr2bl w:val="nil"/>
                  </w:tcBorders>
                  <w:vAlign w:val="center"/>
                </w:tcPr>
                <w:p w14:paraId="76A5A024">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52</w:t>
                  </w:r>
                </w:p>
              </w:tc>
              <w:tc>
                <w:tcPr>
                  <w:tcW w:w="1482" w:type="dxa"/>
                  <w:gridSpan w:val="2"/>
                  <w:tcBorders>
                    <w:tl2br w:val="nil"/>
                    <w:tr2bl w:val="nil"/>
                  </w:tcBorders>
                  <w:vAlign w:val="center"/>
                </w:tcPr>
                <w:p w14:paraId="117A8FA3">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11.92</w:t>
                  </w:r>
                </w:p>
              </w:tc>
            </w:tr>
            <w:tr w14:paraId="525B54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1" w:type="pct"/>
                  <w:vMerge w:val="continue"/>
                  <w:tcBorders>
                    <w:tl2br w:val="nil"/>
                    <w:tr2bl w:val="nil"/>
                  </w:tcBorders>
                  <w:vAlign w:val="center"/>
                </w:tcPr>
                <w:p w14:paraId="2B5D24F3">
                  <w:pPr>
                    <w:pStyle w:val="153"/>
                    <w:spacing w:before="0" w:after="0" w:line="240" w:lineRule="exact"/>
                    <w:jc w:val="center"/>
                    <w:rPr>
                      <w:rFonts w:hint="default" w:eastAsia="宋体"/>
                      <w:b/>
                      <w:bCs w:val="0"/>
                      <w:color w:val="auto"/>
                      <w:sz w:val="18"/>
                      <w:szCs w:val="18"/>
                      <w:vertAlign w:val="baseline"/>
                      <w:lang w:val="en-US" w:eastAsia="zh-CN"/>
                    </w:rPr>
                  </w:pPr>
                </w:p>
              </w:tc>
              <w:tc>
                <w:tcPr>
                  <w:tcW w:w="784" w:type="pct"/>
                  <w:tcBorders>
                    <w:tl2br w:val="nil"/>
                    <w:tr2bl w:val="nil"/>
                  </w:tcBorders>
                  <w:vAlign w:val="center"/>
                </w:tcPr>
                <w:p w14:paraId="46D39B40">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核算方法</w:t>
                  </w:r>
                </w:p>
              </w:tc>
              <w:tc>
                <w:tcPr>
                  <w:tcW w:w="1785" w:type="pct"/>
                  <w:gridSpan w:val="5"/>
                  <w:tcBorders>
                    <w:tl2br w:val="nil"/>
                    <w:tr2bl w:val="nil"/>
                  </w:tcBorders>
                  <w:vAlign w:val="center"/>
                </w:tcPr>
                <w:p w14:paraId="782298C8">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产污系数法</w:t>
                  </w:r>
                </w:p>
              </w:tc>
              <w:tc>
                <w:tcPr>
                  <w:tcW w:w="1038" w:type="pct"/>
                  <w:gridSpan w:val="4"/>
                  <w:tcBorders>
                    <w:tl2br w:val="nil"/>
                    <w:tr2bl w:val="nil"/>
                  </w:tcBorders>
                  <w:vAlign w:val="center"/>
                </w:tcPr>
                <w:p w14:paraId="54BFB6BD">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产污系数法</w:t>
                  </w:r>
                </w:p>
              </w:tc>
              <w:tc>
                <w:tcPr>
                  <w:tcW w:w="1482" w:type="dxa"/>
                  <w:gridSpan w:val="2"/>
                  <w:tcBorders>
                    <w:tl2br w:val="nil"/>
                    <w:tr2bl w:val="nil"/>
                  </w:tcBorders>
                  <w:vAlign w:val="center"/>
                </w:tcPr>
                <w:p w14:paraId="767B39AF">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产污系数法</w:t>
                  </w:r>
                </w:p>
              </w:tc>
            </w:tr>
            <w:tr w14:paraId="4D2A21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1" w:type="pct"/>
                  <w:vMerge w:val="restart"/>
                  <w:tcBorders>
                    <w:tl2br w:val="nil"/>
                    <w:tr2bl w:val="nil"/>
                  </w:tcBorders>
                  <w:vAlign w:val="center"/>
                </w:tcPr>
                <w:p w14:paraId="7A6101A1">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污染防治措施</w:t>
                  </w:r>
                </w:p>
              </w:tc>
              <w:tc>
                <w:tcPr>
                  <w:tcW w:w="784" w:type="pct"/>
                  <w:tcBorders>
                    <w:tl2br w:val="nil"/>
                    <w:tr2bl w:val="nil"/>
                  </w:tcBorders>
                  <w:vAlign w:val="center"/>
                </w:tcPr>
                <w:p w14:paraId="5C1BCD87">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治理设施</w:t>
                  </w:r>
                </w:p>
              </w:tc>
              <w:tc>
                <w:tcPr>
                  <w:tcW w:w="1785" w:type="pct"/>
                  <w:gridSpan w:val="5"/>
                  <w:tcBorders>
                    <w:tl2br w:val="nil"/>
                    <w:tr2bl w:val="nil"/>
                  </w:tcBorders>
                  <w:vAlign w:val="center"/>
                </w:tcPr>
                <w:p w14:paraId="48AE10FF">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封闭设施，冷凝器+活性炭吸附</w:t>
                  </w:r>
                </w:p>
              </w:tc>
              <w:tc>
                <w:tcPr>
                  <w:tcW w:w="1038" w:type="pct"/>
                  <w:gridSpan w:val="4"/>
                  <w:tcBorders>
                    <w:tl2br w:val="nil"/>
                    <w:tr2bl w:val="nil"/>
                  </w:tcBorders>
                  <w:vAlign w:val="center"/>
                </w:tcPr>
                <w:p w14:paraId="1C2682C0">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封闭机组，布袋除尘器</w:t>
                  </w:r>
                </w:p>
              </w:tc>
              <w:tc>
                <w:tcPr>
                  <w:tcW w:w="1482" w:type="dxa"/>
                  <w:gridSpan w:val="2"/>
                  <w:tcBorders>
                    <w:tl2br w:val="nil"/>
                    <w:tr2bl w:val="nil"/>
                  </w:tcBorders>
                  <w:vAlign w:val="center"/>
                </w:tcPr>
                <w:p w14:paraId="08593AAF">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封闭机组，布袋除尘器</w:t>
                  </w:r>
                </w:p>
              </w:tc>
            </w:tr>
            <w:tr w14:paraId="23BD77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1" w:type="pct"/>
                  <w:vMerge w:val="continue"/>
                  <w:tcBorders>
                    <w:tl2br w:val="nil"/>
                    <w:tr2bl w:val="nil"/>
                  </w:tcBorders>
                  <w:vAlign w:val="center"/>
                </w:tcPr>
                <w:p w14:paraId="7612AADD">
                  <w:pPr>
                    <w:pStyle w:val="153"/>
                    <w:spacing w:before="0" w:after="0" w:line="240" w:lineRule="exact"/>
                    <w:jc w:val="center"/>
                    <w:rPr>
                      <w:rFonts w:hint="default" w:eastAsia="宋体"/>
                      <w:b/>
                      <w:bCs w:val="0"/>
                      <w:color w:val="auto"/>
                      <w:sz w:val="18"/>
                      <w:szCs w:val="18"/>
                      <w:vertAlign w:val="baseline"/>
                      <w:lang w:val="en-US" w:eastAsia="zh-CN"/>
                    </w:rPr>
                  </w:pPr>
                </w:p>
              </w:tc>
              <w:tc>
                <w:tcPr>
                  <w:tcW w:w="784" w:type="pct"/>
                  <w:tcBorders>
                    <w:tl2br w:val="nil"/>
                    <w:tr2bl w:val="nil"/>
                  </w:tcBorders>
                  <w:vAlign w:val="center"/>
                </w:tcPr>
                <w:p w14:paraId="04A30810">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收集效率（%）</w:t>
                  </w:r>
                </w:p>
              </w:tc>
              <w:tc>
                <w:tcPr>
                  <w:tcW w:w="1785" w:type="pct"/>
                  <w:gridSpan w:val="5"/>
                  <w:tcBorders>
                    <w:tl2br w:val="nil"/>
                    <w:tr2bl w:val="nil"/>
                  </w:tcBorders>
                  <w:vAlign w:val="center"/>
                </w:tcPr>
                <w:p w14:paraId="706793FD">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95</w:t>
                  </w:r>
                </w:p>
              </w:tc>
              <w:tc>
                <w:tcPr>
                  <w:tcW w:w="1038" w:type="pct"/>
                  <w:gridSpan w:val="4"/>
                  <w:tcBorders>
                    <w:tl2br w:val="nil"/>
                    <w:tr2bl w:val="nil"/>
                  </w:tcBorders>
                  <w:vAlign w:val="center"/>
                </w:tcPr>
                <w:p w14:paraId="542CF626">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95</w:t>
                  </w:r>
                </w:p>
              </w:tc>
              <w:tc>
                <w:tcPr>
                  <w:tcW w:w="1482" w:type="dxa"/>
                  <w:gridSpan w:val="2"/>
                  <w:tcBorders>
                    <w:tl2br w:val="nil"/>
                    <w:tr2bl w:val="nil"/>
                  </w:tcBorders>
                  <w:vAlign w:val="center"/>
                </w:tcPr>
                <w:p w14:paraId="598F5E05">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95</w:t>
                  </w:r>
                </w:p>
              </w:tc>
            </w:tr>
            <w:tr w14:paraId="4D430B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1" w:type="pct"/>
                  <w:vMerge w:val="continue"/>
                  <w:tcBorders>
                    <w:tl2br w:val="nil"/>
                    <w:tr2bl w:val="nil"/>
                  </w:tcBorders>
                  <w:vAlign w:val="center"/>
                </w:tcPr>
                <w:p w14:paraId="3CA93899">
                  <w:pPr>
                    <w:pStyle w:val="153"/>
                    <w:spacing w:before="0" w:after="0" w:line="240" w:lineRule="exact"/>
                    <w:jc w:val="center"/>
                    <w:rPr>
                      <w:rFonts w:hint="default" w:eastAsia="宋体"/>
                      <w:b/>
                      <w:bCs w:val="0"/>
                      <w:color w:val="auto"/>
                      <w:sz w:val="18"/>
                      <w:szCs w:val="18"/>
                      <w:vertAlign w:val="baseline"/>
                      <w:lang w:val="en-US" w:eastAsia="zh-CN"/>
                    </w:rPr>
                  </w:pPr>
                </w:p>
              </w:tc>
              <w:tc>
                <w:tcPr>
                  <w:tcW w:w="784" w:type="pct"/>
                  <w:tcBorders>
                    <w:tl2br w:val="nil"/>
                    <w:tr2bl w:val="nil"/>
                  </w:tcBorders>
                  <w:vAlign w:val="center"/>
                </w:tcPr>
                <w:p w14:paraId="398D35FD">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处理效率（%）</w:t>
                  </w:r>
                </w:p>
              </w:tc>
              <w:tc>
                <w:tcPr>
                  <w:tcW w:w="1785" w:type="pct"/>
                  <w:gridSpan w:val="5"/>
                  <w:tcBorders>
                    <w:tl2br w:val="nil"/>
                    <w:tr2bl w:val="nil"/>
                  </w:tcBorders>
                  <w:vAlign w:val="center"/>
                </w:tcPr>
                <w:p w14:paraId="02CD2664">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90</w:t>
                  </w:r>
                </w:p>
              </w:tc>
              <w:tc>
                <w:tcPr>
                  <w:tcW w:w="1038" w:type="pct"/>
                  <w:gridSpan w:val="4"/>
                  <w:tcBorders>
                    <w:tl2br w:val="nil"/>
                    <w:tr2bl w:val="nil"/>
                  </w:tcBorders>
                  <w:vAlign w:val="center"/>
                </w:tcPr>
                <w:p w14:paraId="3F5FCA32">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99</w:t>
                  </w:r>
                </w:p>
              </w:tc>
              <w:tc>
                <w:tcPr>
                  <w:tcW w:w="1482" w:type="dxa"/>
                  <w:gridSpan w:val="2"/>
                  <w:tcBorders>
                    <w:tl2br w:val="nil"/>
                    <w:tr2bl w:val="nil"/>
                  </w:tcBorders>
                  <w:vAlign w:val="center"/>
                </w:tcPr>
                <w:p w14:paraId="03680EA1">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99</w:t>
                  </w:r>
                </w:p>
              </w:tc>
            </w:tr>
            <w:tr w14:paraId="2D794D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1" w:type="pct"/>
                  <w:vMerge w:val="restart"/>
                  <w:tcBorders>
                    <w:tl2br w:val="nil"/>
                    <w:tr2bl w:val="nil"/>
                  </w:tcBorders>
                  <w:vAlign w:val="center"/>
                </w:tcPr>
                <w:p w14:paraId="3F421EFA">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污染物排放情况</w:t>
                  </w:r>
                </w:p>
              </w:tc>
              <w:tc>
                <w:tcPr>
                  <w:tcW w:w="784" w:type="pct"/>
                  <w:tcBorders>
                    <w:tl2br w:val="nil"/>
                    <w:tr2bl w:val="nil"/>
                  </w:tcBorders>
                  <w:vAlign w:val="center"/>
                </w:tcPr>
                <w:p w14:paraId="118E8A4A">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浓度（mg/m</w:t>
                  </w:r>
                  <w:r>
                    <w:rPr>
                      <w:rFonts w:hint="eastAsia"/>
                      <w:b/>
                      <w:bCs w:val="0"/>
                      <w:color w:val="auto"/>
                      <w:sz w:val="18"/>
                      <w:szCs w:val="18"/>
                      <w:vertAlign w:val="superscript"/>
                      <w:lang w:val="en-US" w:eastAsia="zh-CN"/>
                    </w:rPr>
                    <w:t>3</w:t>
                  </w:r>
                  <w:r>
                    <w:rPr>
                      <w:rFonts w:hint="eastAsia"/>
                      <w:b/>
                      <w:bCs w:val="0"/>
                      <w:color w:val="auto"/>
                      <w:sz w:val="18"/>
                      <w:szCs w:val="18"/>
                      <w:vertAlign w:val="baseline"/>
                      <w:lang w:val="en-US" w:eastAsia="zh-CN"/>
                    </w:rPr>
                    <w:t>）</w:t>
                  </w:r>
                </w:p>
              </w:tc>
              <w:tc>
                <w:tcPr>
                  <w:tcW w:w="792" w:type="pct"/>
                  <w:tcBorders>
                    <w:tl2br w:val="nil"/>
                    <w:tr2bl w:val="nil"/>
                  </w:tcBorders>
                  <w:vAlign w:val="center"/>
                </w:tcPr>
                <w:p w14:paraId="56B5F606">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0.002</w:t>
                  </w:r>
                </w:p>
              </w:tc>
              <w:tc>
                <w:tcPr>
                  <w:tcW w:w="486" w:type="pct"/>
                  <w:gridSpan w:val="2"/>
                  <w:tcBorders>
                    <w:tl2br w:val="nil"/>
                    <w:tr2bl w:val="nil"/>
                  </w:tcBorders>
                  <w:vAlign w:val="center"/>
                </w:tcPr>
                <w:p w14:paraId="010C4104">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0.89</w:t>
                  </w:r>
                </w:p>
              </w:tc>
              <w:tc>
                <w:tcPr>
                  <w:tcW w:w="506" w:type="pct"/>
                  <w:gridSpan w:val="2"/>
                  <w:tcBorders>
                    <w:tl2br w:val="nil"/>
                    <w:tr2bl w:val="nil"/>
                  </w:tcBorders>
                  <w:vAlign w:val="center"/>
                </w:tcPr>
                <w:p w14:paraId="64732E7A">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0.57</w:t>
                  </w:r>
                </w:p>
              </w:tc>
              <w:tc>
                <w:tcPr>
                  <w:tcW w:w="1038" w:type="pct"/>
                  <w:gridSpan w:val="4"/>
                  <w:tcBorders>
                    <w:tl2br w:val="nil"/>
                    <w:tr2bl w:val="nil"/>
                  </w:tcBorders>
                  <w:vAlign w:val="center"/>
                </w:tcPr>
                <w:p w14:paraId="12A807C3">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9.88</w:t>
                  </w:r>
                </w:p>
              </w:tc>
              <w:tc>
                <w:tcPr>
                  <w:tcW w:w="1482" w:type="dxa"/>
                  <w:gridSpan w:val="2"/>
                  <w:tcBorders>
                    <w:tl2br w:val="nil"/>
                    <w:tr2bl w:val="nil"/>
                  </w:tcBorders>
                  <w:vAlign w:val="center"/>
                </w:tcPr>
                <w:p w14:paraId="022968CA">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9.43</w:t>
                  </w:r>
                </w:p>
              </w:tc>
            </w:tr>
            <w:tr w14:paraId="00C9E8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1" w:type="pct"/>
                  <w:vMerge w:val="continue"/>
                  <w:tcBorders>
                    <w:tl2br w:val="nil"/>
                    <w:tr2bl w:val="nil"/>
                  </w:tcBorders>
                  <w:vAlign w:val="center"/>
                </w:tcPr>
                <w:p w14:paraId="4DDC657A">
                  <w:pPr>
                    <w:pStyle w:val="153"/>
                    <w:spacing w:before="0" w:after="0" w:line="240" w:lineRule="exact"/>
                    <w:jc w:val="center"/>
                    <w:rPr>
                      <w:rFonts w:hint="default" w:eastAsia="宋体"/>
                      <w:b/>
                      <w:bCs w:val="0"/>
                      <w:color w:val="auto"/>
                      <w:sz w:val="18"/>
                      <w:szCs w:val="18"/>
                      <w:vertAlign w:val="baseline"/>
                      <w:lang w:val="en-US" w:eastAsia="zh-CN"/>
                    </w:rPr>
                  </w:pPr>
                </w:p>
              </w:tc>
              <w:tc>
                <w:tcPr>
                  <w:tcW w:w="784" w:type="pct"/>
                  <w:tcBorders>
                    <w:tl2br w:val="nil"/>
                    <w:tr2bl w:val="nil"/>
                  </w:tcBorders>
                  <w:vAlign w:val="center"/>
                </w:tcPr>
                <w:p w14:paraId="04706FAE">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排放量（kg/h）</w:t>
                  </w:r>
                </w:p>
              </w:tc>
              <w:tc>
                <w:tcPr>
                  <w:tcW w:w="792" w:type="pct"/>
                  <w:tcBorders>
                    <w:tl2br w:val="nil"/>
                    <w:tr2bl w:val="nil"/>
                  </w:tcBorders>
                  <w:vAlign w:val="center"/>
                </w:tcPr>
                <w:p w14:paraId="73F1D85C">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0.00002</w:t>
                  </w:r>
                </w:p>
              </w:tc>
              <w:tc>
                <w:tcPr>
                  <w:tcW w:w="486" w:type="pct"/>
                  <w:gridSpan w:val="2"/>
                  <w:tcBorders>
                    <w:tl2br w:val="nil"/>
                    <w:tr2bl w:val="nil"/>
                  </w:tcBorders>
                  <w:vAlign w:val="center"/>
                </w:tcPr>
                <w:p w14:paraId="60D98838">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0.009</w:t>
                  </w:r>
                </w:p>
              </w:tc>
              <w:tc>
                <w:tcPr>
                  <w:tcW w:w="506" w:type="pct"/>
                  <w:gridSpan w:val="2"/>
                  <w:tcBorders>
                    <w:tl2br w:val="nil"/>
                    <w:tr2bl w:val="nil"/>
                  </w:tcBorders>
                  <w:vAlign w:val="center"/>
                </w:tcPr>
                <w:p w14:paraId="0B330B6E">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0.006</w:t>
                  </w:r>
                </w:p>
              </w:tc>
              <w:tc>
                <w:tcPr>
                  <w:tcW w:w="1038" w:type="pct"/>
                  <w:gridSpan w:val="4"/>
                  <w:tcBorders>
                    <w:tl2br w:val="nil"/>
                    <w:tr2bl w:val="nil"/>
                  </w:tcBorders>
                  <w:vAlign w:val="center"/>
                </w:tcPr>
                <w:p w14:paraId="0462691C">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0.49</w:t>
                  </w:r>
                </w:p>
              </w:tc>
              <w:tc>
                <w:tcPr>
                  <w:tcW w:w="1482" w:type="dxa"/>
                  <w:gridSpan w:val="2"/>
                  <w:tcBorders>
                    <w:tl2br w:val="nil"/>
                    <w:tr2bl w:val="nil"/>
                  </w:tcBorders>
                  <w:vAlign w:val="center"/>
                </w:tcPr>
                <w:p w14:paraId="44189780">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0.11</w:t>
                  </w:r>
                </w:p>
              </w:tc>
            </w:tr>
            <w:tr w14:paraId="2A0F60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56" w:type="pct"/>
                  <w:gridSpan w:val="2"/>
                  <w:tcBorders>
                    <w:tl2br w:val="nil"/>
                    <w:tr2bl w:val="nil"/>
                  </w:tcBorders>
                  <w:vAlign w:val="center"/>
                </w:tcPr>
                <w:p w14:paraId="7C0BE555">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年运行时间（h）</w:t>
                  </w:r>
                </w:p>
              </w:tc>
              <w:tc>
                <w:tcPr>
                  <w:tcW w:w="1785" w:type="pct"/>
                  <w:gridSpan w:val="5"/>
                  <w:tcBorders>
                    <w:tl2br w:val="nil"/>
                    <w:tr2bl w:val="nil"/>
                  </w:tcBorders>
                  <w:vAlign w:val="center"/>
                </w:tcPr>
                <w:p w14:paraId="0AC0684B">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1200</w:t>
                  </w:r>
                </w:p>
              </w:tc>
              <w:tc>
                <w:tcPr>
                  <w:tcW w:w="1038" w:type="pct"/>
                  <w:gridSpan w:val="4"/>
                  <w:tcBorders>
                    <w:tl2br w:val="nil"/>
                    <w:tr2bl w:val="nil"/>
                  </w:tcBorders>
                  <w:vAlign w:val="center"/>
                </w:tcPr>
                <w:p w14:paraId="46680B3D">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1200</w:t>
                  </w:r>
                </w:p>
              </w:tc>
              <w:tc>
                <w:tcPr>
                  <w:tcW w:w="1482" w:type="dxa"/>
                  <w:gridSpan w:val="2"/>
                  <w:tcBorders>
                    <w:tl2br w:val="nil"/>
                    <w:tr2bl w:val="nil"/>
                  </w:tcBorders>
                  <w:vAlign w:val="center"/>
                </w:tcPr>
                <w:p w14:paraId="06935D97">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1200</w:t>
                  </w:r>
                </w:p>
              </w:tc>
            </w:tr>
            <w:tr w14:paraId="3ED5CF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56" w:type="pct"/>
                  <w:gridSpan w:val="2"/>
                  <w:tcBorders>
                    <w:tl2br w:val="nil"/>
                    <w:tr2bl w:val="nil"/>
                  </w:tcBorders>
                  <w:vAlign w:val="center"/>
                </w:tcPr>
                <w:p w14:paraId="59E8436B">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年排放量（t/a）</w:t>
                  </w:r>
                </w:p>
              </w:tc>
              <w:tc>
                <w:tcPr>
                  <w:tcW w:w="792" w:type="pct"/>
                  <w:tcBorders>
                    <w:tl2br w:val="nil"/>
                    <w:tr2bl w:val="nil"/>
                  </w:tcBorders>
                  <w:vAlign w:val="center"/>
                </w:tcPr>
                <w:p w14:paraId="35C1DC6F">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0.00003</w:t>
                  </w:r>
                </w:p>
              </w:tc>
              <w:tc>
                <w:tcPr>
                  <w:tcW w:w="486" w:type="pct"/>
                  <w:gridSpan w:val="2"/>
                  <w:tcBorders>
                    <w:tl2br w:val="nil"/>
                    <w:tr2bl w:val="nil"/>
                  </w:tcBorders>
                  <w:vAlign w:val="center"/>
                </w:tcPr>
                <w:p w14:paraId="24A46BB7">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0.011</w:t>
                  </w:r>
                </w:p>
              </w:tc>
              <w:tc>
                <w:tcPr>
                  <w:tcW w:w="506" w:type="pct"/>
                  <w:gridSpan w:val="2"/>
                  <w:tcBorders>
                    <w:tl2br w:val="nil"/>
                    <w:tr2bl w:val="nil"/>
                  </w:tcBorders>
                  <w:vAlign w:val="center"/>
                </w:tcPr>
                <w:p w14:paraId="2BCC5F5F">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0.007</w:t>
                  </w:r>
                </w:p>
              </w:tc>
              <w:tc>
                <w:tcPr>
                  <w:tcW w:w="1038" w:type="pct"/>
                  <w:gridSpan w:val="4"/>
                  <w:tcBorders>
                    <w:tl2br w:val="nil"/>
                    <w:tr2bl w:val="nil"/>
                  </w:tcBorders>
                  <w:vAlign w:val="center"/>
                </w:tcPr>
                <w:p w14:paraId="34626302">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0.5928</w:t>
                  </w:r>
                </w:p>
              </w:tc>
              <w:tc>
                <w:tcPr>
                  <w:tcW w:w="1482" w:type="dxa"/>
                  <w:gridSpan w:val="2"/>
                  <w:tcBorders>
                    <w:tl2br w:val="nil"/>
                    <w:tr2bl w:val="nil"/>
                  </w:tcBorders>
                  <w:vAlign w:val="center"/>
                </w:tcPr>
                <w:p w14:paraId="0D093748">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0.1359</w:t>
                  </w:r>
                </w:p>
              </w:tc>
            </w:tr>
            <w:tr w14:paraId="37B5B3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1" w:type="pct"/>
                  <w:vMerge w:val="restart"/>
                  <w:tcBorders>
                    <w:tl2br w:val="nil"/>
                    <w:tr2bl w:val="nil"/>
                  </w:tcBorders>
                  <w:vAlign w:val="center"/>
                </w:tcPr>
                <w:p w14:paraId="34C50F3C">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排放参数</w:t>
                  </w:r>
                </w:p>
              </w:tc>
              <w:tc>
                <w:tcPr>
                  <w:tcW w:w="784" w:type="pct"/>
                  <w:tcBorders>
                    <w:tl2br w:val="nil"/>
                    <w:tr2bl w:val="nil"/>
                  </w:tcBorders>
                  <w:vAlign w:val="center"/>
                </w:tcPr>
                <w:p w14:paraId="48555393">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排气筒高度（m）</w:t>
                  </w:r>
                </w:p>
              </w:tc>
              <w:tc>
                <w:tcPr>
                  <w:tcW w:w="1785" w:type="pct"/>
                  <w:gridSpan w:val="5"/>
                  <w:tcBorders>
                    <w:tl2br w:val="nil"/>
                    <w:tr2bl w:val="nil"/>
                  </w:tcBorders>
                  <w:vAlign w:val="center"/>
                </w:tcPr>
                <w:p w14:paraId="254EACF6">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15</w:t>
                  </w:r>
                </w:p>
              </w:tc>
              <w:tc>
                <w:tcPr>
                  <w:tcW w:w="1038" w:type="pct"/>
                  <w:gridSpan w:val="4"/>
                  <w:tcBorders>
                    <w:tl2br w:val="nil"/>
                    <w:tr2bl w:val="nil"/>
                  </w:tcBorders>
                  <w:vAlign w:val="center"/>
                </w:tcPr>
                <w:p w14:paraId="58037BD3">
                  <w:pPr>
                    <w:pStyle w:val="153"/>
                    <w:spacing w:before="0" w:after="0" w:line="240" w:lineRule="exact"/>
                    <w:jc w:val="center"/>
                    <w:rPr>
                      <w:rFonts w:hint="default" w:ascii="Times New Roman" w:hAnsi="Times New Roman" w:eastAsia="宋体" w:cs="Times New Roman"/>
                      <w:b w:val="0"/>
                      <w:bCs/>
                      <w:color w:val="auto"/>
                      <w:kern w:val="32"/>
                      <w:sz w:val="18"/>
                      <w:szCs w:val="18"/>
                      <w:vertAlign w:val="baseline"/>
                      <w:lang w:val="en-US" w:eastAsia="zh-CN" w:bidi="ar-SA"/>
                    </w:rPr>
                  </w:pPr>
                  <w:r>
                    <w:rPr>
                      <w:rFonts w:hint="eastAsia"/>
                      <w:b w:val="0"/>
                      <w:bCs/>
                      <w:color w:val="auto"/>
                      <w:sz w:val="18"/>
                      <w:szCs w:val="18"/>
                      <w:vertAlign w:val="baseline"/>
                      <w:lang w:val="en-US" w:eastAsia="zh-CN"/>
                    </w:rPr>
                    <w:t>15</w:t>
                  </w:r>
                </w:p>
              </w:tc>
              <w:tc>
                <w:tcPr>
                  <w:tcW w:w="1482" w:type="dxa"/>
                  <w:gridSpan w:val="2"/>
                  <w:tcBorders>
                    <w:tl2br w:val="nil"/>
                    <w:tr2bl w:val="nil"/>
                  </w:tcBorders>
                  <w:vAlign w:val="center"/>
                </w:tcPr>
                <w:p w14:paraId="3A191EDA">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15</w:t>
                  </w:r>
                </w:p>
              </w:tc>
            </w:tr>
            <w:tr w14:paraId="16C7C0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1" w:type="pct"/>
                  <w:vMerge w:val="continue"/>
                  <w:tcBorders>
                    <w:tl2br w:val="nil"/>
                    <w:tr2bl w:val="nil"/>
                  </w:tcBorders>
                  <w:vAlign w:val="center"/>
                </w:tcPr>
                <w:p w14:paraId="5BAD5615">
                  <w:pPr>
                    <w:pStyle w:val="153"/>
                    <w:spacing w:before="0" w:after="0" w:line="240" w:lineRule="exact"/>
                    <w:jc w:val="center"/>
                    <w:rPr>
                      <w:rFonts w:hint="default" w:eastAsia="宋体"/>
                      <w:b/>
                      <w:bCs w:val="0"/>
                      <w:color w:val="auto"/>
                      <w:sz w:val="18"/>
                      <w:szCs w:val="18"/>
                      <w:vertAlign w:val="baseline"/>
                      <w:lang w:val="en-US" w:eastAsia="zh-CN"/>
                    </w:rPr>
                  </w:pPr>
                </w:p>
              </w:tc>
              <w:tc>
                <w:tcPr>
                  <w:tcW w:w="784" w:type="pct"/>
                  <w:tcBorders>
                    <w:tl2br w:val="nil"/>
                    <w:tr2bl w:val="nil"/>
                  </w:tcBorders>
                  <w:vAlign w:val="center"/>
                </w:tcPr>
                <w:p w14:paraId="6C25AC6E">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出口内径（m）</w:t>
                  </w:r>
                </w:p>
              </w:tc>
              <w:tc>
                <w:tcPr>
                  <w:tcW w:w="1785" w:type="pct"/>
                  <w:gridSpan w:val="5"/>
                  <w:tcBorders>
                    <w:tl2br w:val="nil"/>
                    <w:tr2bl w:val="nil"/>
                  </w:tcBorders>
                  <w:vAlign w:val="center"/>
                </w:tcPr>
                <w:p w14:paraId="6C3E669E">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0.5</w:t>
                  </w:r>
                </w:p>
              </w:tc>
              <w:tc>
                <w:tcPr>
                  <w:tcW w:w="1038" w:type="pct"/>
                  <w:gridSpan w:val="4"/>
                  <w:tcBorders>
                    <w:tl2br w:val="nil"/>
                    <w:tr2bl w:val="nil"/>
                  </w:tcBorders>
                  <w:vAlign w:val="center"/>
                </w:tcPr>
                <w:p w14:paraId="2D8CD185">
                  <w:pPr>
                    <w:pStyle w:val="153"/>
                    <w:spacing w:before="0" w:after="0" w:line="240" w:lineRule="exact"/>
                    <w:jc w:val="center"/>
                    <w:rPr>
                      <w:rFonts w:hint="default" w:ascii="Times New Roman" w:hAnsi="Times New Roman" w:eastAsia="宋体" w:cs="Times New Roman"/>
                      <w:b w:val="0"/>
                      <w:bCs/>
                      <w:color w:val="auto"/>
                      <w:kern w:val="32"/>
                      <w:sz w:val="18"/>
                      <w:szCs w:val="18"/>
                      <w:vertAlign w:val="baseline"/>
                      <w:lang w:val="en-US" w:eastAsia="zh-CN" w:bidi="ar-SA"/>
                    </w:rPr>
                  </w:pPr>
                  <w:r>
                    <w:rPr>
                      <w:rFonts w:hint="eastAsia"/>
                      <w:b w:val="0"/>
                      <w:bCs/>
                      <w:color w:val="auto"/>
                      <w:sz w:val="18"/>
                      <w:szCs w:val="18"/>
                      <w:vertAlign w:val="baseline"/>
                      <w:lang w:val="en-US" w:eastAsia="zh-CN"/>
                    </w:rPr>
                    <w:t>0.5</w:t>
                  </w:r>
                </w:p>
              </w:tc>
              <w:tc>
                <w:tcPr>
                  <w:tcW w:w="1482" w:type="dxa"/>
                  <w:gridSpan w:val="2"/>
                  <w:tcBorders>
                    <w:tl2br w:val="nil"/>
                    <w:tr2bl w:val="nil"/>
                  </w:tcBorders>
                  <w:vAlign w:val="center"/>
                </w:tcPr>
                <w:p w14:paraId="5B66A4A1">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0.5</w:t>
                  </w:r>
                </w:p>
              </w:tc>
            </w:tr>
            <w:tr w14:paraId="2A242E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1" w:type="pct"/>
                  <w:vMerge w:val="continue"/>
                  <w:tcBorders>
                    <w:tl2br w:val="nil"/>
                    <w:tr2bl w:val="nil"/>
                  </w:tcBorders>
                  <w:vAlign w:val="center"/>
                </w:tcPr>
                <w:p w14:paraId="4715476D">
                  <w:pPr>
                    <w:pStyle w:val="153"/>
                    <w:spacing w:before="0" w:after="0" w:line="240" w:lineRule="exact"/>
                    <w:jc w:val="center"/>
                    <w:rPr>
                      <w:rFonts w:hint="default" w:eastAsia="宋体"/>
                      <w:b/>
                      <w:bCs w:val="0"/>
                      <w:color w:val="auto"/>
                      <w:sz w:val="18"/>
                      <w:szCs w:val="18"/>
                      <w:vertAlign w:val="baseline"/>
                      <w:lang w:val="en-US" w:eastAsia="zh-CN"/>
                    </w:rPr>
                  </w:pPr>
                </w:p>
              </w:tc>
              <w:tc>
                <w:tcPr>
                  <w:tcW w:w="784" w:type="pct"/>
                  <w:tcBorders>
                    <w:tl2br w:val="nil"/>
                    <w:tr2bl w:val="nil"/>
                  </w:tcBorders>
                  <w:vAlign w:val="center"/>
                </w:tcPr>
                <w:p w14:paraId="4B54E6CA">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排放温度（℃）</w:t>
                  </w:r>
                </w:p>
              </w:tc>
              <w:tc>
                <w:tcPr>
                  <w:tcW w:w="1785" w:type="pct"/>
                  <w:gridSpan w:val="5"/>
                  <w:tcBorders>
                    <w:tl2br w:val="nil"/>
                    <w:tr2bl w:val="nil"/>
                  </w:tcBorders>
                  <w:vAlign w:val="center"/>
                </w:tcPr>
                <w:p w14:paraId="25229D51">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125</w:t>
                  </w:r>
                </w:p>
              </w:tc>
              <w:tc>
                <w:tcPr>
                  <w:tcW w:w="1038" w:type="pct"/>
                  <w:gridSpan w:val="4"/>
                  <w:tcBorders>
                    <w:tl2br w:val="nil"/>
                    <w:tr2bl w:val="nil"/>
                  </w:tcBorders>
                  <w:vAlign w:val="center"/>
                </w:tcPr>
                <w:p w14:paraId="7DABAE0A">
                  <w:pPr>
                    <w:pStyle w:val="153"/>
                    <w:spacing w:before="0" w:after="0" w:line="240" w:lineRule="exact"/>
                    <w:jc w:val="center"/>
                    <w:rPr>
                      <w:rFonts w:hint="default" w:ascii="Times New Roman" w:hAnsi="Times New Roman" w:eastAsia="宋体" w:cs="Times New Roman"/>
                      <w:b w:val="0"/>
                      <w:bCs/>
                      <w:color w:val="auto"/>
                      <w:kern w:val="32"/>
                      <w:sz w:val="18"/>
                      <w:szCs w:val="18"/>
                      <w:vertAlign w:val="baseline"/>
                      <w:lang w:val="en-US" w:eastAsia="zh-CN" w:bidi="ar-SA"/>
                    </w:rPr>
                  </w:pPr>
                  <w:r>
                    <w:rPr>
                      <w:rFonts w:hint="eastAsia"/>
                      <w:b w:val="0"/>
                      <w:bCs/>
                      <w:color w:val="auto"/>
                      <w:sz w:val="18"/>
                      <w:szCs w:val="18"/>
                      <w:vertAlign w:val="baseline"/>
                      <w:lang w:val="en-US" w:eastAsia="zh-CN"/>
                    </w:rPr>
                    <w:t>20</w:t>
                  </w:r>
                </w:p>
              </w:tc>
              <w:tc>
                <w:tcPr>
                  <w:tcW w:w="1482" w:type="dxa"/>
                  <w:gridSpan w:val="2"/>
                  <w:tcBorders>
                    <w:tl2br w:val="nil"/>
                    <w:tr2bl w:val="nil"/>
                  </w:tcBorders>
                  <w:vAlign w:val="center"/>
                </w:tcPr>
                <w:p w14:paraId="068D1EA4">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20</w:t>
                  </w:r>
                </w:p>
              </w:tc>
            </w:tr>
            <w:tr w14:paraId="01AC09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1256" w:type="pct"/>
                  <w:gridSpan w:val="2"/>
                  <w:vMerge w:val="restart"/>
                  <w:tcBorders>
                    <w:tl2br w:val="nil"/>
                    <w:tr2bl w:val="nil"/>
                  </w:tcBorders>
                  <w:vAlign w:val="center"/>
                </w:tcPr>
                <w:p w14:paraId="0837C321">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污染源名称</w:t>
                  </w:r>
                </w:p>
              </w:tc>
              <w:tc>
                <w:tcPr>
                  <w:tcW w:w="3743" w:type="pct"/>
                  <w:gridSpan w:val="11"/>
                  <w:tcBorders>
                    <w:tl2br w:val="nil"/>
                    <w:tr2bl w:val="nil"/>
                  </w:tcBorders>
                  <w:vAlign w:val="center"/>
                </w:tcPr>
                <w:p w14:paraId="7B0097ED">
                  <w:pPr>
                    <w:pStyle w:val="153"/>
                    <w:spacing w:before="0" w:after="0" w:line="240" w:lineRule="exact"/>
                    <w:jc w:val="center"/>
                    <w:rPr>
                      <w:rFonts w:hint="default"/>
                      <w:b w:val="0"/>
                      <w:bCs/>
                      <w:color w:val="auto"/>
                      <w:sz w:val="18"/>
                      <w:szCs w:val="18"/>
                      <w:vertAlign w:val="baseline"/>
                      <w:lang w:val="en-US" w:eastAsia="zh-CN"/>
                    </w:rPr>
                  </w:pPr>
                  <w:r>
                    <w:rPr>
                      <w:rFonts w:hint="eastAsia"/>
                      <w:b/>
                      <w:bCs w:val="0"/>
                      <w:color w:val="auto"/>
                      <w:sz w:val="18"/>
                      <w:szCs w:val="18"/>
                      <w:vertAlign w:val="baseline"/>
                      <w:lang w:val="en-US" w:eastAsia="zh-CN"/>
                    </w:rPr>
                    <w:t>粉料堆存</w:t>
                  </w:r>
                </w:p>
              </w:tc>
            </w:tr>
            <w:tr w14:paraId="4E7386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8" w:hRule="atLeast"/>
              </w:trPr>
              <w:tc>
                <w:tcPr>
                  <w:tcW w:w="1256" w:type="pct"/>
                  <w:gridSpan w:val="2"/>
                  <w:vMerge w:val="continue"/>
                  <w:tcBorders>
                    <w:tl2br w:val="nil"/>
                    <w:tr2bl w:val="nil"/>
                  </w:tcBorders>
                  <w:vAlign w:val="center"/>
                </w:tcPr>
                <w:p w14:paraId="12570D8C">
                  <w:pPr>
                    <w:jc w:val="center"/>
                    <w:rPr>
                      <w:b/>
                      <w:bCs w:val="0"/>
                      <w:color w:val="auto"/>
                      <w:sz w:val="18"/>
                      <w:szCs w:val="18"/>
                    </w:rPr>
                  </w:pPr>
                </w:p>
              </w:tc>
              <w:tc>
                <w:tcPr>
                  <w:tcW w:w="820" w:type="pct"/>
                  <w:gridSpan w:val="2"/>
                  <w:tcBorders>
                    <w:tl2br w:val="nil"/>
                    <w:tr2bl w:val="nil"/>
                  </w:tcBorders>
                  <w:vAlign w:val="center"/>
                </w:tcPr>
                <w:p w14:paraId="6CFC6AC6">
                  <w:pPr>
                    <w:jc w:val="center"/>
                    <w:rPr>
                      <w:rFonts w:hint="eastAsia"/>
                      <w:b/>
                      <w:bCs w:val="0"/>
                      <w:color w:val="auto"/>
                      <w:sz w:val="18"/>
                      <w:szCs w:val="18"/>
                      <w:lang w:val="en-US" w:eastAsia="zh-CN"/>
                    </w:rPr>
                  </w:pPr>
                  <w:r>
                    <w:rPr>
                      <w:rFonts w:hint="eastAsia"/>
                      <w:b/>
                      <w:bCs w:val="0"/>
                      <w:color w:val="auto"/>
                      <w:sz w:val="18"/>
                      <w:szCs w:val="18"/>
                      <w:lang w:val="en-US" w:eastAsia="zh-CN"/>
                    </w:rPr>
                    <w:t>沥青混凝土</w:t>
                  </w:r>
                </w:p>
              </w:tc>
              <w:tc>
                <w:tcPr>
                  <w:tcW w:w="1957" w:type="pct"/>
                  <w:gridSpan w:val="6"/>
                  <w:tcBorders>
                    <w:tl2br w:val="nil"/>
                    <w:tr2bl w:val="nil"/>
                  </w:tcBorders>
                  <w:vAlign w:val="center"/>
                </w:tcPr>
                <w:p w14:paraId="1EEE7350">
                  <w:pPr>
                    <w:jc w:val="center"/>
                    <w:rPr>
                      <w:rFonts w:hint="eastAsia"/>
                      <w:b/>
                      <w:bCs w:val="0"/>
                      <w:color w:val="auto"/>
                      <w:sz w:val="18"/>
                      <w:szCs w:val="18"/>
                      <w:lang w:val="en-US" w:eastAsia="zh-CN"/>
                    </w:rPr>
                  </w:pPr>
                  <w:r>
                    <w:rPr>
                      <w:rFonts w:hint="eastAsia"/>
                      <w:b/>
                      <w:bCs w:val="0"/>
                      <w:color w:val="auto"/>
                      <w:sz w:val="18"/>
                      <w:szCs w:val="18"/>
                      <w:lang w:val="en-US" w:eastAsia="zh-CN"/>
                    </w:rPr>
                    <w:t>混凝土</w:t>
                  </w:r>
                </w:p>
              </w:tc>
              <w:tc>
                <w:tcPr>
                  <w:tcW w:w="966" w:type="pct"/>
                  <w:gridSpan w:val="3"/>
                  <w:tcBorders>
                    <w:tl2br w:val="nil"/>
                    <w:tr2bl w:val="nil"/>
                  </w:tcBorders>
                  <w:vAlign w:val="center"/>
                </w:tcPr>
                <w:p w14:paraId="3D5E51ED">
                  <w:pPr>
                    <w:jc w:val="center"/>
                    <w:rPr>
                      <w:rFonts w:hint="default"/>
                      <w:b/>
                      <w:bCs w:val="0"/>
                      <w:color w:val="auto"/>
                      <w:sz w:val="18"/>
                      <w:szCs w:val="18"/>
                      <w:lang w:val="en-US" w:eastAsia="zh-CN"/>
                    </w:rPr>
                  </w:pPr>
                  <w:r>
                    <w:rPr>
                      <w:rFonts w:hint="eastAsia"/>
                      <w:b/>
                      <w:bCs w:val="0"/>
                      <w:color w:val="auto"/>
                      <w:sz w:val="18"/>
                      <w:szCs w:val="18"/>
                      <w:lang w:val="en-US" w:eastAsia="zh-CN"/>
                    </w:rPr>
                    <w:t>水稳土</w:t>
                  </w:r>
                </w:p>
              </w:tc>
            </w:tr>
            <w:tr w14:paraId="112FA0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8" w:hRule="atLeast"/>
              </w:trPr>
              <w:tc>
                <w:tcPr>
                  <w:tcW w:w="1256" w:type="pct"/>
                  <w:gridSpan w:val="2"/>
                  <w:vMerge w:val="continue"/>
                  <w:tcBorders>
                    <w:tl2br w:val="nil"/>
                    <w:tr2bl w:val="nil"/>
                  </w:tcBorders>
                  <w:vAlign w:val="center"/>
                </w:tcPr>
                <w:p w14:paraId="3E15630F">
                  <w:pPr>
                    <w:jc w:val="center"/>
                    <w:rPr>
                      <w:b/>
                      <w:bCs w:val="0"/>
                      <w:color w:val="auto"/>
                      <w:sz w:val="18"/>
                      <w:szCs w:val="18"/>
                    </w:rPr>
                  </w:pPr>
                </w:p>
              </w:tc>
              <w:tc>
                <w:tcPr>
                  <w:tcW w:w="820" w:type="pct"/>
                  <w:gridSpan w:val="2"/>
                  <w:tcBorders>
                    <w:tl2br w:val="nil"/>
                    <w:tr2bl w:val="nil"/>
                  </w:tcBorders>
                  <w:vAlign w:val="center"/>
                </w:tcPr>
                <w:p w14:paraId="37304368">
                  <w:pPr>
                    <w:jc w:val="center"/>
                    <w:rPr>
                      <w:rFonts w:hint="eastAsia"/>
                      <w:b/>
                      <w:bCs w:val="0"/>
                      <w:color w:val="auto"/>
                      <w:sz w:val="18"/>
                      <w:szCs w:val="18"/>
                      <w:lang w:val="en-US" w:eastAsia="zh-CN"/>
                    </w:rPr>
                  </w:pPr>
                  <w:r>
                    <w:rPr>
                      <w:rFonts w:hint="eastAsia"/>
                      <w:b/>
                      <w:bCs w:val="0"/>
                      <w:color w:val="auto"/>
                      <w:sz w:val="18"/>
                      <w:szCs w:val="18"/>
                      <w:lang w:val="en-US" w:eastAsia="zh-CN"/>
                    </w:rPr>
                    <w:t>矿粉筒仓</w:t>
                  </w:r>
                </w:p>
              </w:tc>
              <w:tc>
                <w:tcPr>
                  <w:tcW w:w="709" w:type="pct"/>
                  <w:gridSpan w:val="2"/>
                  <w:tcBorders>
                    <w:tl2br w:val="nil"/>
                    <w:tr2bl w:val="nil"/>
                  </w:tcBorders>
                  <w:vAlign w:val="center"/>
                </w:tcPr>
                <w:p w14:paraId="0097207F">
                  <w:pPr>
                    <w:jc w:val="center"/>
                    <w:rPr>
                      <w:rFonts w:hint="eastAsia"/>
                      <w:b/>
                      <w:bCs w:val="0"/>
                      <w:color w:val="auto"/>
                      <w:sz w:val="18"/>
                      <w:szCs w:val="18"/>
                      <w:lang w:val="en-US" w:eastAsia="zh-CN"/>
                    </w:rPr>
                  </w:pPr>
                  <w:r>
                    <w:rPr>
                      <w:rFonts w:hint="eastAsia"/>
                      <w:b/>
                      <w:bCs w:val="0"/>
                      <w:color w:val="auto"/>
                      <w:sz w:val="18"/>
                      <w:szCs w:val="18"/>
                      <w:lang w:val="en-US" w:eastAsia="zh-CN"/>
                    </w:rPr>
                    <w:t>水泥筒仓</w:t>
                  </w:r>
                </w:p>
              </w:tc>
              <w:tc>
                <w:tcPr>
                  <w:tcW w:w="506" w:type="pct"/>
                  <w:gridSpan w:val="2"/>
                  <w:tcBorders>
                    <w:tl2br w:val="nil"/>
                    <w:tr2bl w:val="nil"/>
                  </w:tcBorders>
                  <w:vAlign w:val="center"/>
                </w:tcPr>
                <w:p w14:paraId="77E87D6E">
                  <w:pPr>
                    <w:jc w:val="center"/>
                    <w:rPr>
                      <w:rFonts w:hint="eastAsia"/>
                      <w:b/>
                      <w:bCs/>
                      <w:color w:val="auto"/>
                      <w:sz w:val="18"/>
                      <w:szCs w:val="18"/>
                      <w:lang w:val="en-US" w:eastAsia="zh-CN"/>
                    </w:rPr>
                  </w:pPr>
                  <w:r>
                    <w:rPr>
                      <w:rFonts w:hint="eastAsia"/>
                      <w:b/>
                      <w:bCs/>
                      <w:color w:val="auto"/>
                      <w:sz w:val="18"/>
                      <w:szCs w:val="18"/>
                      <w:lang w:val="en-US" w:eastAsia="zh-CN"/>
                    </w:rPr>
                    <w:t>粉煤灰筒仓</w:t>
                  </w:r>
                </w:p>
              </w:tc>
              <w:tc>
                <w:tcPr>
                  <w:tcW w:w="741" w:type="pct"/>
                  <w:gridSpan w:val="2"/>
                  <w:tcBorders>
                    <w:tl2br w:val="nil"/>
                    <w:tr2bl w:val="nil"/>
                  </w:tcBorders>
                  <w:vAlign w:val="center"/>
                </w:tcPr>
                <w:p w14:paraId="6BCD7D8E">
                  <w:pPr>
                    <w:jc w:val="center"/>
                    <w:rPr>
                      <w:rFonts w:hint="eastAsia"/>
                      <w:b/>
                      <w:bCs/>
                      <w:color w:val="auto"/>
                      <w:sz w:val="18"/>
                      <w:szCs w:val="18"/>
                      <w:lang w:val="en-US" w:eastAsia="zh-CN"/>
                    </w:rPr>
                  </w:pPr>
                  <w:r>
                    <w:rPr>
                      <w:rFonts w:hint="eastAsia"/>
                      <w:b/>
                      <w:bCs w:val="0"/>
                      <w:color w:val="auto"/>
                      <w:sz w:val="18"/>
                      <w:szCs w:val="18"/>
                      <w:lang w:val="en-US" w:eastAsia="zh-CN"/>
                    </w:rPr>
                    <w:t>矿粉筒仓</w:t>
                  </w:r>
                </w:p>
              </w:tc>
              <w:tc>
                <w:tcPr>
                  <w:tcW w:w="966" w:type="pct"/>
                  <w:gridSpan w:val="3"/>
                  <w:tcBorders>
                    <w:tl2br w:val="nil"/>
                    <w:tr2bl w:val="nil"/>
                  </w:tcBorders>
                  <w:vAlign w:val="center"/>
                </w:tcPr>
                <w:p w14:paraId="35D3BD24">
                  <w:pPr>
                    <w:jc w:val="center"/>
                    <w:rPr>
                      <w:rFonts w:hint="eastAsia"/>
                      <w:b/>
                      <w:bCs w:val="0"/>
                      <w:color w:val="auto"/>
                      <w:sz w:val="18"/>
                      <w:szCs w:val="18"/>
                      <w:lang w:val="en-US" w:eastAsia="zh-CN"/>
                    </w:rPr>
                  </w:pPr>
                  <w:r>
                    <w:rPr>
                      <w:rFonts w:hint="eastAsia"/>
                      <w:b/>
                      <w:bCs w:val="0"/>
                      <w:color w:val="auto"/>
                      <w:sz w:val="18"/>
                      <w:szCs w:val="18"/>
                      <w:lang w:val="en-US" w:eastAsia="zh-CN"/>
                    </w:rPr>
                    <w:t>水泥筒仓</w:t>
                  </w:r>
                </w:p>
              </w:tc>
            </w:tr>
            <w:tr w14:paraId="17296B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56" w:type="pct"/>
                  <w:gridSpan w:val="2"/>
                  <w:tcBorders>
                    <w:tl2br w:val="nil"/>
                    <w:tr2bl w:val="nil"/>
                  </w:tcBorders>
                  <w:vAlign w:val="center"/>
                </w:tcPr>
                <w:p w14:paraId="62C2382B">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污染物种类</w:t>
                  </w:r>
                </w:p>
              </w:tc>
              <w:tc>
                <w:tcPr>
                  <w:tcW w:w="820" w:type="pct"/>
                  <w:gridSpan w:val="2"/>
                  <w:tcBorders>
                    <w:tl2br w:val="nil"/>
                    <w:tr2bl w:val="nil"/>
                  </w:tcBorders>
                  <w:vAlign w:val="center"/>
                </w:tcPr>
                <w:p w14:paraId="0433F6D8">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颗粒物</w:t>
                  </w:r>
                </w:p>
              </w:tc>
              <w:tc>
                <w:tcPr>
                  <w:tcW w:w="709" w:type="pct"/>
                  <w:gridSpan w:val="2"/>
                  <w:tcBorders>
                    <w:tl2br w:val="nil"/>
                    <w:tr2bl w:val="nil"/>
                  </w:tcBorders>
                  <w:vAlign w:val="center"/>
                </w:tcPr>
                <w:p w14:paraId="3979CC1C">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颗粒物</w:t>
                  </w:r>
                </w:p>
              </w:tc>
              <w:tc>
                <w:tcPr>
                  <w:tcW w:w="506" w:type="pct"/>
                  <w:gridSpan w:val="2"/>
                  <w:tcBorders>
                    <w:tl2br w:val="nil"/>
                    <w:tr2bl w:val="nil"/>
                  </w:tcBorders>
                  <w:vAlign w:val="center"/>
                </w:tcPr>
                <w:p w14:paraId="49FDC54C">
                  <w:pPr>
                    <w:pStyle w:val="153"/>
                    <w:spacing w:before="0" w:after="0" w:line="240" w:lineRule="exact"/>
                    <w:jc w:val="center"/>
                    <w:rPr>
                      <w:rFonts w:hint="default" w:ascii="Times New Roman" w:hAnsi="Times New Roman" w:eastAsia="宋体" w:cs="Times New Roman"/>
                      <w:b w:val="0"/>
                      <w:bCs/>
                      <w:color w:val="auto"/>
                      <w:kern w:val="32"/>
                      <w:sz w:val="18"/>
                      <w:szCs w:val="18"/>
                      <w:vertAlign w:val="baseline"/>
                      <w:lang w:val="en-US" w:eastAsia="zh-CN" w:bidi="ar-SA"/>
                    </w:rPr>
                  </w:pPr>
                  <w:r>
                    <w:rPr>
                      <w:rFonts w:hint="eastAsia"/>
                      <w:b w:val="0"/>
                      <w:bCs/>
                      <w:color w:val="auto"/>
                      <w:sz w:val="18"/>
                      <w:szCs w:val="18"/>
                      <w:vertAlign w:val="baseline"/>
                      <w:lang w:val="en-US" w:eastAsia="zh-CN"/>
                    </w:rPr>
                    <w:t>颗粒物</w:t>
                  </w:r>
                </w:p>
              </w:tc>
              <w:tc>
                <w:tcPr>
                  <w:tcW w:w="741" w:type="pct"/>
                  <w:gridSpan w:val="2"/>
                  <w:tcBorders>
                    <w:tl2br w:val="nil"/>
                    <w:tr2bl w:val="nil"/>
                  </w:tcBorders>
                  <w:vAlign w:val="center"/>
                </w:tcPr>
                <w:p w14:paraId="314D04CA">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颗粒物</w:t>
                  </w:r>
                </w:p>
              </w:tc>
              <w:tc>
                <w:tcPr>
                  <w:tcW w:w="966" w:type="pct"/>
                  <w:gridSpan w:val="3"/>
                  <w:tcBorders>
                    <w:tl2br w:val="nil"/>
                    <w:tr2bl w:val="nil"/>
                  </w:tcBorders>
                  <w:vAlign w:val="center"/>
                </w:tcPr>
                <w:p w14:paraId="523091DE">
                  <w:pPr>
                    <w:pStyle w:val="153"/>
                    <w:spacing w:before="0" w:after="0" w:line="240" w:lineRule="exact"/>
                    <w:jc w:val="center"/>
                    <w:rPr>
                      <w:rFonts w:hint="default" w:ascii="Times New Roman" w:hAnsi="Times New Roman" w:eastAsia="宋体" w:cs="Times New Roman"/>
                      <w:b w:val="0"/>
                      <w:bCs/>
                      <w:color w:val="auto"/>
                      <w:kern w:val="32"/>
                      <w:sz w:val="18"/>
                      <w:szCs w:val="18"/>
                      <w:vertAlign w:val="baseline"/>
                      <w:lang w:val="en-US" w:eastAsia="zh-CN" w:bidi="ar-SA"/>
                    </w:rPr>
                  </w:pPr>
                  <w:r>
                    <w:rPr>
                      <w:rFonts w:hint="eastAsia"/>
                      <w:b w:val="0"/>
                      <w:bCs/>
                      <w:color w:val="auto"/>
                      <w:sz w:val="18"/>
                      <w:szCs w:val="18"/>
                      <w:vertAlign w:val="baseline"/>
                      <w:lang w:val="en-US" w:eastAsia="zh-CN"/>
                    </w:rPr>
                    <w:t>颗粒物</w:t>
                  </w:r>
                </w:p>
              </w:tc>
            </w:tr>
            <w:tr w14:paraId="6ED002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56" w:type="pct"/>
                  <w:gridSpan w:val="2"/>
                  <w:tcBorders>
                    <w:tl2br w:val="nil"/>
                    <w:tr2bl w:val="nil"/>
                  </w:tcBorders>
                  <w:vAlign w:val="center"/>
                </w:tcPr>
                <w:p w14:paraId="57484182">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排放方式</w:t>
                  </w:r>
                </w:p>
              </w:tc>
              <w:tc>
                <w:tcPr>
                  <w:tcW w:w="820" w:type="pct"/>
                  <w:gridSpan w:val="2"/>
                  <w:tcBorders>
                    <w:tl2br w:val="nil"/>
                    <w:tr2bl w:val="nil"/>
                  </w:tcBorders>
                  <w:vAlign w:val="center"/>
                </w:tcPr>
                <w:p w14:paraId="3D6B1C61">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有组织</w:t>
                  </w:r>
                </w:p>
              </w:tc>
              <w:tc>
                <w:tcPr>
                  <w:tcW w:w="709" w:type="pct"/>
                  <w:gridSpan w:val="2"/>
                  <w:tcBorders>
                    <w:tl2br w:val="nil"/>
                    <w:tr2bl w:val="nil"/>
                  </w:tcBorders>
                  <w:vAlign w:val="center"/>
                </w:tcPr>
                <w:p w14:paraId="2E04326D">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有组织</w:t>
                  </w:r>
                </w:p>
              </w:tc>
              <w:tc>
                <w:tcPr>
                  <w:tcW w:w="506" w:type="pct"/>
                  <w:gridSpan w:val="2"/>
                  <w:tcBorders>
                    <w:tl2br w:val="nil"/>
                    <w:tr2bl w:val="nil"/>
                  </w:tcBorders>
                  <w:vAlign w:val="center"/>
                </w:tcPr>
                <w:p w14:paraId="25EB8BB4">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有组织</w:t>
                  </w:r>
                </w:p>
              </w:tc>
              <w:tc>
                <w:tcPr>
                  <w:tcW w:w="741" w:type="pct"/>
                  <w:gridSpan w:val="2"/>
                  <w:tcBorders>
                    <w:tl2br w:val="nil"/>
                    <w:tr2bl w:val="nil"/>
                  </w:tcBorders>
                  <w:vAlign w:val="center"/>
                </w:tcPr>
                <w:p w14:paraId="3FCA54AD">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有组织</w:t>
                  </w:r>
                </w:p>
              </w:tc>
              <w:tc>
                <w:tcPr>
                  <w:tcW w:w="966" w:type="pct"/>
                  <w:gridSpan w:val="3"/>
                  <w:tcBorders>
                    <w:tl2br w:val="nil"/>
                    <w:tr2bl w:val="nil"/>
                  </w:tcBorders>
                  <w:vAlign w:val="center"/>
                </w:tcPr>
                <w:p w14:paraId="17EC89C7">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有组织</w:t>
                  </w:r>
                </w:p>
              </w:tc>
            </w:tr>
            <w:tr w14:paraId="4755A7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56" w:type="pct"/>
                  <w:gridSpan w:val="2"/>
                  <w:tcBorders>
                    <w:tl2br w:val="nil"/>
                    <w:tr2bl w:val="nil"/>
                  </w:tcBorders>
                  <w:vAlign w:val="center"/>
                </w:tcPr>
                <w:p w14:paraId="2DE5E74E">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废气量（Nm</w:t>
                  </w:r>
                  <w:r>
                    <w:rPr>
                      <w:rFonts w:hint="eastAsia"/>
                      <w:b/>
                      <w:bCs w:val="0"/>
                      <w:color w:val="auto"/>
                      <w:sz w:val="18"/>
                      <w:szCs w:val="18"/>
                      <w:vertAlign w:val="superscript"/>
                      <w:lang w:val="en-US" w:eastAsia="zh-CN"/>
                    </w:rPr>
                    <w:t>3</w:t>
                  </w:r>
                  <w:r>
                    <w:rPr>
                      <w:rFonts w:hint="eastAsia"/>
                      <w:b/>
                      <w:bCs w:val="0"/>
                      <w:color w:val="auto"/>
                      <w:sz w:val="18"/>
                      <w:szCs w:val="18"/>
                      <w:vertAlign w:val="baseline"/>
                      <w:lang w:val="en-US" w:eastAsia="zh-CN"/>
                    </w:rPr>
                    <w:t>/h）</w:t>
                  </w:r>
                </w:p>
              </w:tc>
              <w:tc>
                <w:tcPr>
                  <w:tcW w:w="820" w:type="pct"/>
                  <w:gridSpan w:val="2"/>
                  <w:tcBorders>
                    <w:tl2br w:val="nil"/>
                    <w:tr2bl w:val="nil"/>
                  </w:tcBorders>
                  <w:vAlign w:val="center"/>
                </w:tcPr>
                <w:p w14:paraId="24843613">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3000</w:t>
                  </w:r>
                </w:p>
              </w:tc>
              <w:tc>
                <w:tcPr>
                  <w:tcW w:w="709" w:type="pct"/>
                  <w:gridSpan w:val="2"/>
                  <w:tcBorders>
                    <w:tl2br w:val="nil"/>
                    <w:tr2bl w:val="nil"/>
                  </w:tcBorders>
                  <w:vAlign w:val="center"/>
                </w:tcPr>
                <w:p w14:paraId="1944E5FB">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3000</w:t>
                  </w:r>
                </w:p>
              </w:tc>
              <w:tc>
                <w:tcPr>
                  <w:tcW w:w="506" w:type="pct"/>
                  <w:gridSpan w:val="2"/>
                  <w:tcBorders>
                    <w:tl2br w:val="nil"/>
                    <w:tr2bl w:val="nil"/>
                  </w:tcBorders>
                  <w:vAlign w:val="center"/>
                </w:tcPr>
                <w:p w14:paraId="7A26C9DC">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1500</w:t>
                  </w:r>
                </w:p>
              </w:tc>
              <w:tc>
                <w:tcPr>
                  <w:tcW w:w="741" w:type="pct"/>
                  <w:gridSpan w:val="2"/>
                  <w:tcBorders>
                    <w:tl2br w:val="nil"/>
                    <w:tr2bl w:val="nil"/>
                  </w:tcBorders>
                  <w:vAlign w:val="center"/>
                </w:tcPr>
                <w:p w14:paraId="50A9CF80">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1500</w:t>
                  </w:r>
                </w:p>
              </w:tc>
              <w:tc>
                <w:tcPr>
                  <w:tcW w:w="966" w:type="pct"/>
                  <w:gridSpan w:val="3"/>
                  <w:tcBorders>
                    <w:tl2br w:val="nil"/>
                    <w:tr2bl w:val="nil"/>
                  </w:tcBorders>
                  <w:vAlign w:val="center"/>
                </w:tcPr>
                <w:p w14:paraId="626BCB81">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1500</w:t>
                  </w:r>
                </w:p>
              </w:tc>
            </w:tr>
            <w:tr w14:paraId="2774EA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1" w:type="pct"/>
                  <w:vMerge w:val="restart"/>
                  <w:tcBorders>
                    <w:tl2br w:val="nil"/>
                    <w:tr2bl w:val="nil"/>
                  </w:tcBorders>
                  <w:vAlign w:val="center"/>
                </w:tcPr>
                <w:p w14:paraId="54445586">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污染物产生情况</w:t>
                  </w:r>
                </w:p>
              </w:tc>
              <w:tc>
                <w:tcPr>
                  <w:tcW w:w="784" w:type="pct"/>
                  <w:tcBorders>
                    <w:tl2br w:val="nil"/>
                    <w:tr2bl w:val="nil"/>
                  </w:tcBorders>
                  <w:vAlign w:val="center"/>
                </w:tcPr>
                <w:p w14:paraId="1DC6A099">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浓度（mg/m</w:t>
                  </w:r>
                  <w:r>
                    <w:rPr>
                      <w:rFonts w:hint="eastAsia"/>
                      <w:b/>
                      <w:bCs w:val="0"/>
                      <w:color w:val="auto"/>
                      <w:sz w:val="18"/>
                      <w:szCs w:val="18"/>
                      <w:vertAlign w:val="superscript"/>
                      <w:lang w:val="en-US" w:eastAsia="zh-CN"/>
                    </w:rPr>
                    <w:t>3</w:t>
                  </w:r>
                  <w:r>
                    <w:rPr>
                      <w:rFonts w:hint="eastAsia"/>
                      <w:b/>
                      <w:bCs w:val="0"/>
                      <w:color w:val="auto"/>
                      <w:sz w:val="18"/>
                      <w:szCs w:val="18"/>
                      <w:vertAlign w:val="baseline"/>
                      <w:lang w:val="en-US" w:eastAsia="zh-CN"/>
                    </w:rPr>
                    <w:t>）</w:t>
                  </w:r>
                </w:p>
              </w:tc>
              <w:tc>
                <w:tcPr>
                  <w:tcW w:w="820" w:type="pct"/>
                  <w:gridSpan w:val="2"/>
                  <w:tcBorders>
                    <w:tl2br w:val="nil"/>
                    <w:tr2bl w:val="nil"/>
                  </w:tcBorders>
                  <w:vAlign w:val="center"/>
                </w:tcPr>
                <w:p w14:paraId="2541F52C">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500</w:t>
                  </w:r>
                </w:p>
              </w:tc>
              <w:tc>
                <w:tcPr>
                  <w:tcW w:w="709" w:type="pct"/>
                  <w:gridSpan w:val="2"/>
                  <w:tcBorders>
                    <w:tl2br w:val="nil"/>
                    <w:tr2bl w:val="nil"/>
                  </w:tcBorders>
                  <w:vAlign w:val="center"/>
                </w:tcPr>
                <w:p w14:paraId="50B7658D">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500</w:t>
                  </w:r>
                </w:p>
              </w:tc>
              <w:tc>
                <w:tcPr>
                  <w:tcW w:w="506" w:type="pct"/>
                  <w:gridSpan w:val="2"/>
                  <w:tcBorders>
                    <w:tl2br w:val="nil"/>
                    <w:tr2bl w:val="nil"/>
                  </w:tcBorders>
                  <w:vAlign w:val="center"/>
                </w:tcPr>
                <w:p w14:paraId="2561B33E">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500</w:t>
                  </w:r>
                </w:p>
              </w:tc>
              <w:tc>
                <w:tcPr>
                  <w:tcW w:w="741" w:type="pct"/>
                  <w:gridSpan w:val="2"/>
                  <w:tcBorders>
                    <w:tl2br w:val="nil"/>
                    <w:tr2bl w:val="nil"/>
                  </w:tcBorders>
                  <w:vAlign w:val="center"/>
                </w:tcPr>
                <w:p w14:paraId="10F61297">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500</w:t>
                  </w:r>
                </w:p>
              </w:tc>
              <w:tc>
                <w:tcPr>
                  <w:tcW w:w="966" w:type="pct"/>
                  <w:gridSpan w:val="3"/>
                  <w:tcBorders>
                    <w:tl2br w:val="nil"/>
                    <w:tr2bl w:val="nil"/>
                  </w:tcBorders>
                  <w:vAlign w:val="center"/>
                </w:tcPr>
                <w:p w14:paraId="18A571BF">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500</w:t>
                  </w:r>
                </w:p>
              </w:tc>
            </w:tr>
            <w:tr w14:paraId="3B9DB2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3" w:hRule="atLeast"/>
              </w:trPr>
              <w:tc>
                <w:tcPr>
                  <w:tcW w:w="471" w:type="pct"/>
                  <w:vMerge w:val="continue"/>
                  <w:tcBorders>
                    <w:tl2br w:val="nil"/>
                    <w:tr2bl w:val="nil"/>
                  </w:tcBorders>
                  <w:vAlign w:val="center"/>
                </w:tcPr>
                <w:p w14:paraId="43F6A9ED">
                  <w:pPr>
                    <w:pStyle w:val="153"/>
                    <w:spacing w:before="0" w:after="0" w:line="240" w:lineRule="exact"/>
                    <w:jc w:val="center"/>
                    <w:rPr>
                      <w:rFonts w:hint="default" w:eastAsia="宋体"/>
                      <w:b/>
                      <w:bCs w:val="0"/>
                      <w:color w:val="auto"/>
                      <w:sz w:val="18"/>
                      <w:szCs w:val="18"/>
                      <w:vertAlign w:val="baseline"/>
                      <w:lang w:val="en-US" w:eastAsia="zh-CN"/>
                    </w:rPr>
                  </w:pPr>
                </w:p>
              </w:tc>
              <w:tc>
                <w:tcPr>
                  <w:tcW w:w="784" w:type="pct"/>
                  <w:tcBorders>
                    <w:tl2br w:val="nil"/>
                    <w:tr2bl w:val="nil"/>
                  </w:tcBorders>
                  <w:vAlign w:val="center"/>
                </w:tcPr>
                <w:p w14:paraId="5A7BD8DB">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产生量（kg/h）</w:t>
                  </w:r>
                </w:p>
              </w:tc>
              <w:tc>
                <w:tcPr>
                  <w:tcW w:w="820" w:type="pct"/>
                  <w:gridSpan w:val="2"/>
                  <w:tcBorders>
                    <w:tl2br w:val="nil"/>
                    <w:tr2bl w:val="nil"/>
                  </w:tcBorders>
                  <w:vAlign w:val="center"/>
                </w:tcPr>
                <w:p w14:paraId="4C38695B">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4.44</w:t>
                  </w:r>
                </w:p>
              </w:tc>
              <w:tc>
                <w:tcPr>
                  <w:tcW w:w="709" w:type="pct"/>
                  <w:gridSpan w:val="2"/>
                  <w:tcBorders>
                    <w:tl2br w:val="nil"/>
                    <w:tr2bl w:val="nil"/>
                  </w:tcBorders>
                  <w:vAlign w:val="center"/>
                </w:tcPr>
                <w:p w14:paraId="3F5074B3">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62.20</w:t>
                  </w:r>
                </w:p>
              </w:tc>
              <w:tc>
                <w:tcPr>
                  <w:tcW w:w="506" w:type="pct"/>
                  <w:gridSpan w:val="2"/>
                  <w:tcBorders>
                    <w:tl2br w:val="nil"/>
                    <w:tr2bl w:val="nil"/>
                  </w:tcBorders>
                  <w:vAlign w:val="center"/>
                </w:tcPr>
                <w:p w14:paraId="2E8E9C65">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5.85</w:t>
                  </w:r>
                </w:p>
              </w:tc>
              <w:tc>
                <w:tcPr>
                  <w:tcW w:w="741" w:type="pct"/>
                  <w:gridSpan w:val="2"/>
                  <w:tcBorders>
                    <w:tl2br w:val="nil"/>
                    <w:tr2bl w:val="nil"/>
                  </w:tcBorders>
                  <w:vAlign w:val="center"/>
                </w:tcPr>
                <w:p w14:paraId="1827B73E">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2.93</w:t>
                  </w:r>
                </w:p>
              </w:tc>
              <w:tc>
                <w:tcPr>
                  <w:tcW w:w="966" w:type="pct"/>
                  <w:gridSpan w:val="3"/>
                  <w:tcBorders>
                    <w:tl2br w:val="nil"/>
                    <w:tr2bl w:val="nil"/>
                  </w:tcBorders>
                  <w:vAlign w:val="center"/>
                </w:tcPr>
                <w:p w14:paraId="332F85A6">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4.48</w:t>
                  </w:r>
                </w:p>
              </w:tc>
            </w:tr>
            <w:tr w14:paraId="09C353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1" w:type="pct"/>
                  <w:vMerge w:val="continue"/>
                  <w:tcBorders>
                    <w:tl2br w:val="nil"/>
                    <w:tr2bl w:val="nil"/>
                  </w:tcBorders>
                  <w:vAlign w:val="center"/>
                </w:tcPr>
                <w:p w14:paraId="08160AD3">
                  <w:pPr>
                    <w:pStyle w:val="153"/>
                    <w:spacing w:before="0" w:after="0" w:line="240" w:lineRule="exact"/>
                    <w:jc w:val="center"/>
                    <w:rPr>
                      <w:rFonts w:hint="default" w:eastAsia="宋体"/>
                      <w:b/>
                      <w:bCs w:val="0"/>
                      <w:color w:val="auto"/>
                      <w:sz w:val="18"/>
                      <w:szCs w:val="18"/>
                      <w:vertAlign w:val="baseline"/>
                      <w:lang w:val="en-US" w:eastAsia="zh-CN"/>
                    </w:rPr>
                  </w:pPr>
                </w:p>
              </w:tc>
              <w:tc>
                <w:tcPr>
                  <w:tcW w:w="784" w:type="pct"/>
                  <w:tcBorders>
                    <w:tl2br w:val="nil"/>
                    <w:tr2bl w:val="nil"/>
                  </w:tcBorders>
                  <w:vAlign w:val="center"/>
                </w:tcPr>
                <w:p w14:paraId="033A384F">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核算方法</w:t>
                  </w:r>
                </w:p>
              </w:tc>
              <w:tc>
                <w:tcPr>
                  <w:tcW w:w="820" w:type="pct"/>
                  <w:gridSpan w:val="2"/>
                  <w:tcBorders>
                    <w:tl2br w:val="nil"/>
                    <w:tr2bl w:val="nil"/>
                  </w:tcBorders>
                  <w:vAlign w:val="center"/>
                </w:tcPr>
                <w:p w14:paraId="403E9BC7">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产污系数法</w:t>
                  </w:r>
                </w:p>
              </w:tc>
              <w:tc>
                <w:tcPr>
                  <w:tcW w:w="709" w:type="pct"/>
                  <w:gridSpan w:val="2"/>
                  <w:tcBorders>
                    <w:tl2br w:val="nil"/>
                    <w:tr2bl w:val="nil"/>
                  </w:tcBorders>
                  <w:vAlign w:val="center"/>
                </w:tcPr>
                <w:p w14:paraId="4D5675F2">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产污系数法</w:t>
                  </w:r>
                </w:p>
              </w:tc>
              <w:tc>
                <w:tcPr>
                  <w:tcW w:w="506" w:type="pct"/>
                  <w:gridSpan w:val="2"/>
                  <w:tcBorders>
                    <w:tl2br w:val="nil"/>
                    <w:tr2bl w:val="nil"/>
                  </w:tcBorders>
                  <w:vAlign w:val="center"/>
                </w:tcPr>
                <w:p w14:paraId="7D7D811A">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产污系数法</w:t>
                  </w:r>
                </w:p>
              </w:tc>
              <w:tc>
                <w:tcPr>
                  <w:tcW w:w="741" w:type="pct"/>
                  <w:gridSpan w:val="2"/>
                  <w:tcBorders>
                    <w:tl2br w:val="nil"/>
                    <w:tr2bl w:val="nil"/>
                  </w:tcBorders>
                  <w:vAlign w:val="center"/>
                </w:tcPr>
                <w:p w14:paraId="051FA7C3">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产污系数法</w:t>
                  </w:r>
                </w:p>
              </w:tc>
              <w:tc>
                <w:tcPr>
                  <w:tcW w:w="966" w:type="pct"/>
                  <w:gridSpan w:val="3"/>
                  <w:tcBorders>
                    <w:tl2br w:val="nil"/>
                    <w:tr2bl w:val="nil"/>
                  </w:tcBorders>
                  <w:vAlign w:val="center"/>
                </w:tcPr>
                <w:p w14:paraId="37BC07AF">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产污系数法</w:t>
                  </w:r>
                </w:p>
              </w:tc>
            </w:tr>
            <w:tr w14:paraId="72F428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1" w:type="pct"/>
                  <w:vMerge w:val="restart"/>
                  <w:tcBorders>
                    <w:tl2br w:val="nil"/>
                    <w:tr2bl w:val="nil"/>
                  </w:tcBorders>
                  <w:vAlign w:val="center"/>
                </w:tcPr>
                <w:p w14:paraId="64257AD8">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污染防治措施</w:t>
                  </w:r>
                </w:p>
              </w:tc>
              <w:tc>
                <w:tcPr>
                  <w:tcW w:w="784" w:type="pct"/>
                  <w:tcBorders>
                    <w:tl2br w:val="nil"/>
                    <w:tr2bl w:val="nil"/>
                  </w:tcBorders>
                  <w:vAlign w:val="center"/>
                </w:tcPr>
                <w:p w14:paraId="6898E1CD">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治理设施</w:t>
                  </w:r>
                </w:p>
              </w:tc>
              <w:tc>
                <w:tcPr>
                  <w:tcW w:w="820" w:type="pct"/>
                  <w:gridSpan w:val="2"/>
                  <w:tcBorders>
                    <w:tl2br w:val="nil"/>
                    <w:tr2bl w:val="nil"/>
                  </w:tcBorders>
                  <w:vAlign w:val="center"/>
                </w:tcPr>
                <w:p w14:paraId="23782FAB">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仓顶除尘器</w:t>
                  </w:r>
                </w:p>
              </w:tc>
              <w:tc>
                <w:tcPr>
                  <w:tcW w:w="709" w:type="pct"/>
                  <w:gridSpan w:val="2"/>
                  <w:tcBorders>
                    <w:tl2br w:val="nil"/>
                    <w:tr2bl w:val="nil"/>
                  </w:tcBorders>
                  <w:vAlign w:val="center"/>
                </w:tcPr>
                <w:p w14:paraId="29248BD6">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仓顶除尘器</w:t>
                  </w:r>
                </w:p>
              </w:tc>
              <w:tc>
                <w:tcPr>
                  <w:tcW w:w="506" w:type="pct"/>
                  <w:gridSpan w:val="2"/>
                  <w:tcBorders>
                    <w:tl2br w:val="nil"/>
                    <w:tr2bl w:val="nil"/>
                  </w:tcBorders>
                  <w:vAlign w:val="center"/>
                </w:tcPr>
                <w:p w14:paraId="7FCC8720">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仓顶除尘器</w:t>
                  </w:r>
                </w:p>
              </w:tc>
              <w:tc>
                <w:tcPr>
                  <w:tcW w:w="741" w:type="pct"/>
                  <w:gridSpan w:val="2"/>
                  <w:tcBorders>
                    <w:tl2br w:val="nil"/>
                    <w:tr2bl w:val="nil"/>
                  </w:tcBorders>
                  <w:vAlign w:val="center"/>
                </w:tcPr>
                <w:p w14:paraId="42BF217C">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仓顶除尘器</w:t>
                  </w:r>
                </w:p>
              </w:tc>
              <w:tc>
                <w:tcPr>
                  <w:tcW w:w="966" w:type="pct"/>
                  <w:gridSpan w:val="3"/>
                  <w:tcBorders>
                    <w:tl2br w:val="nil"/>
                    <w:tr2bl w:val="nil"/>
                  </w:tcBorders>
                  <w:vAlign w:val="center"/>
                </w:tcPr>
                <w:p w14:paraId="07205090">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仓顶除尘器</w:t>
                  </w:r>
                </w:p>
              </w:tc>
            </w:tr>
            <w:tr w14:paraId="6FF766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1" w:type="pct"/>
                  <w:vMerge w:val="continue"/>
                  <w:tcBorders>
                    <w:tl2br w:val="nil"/>
                    <w:tr2bl w:val="nil"/>
                  </w:tcBorders>
                  <w:vAlign w:val="center"/>
                </w:tcPr>
                <w:p w14:paraId="2C2B7A74">
                  <w:pPr>
                    <w:pStyle w:val="153"/>
                    <w:spacing w:before="0" w:after="0" w:line="240" w:lineRule="exact"/>
                    <w:jc w:val="center"/>
                    <w:rPr>
                      <w:rFonts w:hint="default" w:eastAsia="宋体"/>
                      <w:b/>
                      <w:bCs w:val="0"/>
                      <w:color w:val="auto"/>
                      <w:sz w:val="18"/>
                      <w:szCs w:val="18"/>
                      <w:vertAlign w:val="baseline"/>
                      <w:lang w:val="en-US" w:eastAsia="zh-CN"/>
                    </w:rPr>
                  </w:pPr>
                </w:p>
              </w:tc>
              <w:tc>
                <w:tcPr>
                  <w:tcW w:w="784" w:type="pct"/>
                  <w:tcBorders>
                    <w:tl2br w:val="nil"/>
                    <w:tr2bl w:val="nil"/>
                  </w:tcBorders>
                  <w:vAlign w:val="center"/>
                </w:tcPr>
                <w:p w14:paraId="09811AAA">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收集效率（%）</w:t>
                  </w:r>
                </w:p>
              </w:tc>
              <w:tc>
                <w:tcPr>
                  <w:tcW w:w="820" w:type="pct"/>
                  <w:gridSpan w:val="2"/>
                  <w:tcBorders>
                    <w:tl2br w:val="nil"/>
                    <w:tr2bl w:val="nil"/>
                  </w:tcBorders>
                  <w:vAlign w:val="center"/>
                </w:tcPr>
                <w:p w14:paraId="6EE87B31">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99</w:t>
                  </w:r>
                </w:p>
              </w:tc>
              <w:tc>
                <w:tcPr>
                  <w:tcW w:w="709" w:type="pct"/>
                  <w:gridSpan w:val="2"/>
                  <w:tcBorders>
                    <w:tl2br w:val="nil"/>
                    <w:tr2bl w:val="nil"/>
                  </w:tcBorders>
                  <w:vAlign w:val="center"/>
                </w:tcPr>
                <w:p w14:paraId="1285ED5E">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99</w:t>
                  </w:r>
                </w:p>
              </w:tc>
              <w:tc>
                <w:tcPr>
                  <w:tcW w:w="506" w:type="pct"/>
                  <w:gridSpan w:val="2"/>
                  <w:tcBorders>
                    <w:tl2br w:val="nil"/>
                    <w:tr2bl w:val="nil"/>
                  </w:tcBorders>
                  <w:vAlign w:val="center"/>
                </w:tcPr>
                <w:p w14:paraId="6358E863">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99</w:t>
                  </w:r>
                </w:p>
              </w:tc>
              <w:tc>
                <w:tcPr>
                  <w:tcW w:w="741" w:type="pct"/>
                  <w:gridSpan w:val="2"/>
                  <w:tcBorders>
                    <w:tl2br w:val="nil"/>
                    <w:tr2bl w:val="nil"/>
                  </w:tcBorders>
                  <w:vAlign w:val="center"/>
                </w:tcPr>
                <w:p w14:paraId="410FBCF4">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99</w:t>
                  </w:r>
                </w:p>
              </w:tc>
              <w:tc>
                <w:tcPr>
                  <w:tcW w:w="966" w:type="pct"/>
                  <w:gridSpan w:val="3"/>
                  <w:tcBorders>
                    <w:tl2br w:val="nil"/>
                    <w:tr2bl w:val="nil"/>
                  </w:tcBorders>
                  <w:vAlign w:val="center"/>
                </w:tcPr>
                <w:p w14:paraId="3122DD9A">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99</w:t>
                  </w:r>
                </w:p>
              </w:tc>
            </w:tr>
            <w:tr w14:paraId="48B493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1" w:type="pct"/>
                  <w:vMerge w:val="continue"/>
                  <w:tcBorders>
                    <w:tl2br w:val="nil"/>
                    <w:tr2bl w:val="nil"/>
                  </w:tcBorders>
                  <w:vAlign w:val="center"/>
                </w:tcPr>
                <w:p w14:paraId="6577B921">
                  <w:pPr>
                    <w:pStyle w:val="153"/>
                    <w:spacing w:before="0" w:after="0" w:line="240" w:lineRule="exact"/>
                    <w:jc w:val="center"/>
                    <w:rPr>
                      <w:rFonts w:hint="default" w:eastAsia="宋体"/>
                      <w:b/>
                      <w:bCs w:val="0"/>
                      <w:color w:val="auto"/>
                      <w:sz w:val="18"/>
                      <w:szCs w:val="18"/>
                      <w:vertAlign w:val="baseline"/>
                      <w:lang w:val="en-US" w:eastAsia="zh-CN"/>
                    </w:rPr>
                  </w:pPr>
                </w:p>
              </w:tc>
              <w:tc>
                <w:tcPr>
                  <w:tcW w:w="784" w:type="pct"/>
                  <w:tcBorders>
                    <w:tl2br w:val="nil"/>
                    <w:tr2bl w:val="nil"/>
                  </w:tcBorders>
                  <w:vAlign w:val="center"/>
                </w:tcPr>
                <w:p w14:paraId="4D28E290">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处理效率（%）</w:t>
                  </w:r>
                </w:p>
              </w:tc>
              <w:tc>
                <w:tcPr>
                  <w:tcW w:w="820" w:type="pct"/>
                  <w:gridSpan w:val="2"/>
                  <w:tcBorders>
                    <w:tl2br w:val="nil"/>
                    <w:tr2bl w:val="nil"/>
                  </w:tcBorders>
                  <w:vAlign w:val="center"/>
                </w:tcPr>
                <w:p w14:paraId="54F5EA86">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99.7</w:t>
                  </w:r>
                </w:p>
              </w:tc>
              <w:tc>
                <w:tcPr>
                  <w:tcW w:w="709" w:type="pct"/>
                  <w:gridSpan w:val="2"/>
                  <w:tcBorders>
                    <w:tl2br w:val="nil"/>
                    <w:tr2bl w:val="nil"/>
                  </w:tcBorders>
                  <w:vAlign w:val="center"/>
                </w:tcPr>
                <w:p w14:paraId="4D935ED5">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99.7</w:t>
                  </w:r>
                </w:p>
              </w:tc>
              <w:tc>
                <w:tcPr>
                  <w:tcW w:w="506" w:type="pct"/>
                  <w:gridSpan w:val="2"/>
                  <w:tcBorders>
                    <w:tl2br w:val="nil"/>
                    <w:tr2bl w:val="nil"/>
                  </w:tcBorders>
                  <w:vAlign w:val="center"/>
                </w:tcPr>
                <w:p w14:paraId="5EF85612">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99.7</w:t>
                  </w:r>
                </w:p>
              </w:tc>
              <w:tc>
                <w:tcPr>
                  <w:tcW w:w="741" w:type="pct"/>
                  <w:gridSpan w:val="2"/>
                  <w:tcBorders>
                    <w:tl2br w:val="nil"/>
                    <w:tr2bl w:val="nil"/>
                  </w:tcBorders>
                  <w:vAlign w:val="center"/>
                </w:tcPr>
                <w:p w14:paraId="609AD6B0">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99.7</w:t>
                  </w:r>
                </w:p>
              </w:tc>
              <w:tc>
                <w:tcPr>
                  <w:tcW w:w="966" w:type="pct"/>
                  <w:gridSpan w:val="3"/>
                  <w:tcBorders>
                    <w:tl2br w:val="nil"/>
                    <w:tr2bl w:val="nil"/>
                  </w:tcBorders>
                  <w:vAlign w:val="center"/>
                </w:tcPr>
                <w:p w14:paraId="0A67E903">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99.8</w:t>
                  </w:r>
                </w:p>
              </w:tc>
            </w:tr>
            <w:tr w14:paraId="2CAE6F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1" w:type="pct"/>
                  <w:vMerge w:val="restart"/>
                  <w:tcBorders>
                    <w:tl2br w:val="nil"/>
                    <w:tr2bl w:val="nil"/>
                  </w:tcBorders>
                  <w:vAlign w:val="center"/>
                </w:tcPr>
                <w:p w14:paraId="1493FAB8">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污染物排放情况</w:t>
                  </w:r>
                </w:p>
              </w:tc>
              <w:tc>
                <w:tcPr>
                  <w:tcW w:w="784" w:type="pct"/>
                  <w:tcBorders>
                    <w:tl2br w:val="nil"/>
                    <w:tr2bl w:val="nil"/>
                  </w:tcBorders>
                  <w:vAlign w:val="center"/>
                </w:tcPr>
                <w:p w14:paraId="6D2F474D">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浓度（mg/m</w:t>
                  </w:r>
                  <w:r>
                    <w:rPr>
                      <w:rFonts w:hint="eastAsia"/>
                      <w:b/>
                      <w:bCs w:val="0"/>
                      <w:color w:val="auto"/>
                      <w:sz w:val="18"/>
                      <w:szCs w:val="18"/>
                      <w:vertAlign w:val="superscript"/>
                      <w:lang w:val="en-US" w:eastAsia="zh-CN"/>
                    </w:rPr>
                    <w:t>3</w:t>
                  </w:r>
                  <w:r>
                    <w:rPr>
                      <w:rFonts w:hint="eastAsia"/>
                      <w:b/>
                      <w:bCs w:val="0"/>
                      <w:color w:val="auto"/>
                      <w:sz w:val="18"/>
                      <w:szCs w:val="18"/>
                      <w:vertAlign w:val="baseline"/>
                      <w:lang w:val="en-US" w:eastAsia="zh-CN"/>
                    </w:rPr>
                    <w:t>）</w:t>
                  </w:r>
                </w:p>
              </w:tc>
              <w:tc>
                <w:tcPr>
                  <w:tcW w:w="820" w:type="pct"/>
                  <w:gridSpan w:val="2"/>
                  <w:tcBorders>
                    <w:tl2br w:val="nil"/>
                    <w:tr2bl w:val="nil"/>
                  </w:tcBorders>
                  <w:vAlign w:val="center"/>
                </w:tcPr>
                <w:p w14:paraId="4D052DE5">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10.0</w:t>
                  </w:r>
                </w:p>
              </w:tc>
              <w:tc>
                <w:tcPr>
                  <w:tcW w:w="709" w:type="pct"/>
                  <w:gridSpan w:val="2"/>
                  <w:tcBorders>
                    <w:tl2br w:val="nil"/>
                    <w:tr2bl w:val="nil"/>
                  </w:tcBorders>
                  <w:vAlign w:val="center"/>
                </w:tcPr>
                <w:p w14:paraId="50910F75">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10.0</w:t>
                  </w:r>
                </w:p>
              </w:tc>
              <w:tc>
                <w:tcPr>
                  <w:tcW w:w="506" w:type="pct"/>
                  <w:gridSpan w:val="2"/>
                  <w:tcBorders>
                    <w:tl2br w:val="nil"/>
                    <w:tr2bl w:val="nil"/>
                  </w:tcBorders>
                  <w:vAlign w:val="center"/>
                </w:tcPr>
                <w:p w14:paraId="466436BF">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10.0</w:t>
                  </w:r>
                </w:p>
              </w:tc>
              <w:tc>
                <w:tcPr>
                  <w:tcW w:w="741" w:type="pct"/>
                  <w:gridSpan w:val="2"/>
                  <w:tcBorders>
                    <w:tl2br w:val="nil"/>
                    <w:tr2bl w:val="nil"/>
                  </w:tcBorders>
                  <w:vAlign w:val="center"/>
                </w:tcPr>
                <w:p w14:paraId="29BD9844">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10.0</w:t>
                  </w:r>
                </w:p>
              </w:tc>
              <w:tc>
                <w:tcPr>
                  <w:tcW w:w="966" w:type="pct"/>
                  <w:gridSpan w:val="3"/>
                  <w:tcBorders>
                    <w:tl2br w:val="nil"/>
                    <w:tr2bl w:val="nil"/>
                  </w:tcBorders>
                  <w:vAlign w:val="center"/>
                </w:tcPr>
                <w:p w14:paraId="55FF910A">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10.0</w:t>
                  </w:r>
                </w:p>
              </w:tc>
            </w:tr>
            <w:tr w14:paraId="0E666D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1" w:type="pct"/>
                  <w:vMerge w:val="continue"/>
                  <w:tcBorders>
                    <w:tl2br w:val="nil"/>
                    <w:tr2bl w:val="nil"/>
                  </w:tcBorders>
                  <w:vAlign w:val="center"/>
                </w:tcPr>
                <w:p w14:paraId="08C442DB">
                  <w:pPr>
                    <w:pStyle w:val="153"/>
                    <w:spacing w:before="0" w:after="0" w:line="240" w:lineRule="exact"/>
                    <w:jc w:val="center"/>
                    <w:rPr>
                      <w:rFonts w:hint="default" w:eastAsia="宋体"/>
                      <w:b/>
                      <w:bCs w:val="0"/>
                      <w:color w:val="auto"/>
                      <w:sz w:val="18"/>
                      <w:szCs w:val="18"/>
                      <w:vertAlign w:val="baseline"/>
                      <w:lang w:val="en-US" w:eastAsia="zh-CN"/>
                    </w:rPr>
                  </w:pPr>
                </w:p>
              </w:tc>
              <w:tc>
                <w:tcPr>
                  <w:tcW w:w="784" w:type="pct"/>
                  <w:tcBorders>
                    <w:tl2br w:val="nil"/>
                    <w:tr2bl w:val="nil"/>
                  </w:tcBorders>
                  <w:vAlign w:val="center"/>
                </w:tcPr>
                <w:p w14:paraId="3F9723D4">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排放量（kg/h）</w:t>
                  </w:r>
                </w:p>
              </w:tc>
              <w:tc>
                <w:tcPr>
                  <w:tcW w:w="820" w:type="pct"/>
                  <w:gridSpan w:val="2"/>
                  <w:tcBorders>
                    <w:tl2br w:val="nil"/>
                    <w:tr2bl w:val="nil"/>
                  </w:tcBorders>
                  <w:vAlign w:val="center"/>
                </w:tcPr>
                <w:p w14:paraId="48BAD266">
                  <w:pPr>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0.116</w:t>
                  </w:r>
                </w:p>
              </w:tc>
              <w:tc>
                <w:tcPr>
                  <w:tcW w:w="709" w:type="pct"/>
                  <w:gridSpan w:val="2"/>
                  <w:tcBorders>
                    <w:tl2br w:val="nil"/>
                    <w:tr2bl w:val="nil"/>
                  </w:tcBorders>
                  <w:vAlign w:val="center"/>
                </w:tcPr>
                <w:p w14:paraId="541DF1B5">
                  <w:pPr>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0.015</w:t>
                  </w:r>
                </w:p>
              </w:tc>
              <w:tc>
                <w:tcPr>
                  <w:tcW w:w="506" w:type="pct"/>
                  <w:gridSpan w:val="2"/>
                  <w:tcBorders>
                    <w:tl2br w:val="nil"/>
                    <w:tr2bl w:val="nil"/>
                  </w:tcBorders>
                  <w:vAlign w:val="center"/>
                </w:tcPr>
                <w:p w14:paraId="6459F6C1">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0.015</w:t>
                  </w:r>
                </w:p>
              </w:tc>
              <w:tc>
                <w:tcPr>
                  <w:tcW w:w="741" w:type="pct"/>
                  <w:gridSpan w:val="2"/>
                  <w:tcBorders>
                    <w:tl2br w:val="nil"/>
                    <w:tr2bl w:val="nil"/>
                  </w:tcBorders>
                  <w:vAlign w:val="center"/>
                </w:tcPr>
                <w:p w14:paraId="44536DC4">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0.015</w:t>
                  </w:r>
                </w:p>
              </w:tc>
              <w:tc>
                <w:tcPr>
                  <w:tcW w:w="966" w:type="pct"/>
                  <w:gridSpan w:val="3"/>
                  <w:tcBorders>
                    <w:tl2br w:val="nil"/>
                    <w:tr2bl w:val="nil"/>
                  </w:tcBorders>
                  <w:vAlign w:val="center"/>
                </w:tcPr>
                <w:p w14:paraId="2B2521B1">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0.039</w:t>
                  </w:r>
                </w:p>
              </w:tc>
            </w:tr>
            <w:tr w14:paraId="325182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56" w:type="pct"/>
                  <w:gridSpan w:val="2"/>
                  <w:tcBorders>
                    <w:tl2br w:val="nil"/>
                    <w:tr2bl w:val="nil"/>
                  </w:tcBorders>
                  <w:vAlign w:val="center"/>
                </w:tcPr>
                <w:p w14:paraId="473BA559">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年运行时间（h）</w:t>
                  </w:r>
                </w:p>
              </w:tc>
              <w:tc>
                <w:tcPr>
                  <w:tcW w:w="820" w:type="pct"/>
                  <w:gridSpan w:val="2"/>
                  <w:tcBorders>
                    <w:tl2br w:val="nil"/>
                    <w:tr2bl w:val="nil"/>
                  </w:tcBorders>
                  <w:vAlign w:val="center"/>
                </w:tcPr>
                <w:p w14:paraId="7063906D">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7</w:t>
                  </w:r>
                </w:p>
              </w:tc>
              <w:tc>
                <w:tcPr>
                  <w:tcW w:w="709" w:type="pct"/>
                  <w:gridSpan w:val="2"/>
                  <w:tcBorders>
                    <w:tl2br w:val="nil"/>
                    <w:tr2bl w:val="nil"/>
                  </w:tcBorders>
                  <w:vAlign w:val="center"/>
                </w:tcPr>
                <w:p w14:paraId="019AF12C">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2267</w:t>
                  </w:r>
                </w:p>
              </w:tc>
              <w:tc>
                <w:tcPr>
                  <w:tcW w:w="506" w:type="pct"/>
                  <w:gridSpan w:val="2"/>
                  <w:tcBorders>
                    <w:tl2br w:val="nil"/>
                    <w:tr2bl w:val="nil"/>
                  </w:tcBorders>
                  <w:vAlign w:val="center"/>
                </w:tcPr>
                <w:p w14:paraId="7C93B520">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214</w:t>
                  </w:r>
                </w:p>
              </w:tc>
              <w:tc>
                <w:tcPr>
                  <w:tcW w:w="741" w:type="pct"/>
                  <w:gridSpan w:val="2"/>
                  <w:tcBorders>
                    <w:tl2br w:val="nil"/>
                    <w:tr2bl w:val="nil"/>
                  </w:tcBorders>
                  <w:vAlign w:val="center"/>
                </w:tcPr>
                <w:p w14:paraId="3B5AADE2">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107</w:t>
                  </w:r>
                </w:p>
              </w:tc>
              <w:tc>
                <w:tcPr>
                  <w:tcW w:w="966" w:type="pct"/>
                  <w:gridSpan w:val="3"/>
                  <w:tcBorders>
                    <w:tl2br w:val="nil"/>
                    <w:tr2bl w:val="nil"/>
                  </w:tcBorders>
                  <w:vAlign w:val="center"/>
                </w:tcPr>
                <w:p w14:paraId="6C329C31">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41</w:t>
                  </w:r>
                </w:p>
              </w:tc>
            </w:tr>
            <w:tr w14:paraId="14AB93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56" w:type="pct"/>
                  <w:gridSpan w:val="2"/>
                  <w:tcBorders>
                    <w:tl2br w:val="nil"/>
                    <w:tr2bl w:val="nil"/>
                  </w:tcBorders>
                  <w:vAlign w:val="center"/>
                </w:tcPr>
                <w:p w14:paraId="57D04CFE">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年排放量（t/a）</w:t>
                  </w:r>
                </w:p>
              </w:tc>
              <w:tc>
                <w:tcPr>
                  <w:tcW w:w="820" w:type="pct"/>
                  <w:gridSpan w:val="2"/>
                  <w:tcBorders>
                    <w:tl2br w:val="nil"/>
                    <w:tr2bl w:val="nil"/>
                  </w:tcBorders>
                  <w:vAlign w:val="center"/>
                </w:tcPr>
                <w:p w14:paraId="4FCC06DF">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0.0008</w:t>
                  </w:r>
                </w:p>
              </w:tc>
              <w:tc>
                <w:tcPr>
                  <w:tcW w:w="709" w:type="pct"/>
                  <w:gridSpan w:val="2"/>
                  <w:tcBorders>
                    <w:tl2br w:val="nil"/>
                    <w:tr2bl w:val="nil"/>
                  </w:tcBorders>
                  <w:vAlign w:val="center"/>
                </w:tcPr>
                <w:p w14:paraId="33B9CE5B">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0.034</w:t>
                  </w:r>
                </w:p>
              </w:tc>
              <w:tc>
                <w:tcPr>
                  <w:tcW w:w="506" w:type="pct"/>
                  <w:gridSpan w:val="2"/>
                  <w:tcBorders>
                    <w:tl2br w:val="nil"/>
                    <w:tr2bl w:val="nil"/>
                  </w:tcBorders>
                  <w:vAlign w:val="center"/>
                </w:tcPr>
                <w:p w14:paraId="7CB3D88C">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0.0032</w:t>
                  </w:r>
                </w:p>
              </w:tc>
              <w:tc>
                <w:tcPr>
                  <w:tcW w:w="741" w:type="pct"/>
                  <w:gridSpan w:val="2"/>
                  <w:tcBorders>
                    <w:tl2br w:val="nil"/>
                    <w:tr2bl w:val="nil"/>
                  </w:tcBorders>
                  <w:vAlign w:val="center"/>
                </w:tcPr>
                <w:p w14:paraId="46D30213">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0.0016</w:t>
                  </w:r>
                </w:p>
              </w:tc>
              <w:tc>
                <w:tcPr>
                  <w:tcW w:w="966" w:type="pct"/>
                  <w:gridSpan w:val="3"/>
                  <w:tcBorders>
                    <w:tl2br w:val="nil"/>
                    <w:tr2bl w:val="nil"/>
                  </w:tcBorders>
                  <w:vAlign w:val="center"/>
                </w:tcPr>
                <w:p w14:paraId="4AD726D7">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0.0016</w:t>
                  </w:r>
                </w:p>
              </w:tc>
            </w:tr>
            <w:tr w14:paraId="4EC207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1" w:type="pct"/>
                  <w:vMerge w:val="restart"/>
                  <w:tcBorders>
                    <w:tl2br w:val="nil"/>
                    <w:tr2bl w:val="nil"/>
                  </w:tcBorders>
                  <w:vAlign w:val="center"/>
                </w:tcPr>
                <w:p w14:paraId="7EB04621">
                  <w:pPr>
                    <w:pStyle w:val="153"/>
                    <w:spacing w:before="0" w:after="0" w:line="240" w:lineRule="exact"/>
                    <w:jc w:val="center"/>
                    <w:rPr>
                      <w:rFonts w:hint="eastAsia"/>
                      <w:b/>
                      <w:bCs w:val="0"/>
                      <w:color w:val="auto"/>
                      <w:sz w:val="18"/>
                      <w:szCs w:val="18"/>
                      <w:vertAlign w:val="baseline"/>
                      <w:lang w:val="en-US" w:eastAsia="zh-CN"/>
                    </w:rPr>
                  </w:pPr>
                  <w:r>
                    <w:rPr>
                      <w:rFonts w:hint="eastAsia"/>
                      <w:b/>
                      <w:bCs w:val="0"/>
                      <w:color w:val="auto"/>
                      <w:sz w:val="18"/>
                      <w:szCs w:val="18"/>
                      <w:vertAlign w:val="baseline"/>
                      <w:lang w:val="en-US" w:eastAsia="zh-CN"/>
                    </w:rPr>
                    <w:t>排放参数</w:t>
                  </w:r>
                </w:p>
                <w:p w14:paraId="5C0E9F78">
                  <w:pPr>
                    <w:pStyle w:val="153"/>
                    <w:spacing w:before="0" w:after="0" w:line="240" w:lineRule="exact"/>
                    <w:jc w:val="center"/>
                    <w:rPr>
                      <w:rFonts w:hint="default" w:eastAsia="宋体"/>
                      <w:b/>
                      <w:bCs w:val="0"/>
                      <w:color w:val="auto"/>
                      <w:sz w:val="18"/>
                      <w:szCs w:val="18"/>
                      <w:vertAlign w:val="baseline"/>
                      <w:lang w:val="en-US" w:eastAsia="zh-CN"/>
                    </w:rPr>
                  </w:pPr>
                </w:p>
              </w:tc>
              <w:tc>
                <w:tcPr>
                  <w:tcW w:w="784" w:type="pct"/>
                  <w:tcBorders>
                    <w:tl2br w:val="nil"/>
                    <w:tr2bl w:val="nil"/>
                  </w:tcBorders>
                  <w:vAlign w:val="center"/>
                </w:tcPr>
                <w:p w14:paraId="46D89381">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排气筒高度（m）</w:t>
                  </w:r>
                </w:p>
              </w:tc>
              <w:tc>
                <w:tcPr>
                  <w:tcW w:w="820" w:type="pct"/>
                  <w:gridSpan w:val="2"/>
                  <w:tcBorders>
                    <w:tl2br w:val="nil"/>
                    <w:tr2bl w:val="nil"/>
                  </w:tcBorders>
                  <w:vAlign w:val="center"/>
                </w:tcPr>
                <w:p w14:paraId="1022EB10">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15</w:t>
                  </w:r>
                </w:p>
              </w:tc>
              <w:tc>
                <w:tcPr>
                  <w:tcW w:w="709" w:type="pct"/>
                  <w:gridSpan w:val="2"/>
                  <w:tcBorders>
                    <w:tl2br w:val="nil"/>
                    <w:tr2bl w:val="nil"/>
                  </w:tcBorders>
                  <w:vAlign w:val="center"/>
                </w:tcPr>
                <w:p w14:paraId="0B83189A">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15</w:t>
                  </w:r>
                </w:p>
              </w:tc>
              <w:tc>
                <w:tcPr>
                  <w:tcW w:w="506" w:type="pct"/>
                  <w:gridSpan w:val="2"/>
                  <w:tcBorders>
                    <w:tl2br w:val="nil"/>
                    <w:tr2bl w:val="nil"/>
                  </w:tcBorders>
                  <w:vAlign w:val="center"/>
                </w:tcPr>
                <w:p w14:paraId="4F2B360F">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15</w:t>
                  </w:r>
                </w:p>
              </w:tc>
              <w:tc>
                <w:tcPr>
                  <w:tcW w:w="741" w:type="pct"/>
                  <w:gridSpan w:val="2"/>
                  <w:tcBorders>
                    <w:tl2br w:val="nil"/>
                    <w:tr2bl w:val="nil"/>
                  </w:tcBorders>
                  <w:vAlign w:val="center"/>
                </w:tcPr>
                <w:p w14:paraId="742720BF">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15</w:t>
                  </w:r>
                </w:p>
              </w:tc>
              <w:tc>
                <w:tcPr>
                  <w:tcW w:w="966" w:type="pct"/>
                  <w:gridSpan w:val="3"/>
                  <w:tcBorders>
                    <w:tl2br w:val="nil"/>
                    <w:tr2bl w:val="nil"/>
                  </w:tcBorders>
                  <w:vAlign w:val="center"/>
                </w:tcPr>
                <w:p w14:paraId="471A103E">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15</w:t>
                  </w:r>
                </w:p>
              </w:tc>
            </w:tr>
            <w:tr w14:paraId="04B21F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1" w:type="pct"/>
                  <w:vMerge w:val="continue"/>
                  <w:tcBorders>
                    <w:tl2br w:val="nil"/>
                    <w:tr2bl w:val="nil"/>
                  </w:tcBorders>
                  <w:vAlign w:val="center"/>
                </w:tcPr>
                <w:p w14:paraId="3BA686D9">
                  <w:pPr>
                    <w:pStyle w:val="153"/>
                    <w:spacing w:before="0" w:after="0" w:line="240" w:lineRule="exact"/>
                    <w:jc w:val="center"/>
                    <w:rPr>
                      <w:rFonts w:hint="default" w:eastAsia="宋体"/>
                      <w:b/>
                      <w:bCs w:val="0"/>
                      <w:color w:val="auto"/>
                      <w:sz w:val="18"/>
                      <w:szCs w:val="18"/>
                      <w:vertAlign w:val="baseline"/>
                      <w:lang w:val="en-US" w:eastAsia="zh-CN"/>
                    </w:rPr>
                  </w:pPr>
                </w:p>
              </w:tc>
              <w:tc>
                <w:tcPr>
                  <w:tcW w:w="784" w:type="pct"/>
                  <w:tcBorders>
                    <w:tl2br w:val="nil"/>
                    <w:tr2bl w:val="nil"/>
                  </w:tcBorders>
                  <w:vAlign w:val="center"/>
                </w:tcPr>
                <w:p w14:paraId="57415BCE">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出口内径（m）</w:t>
                  </w:r>
                </w:p>
              </w:tc>
              <w:tc>
                <w:tcPr>
                  <w:tcW w:w="820" w:type="pct"/>
                  <w:gridSpan w:val="2"/>
                  <w:tcBorders>
                    <w:tl2br w:val="nil"/>
                    <w:tr2bl w:val="nil"/>
                  </w:tcBorders>
                  <w:vAlign w:val="center"/>
                </w:tcPr>
                <w:p w14:paraId="49DCDE09">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0.15</w:t>
                  </w:r>
                </w:p>
              </w:tc>
              <w:tc>
                <w:tcPr>
                  <w:tcW w:w="709" w:type="pct"/>
                  <w:gridSpan w:val="2"/>
                  <w:tcBorders>
                    <w:tl2br w:val="nil"/>
                    <w:tr2bl w:val="nil"/>
                  </w:tcBorders>
                  <w:vAlign w:val="center"/>
                </w:tcPr>
                <w:p w14:paraId="32899E8E">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0.15</w:t>
                  </w:r>
                </w:p>
              </w:tc>
              <w:tc>
                <w:tcPr>
                  <w:tcW w:w="506" w:type="pct"/>
                  <w:gridSpan w:val="2"/>
                  <w:tcBorders>
                    <w:tl2br w:val="nil"/>
                    <w:tr2bl w:val="nil"/>
                  </w:tcBorders>
                  <w:vAlign w:val="center"/>
                </w:tcPr>
                <w:p w14:paraId="2527BE19">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0.15</w:t>
                  </w:r>
                </w:p>
              </w:tc>
              <w:tc>
                <w:tcPr>
                  <w:tcW w:w="741" w:type="pct"/>
                  <w:gridSpan w:val="2"/>
                  <w:tcBorders>
                    <w:tl2br w:val="nil"/>
                    <w:tr2bl w:val="nil"/>
                  </w:tcBorders>
                  <w:vAlign w:val="center"/>
                </w:tcPr>
                <w:p w14:paraId="2CCDD187">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0.15</w:t>
                  </w:r>
                </w:p>
              </w:tc>
              <w:tc>
                <w:tcPr>
                  <w:tcW w:w="966" w:type="pct"/>
                  <w:gridSpan w:val="3"/>
                  <w:tcBorders>
                    <w:tl2br w:val="nil"/>
                    <w:tr2bl w:val="nil"/>
                  </w:tcBorders>
                  <w:vAlign w:val="center"/>
                </w:tcPr>
                <w:p w14:paraId="5D896FF6">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0.15</w:t>
                  </w:r>
                </w:p>
              </w:tc>
            </w:tr>
            <w:tr w14:paraId="5B7E0C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1" w:type="pct"/>
                  <w:vMerge w:val="continue"/>
                  <w:tcBorders>
                    <w:tl2br w:val="nil"/>
                    <w:tr2bl w:val="nil"/>
                  </w:tcBorders>
                  <w:vAlign w:val="center"/>
                </w:tcPr>
                <w:p w14:paraId="36C9FEE2">
                  <w:pPr>
                    <w:pStyle w:val="153"/>
                    <w:spacing w:before="0" w:after="0" w:line="240" w:lineRule="exact"/>
                    <w:jc w:val="center"/>
                    <w:rPr>
                      <w:rFonts w:hint="default" w:eastAsia="宋体"/>
                      <w:b/>
                      <w:bCs w:val="0"/>
                      <w:color w:val="auto"/>
                      <w:sz w:val="18"/>
                      <w:szCs w:val="18"/>
                      <w:vertAlign w:val="baseline"/>
                      <w:lang w:val="en-US" w:eastAsia="zh-CN"/>
                    </w:rPr>
                  </w:pPr>
                </w:p>
              </w:tc>
              <w:tc>
                <w:tcPr>
                  <w:tcW w:w="784" w:type="pct"/>
                  <w:tcBorders>
                    <w:tl2br w:val="nil"/>
                    <w:tr2bl w:val="nil"/>
                  </w:tcBorders>
                  <w:vAlign w:val="center"/>
                </w:tcPr>
                <w:p w14:paraId="11E4E5F8">
                  <w:pPr>
                    <w:pStyle w:val="153"/>
                    <w:spacing w:before="0" w:after="0" w:line="240" w:lineRule="exact"/>
                    <w:jc w:val="center"/>
                    <w:rPr>
                      <w:rFonts w:hint="default" w:eastAsia="宋体"/>
                      <w:b/>
                      <w:bCs w:val="0"/>
                      <w:color w:val="auto"/>
                      <w:sz w:val="18"/>
                      <w:szCs w:val="18"/>
                      <w:vertAlign w:val="baseline"/>
                      <w:lang w:val="en-US" w:eastAsia="zh-CN"/>
                    </w:rPr>
                  </w:pPr>
                  <w:r>
                    <w:rPr>
                      <w:rFonts w:hint="eastAsia"/>
                      <w:b/>
                      <w:bCs w:val="0"/>
                      <w:color w:val="auto"/>
                      <w:sz w:val="18"/>
                      <w:szCs w:val="18"/>
                      <w:vertAlign w:val="baseline"/>
                      <w:lang w:val="en-US" w:eastAsia="zh-CN"/>
                    </w:rPr>
                    <w:t>排放温度（℃）</w:t>
                  </w:r>
                </w:p>
              </w:tc>
              <w:tc>
                <w:tcPr>
                  <w:tcW w:w="820" w:type="pct"/>
                  <w:gridSpan w:val="2"/>
                  <w:tcBorders>
                    <w:tl2br w:val="nil"/>
                    <w:tr2bl w:val="nil"/>
                  </w:tcBorders>
                  <w:vAlign w:val="center"/>
                </w:tcPr>
                <w:p w14:paraId="38EED275">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20</w:t>
                  </w:r>
                </w:p>
              </w:tc>
              <w:tc>
                <w:tcPr>
                  <w:tcW w:w="709" w:type="pct"/>
                  <w:gridSpan w:val="2"/>
                  <w:tcBorders>
                    <w:tl2br w:val="nil"/>
                    <w:tr2bl w:val="nil"/>
                  </w:tcBorders>
                  <w:vAlign w:val="center"/>
                </w:tcPr>
                <w:p w14:paraId="010C5BA3">
                  <w:pPr>
                    <w:pStyle w:val="153"/>
                    <w:spacing w:before="0" w:after="0" w:line="240" w:lineRule="exact"/>
                    <w:jc w:val="center"/>
                    <w:rPr>
                      <w:rFonts w:hint="eastAsia"/>
                      <w:b w:val="0"/>
                      <w:bCs/>
                      <w:color w:val="auto"/>
                      <w:sz w:val="18"/>
                      <w:szCs w:val="18"/>
                      <w:vertAlign w:val="baseline"/>
                      <w:lang w:val="en-US" w:eastAsia="zh-CN"/>
                    </w:rPr>
                  </w:pPr>
                  <w:r>
                    <w:rPr>
                      <w:rFonts w:hint="eastAsia"/>
                      <w:b w:val="0"/>
                      <w:bCs/>
                      <w:color w:val="auto"/>
                      <w:sz w:val="18"/>
                      <w:szCs w:val="18"/>
                      <w:vertAlign w:val="baseline"/>
                      <w:lang w:val="en-US" w:eastAsia="zh-CN"/>
                    </w:rPr>
                    <w:t>20</w:t>
                  </w:r>
                </w:p>
              </w:tc>
              <w:tc>
                <w:tcPr>
                  <w:tcW w:w="506" w:type="pct"/>
                  <w:gridSpan w:val="2"/>
                  <w:tcBorders>
                    <w:tl2br w:val="nil"/>
                    <w:tr2bl w:val="nil"/>
                  </w:tcBorders>
                  <w:vAlign w:val="center"/>
                </w:tcPr>
                <w:p w14:paraId="4D24F912">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20</w:t>
                  </w:r>
                </w:p>
              </w:tc>
              <w:tc>
                <w:tcPr>
                  <w:tcW w:w="741" w:type="pct"/>
                  <w:gridSpan w:val="2"/>
                  <w:tcBorders>
                    <w:tl2br w:val="nil"/>
                    <w:tr2bl w:val="nil"/>
                  </w:tcBorders>
                  <w:vAlign w:val="center"/>
                </w:tcPr>
                <w:p w14:paraId="27E70BA6">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20</w:t>
                  </w:r>
                </w:p>
              </w:tc>
              <w:tc>
                <w:tcPr>
                  <w:tcW w:w="966" w:type="pct"/>
                  <w:gridSpan w:val="3"/>
                  <w:tcBorders>
                    <w:tl2br w:val="nil"/>
                    <w:tr2bl w:val="nil"/>
                  </w:tcBorders>
                  <w:vAlign w:val="center"/>
                </w:tcPr>
                <w:p w14:paraId="450A1B9E">
                  <w:pPr>
                    <w:pStyle w:val="153"/>
                    <w:spacing w:before="0" w:after="0" w:line="240" w:lineRule="exact"/>
                    <w:jc w:val="center"/>
                    <w:rPr>
                      <w:rFonts w:hint="default"/>
                      <w:b w:val="0"/>
                      <w:bCs/>
                      <w:color w:val="auto"/>
                      <w:sz w:val="18"/>
                      <w:szCs w:val="18"/>
                      <w:vertAlign w:val="baseline"/>
                      <w:lang w:val="en-US" w:eastAsia="zh-CN"/>
                    </w:rPr>
                  </w:pPr>
                  <w:r>
                    <w:rPr>
                      <w:rFonts w:hint="eastAsia"/>
                      <w:b w:val="0"/>
                      <w:bCs/>
                      <w:color w:val="auto"/>
                      <w:sz w:val="18"/>
                      <w:szCs w:val="18"/>
                      <w:vertAlign w:val="baseline"/>
                      <w:lang w:val="en-US" w:eastAsia="zh-CN"/>
                    </w:rPr>
                    <w:t>20</w:t>
                  </w:r>
                </w:p>
              </w:tc>
            </w:tr>
          </w:tbl>
          <w:p w14:paraId="4119260A">
            <w:pPr>
              <w:spacing w:line="360" w:lineRule="auto"/>
              <w:ind w:firstLine="422" w:firstLineChars="200"/>
              <w:rPr>
                <w:color w:val="auto"/>
                <w:szCs w:val="21"/>
              </w:rPr>
            </w:pPr>
            <w:r>
              <w:rPr>
                <w:rFonts w:hint="eastAsia"/>
                <w:b/>
                <w:bCs/>
                <w:color w:val="auto"/>
                <w:szCs w:val="21"/>
                <w:lang w:val="en-US" w:eastAsia="zh-CN"/>
              </w:rPr>
              <w:t>（</w:t>
            </w:r>
            <w:r>
              <w:rPr>
                <w:rFonts w:hint="default"/>
                <w:b/>
                <w:bCs/>
                <w:color w:val="auto"/>
                <w:szCs w:val="21"/>
                <w:lang w:val="en-US" w:eastAsia="zh-CN"/>
              </w:rPr>
              <w:t>1</w:t>
            </w:r>
            <w:r>
              <w:rPr>
                <w:rFonts w:hint="eastAsia"/>
                <w:b/>
                <w:bCs/>
                <w:color w:val="auto"/>
                <w:szCs w:val="21"/>
                <w:lang w:val="en-US" w:eastAsia="zh-CN"/>
              </w:rPr>
              <w:t>）原料堆存装卸扬尘</w:t>
            </w:r>
            <w:r>
              <w:rPr>
                <w:rFonts w:hint="eastAsia"/>
                <w:color w:val="auto"/>
                <w:szCs w:val="21"/>
                <w:lang w:val="en-US" w:eastAsia="zh-CN"/>
              </w:rPr>
              <w:t xml:space="preserve"> </w:t>
            </w:r>
          </w:p>
          <w:p w14:paraId="19B6DDBC">
            <w:pPr>
              <w:spacing w:line="360" w:lineRule="auto"/>
              <w:ind w:firstLine="420" w:firstLineChars="200"/>
              <w:rPr>
                <w:rFonts w:hint="eastAsia"/>
                <w:color w:val="auto"/>
                <w:szCs w:val="21"/>
                <w:lang w:val="en-US" w:eastAsia="zh-CN"/>
              </w:rPr>
            </w:pPr>
            <w:r>
              <w:rPr>
                <w:rFonts w:hint="eastAsia"/>
                <w:color w:val="auto"/>
                <w:szCs w:val="21"/>
                <w:lang w:val="en-US" w:eastAsia="zh-CN"/>
              </w:rPr>
              <w:t>本项目原料主要为石料和机制砂，其中石料粒径均大于15mm，砂料粒径约为0.5~1.5mm，原料经加盖苫布的汽车运输，直接驶入原料库卸入储料库内堆存，期间会产生一定的装卸扬尘和堆存扬尘，主要污染物为颗粒物。</w:t>
            </w:r>
          </w:p>
          <w:p w14:paraId="5E6FFAA4">
            <w:pPr>
              <w:spacing w:line="360" w:lineRule="auto"/>
              <w:ind w:firstLine="482"/>
              <w:rPr>
                <w:b/>
                <w:szCs w:val="21"/>
              </w:rPr>
            </w:pPr>
            <w:r>
              <w:rPr>
                <w:szCs w:val="21"/>
              </w:rPr>
              <w:t>原</w:t>
            </w:r>
            <w:r>
              <w:rPr>
                <w:rFonts w:hint="eastAsia"/>
                <w:szCs w:val="21"/>
              </w:rPr>
              <w:t>料</w:t>
            </w:r>
            <w:r>
              <w:rPr>
                <w:szCs w:val="21"/>
              </w:rPr>
              <w:t>在堆放时随风引起的扬尘</w:t>
            </w:r>
            <w:r>
              <w:rPr>
                <w:rFonts w:hint="eastAsia"/>
                <w:szCs w:val="21"/>
              </w:rPr>
              <w:t>、</w:t>
            </w:r>
            <w:r>
              <w:rPr>
                <w:szCs w:val="21"/>
              </w:rPr>
              <w:t>装卸时的扬尘。计算公式如下：</w:t>
            </w:r>
          </w:p>
          <w:p w14:paraId="493369DF">
            <w:pPr>
              <w:spacing w:line="360" w:lineRule="auto"/>
              <w:ind w:firstLine="457" w:firstLineChars="218"/>
              <w:rPr>
                <w:szCs w:val="21"/>
                <w:vertAlign w:val="superscript"/>
              </w:rPr>
            </w:pPr>
            <w:r>
              <w:rPr>
                <w:szCs w:val="21"/>
              </w:rPr>
              <w:t>堆存起尘：Q</w:t>
            </w:r>
            <w:r>
              <w:rPr>
                <w:szCs w:val="21"/>
                <w:vertAlign w:val="subscript"/>
              </w:rPr>
              <w:t>m</w:t>
            </w:r>
            <w:r>
              <w:rPr>
                <w:szCs w:val="21"/>
              </w:rPr>
              <w:t>=11.7U</w:t>
            </w:r>
            <w:r>
              <w:rPr>
                <w:szCs w:val="21"/>
                <w:vertAlign w:val="superscript"/>
              </w:rPr>
              <w:t>2.45</w:t>
            </w:r>
            <w:r>
              <w:rPr>
                <w:szCs w:val="21"/>
              </w:rPr>
              <w:t>·S</w:t>
            </w:r>
            <w:r>
              <w:rPr>
                <w:szCs w:val="21"/>
                <w:vertAlign w:val="superscript"/>
              </w:rPr>
              <w:t>0.345</w:t>
            </w:r>
            <w:r>
              <w:rPr>
                <w:szCs w:val="21"/>
              </w:rPr>
              <w:t>·e</w:t>
            </w:r>
            <w:r>
              <w:rPr>
                <w:szCs w:val="21"/>
                <w:vertAlign w:val="superscript"/>
              </w:rPr>
              <w:t>-0.5w</w:t>
            </w:r>
          </w:p>
          <w:p w14:paraId="4B78B8A2">
            <w:pPr>
              <w:spacing w:line="360" w:lineRule="auto"/>
              <w:ind w:firstLine="457" w:firstLineChars="218"/>
              <w:rPr>
                <w:szCs w:val="21"/>
              </w:rPr>
            </w:pPr>
            <w:r>
              <w:rPr>
                <w:szCs w:val="21"/>
              </w:rPr>
              <w:t>装卸扬尘：Q</w:t>
            </w:r>
            <w:r>
              <w:rPr>
                <w:szCs w:val="21"/>
                <w:vertAlign w:val="subscript"/>
              </w:rPr>
              <w:t>z</w:t>
            </w:r>
            <w:r>
              <w:rPr>
                <w:szCs w:val="21"/>
              </w:rPr>
              <w:t>=98.8/6·M·e·</w:t>
            </w:r>
            <w:r>
              <w:rPr>
                <w:szCs w:val="21"/>
                <w:vertAlign w:val="superscript"/>
              </w:rPr>
              <w:t>0.64u</w:t>
            </w:r>
            <w:r>
              <w:rPr>
                <w:szCs w:val="21"/>
              </w:rPr>
              <w:t>·e</w:t>
            </w:r>
            <w:r>
              <w:rPr>
                <w:szCs w:val="21"/>
                <w:vertAlign w:val="superscript"/>
              </w:rPr>
              <w:t>-0.27</w:t>
            </w:r>
            <w:r>
              <w:rPr>
                <w:szCs w:val="21"/>
              </w:rPr>
              <w:t>·H</w:t>
            </w:r>
            <w:r>
              <w:rPr>
                <w:szCs w:val="21"/>
                <w:vertAlign w:val="superscript"/>
              </w:rPr>
              <w:t>1.283</w:t>
            </w:r>
          </w:p>
          <w:p w14:paraId="056E2CDE">
            <w:pPr>
              <w:spacing w:line="360" w:lineRule="auto"/>
              <w:ind w:firstLine="457" w:firstLineChars="218"/>
              <w:rPr>
                <w:szCs w:val="21"/>
              </w:rPr>
            </w:pPr>
            <w:r>
              <w:rPr>
                <w:szCs w:val="21"/>
              </w:rPr>
              <w:t>式中：Q</w:t>
            </w:r>
            <w:r>
              <w:rPr>
                <w:szCs w:val="21"/>
                <w:vertAlign w:val="subscript"/>
              </w:rPr>
              <w:t>m</w:t>
            </w:r>
            <w:r>
              <w:rPr>
                <w:szCs w:val="21"/>
              </w:rPr>
              <w:t>—起尘量，mg/s；Q</w:t>
            </w:r>
            <w:r>
              <w:rPr>
                <w:szCs w:val="21"/>
                <w:vertAlign w:val="subscript"/>
              </w:rPr>
              <w:t>z</w:t>
            </w:r>
            <w:r>
              <w:rPr>
                <w:szCs w:val="21"/>
              </w:rPr>
              <w:t>—装卸扬尘量，g/次；U—临界风速，</w:t>
            </w:r>
            <w:r>
              <w:rPr>
                <w:rFonts w:hint="eastAsia"/>
                <w:szCs w:val="21"/>
                <w:lang w:val="en-US" w:eastAsia="zh-CN"/>
              </w:rPr>
              <w:t>0.5</w:t>
            </w:r>
            <w:r>
              <w:rPr>
                <w:szCs w:val="21"/>
              </w:rPr>
              <w:t>m/s；S—表面积，</w:t>
            </w:r>
            <w:r>
              <w:rPr>
                <w:rFonts w:hint="eastAsia"/>
                <w:szCs w:val="21"/>
                <w:lang w:val="en-US" w:eastAsia="zh-CN"/>
              </w:rPr>
              <w:t>5000</w:t>
            </w:r>
            <w:r>
              <w:rPr>
                <w:szCs w:val="21"/>
              </w:rPr>
              <w:t>m</w:t>
            </w:r>
            <w:r>
              <w:rPr>
                <w:szCs w:val="21"/>
                <w:vertAlign w:val="superscript"/>
              </w:rPr>
              <w:t>2</w:t>
            </w:r>
            <w:r>
              <w:rPr>
                <w:szCs w:val="21"/>
              </w:rPr>
              <w:t>；W—物料湿度</w:t>
            </w:r>
            <w:r>
              <w:rPr>
                <w:rFonts w:hint="eastAsia"/>
                <w:szCs w:val="21"/>
                <w:lang w:val="en-US" w:eastAsia="zh-CN"/>
              </w:rPr>
              <w:t>，5%</w:t>
            </w:r>
            <w:r>
              <w:rPr>
                <w:szCs w:val="21"/>
              </w:rPr>
              <w:t>；M—车辆吨位，取30t；H—装卸高度</w:t>
            </w:r>
            <w:r>
              <w:rPr>
                <w:rFonts w:hint="eastAsia"/>
                <w:szCs w:val="21"/>
              </w:rPr>
              <w:t>，取2m</w:t>
            </w:r>
            <w:r>
              <w:rPr>
                <w:szCs w:val="21"/>
              </w:rPr>
              <w:t>。</w:t>
            </w:r>
          </w:p>
          <w:p w14:paraId="0A594840">
            <w:pPr>
              <w:spacing w:line="360" w:lineRule="auto"/>
              <w:ind w:firstLine="420" w:firstLineChars="200"/>
              <w:rPr>
                <w:rFonts w:hint="eastAsia"/>
                <w:szCs w:val="21"/>
                <w:lang w:eastAsia="zh-CN"/>
              </w:rPr>
            </w:pPr>
            <w:r>
              <w:rPr>
                <w:szCs w:val="21"/>
              </w:rPr>
              <w:t>按以上公式进行计算</w:t>
            </w:r>
            <w:r>
              <w:rPr>
                <w:rFonts w:hint="eastAsia"/>
                <w:szCs w:val="21"/>
              </w:rPr>
              <w:t>：</w:t>
            </w:r>
            <w:r>
              <w:rPr>
                <w:szCs w:val="21"/>
              </w:rPr>
              <w:t>Q</w:t>
            </w:r>
            <w:r>
              <w:rPr>
                <w:rFonts w:hint="eastAsia"/>
                <w:szCs w:val="21"/>
                <w:vertAlign w:val="subscript"/>
              </w:rPr>
              <w:t>m</w:t>
            </w:r>
            <w:r>
              <w:rPr>
                <w:szCs w:val="21"/>
              </w:rPr>
              <w:t>=</w:t>
            </w:r>
            <w:r>
              <w:rPr>
                <w:rFonts w:hint="eastAsia"/>
                <w:szCs w:val="21"/>
                <w:lang w:val="en-US" w:eastAsia="zh-CN"/>
              </w:rPr>
              <w:t>39.44</w:t>
            </w:r>
            <w:r>
              <w:rPr>
                <w:rFonts w:hint="eastAsia"/>
                <w:szCs w:val="21"/>
              </w:rPr>
              <w:t>mg/s，</w:t>
            </w:r>
            <w:r>
              <w:rPr>
                <w:szCs w:val="21"/>
              </w:rPr>
              <w:t>Q</w:t>
            </w:r>
            <w:r>
              <w:rPr>
                <w:rFonts w:hint="eastAsia"/>
                <w:szCs w:val="21"/>
              </w:rPr>
              <w:t>z</w:t>
            </w:r>
            <w:r>
              <w:rPr>
                <w:szCs w:val="21"/>
              </w:rPr>
              <w:t>=</w:t>
            </w:r>
            <w:r>
              <w:rPr>
                <w:rFonts w:hint="eastAsia"/>
                <w:szCs w:val="21"/>
                <w:lang w:val="en-US" w:eastAsia="zh-CN"/>
              </w:rPr>
              <w:t>1253.52</w:t>
            </w:r>
            <w:r>
              <w:rPr>
                <w:rFonts w:hint="eastAsia"/>
                <w:szCs w:val="21"/>
              </w:rPr>
              <w:t>g/次</w:t>
            </w:r>
            <w:r>
              <w:rPr>
                <w:rFonts w:hint="eastAsia"/>
                <w:szCs w:val="21"/>
                <w:lang w:eastAsia="zh-CN"/>
              </w:rPr>
              <w:t>。</w:t>
            </w:r>
          </w:p>
          <w:p w14:paraId="159315FE">
            <w:pPr>
              <w:spacing w:line="360" w:lineRule="auto"/>
              <w:ind w:firstLine="420" w:firstLineChars="200"/>
              <w:rPr>
                <w:szCs w:val="21"/>
              </w:rPr>
            </w:pPr>
            <w:r>
              <w:rPr>
                <w:rFonts w:hint="eastAsia"/>
                <w:szCs w:val="21"/>
                <w:lang w:val="en-US" w:eastAsia="zh-CN"/>
              </w:rPr>
              <w:t>根据实际生产工况计算得出原料堆存过程起尘量为0.51</w:t>
            </w:r>
            <w:r>
              <w:rPr>
                <w:szCs w:val="21"/>
              </w:rPr>
              <w:t>t/a</w:t>
            </w:r>
            <w:r>
              <w:rPr>
                <w:rFonts w:hint="eastAsia"/>
                <w:szCs w:val="21"/>
                <w:lang w:eastAsia="zh-CN"/>
              </w:rPr>
              <w:t>，</w:t>
            </w:r>
            <w:r>
              <w:rPr>
                <w:rFonts w:hint="eastAsia"/>
                <w:szCs w:val="21"/>
                <w:lang w:val="en-US" w:eastAsia="zh-CN"/>
              </w:rPr>
              <w:t>装卸扬尘产生量为0.019t/a，</w:t>
            </w:r>
            <w:r>
              <w:rPr>
                <w:szCs w:val="21"/>
              </w:rPr>
              <w:t>合计</w:t>
            </w:r>
            <w:r>
              <w:rPr>
                <w:rFonts w:hint="eastAsia"/>
                <w:szCs w:val="21"/>
                <w:lang w:val="en-US" w:eastAsia="zh-CN"/>
              </w:rPr>
              <w:t>0.53</w:t>
            </w:r>
            <w:r>
              <w:rPr>
                <w:rFonts w:hint="eastAsia"/>
                <w:szCs w:val="21"/>
              </w:rPr>
              <w:t>t/a。</w:t>
            </w:r>
          </w:p>
          <w:p w14:paraId="57DDDE5B">
            <w:pPr>
              <w:spacing w:line="360" w:lineRule="auto"/>
              <w:ind w:firstLine="420" w:firstLineChars="200"/>
              <w:rPr>
                <w:bCs/>
                <w:snapToGrid w:val="0"/>
                <w:kern w:val="0"/>
                <w:szCs w:val="21"/>
              </w:rPr>
            </w:pPr>
            <w:r>
              <w:rPr>
                <w:rFonts w:hint="eastAsia"/>
                <w:szCs w:val="21"/>
                <w:lang w:val="en-US" w:eastAsia="zh-CN"/>
              </w:rPr>
              <w:t>储料库</w:t>
            </w:r>
            <w:r>
              <w:rPr>
                <w:szCs w:val="21"/>
              </w:rPr>
              <w:t>建设方案</w:t>
            </w:r>
            <w:r>
              <w:rPr>
                <w:rFonts w:hint="eastAsia"/>
                <w:szCs w:val="21"/>
              </w:rPr>
              <w:t>：</w:t>
            </w:r>
            <w:r>
              <w:rPr>
                <w:szCs w:val="21"/>
              </w:rPr>
              <w:t>本项目设置</w:t>
            </w:r>
            <w:r>
              <w:rPr>
                <w:rFonts w:hint="eastAsia"/>
                <w:szCs w:val="21"/>
                <w:lang w:val="en-US" w:eastAsia="zh-CN"/>
              </w:rPr>
              <w:t>1</w:t>
            </w:r>
            <w:r>
              <w:rPr>
                <w:szCs w:val="21"/>
              </w:rPr>
              <w:t>座全封闭</w:t>
            </w:r>
            <w:r>
              <w:rPr>
                <w:rFonts w:hint="eastAsia"/>
                <w:szCs w:val="21"/>
                <w:lang w:val="en-US" w:eastAsia="zh-CN"/>
              </w:rPr>
              <w:t>原料储库，总</w:t>
            </w:r>
            <w:r>
              <w:rPr>
                <w:szCs w:val="21"/>
              </w:rPr>
              <w:t>占地</w:t>
            </w:r>
            <w:r>
              <w:rPr>
                <w:rFonts w:hint="eastAsia"/>
                <w:szCs w:val="21"/>
                <w:lang w:val="en-US" w:eastAsia="zh-CN"/>
              </w:rPr>
              <w:t>50</w:t>
            </w:r>
            <w:r>
              <w:rPr>
                <w:szCs w:val="21"/>
              </w:rPr>
              <w:t>00m</w:t>
            </w:r>
            <w:r>
              <w:rPr>
                <w:szCs w:val="21"/>
                <w:vertAlign w:val="superscript"/>
              </w:rPr>
              <w:t>2</w:t>
            </w:r>
            <w:r>
              <w:rPr>
                <w:rFonts w:hint="eastAsia"/>
                <w:szCs w:val="21"/>
                <w:lang w:eastAsia="zh-CN"/>
              </w:rPr>
              <w:t>，</w:t>
            </w:r>
            <w:r>
              <w:rPr>
                <w:rFonts w:hint="eastAsia"/>
                <w:szCs w:val="21"/>
                <w:lang w:val="en-US" w:eastAsia="zh-CN"/>
              </w:rPr>
              <w:t>储料库用于堆存机制砂和不同粒径的石料</w:t>
            </w:r>
            <w:r>
              <w:rPr>
                <w:szCs w:val="21"/>
              </w:rPr>
              <w:t>。采用全封闭球形</w:t>
            </w:r>
            <w:r>
              <w:rPr>
                <w:rFonts w:hint="eastAsia"/>
                <w:szCs w:val="21"/>
              </w:rPr>
              <w:t>钢</w:t>
            </w:r>
            <w:r>
              <w:rPr>
                <w:szCs w:val="21"/>
              </w:rPr>
              <w:t>架结构，钢筋混凝土基础，库内地面硬化</w:t>
            </w:r>
            <w:r>
              <w:rPr>
                <w:rFonts w:hint="eastAsia"/>
                <w:szCs w:val="21"/>
              </w:rPr>
              <w:t>；</w:t>
            </w:r>
            <w:r>
              <w:rPr>
                <w:szCs w:val="21"/>
              </w:rPr>
              <w:t>库底部加固，设置</w:t>
            </w:r>
            <w:r>
              <w:rPr>
                <w:rFonts w:hint="eastAsia"/>
                <w:szCs w:val="21"/>
                <w:lang w:val="en-US" w:eastAsia="zh-CN"/>
              </w:rPr>
              <w:t>2.5</w:t>
            </w:r>
            <w:r>
              <w:rPr>
                <w:rFonts w:hint="eastAsia"/>
                <w:szCs w:val="21"/>
              </w:rPr>
              <w:t>m高挡墙，混凝土结构</w:t>
            </w:r>
            <w:r>
              <w:rPr>
                <w:szCs w:val="21"/>
              </w:rPr>
              <w:t>。设计储量为</w:t>
            </w:r>
            <w:r>
              <w:rPr>
                <w:rFonts w:hint="eastAsia"/>
                <w:szCs w:val="21"/>
                <w:lang w:val="en-US" w:eastAsia="zh-CN"/>
              </w:rPr>
              <w:t>1.5</w:t>
            </w:r>
            <w:r>
              <w:rPr>
                <w:rFonts w:hint="eastAsia"/>
                <w:szCs w:val="21"/>
              </w:rPr>
              <w:t>万</w:t>
            </w:r>
            <w:r>
              <w:rPr>
                <w:szCs w:val="21"/>
              </w:rPr>
              <w:t>t</w:t>
            </w:r>
            <w:r>
              <w:rPr>
                <w:rFonts w:hint="eastAsia"/>
                <w:szCs w:val="21"/>
                <w:lang w:val="en-US" w:eastAsia="zh-CN"/>
              </w:rPr>
              <w:t>原料</w:t>
            </w:r>
            <w:r>
              <w:rPr>
                <w:rFonts w:hint="eastAsia"/>
                <w:szCs w:val="21"/>
              </w:rPr>
              <w:t>。所有</w:t>
            </w:r>
            <w:r>
              <w:rPr>
                <w:rFonts w:hint="eastAsia"/>
                <w:szCs w:val="21"/>
                <w:lang w:val="en-US" w:eastAsia="zh-CN"/>
              </w:rPr>
              <w:t>石料和机制砂原料</w:t>
            </w:r>
            <w:r>
              <w:rPr>
                <w:rFonts w:hint="eastAsia"/>
                <w:szCs w:val="21"/>
              </w:rPr>
              <w:t>的储存、装卸等作业活动均在全封闭储库内进行，不露天储存或作业。</w:t>
            </w:r>
          </w:p>
          <w:p w14:paraId="6739E80D">
            <w:pPr>
              <w:spacing w:line="360" w:lineRule="auto"/>
              <w:ind w:firstLine="420" w:firstLineChars="200"/>
              <w:rPr>
                <w:szCs w:val="21"/>
              </w:rPr>
            </w:pPr>
            <w:r>
              <w:rPr>
                <w:szCs w:val="21"/>
              </w:rPr>
              <w:t>同时要求</w:t>
            </w:r>
            <w:r>
              <w:rPr>
                <w:rFonts w:hint="eastAsia"/>
                <w:szCs w:val="21"/>
                <w:lang w:val="en-US" w:eastAsia="zh-CN"/>
              </w:rPr>
              <w:t>原料</w:t>
            </w:r>
            <w:r>
              <w:rPr>
                <w:szCs w:val="21"/>
              </w:rPr>
              <w:t>在库内限制堆放高度，</w:t>
            </w:r>
            <w:r>
              <w:rPr>
                <w:rFonts w:hint="eastAsia"/>
                <w:szCs w:val="21"/>
                <w:lang w:val="en-US" w:eastAsia="zh-CN"/>
              </w:rPr>
              <w:t>定期</w:t>
            </w:r>
            <w:r>
              <w:rPr>
                <w:szCs w:val="21"/>
              </w:rPr>
              <w:t>洒水降尘。运输车辆应在储</w:t>
            </w:r>
            <w:r>
              <w:rPr>
                <w:rFonts w:hint="eastAsia"/>
                <w:szCs w:val="21"/>
                <w:lang w:eastAsia="zh-CN"/>
              </w:rPr>
              <w:t>料</w:t>
            </w:r>
            <w:r>
              <w:rPr>
                <w:szCs w:val="21"/>
              </w:rPr>
              <w:t>库内固定地点装卸，尽量降低装卸高度</w:t>
            </w:r>
            <w:r>
              <w:rPr>
                <w:rFonts w:hint="eastAsia"/>
                <w:szCs w:val="21"/>
              </w:rPr>
              <w:t>，</w:t>
            </w:r>
            <w:r>
              <w:rPr>
                <w:szCs w:val="21"/>
              </w:rPr>
              <w:t>控制在</w:t>
            </w:r>
            <w:r>
              <w:rPr>
                <w:rFonts w:hint="eastAsia"/>
                <w:szCs w:val="21"/>
              </w:rPr>
              <w:t>1.2</w:t>
            </w:r>
            <w:r>
              <w:rPr>
                <w:rFonts w:hint="eastAsia"/>
                <w:szCs w:val="21"/>
                <w:lang w:val="en-US" w:eastAsia="zh-CN"/>
              </w:rPr>
              <w:t>-2</w:t>
            </w:r>
            <w:r>
              <w:rPr>
                <w:rFonts w:hint="eastAsia"/>
                <w:szCs w:val="21"/>
              </w:rPr>
              <w:t>m以内，</w:t>
            </w:r>
            <w:r>
              <w:rPr>
                <w:szCs w:val="21"/>
              </w:rPr>
              <w:t>并在装卸点</w:t>
            </w:r>
            <w:r>
              <w:rPr>
                <w:rFonts w:hint="eastAsia"/>
                <w:szCs w:val="21"/>
                <w:lang w:val="en-US" w:eastAsia="zh-CN"/>
              </w:rPr>
              <w:t>工作时段洒水灭尘</w:t>
            </w:r>
            <w:r>
              <w:rPr>
                <w:szCs w:val="21"/>
              </w:rPr>
              <w:t>装置</w:t>
            </w:r>
            <w:r>
              <w:rPr>
                <w:rFonts w:hint="eastAsia"/>
                <w:szCs w:val="21"/>
                <w:lang w:eastAsia="zh-CN"/>
              </w:rPr>
              <w:t>；</w:t>
            </w:r>
            <w:r>
              <w:rPr>
                <w:rFonts w:hint="eastAsia"/>
                <w:szCs w:val="21"/>
                <w:lang w:val="en-US" w:eastAsia="zh-CN"/>
              </w:rPr>
              <w:t>出料</w:t>
            </w:r>
            <w:r>
              <w:rPr>
                <w:rFonts w:hint="eastAsia"/>
                <w:szCs w:val="21"/>
              </w:rPr>
              <w:t>装车后利用装载机压实，加盖苫布后出库</w:t>
            </w:r>
            <w:r>
              <w:rPr>
                <w:szCs w:val="21"/>
              </w:rPr>
              <w:t>。库内设置足够覆盖工作面的喷雾灭尘装置</w:t>
            </w:r>
            <w:r>
              <w:rPr>
                <w:rFonts w:hint="eastAsia"/>
                <w:szCs w:val="21"/>
              </w:rPr>
              <w:t>，</w:t>
            </w:r>
            <w:r>
              <w:rPr>
                <w:szCs w:val="21"/>
              </w:rPr>
              <w:t>结合库内建设情况</w:t>
            </w:r>
            <w:r>
              <w:rPr>
                <w:rFonts w:hint="eastAsia"/>
                <w:szCs w:val="21"/>
              </w:rPr>
              <w:t>，环评要求采用移动式雾炮</w:t>
            </w:r>
            <w:r>
              <w:rPr>
                <w:rFonts w:hint="eastAsia"/>
                <w:szCs w:val="21"/>
                <w:lang w:val="en-US" w:eastAsia="zh-CN"/>
              </w:rPr>
              <w:t>洒水车或雾炮机</w:t>
            </w:r>
            <w:r>
              <w:rPr>
                <w:rFonts w:hint="eastAsia"/>
                <w:szCs w:val="21"/>
              </w:rPr>
              <w:t>，射程20-40m（可调节），</w:t>
            </w:r>
            <w:r>
              <w:rPr>
                <w:rFonts w:hint="eastAsia"/>
                <w:szCs w:val="21"/>
                <w:lang w:val="en-US" w:eastAsia="zh-CN"/>
              </w:rPr>
              <w:t>工作半径</w:t>
            </w:r>
            <w:r>
              <w:rPr>
                <w:rFonts w:hint="eastAsia"/>
                <w:szCs w:val="21"/>
              </w:rPr>
              <w:t>须覆盖整个储库堆存作业区。</w:t>
            </w:r>
          </w:p>
          <w:p w14:paraId="6C32D09E">
            <w:pPr>
              <w:spacing w:line="360" w:lineRule="auto"/>
              <w:ind w:firstLine="420" w:firstLineChars="200"/>
              <w:rPr>
                <w:bCs/>
                <w:snapToGrid w:val="0"/>
                <w:kern w:val="0"/>
                <w:szCs w:val="21"/>
              </w:rPr>
            </w:pPr>
            <w:r>
              <w:rPr>
                <w:rFonts w:hint="eastAsia"/>
                <w:szCs w:val="21"/>
              </w:rPr>
              <w:t>另外要求储库内地面硬化，减少堆存起尘；储</w:t>
            </w:r>
            <w:r>
              <w:rPr>
                <w:rFonts w:hint="eastAsia"/>
                <w:szCs w:val="21"/>
                <w:lang w:eastAsia="zh-CN"/>
              </w:rPr>
              <w:t>料</w:t>
            </w:r>
            <w:r>
              <w:rPr>
                <w:rFonts w:hint="eastAsia"/>
                <w:szCs w:val="21"/>
              </w:rPr>
              <w:t>库设置2处大门，大门为平开式，处于常闭状态，车辆出入时开启；</w:t>
            </w:r>
            <w:r>
              <w:rPr>
                <w:rFonts w:hint="eastAsia"/>
                <w:szCs w:val="21"/>
                <w:lang w:val="en-US" w:eastAsia="zh-CN"/>
              </w:rPr>
              <w:t>储料库</w:t>
            </w:r>
            <w:r>
              <w:rPr>
                <w:rFonts w:hint="eastAsia"/>
                <w:szCs w:val="21"/>
              </w:rPr>
              <w:t>出口处</w:t>
            </w:r>
            <w:r>
              <w:rPr>
                <w:rFonts w:hint="eastAsia"/>
                <w:szCs w:val="21"/>
                <w:lang w:eastAsia="zh-CN"/>
              </w:rPr>
              <w:t>（</w:t>
            </w:r>
            <w:r>
              <w:rPr>
                <w:rFonts w:hint="eastAsia"/>
                <w:szCs w:val="21"/>
                <w:lang w:val="en-US" w:eastAsia="zh-CN"/>
              </w:rPr>
              <w:t>厂区中部</w:t>
            </w:r>
            <w:r>
              <w:rPr>
                <w:rFonts w:hint="eastAsia"/>
                <w:szCs w:val="21"/>
                <w:lang w:eastAsia="zh-CN"/>
              </w:rPr>
              <w:t>）</w:t>
            </w:r>
            <w:r>
              <w:rPr>
                <w:rFonts w:hint="eastAsia"/>
                <w:szCs w:val="21"/>
              </w:rPr>
              <w:t>设置洗车平台，对运输车辆上路前及时清洗。</w:t>
            </w:r>
          </w:p>
          <w:p w14:paraId="33BC8EAB">
            <w:pPr>
              <w:spacing w:line="360" w:lineRule="auto"/>
              <w:ind w:firstLine="420" w:firstLineChars="200"/>
              <w:rPr>
                <w:rFonts w:hint="eastAsia" w:eastAsia="宋体"/>
                <w:bCs/>
                <w:snapToGrid w:val="0"/>
                <w:kern w:val="0"/>
                <w:szCs w:val="21"/>
                <w:lang w:eastAsia="zh-CN"/>
              </w:rPr>
            </w:pPr>
            <w:r>
              <w:rPr>
                <w:szCs w:val="21"/>
              </w:rPr>
              <w:t>通过以上措施，库内储存</w:t>
            </w:r>
            <w:r>
              <w:rPr>
                <w:rFonts w:hint="eastAsia"/>
                <w:szCs w:val="21"/>
              </w:rPr>
              <w:t>、</w:t>
            </w:r>
            <w:r>
              <w:rPr>
                <w:szCs w:val="21"/>
              </w:rPr>
              <w:t>装卸等工序抑尘效率可达到</w:t>
            </w:r>
            <w:r>
              <w:rPr>
                <w:rFonts w:hint="eastAsia"/>
                <w:szCs w:val="21"/>
                <w:lang w:val="en-US" w:eastAsia="zh-CN"/>
              </w:rPr>
              <w:t>98</w:t>
            </w:r>
            <w:r>
              <w:rPr>
                <w:szCs w:val="21"/>
              </w:rPr>
              <w:t>%以上</w:t>
            </w:r>
            <w:r>
              <w:rPr>
                <w:rFonts w:hint="eastAsia"/>
                <w:szCs w:val="21"/>
              </w:rPr>
              <w:t>，</w:t>
            </w:r>
            <w:r>
              <w:rPr>
                <w:rFonts w:hint="eastAsia"/>
                <w:szCs w:val="21"/>
                <w:lang w:val="en-US" w:eastAsia="zh-CN"/>
              </w:rPr>
              <w:t>此部分无组织颗粒物</w:t>
            </w:r>
            <w:r>
              <w:rPr>
                <w:bCs/>
                <w:snapToGrid w:val="0"/>
                <w:kern w:val="0"/>
                <w:szCs w:val="21"/>
              </w:rPr>
              <w:t>排放量</w:t>
            </w:r>
            <w:r>
              <w:rPr>
                <w:rFonts w:hint="eastAsia"/>
                <w:bCs/>
                <w:snapToGrid w:val="0"/>
                <w:kern w:val="0"/>
                <w:szCs w:val="21"/>
              </w:rPr>
              <w:t>约0.</w:t>
            </w:r>
            <w:r>
              <w:rPr>
                <w:rFonts w:hint="eastAsia"/>
                <w:bCs/>
                <w:snapToGrid w:val="0"/>
                <w:kern w:val="0"/>
                <w:szCs w:val="21"/>
                <w:lang w:val="en-US" w:eastAsia="zh-CN"/>
              </w:rPr>
              <w:t>01</w:t>
            </w:r>
            <w:r>
              <w:rPr>
                <w:rFonts w:hint="eastAsia"/>
                <w:bCs/>
                <w:snapToGrid w:val="0"/>
                <w:kern w:val="0"/>
                <w:szCs w:val="21"/>
              </w:rPr>
              <w:t>t/a</w:t>
            </w:r>
            <w:r>
              <w:rPr>
                <w:rFonts w:hint="eastAsia"/>
                <w:bCs/>
                <w:snapToGrid w:val="0"/>
                <w:kern w:val="0"/>
                <w:szCs w:val="21"/>
                <w:lang w:eastAsia="zh-CN"/>
              </w:rPr>
              <w:t>。</w:t>
            </w:r>
          </w:p>
          <w:p w14:paraId="5D7E494E">
            <w:pPr>
              <w:widowControl/>
              <w:snapToGrid w:val="0"/>
              <w:spacing w:line="360" w:lineRule="auto"/>
              <w:ind w:firstLine="430" w:firstLineChars="204"/>
              <w:rPr>
                <w:rFonts w:hint="default"/>
                <w:bCs/>
                <w:color w:val="auto"/>
                <w:szCs w:val="21"/>
                <w:lang w:val="en-US" w:eastAsia="zh-CN"/>
              </w:rPr>
            </w:pPr>
            <w:r>
              <w:rPr>
                <w:rFonts w:hint="eastAsia"/>
                <w:b/>
                <w:bCs/>
                <w:color w:val="auto"/>
                <w:szCs w:val="21"/>
                <w:lang w:val="en-US" w:eastAsia="zh-CN"/>
              </w:rPr>
              <w:t>（2）</w:t>
            </w:r>
            <w:r>
              <w:rPr>
                <w:rFonts w:hint="eastAsia"/>
                <w:b/>
                <w:bCs w:val="0"/>
                <w:color w:val="auto"/>
                <w:szCs w:val="21"/>
                <w:lang w:val="en-US" w:eastAsia="zh-CN"/>
              </w:rPr>
              <w:t>骨料烘干、筛分及燃烧器燃烧混合废气</w:t>
            </w:r>
          </w:p>
          <w:p w14:paraId="5F724B05">
            <w:pPr>
              <w:spacing w:line="360" w:lineRule="auto"/>
              <w:ind w:firstLine="420" w:firstLineChars="200"/>
              <w:rPr>
                <w:rFonts w:hint="default"/>
                <w:bCs/>
                <w:color w:val="auto"/>
                <w:szCs w:val="21"/>
                <w:lang w:val="en-US" w:eastAsia="zh-CN"/>
              </w:rPr>
            </w:pPr>
            <w:r>
              <w:rPr>
                <w:rFonts w:hint="eastAsia"/>
                <w:bCs/>
                <w:color w:val="auto"/>
                <w:szCs w:val="21"/>
                <w:lang w:val="en-US" w:eastAsia="zh-CN"/>
              </w:rPr>
              <w:t>1）骨料烘干、筛分废气</w:t>
            </w:r>
          </w:p>
          <w:p w14:paraId="2EE1E5ED">
            <w:pPr>
              <w:spacing w:line="360" w:lineRule="auto"/>
              <w:ind w:firstLine="420" w:firstLineChars="200"/>
              <w:rPr>
                <w:rFonts w:hint="default" w:eastAsia="宋体"/>
                <w:color w:val="000000"/>
                <w:spacing w:val="6"/>
                <w:szCs w:val="21"/>
                <w:lang w:val="en-US" w:eastAsia="zh-CN"/>
              </w:rPr>
            </w:pPr>
            <w:r>
              <w:rPr>
                <w:rFonts w:hint="eastAsia"/>
                <w:bCs/>
                <w:color w:val="auto"/>
                <w:szCs w:val="21"/>
                <w:lang w:val="en-US" w:eastAsia="zh-CN"/>
              </w:rPr>
              <w:t>沥青混凝土生产线中骨料在干燥筒内翻滚、烘干、筛分以及热骨料仓过程中，会有一定量的颗粒物产生，烘干滚筒、筛分、热骨料仓均属于封闭设备。本项目沥青凝土生产线生产规模为3万t/a，所需骨料中消耗量为石料22000t/a、机制砂4000t/a。参考</w:t>
            </w:r>
            <w:r>
              <w:rPr>
                <w:rFonts w:hint="eastAsia"/>
                <w:color w:val="000000"/>
                <w:spacing w:val="6"/>
                <w:szCs w:val="21"/>
              </w:rPr>
              <w:t>《逸散性工业粉尘控制技术》，烘干、筛分过程粉尘产生量为0.</w:t>
            </w:r>
            <w:r>
              <w:rPr>
                <w:rFonts w:hint="eastAsia"/>
                <w:color w:val="000000"/>
                <w:spacing w:val="6"/>
                <w:szCs w:val="21"/>
                <w:lang w:val="en-US" w:eastAsia="zh-CN"/>
              </w:rPr>
              <w:t>2</w:t>
            </w:r>
            <w:r>
              <w:rPr>
                <w:rFonts w:hint="eastAsia"/>
                <w:color w:val="000000"/>
                <w:spacing w:val="6"/>
                <w:szCs w:val="21"/>
              </w:rPr>
              <w:t>5kg/t-骨料，由此可计算</w:t>
            </w:r>
            <w:r>
              <w:rPr>
                <w:rFonts w:hint="eastAsia"/>
                <w:color w:val="000000"/>
                <w:spacing w:val="6"/>
                <w:szCs w:val="21"/>
                <w:lang w:val="en-US" w:eastAsia="zh-CN"/>
              </w:rPr>
              <w:t>出颗粒物</w:t>
            </w:r>
            <w:r>
              <w:rPr>
                <w:rFonts w:hint="eastAsia"/>
                <w:color w:val="000000"/>
                <w:spacing w:val="6"/>
                <w:szCs w:val="21"/>
              </w:rPr>
              <w:t>产生量为</w:t>
            </w:r>
            <w:r>
              <w:rPr>
                <w:rFonts w:hint="eastAsia"/>
                <w:color w:val="000000"/>
                <w:spacing w:val="6"/>
                <w:szCs w:val="21"/>
                <w:lang w:val="en-US" w:eastAsia="zh-CN"/>
              </w:rPr>
              <w:t>6.5</w:t>
            </w:r>
            <w:r>
              <w:rPr>
                <w:rFonts w:hint="eastAsia"/>
                <w:color w:val="000000"/>
                <w:spacing w:val="6"/>
                <w:szCs w:val="21"/>
              </w:rPr>
              <w:t>t/a</w:t>
            </w:r>
            <w:r>
              <w:rPr>
                <w:rFonts w:hint="eastAsia"/>
                <w:color w:val="000000"/>
                <w:spacing w:val="6"/>
                <w:szCs w:val="21"/>
                <w:lang w:val="en-US" w:eastAsia="zh-CN"/>
              </w:rPr>
              <w:t>。</w:t>
            </w:r>
          </w:p>
          <w:p w14:paraId="32C95A63">
            <w:pPr>
              <w:spacing w:line="360" w:lineRule="auto"/>
              <w:ind w:firstLine="444" w:firstLineChars="200"/>
              <w:rPr>
                <w:rFonts w:hint="eastAsia"/>
                <w:color w:val="000000"/>
                <w:spacing w:val="6"/>
                <w:szCs w:val="21"/>
                <w:lang w:val="en-US" w:eastAsia="zh-CN"/>
              </w:rPr>
            </w:pPr>
            <w:r>
              <w:rPr>
                <w:rFonts w:hint="eastAsia"/>
                <w:color w:val="000000"/>
                <w:spacing w:val="6"/>
                <w:szCs w:val="21"/>
                <w:lang w:val="en-US" w:eastAsia="zh-CN"/>
              </w:rPr>
              <w:t>2）燃烧器烟气</w:t>
            </w:r>
          </w:p>
          <w:p w14:paraId="56EC634F">
            <w:pPr>
              <w:spacing w:line="360" w:lineRule="auto"/>
              <w:ind w:firstLine="420" w:firstLineChars="200"/>
              <w:rPr>
                <w:rFonts w:hint="eastAsia"/>
                <w:bCs/>
                <w:szCs w:val="21"/>
              </w:rPr>
            </w:pPr>
            <w:r>
              <w:rPr>
                <w:rFonts w:hint="eastAsia"/>
                <w:bCs/>
                <w:szCs w:val="21"/>
              </w:rPr>
              <w:t>项目采用燃油燃烧器产生的高温烟气对骨料进行直接加热，燃料为低硫燃料油，</w:t>
            </w:r>
            <w:r>
              <w:rPr>
                <w:rFonts w:hint="eastAsia"/>
                <w:bCs/>
                <w:szCs w:val="21"/>
                <w:lang w:val="en-US" w:eastAsia="zh-CN"/>
              </w:rPr>
              <w:t>属于轻质柴油，</w:t>
            </w:r>
            <w:r>
              <w:rPr>
                <w:rFonts w:hint="eastAsia"/>
                <w:bCs/>
                <w:szCs w:val="21"/>
              </w:rPr>
              <w:t>含硫量小于</w:t>
            </w:r>
            <w:r>
              <w:rPr>
                <w:rFonts w:hint="eastAsia"/>
                <w:bCs/>
                <w:szCs w:val="21"/>
                <w:lang w:val="en-US" w:eastAsia="zh-CN"/>
              </w:rPr>
              <w:t>10mg/kg（0.001%）</w:t>
            </w:r>
            <w:r>
              <w:rPr>
                <w:rFonts w:hint="eastAsia"/>
                <w:bCs/>
                <w:szCs w:val="21"/>
              </w:rPr>
              <w:t>，评价按0.</w:t>
            </w:r>
            <w:r>
              <w:rPr>
                <w:rFonts w:hint="eastAsia"/>
                <w:bCs/>
                <w:szCs w:val="21"/>
                <w:lang w:val="en-US" w:eastAsia="zh-CN"/>
              </w:rPr>
              <w:t>001</w:t>
            </w:r>
            <w:r>
              <w:rPr>
                <w:rFonts w:hint="eastAsia"/>
                <w:bCs/>
                <w:szCs w:val="21"/>
              </w:rPr>
              <w:t>%</w:t>
            </w:r>
            <w:r>
              <w:rPr>
                <w:rFonts w:hint="eastAsia"/>
                <w:bCs/>
                <w:szCs w:val="21"/>
                <w:lang w:val="en-US" w:eastAsia="zh-CN"/>
              </w:rPr>
              <w:t>计</w:t>
            </w:r>
            <w:r>
              <w:rPr>
                <w:rFonts w:hint="eastAsia"/>
                <w:bCs/>
                <w:szCs w:val="21"/>
              </w:rPr>
              <w:t>算，</w:t>
            </w:r>
            <w:r>
              <w:rPr>
                <w:rFonts w:hint="eastAsia"/>
                <w:bCs/>
                <w:szCs w:val="21"/>
                <w:lang w:val="en-US" w:eastAsia="zh-CN"/>
              </w:rPr>
              <w:t>燃烧器燃烧轻质柴油</w:t>
            </w:r>
            <w:r>
              <w:rPr>
                <w:rFonts w:hint="eastAsia"/>
                <w:bCs/>
                <w:szCs w:val="21"/>
              </w:rPr>
              <w:t>产生的污染物主要有</w:t>
            </w:r>
            <w:r>
              <w:rPr>
                <w:szCs w:val="21"/>
              </w:rPr>
              <w:t>烟尘、SO</w:t>
            </w:r>
            <w:r>
              <w:rPr>
                <w:szCs w:val="21"/>
                <w:vertAlign w:val="subscript"/>
              </w:rPr>
              <w:t>2</w:t>
            </w:r>
            <w:r>
              <w:rPr>
                <w:szCs w:val="21"/>
              </w:rPr>
              <w:t>和NO</w:t>
            </w:r>
            <w:r>
              <w:rPr>
                <w:rFonts w:hint="eastAsia"/>
                <w:szCs w:val="21"/>
              </w:rPr>
              <w:t>x。</w:t>
            </w:r>
          </w:p>
          <w:p w14:paraId="04548D12">
            <w:pPr>
              <w:spacing w:line="360" w:lineRule="auto"/>
              <w:ind w:firstLine="436" w:firstLineChars="200"/>
              <w:rPr>
                <w:rFonts w:hint="eastAsia"/>
                <w:bCs/>
                <w:color w:val="000000"/>
                <w:szCs w:val="21"/>
              </w:rPr>
            </w:pPr>
            <w:r>
              <w:rPr>
                <w:rFonts w:hint="eastAsia"/>
                <w:bCs/>
                <w:color w:val="000000"/>
                <w:spacing w:val="4"/>
                <w:szCs w:val="21"/>
              </w:rPr>
              <w:t>根据设备厂家提供资料，烘干1t冷骨料需要</w:t>
            </w:r>
            <w:r>
              <w:rPr>
                <w:rFonts w:hint="eastAsia"/>
                <w:bCs/>
                <w:color w:val="000000"/>
                <w:spacing w:val="4"/>
                <w:szCs w:val="21"/>
                <w:lang w:val="en-US" w:eastAsia="zh-CN"/>
              </w:rPr>
              <w:t>轻质</w:t>
            </w:r>
            <w:r>
              <w:rPr>
                <w:rFonts w:hint="eastAsia"/>
                <w:bCs/>
                <w:color w:val="000000"/>
                <w:spacing w:val="4"/>
                <w:szCs w:val="21"/>
              </w:rPr>
              <w:t>柴油7kg，</w:t>
            </w:r>
            <w:r>
              <w:rPr>
                <w:rFonts w:hint="eastAsia"/>
                <w:color w:val="000000"/>
                <w:spacing w:val="6"/>
                <w:szCs w:val="21"/>
              </w:rPr>
              <w:t>项目骨料（</w:t>
            </w:r>
            <w:r>
              <w:rPr>
                <w:rFonts w:hint="eastAsia"/>
                <w:color w:val="000000"/>
                <w:spacing w:val="6"/>
                <w:szCs w:val="21"/>
                <w:lang w:val="en-US" w:eastAsia="zh-CN"/>
              </w:rPr>
              <w:t>石料、机制砂</w:t>
            </w:r>
            <w:r>
              <w:rPr>
                <w:rFonts w:hint="eastAsia"/>
                <w:color w:val="000000"/>
                <w:spacing w:val="6"/>
                <w:szCs w:val="21"/>
              </w:rPr>
              <w:t>）用量为</w:t>
            </w:r>
            <w:r>
              <w:rPr>
                <w:rFonts w:hint="eastAsia"/>
                <w:color w:val="000000"/>
                <w:spacing w:val="6"/>
                <w:szCs w:val="21"/>
                <w:lang w:val="en-US" w:eastAsia="zh-CN"/>
              </w:rPr>
              <w:t>26</w:t>
            </w:r>
            <w:r>
              <w:rPr>
                <w:rFonts w:hint="eastAsia"/>
                <w:color w:val="000000"/>
                <w:spacing w:val="6"/>
                <w:szCs w:val="21"/>
              </w:rPr>
              <w:t>000t/a，则骨料烘干需消耗柴油量约为</w:t>
            </w:r>
            <w:r>
              <w:rPr>
                <w:rFonts w:hint="eastAsia"/>
                <w:color w:val="000000"/>
                <w:spacing w:val="6"/>
                <w:szCs w:val="21"/>
                <w:lang w:val="en-US" w:eastAsia="zh-CN"/>
              </w:rPr>
              <w:t>182</w:t>
            </w:r>
            <w:r>
              <w:rPr>
                <w:rFonts w:hint="eastAsia"/>
                <w:color w:val="000000"/>
                <w:spacing w:val="6"/>
                <w:szCs w:val="21"/>
              </w:rPr>
              <w:t>t/a。</w:t>
            </w:r>
            <w:r>
              <w:rPr>
                <w:color w:val="000000"/>
                <w:spacing w:val="6"/>
                <w:szCs w:val="21"/>
              </w:rPr>
              <w:t>参考</w:t>
            </w:r>
            <w:r>
              <w:rPr>
                <w:rFonts w:hint="eastAsia" w:cs="Times New Roman"/>
                <w:color w:val="auto"/>
                <w:sz w:val="21"/>
                <w:szCs w:val="21"/>
                <w:lang w:val="en-US" w:eastAsia="zh-CN"/>
              </w:rPr>
              <w:t>《排放源统计调查产排污核算方法和系数手册》（2021年）</w:t>
            </w:r>
            <w:r>
              <w:rPr>
                <w:rFonts w:hint="eastAsia"/>
                <w:color w:val="000000"/>
                <w:spacing w:val="6"/>
                <w:szCs w:val="21"/>
              </w:rPr>
              <w:t>中430</w:t>
            </w:r>
            <w:r>
              <w:rPr>
                <w:rFonts w:hint="eastAsia"/>
                <w:color w:val="000000"/>
                <w:spacing w:val="6"/>
                <w:szCs w:val="21"/>
                <w:lang w:val="en-US" w:eastAsia="zh-CN"/>
              </w:rPr>
              <w:t>工业锅炉（热力生产和供应行业）-燃油工业锅炉</w:t>
            </w:r>
            <w:r>
              <w:rPr>
                <w:color w:val="000000"/>
                <w:spacing w:val="6"/>
                <w:szCs w:val="21"/>
              </w:rPr>
              <w:t>，</w:t>
            </w:r>
            <w:r>
              <w:rPr>
                <w:rFonts w:hint="eastAsia"/>
                <w:bCs/>
                <w:color w:val="000000"/>
                <w:szCs w:val="21"/>
                <w:lang w:val="en-US" w:eastAsia="zh-CN"/>
              </w:rPr>
              <w:t>颗粒物</w:t>
            </w:r>
            <w:r>
              <w:rPr>
                <w:rFonts w:hint="eastAsia"/>
                <w:bCs/>
                <w:color w:val="000000"/>
                <w:szCs w:val="21"/>
              </w:rPr>
              <w:t>、SO</w:t>
            </w:r>
            <w:r>
              <w:rPr>
                <w:rFonts w:hint="eastAsia"/>
                <w:bCs/>
                <w:color w:val="000000"/>
                <w:szCs w:val="21"/>
                <w:vertAlign w:val="subscript"/>
              </w:rPr>
              <w:t>2</w:t>
            </w:r>
            <w:r>
              <w:rPr>
                <w:rFonts w:hint="eastAsia"/>
                <w:bCs/>
                <w:color w:val="000000"/>
                <w:szCs w:val="21"/>
              </w:rPr>
              <w:t>、NO</w:t>
            </w:r>
            <w:r>
              <w:rPr>
                <w:rFonts w:hint="eastAsia"/>
                <w:bCs/>
                <w:color w:val="000000"/>
                <w:szCs w:val="21"/>
                <w:vertAlign w:val="subscript"/>
              </w:rPr>
              <w:t>x</w:t>
            </w:r>
            <w:r>
              <w:rPr>
                <w:rFonts w:hint="eastAsia"/>
                <w:bCs/>
                <w:color w:val="000000"/>
                <w:szCs w:val="21"/>
              </w:rPr>
              <w:t>产污系数见表</w:t>
            </w:r>
            <w:r>
              <w:rPr>
                <w:rFonts w:hint="eastAsia"/>
                <w:bCs/>
                <w:color w:val="000000"/>
                <w:szCs w:val="21"/>
                <w:lang w:val="en-US" w:eastAsia="zh-CN"/>
              </w:rPr>
              <w:t>4.1</w:t>
            </w:r>
            <w:r>
              <w:rPr>
                <w:rFonts w:hint="eastAsia"/>
                <w:bCs/>
                <w:color w:val="000000"/>
                <w:szCs w:val="21"/>
              </w:rPr>
              <w:t>-2。</w:t>
            </w:r>
          </w:p>
          <w:p w14:paraId="595121B1">
            <w:pPr>
              <w:jc w:val="center"/>
              <w:rPr>
                <w:b/>
                <w:sz w:val="18"/>
                <w:szCs w:val="18"/>
              </w:rPr>
            </w:pPr>
            <w:r>
              <w:rPr>
                <w:b/>
                <w:sz w:val="18"/>
                <w:szCs w:val="18"/>
              </w:rPr>
              <w:t>表</w:t>
            </w:r>
            <w:r>
              <w:rPr>
                <w:rFonts w:hint="eastAsia"/>
                <w:b/>
                <w:sz w:val="18"/>
                <w:szCs w:val="18"/>
                <w:lang w:val="en-US" w:eastAsia="zh-CN"/>
              </w:rPr>
              <w:t>4.1</w:t>
            </w:r>
            <w:r>
              <w:rPr>
                <w:rFonts w:hint="eastAsia"/>
                <w:b/>
                <w:sz w:val="18"/>
                <w:szCs w:val="18"/>
              </w:rPr>
              <w:t>-2</w:t>
            </w:r>
            <w:r>
              <w:rPr>
                <w:rFonts w:hint="eastAsia"/>
                <w:b/>
                <w:sz w:val="18"/>
                <w:szCs w:val="18"/>
                <w:lang w:val="en-US" w:eastAsia="zh-CN"/>
              </w:rPr>
              <w:t xml:space="preserve">    </w:t>
            </w:r>
            <w:r>
              <w:rPr>
                <w:rFonts w:hint="eastAsia"/>
                <w:b/>
                <w:sz w:val="18"/>
                <w:szCs w:val="18"/>
              </w:rPr>
              <w:t>燃油燃烧器产污系数一览表</w:t>
            </w:r>
          </w:p>
          <w:tbl>
            <w:tblPr>
              <w:tblStyle w:val="47"/>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118"/>
              <w:gridCol w:w="815"/>
              <w:gridCol w:w="817"/>
              <w:gridCol w:w="1316"/>
              <w:gridCol w:w="1192"/>
              <w:gridCol w:w="1621"/>
              <w:gridCol w:w="1171"/>
            </w:tblGrid>
            <w:tr w14:paraId="76F5CF8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94" w:type="pct"/>
                  <w:noWrap w:val="0"/>
                  <w:vAlign w:val="center"/>
                </w:tcPr>
                <w:p w14:paraId="38F4A973">
                  <w:pPr>
                    <w:widowControl/>
                    <w:snapToGrid w:val="0"/>
                    <w:jc w:val="center"/>
                    <w:rPr>
                      <w:kern w:val="0"/>
                      <w:sz w:val="18"/>
                      <w:szCs w:val="18"/>
                    </w:rPr>
                  </w:pPr>
                  <w:r>
                    <w:rPr>
                      <w:kern w:val="0"/>
                      <w:sz w:val="18"/>
                      <w:szCs w:val="18"/>
                    </w:rPr>
                    <w:t>产品名称</w:t>
                  </w:r>
                </w:p>
              </w:tc>
              <w:tc>
                <w:tcPr>
                  <w:tcW w:w="506" w:type="pct"/>
                  <w:noWrap w:val="0"/>
                  <w:vAlign w:val="center"/>
                </w:tcPr>
                <w:p w14:paraId="7CD1BA64">
                  <w:pPr>
                    <w:widowControl/>
                    <w:snapToGrid w:val="0"/>
                    <w:jc w:val="center"/>
                    <w:rPr>
                      <w:kern w:val="0"/>
                      <w:sz w:val="18"/>
                      <w:szCs w:val="18"/>
                    </w:rPr>
                  </w:pPr>
                  <w:r>
                    <w:rPr>
                      <w:kern w:val="0"/>
                      <w:sz w:val="18"/>
                      <w:szCs w:val="18"/>
                    </w:rPr>
                    <w:t>原料</w:t>
                  </w:r>
                </w:p>
              </w:tc>
              <w:tc>
                <w:tcPr>
                  <w:tcW w:w="507" w:type="pct"/>
                  <w:noWrap w:val="0"/>
                  <w:vAlign w:val="center"/>
                </w:tcPr>
                <w:p w14:paraId="3C11BE81">
                  <w:pPr>
                    <w:widowControl/>
                    <w:snapToGrid w:val="0"/>
                    <w:jc w:val="center"/>
                    <w:rPr>
                      <w:kern w:val="0"/>
                      <w:sz w:val="18"/>
                      <w:szCs w:val="18"/>
                    </w:rPr>
                  </w:pPr>
                  <w:r>
                    <w:rPr>
                      <w:kern w:val="0"/>
                      <w:sz w:val="18"/>
                      <w:szCs w:val="18"/>
                    </w:rPr>
                    <w:t>工艺</w:t>
                  </w:r>
                </w:p>
              </w:tc>
              <w:tc>
                <w:tcPr>
                  <w:tcW w:w="817" w:type="pct"/>
                  <w:noWrap w:val="0"/>
                  <w:vAlign w:val="center"/>
                </w:tcPr>
                <w:p w14:paraId="0E99EBA0">
                  <w:pPr>
                    <w:widowControl/>
                    <w:snapToGrid w:val="0"/>
                    <w:jc w:val="center"/>
                    <w:rPr>
                      <w:kern w:val="0"/>
                      <w:sz w:val="18"/>
                      <w:szCs w:val="18"/>
                    </w:rPr>
                  </w:pPr>
                  <w:r>
                    <w:rPr>
                      <w:kern w:val="0"/>
                      <w:sz w:val="18"/>
                      <w:szCs w:val="18"/>
                    </w:rPr>
                    <w:t>规模等级</w:t>
                  </w:r>
                </w:p>
              </w:tc>
              <w:tc>
                <w:tcPr>
                  <w:tcW w:w="740" w:type="pct"/>
                  <w:noWrap w:val="0"/>
                  <w:vAlign w:val="center"/>
                </w:tcPr>
                <w:p w14:paraId="1385FCE0">
                  <w:pPr>
                    <w:widowControl/>
                    <w:snapToGrid w:val="0"/>
                    <w:jc w:val="center"/>
                    <w:rPr>
                      <w:kern w:val="0"/>
                      <w:sz w:val="18"/>
                      <w:szCs w:val="18"/>
                    </w:rPr>
                  </w:pPr>
                  <w:r>
                    <w:rPr>
                      <w:kern w:val="0"/>
                      <w:sz w:val="18"/>
                      <w:szCs w:val="18"/>
                    </w:rPr>
                    <w:t>污染物指标</w:t>
                  </w:r>
                </w:p>
              </w:tc>
              <w:tc>
                <w:tcPr>
                  <w:tcW w:w="1006" w:type="pct"/>
                  <w:noWrap w:val="0"/>
                  <w:vAlign w:val="center"/>
                </w:tcPr>
                <w:p w14:paraId="4A5A373D">
                  <w:pPr>
                    <w:widowControl/>
                    <w:snapToGrid w:val="0"/>
                    <w:jc w:val="center"/>
                    <w:rPr>
                      <w:kern w:val="0"/>
                      <w:sz w:val="18"/>
                      <w:szCs w:val="18"/>
                    </w:rPr>
                  </w:pPr>
                  <w:r>
                    <w:rPr>
                      <w:kern w:val="0"/>
                      <w:sz w:val="18"/>
                      <w:szCs w:val="18"/>
                    </w:rPr>
                    <w:t>单位</w:t>
                  </w:r>
                </w:p>
              </w:tc>
              <w:tc>
                <w:tcPr>
                  <w:tcW w:w="726" w:type="pct"/>
                  <w:noWrap w:val="0"/>
                  <w:vAlign w:val="center"/>
                </w:tcPr>
                <w:p w14:paraId="5BB23316">
                  <w:pPr>
                    <w:widowControl/>
                    <w:snapToGrid w:val="0"/>
                    <w:jc w:val="center"/>
                    <w:rPr>
                      <w:kern w:val="0"/>
                      <w:sz w:val="18"/>
                      <w:szCs w:val="18"/>
                    </w:rPr>
                  </w:pPr>
                  <w:r>
                    <w:rPr>
                      <w:kern w:val="0"/>
                      <w:sz w:val="18"/>
                      <w:szCs w:val="18"/>
                    </w:rPr>
                    <w:t>产污系数</w:t>
                  </w:r>
                </w:p>
              </w:tc>
            </w:tr>
            <w:tr w14:paraId="513056D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1" w:hRule="atLeast"/>
                <w:jc w:val="center"/>
              </w:trPr>
              <w:tc>
                <w:tcPr>
                  <w:tcW w:w="694" w:type="pct"/>
                  <w:vMerge w:val="restart"/>
                  <w:noWrap w:val="0"/>
                  <w:vAlign w:val="center"/>
                </w:tcPr>
                <w:p w14:paraId="55EE0CA6">
                  <w:pPr>
                    <w:jc w:val="center"/>
                    <w:rPr>
                      <w:rFonts w:hint="eastAsia"/>
                      <w:sz w:val="18"/>
                      <w:szCs w:val="18"/>
                    </w:rPr>
                  </w:pPr>
                  <w:r>
                    <w:rPr>
                      <w:kern w:val="0"/>
                      <w:sz w:val="18"/>
                      <w:szCs w:val="18"/>
                    </w:rPr>
                    <w:t>蒸汽/热水/其它</w:t>
                  </w:r>
                </w:p>
              </w:tc>
              <w:tc>
                <w:tcPr>
                  <w:tcW w:w="506" w:type="pct"/>
                  <w:vMerge w:val="restart"/>
                  <w:noWrap w:val="0"/>
                  <w:vAlign w:val="center"/>
                </w:tcPr>
                <w:p w14:paraId="065E1550">
                  <w:pPr>
                    <w:jc w:val="center"/>
                    <w:rPr>
                      <w:rFonts w:hint="eastAsia"/>
                      <w:sz w:val="18"/>
                      <w:szCs w:val="18"/>
                    </w:rPr>
                  </w:pPr>
                  <w:r>
                    <w:rPr>
                      <w:rFonts w:hint="eastAsia"/>
                      <w:sz w:val="18"/>
                      <w:szCs w:val="18"/>
                      <w:lang w:val="en-US" w:eastAsia="zh-CN"/>
                    </w:rPr>
                    <w:t>柴</w:t>
                  </w:r>
                  <w:r>
                    <w:rPr>
                      <w:rFonts w:hint="eastAsia"/>
                      <w:sz w:val="18"/>
                      <w:szCs w:val="18"/>
                    </w:rPr>
                    <w:t>油</w:t>
                  </w:r>
                </w:p>
              </w:tc>
              <w:tc>
                <w:tcPr>
                  <w:tcW w:w="507" w:type="pct"/>
                  <w:vMerge w:val="restart"/>
                  <w:noWrap w:val="0"/>
                  <w:vAlign w:val="center"/>
                </w:tcPr>
                <w:p w14:paraId="305C1E9F">
                  <w:pPr>
                    <w:jc w:val="center"/>
                    <w:rPr>
                      <w:rFonts w:hint="eastAsia"/>
                      <w:sz w:val="18"/>
                      <w:szCs w:val="18"/>
                    </w:rPr>
                  </w:pPr>
                  <w:r>
                    <w:rPr>
                      <w:rFonts w:hint="eastAsia"/>
                      <w:sz w:val="18"/>
                      <w:szCs w:val="18"/>
                    </w:rPr>
                    <w:t>室燃炉</w:t>
                  </w:r>
                </w:p>
              </w:tc>
              <w:tc>
                <w:tcPr>
                  <w:tcW w:w="817" w:type="pct"/>
                  <w:vMerge w:val="restart"/>
                  <w:noWrap w:val="0"/>
                  <w:vAlign w:val="center"/>
                </w:tcPr>
                <w:p w14:paraId="5D89323C">
                  <w:pPr>
                    <w:jc w:val="center"/>
                    <w:rPr>
                      <w:rFonts w:hint="eastAsia"/>
                      <w:sz w:val="18"/>
                      <w:szCs w:val="18"/>
                    </w:rPr>
                  </w:pPr>
                  <w:r>
                    <w:rPr>
                      <w:rFonts w:hint="eastAsia"/>
                      <w:sz w:val="18"/>
                      <w:szCs w:val="18"/>
                    </w:rPr>
                    <w:t>所有规模</w:t>
                  </w:r>
                </w:p>
              </w:tc>
              <w:tc>
                <w:tcPr>
                  <w:tcW w:w="740" w:type="pct"/>
                  <w:noWrap w:val="0"/>
                  <w:vAlign w:val="center"/>
                </w:tcPr>
                <w:p w14:paraId="6BB3864B">
                  <w:pPr>
                    <w:jc w:val="center"/>
                    <w:rPr>
                      <w:rFonts w:hint="eastAsia"/>
                      <w:sz w:val="18"/>
                      <w:szCs w:val="18"/>
                    </w:rPr>
                  </w:pPr>
                  <w:r>
                    <w:rPr>
                      <w:kern w:val="0"/>
                      <w:sz w:val="18"/>
                      <w:szCs w:val="18"/>
                    </w:rPr>
                    <w:t>二氧化硫</w:t>
                  </w:r>
                </w:p>
              </w:tc>
              <w:tc>
                <w:tcPr>
                  <w:tcW w:w="1006" w:type="pct"/>
                  <w:noWrap w:val="0"/>
                  <w:vAlign w:val="center"/>
                </w:tcPr>
                <w:p w14:paraId="48994ED2">
                  <w:pPr>
                    <w:jc w:val="center"/>
                    <w:rPr>
                      <w:rFonts w:hint="eastAsia"/>
                      <w:sz w:val="18"/>
                      <w:szCs w:val="18"/>
                    </w:rPr>
                  </w:pPr>
                  <w:r>
                    <w:rPr>
                      <w:kern w:val="0"/>
                      <w:sz w:val="18"/>
                      <w:szCs w:val="18"/>
                    </w:rPr>
                    <w:t>千克/吨-原料</w:t>
                  </w:r>
                </w:p>
              </w:tc>
              <w:tc>
                <w:tcPr>
                  <w:tcW w:w="726" w:type="pct"/>
                  <w:noWrap w:val="0"/>
                  <w:vAlign w:val="center"/>
                </w:tcPr>
                <w:p w14:paraId="76F9E85D">
                  <w:pPr>
                    <w:jc w:val="center"/>
                    <w:rPr>
                      <w:rFonts w:hint="eastAsia"/>
                      <w:sz w:val="18"/>
                      <w:szCs w:val="18"/>
                    </w:rPr>
                  </w:pPr>
                  <w:r>
                    <w:rPr>
                      <w:kern w:val="0"/>
                      <w:sz w:val="18"/>
                      <w:szCs w:val="18"/>
                    </w:rPr>
                    <w:t>19S</w:t>
                  </w:r>
                  <w:r>
                    <w:rPr>
                      <w:sz w:val="18"/>
                      <w:szCs w:val="18"/>
                      <w:vertAlign w:val="superscript"/>
                    </w:rPr>
                    <w:fldChar w:fldCharType="begin"/>
                  </w:r>
                  <w:r>
                    <w:rPr>
                      <w:sz w:val="18"/>
                      <w:szCs w:val="18"/>
                      <w:vertAlign w:val="superscript"/>
                    </w:rPr>
                    <w:instrText xml:space="preserve"> = 1 \* GB3 </w:instrText>
                  </w:r>
                  <w:r>
                    <w:rPr>
                      <w:sz w:val="18"/>
                      <w:szCs w:val="18"/>
                      <w:vertAlign w:val="superscript"/>
                    </w:rPr>
                    <w:fldChar w:fldCharType="separate"/>
                  </w:r>
                  <w:r>
                    <w:rPr>
                      <w:sz w:val="18"/>
                      <w:szCs w:val="18"/>
                      <w:vertAlign w:val="superscript"/>
                    </w:rPr>
                    <w:t>①</w:t>
                  </w:r>
                  <w:r>
                    <w:rPr>
                      <w:sz w:val="18"/>
                      <w:szCs w:val="18"/>
                      <w:vertAlign w:val="superscript"/>
                    </w:rPr>
                    <w:fldChar w:fldCharType="end"/>
                  </w:r>
                </w:p>
              </w:tc>
            </w:tr>
            <w:tr w14:paraId="59BC362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94" w:type="pct"/>
                  <w:vMerge w:val="continue"/>
                  <w:noWrap w:val="0"/>
                  <w:vAlign w:val="center"/>
                </w:tcPr>
                <w:p w14:paraId="12B264D2">
                  <w:pPr>
                    <w:jc w:val="center"/>
                    <w:rPr>
                      <w:rFonts w:hint="eastAsia"/>
                      <w:sz w:val="18"/>
                      <w:szCs w:val="18"/>
                    </w:rPr>
                  </w:pPr>
                </w:p>
              </w:tc>
              <w:tc>
                <w:tcPr>
                  <w:tcW w:w="506" w:type="pct"/>
                  <w:vMerge w:val="continue"/>
                  <w:noWrap w:val="0"/>
                  <w:vAlign w:val="center"/>
                </w:tcPr>
                <w:p w14:paraId="7EB0928C">
                  <w:pPr>
                    <w:jc w:val="center"/>
                    <w:rPr>
                      <w:rFonts w:hint="eastAsia"/>
                      <w:sz w:val="18"/>
                      <w:szCs w:val="18"/>
                    </w:rPr>
                  </w:pPr>
                </w:p>
              </w:tc>
              <w:tc>
                <w:tcPr>
                  <w:tcW w:w="507" w:type="pct"/>
                  <w:vMerge w:val="continue"/>
                  <w:noWrap w:val="0"/>
                  <w:vAlign w:val="center"/>
                </w:tcPr>
                <w:p w14:paraId="0893B9BD">
                  <w:pPr>
                    <w:jc w:val="center"/>
                    <w:rPr>
                      <w:rFonts w:hint="eastAsia"/>
                      <w:sz w:val="18"/>
                      <w:szCs w:val="18"/>
                    </w:rPr>
                  </w:pPr>
                </w:p>
              </w:tc>
              <w:tc>
                <w:tcPr>
                  <w:tcW w:w="817" w:type="pct"/>
                  <w:vMerge w:val="continue"/>
                  <w:noWrap w:val="0"/>
                  <w:vAlign w:val="center"/>
                </w:tcPr>
                <w:p w14:paraId="2FFDA26A">
                  <w:pPr>
                    <w:jc w:val="center"/>
                    <w:rPr>
                      <w:rFonts w:hint="eastAsia"/>
                      <w:sz w:val="18"/>
                      <w:szCs w:val="18"/>
                    </w:rPr>
                  </w:pPr>
                </w:p>
              </w:tc>
              <w:tc>
                <w:tcPr>
                  <w:tcW w:w="740" w:type="pct"/>
                  <w:noWrap w:val="0"/>
                  <w:vAlign w:val="center"/>
                </w:tcPr>
                <w:p w14:paraId="7357D2E9">
                  <w:pPr>
                    <w:jc w:val="center"/>
                    <w:rPr>
                      <w:rFonts w:hint="eastAsia" w:eastAsia="宋体"/>
                      <w:sz w:val="18"/>
                      <w:szCs w:val="18"/>
                      <w:lang w:eastAsia="zh-CN"/>
                    </w:rPr>
                  </w:pPr>
                  <w:r>
                    <w:rPr>
                      <w:rFonts w:hint="eastAsia"/>
                      <w:kern w:val="0"/>
                      <w:sz w:val="18"/>
                      <w:szCs w:val="18"/>
                      <w:lang w:val="en-US" w:eastAsia="zh-CN"/>
                    </w:rPr>
                    <w:t>颗粒物</w:t>
                  </w:r>
                </w:p>
              </w:tc>
              <w:tc>
                <w:tcPr>
                  <w:tcW w:w="1006" w:type="pct"/>
                  <w:noWrap w:val="0"/>
                  <w:vAlign w:val="center"/>
                </w:tcPr>
                <w:p w14:paraId="0317FD73">
                  <w:pPr>
                    <w:jc w:val="center"/>
                    <w:rPr>
                      <w:rFonts w:hint="eastAsia"/>
                      <w:sz w:val="18"/>
                      <w:szCs w:val="18"/>
                    </w:rPr>
                  </w:pPr>
                  <w:r>
                    <w:rPr>
                      <w:kern w:val="0"/>
                      <w:sz w:val="18"/>
                      <w:szCs w:val="18"/>
                    </w:rPr>
                    <w:t>千克/吨-原料</w:t>
                  </w:r>
                </w:p>
              </w:tc>
              <w:tc>
                <w:tcPr>
                  <w:tcW w:w="726" w:type="pct"/>
                  <w:noWrap w:val="0"/>
                  <w:vAlign w:val="center"/>
                </w:tcPr>
                <w:p w14:paraId="15D69539">
                  <w:pPr>
                    <w:jc w:val="center"/>
                    <w:rPr>
                      <w:rFonts w:hint="default" w:eastAsia="宋体"/>
                      <w:sz w:val="18"/>
                      <w:szCs w:val="18"/>
                      <w:lang w:val="en-US" w:eastAsia="zh-CN"/>
                    </w:rPr>
                  </w:pPr>
                  <w:r>
                    <w:rPr>
                      <w:rFonts w:hint="eastAsia"/>
                      <w:kern w:val="0"/>
                      <w:sz w:val="18"/>
                      <w:szCs w:val="18"/>
                      <w:lang w:val="en-US" w:eastAsia="zh-CN"/>
                    </w:rPr>
                    <w:t>0.26</w:t>
                  </w:r>
                </w:p>
              </w:tc>
            </w:tr>
            <w:tr w14:paraId="3274F0D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94" w:type="pct"/>
                  <w:vMerge w:val="continue"/>
                  <w:noWrap w:val="0"/>
                  <w:vAlign w:val="center"/>
                </w:tcPr>
                <w:p w14:paraId="78F8AD44">
                  <w:pPr>
                    <w:jc w:val="center"/>
                    <w:rPr>
                      <w:rFonts w:hint="eastAsia"/>
                      <w:sz w:val="18"/>
                      <w:szCs w:val="18"/>
                    </w:rPr>
                  </w:pPr>
                </w:p>
              </w:tc>
              <w:tc>
                <w:tcPr>
                  <w:tcW w:w="506" w:type="pct"/>
                  <w:vMerge w:val="continue"/>
                  <w:noWrap w:val="0"/>
                  <w:vAlign w:val="center"/>
                </w:tcPr>
                <w:p w14:paraId="3BE40046">
                  <w:pPr>
                    <w:jc w:val="center"/>
                    <w:rPr>
                      <w:rFonts w:hint="eastAsia"/>
                      <w:sz w:val="18"/>
                      <w:szCs w:val="18"/>
                    </w:rPr>
                  </w:pPr>
                </w:p>
              </w:tc>
              <w:tc>
                <w:tcPr>
                  <w:tcW w:w="507" w:type="pct"/>
                  <w:vMerge w:val="continue"/>
                  <w:noWrap w:val="0"/>
                  <w:vAlign w:val="center"/>
                </w:tcPr>
                <w:p w14:paraId="69C390A0">
                  <w:pPr>
                    <w:jc w:val="center"/>
                    <w:rPr>
                      <w:rFonts w:hint="eastAsia"/>
                      <w:sz w:val="18"/>
                      <w:szCs w:val="18"/>
                    </w:rPr>
                  </w:pPr>
                </w:p>
              </w:tc>
              <w:tc>
                <w:tcPr>
                  <w:tcW w:w="817" w:type="pct"/>
                  <w:vMerge w:val="continue"/>
                  <w:noWrap w:val="0"/>
                  <w:vAlign w:val="center"/>
                </w:tcPr>
                <w:p w14:paraId="71C9B959">
                  <w:pPr>
                    <w:jc w:val="center"/>
                    <w:rPr>
                      <w:rFonts w:hint="eastAsia"/>
                      <w:sz w:val="18"/>
                      <w:szCs w:val="18"/>
                    </w:rPr>
                  </w:pPr>
                </w:p>
              </w:tc>
              <w:tc>
                <w:tcPr>
                  <w:tcW w:w="740" w:type="pct"/>
                  <w:noWrap w:val="0"/>
                  <w:vAlign w:val="center"/>
                </w:tcPr>
                <w:p w14:paraId="2C712BF1">
                  <w:pPr>
                    <w:jc w:val="center"/>
                    <w:rPr>
                      <w:rFonts w:hint="eastAsia"/>
                      <w:sz w:val="18"/>
                      <w:szCs w:val="18"/>
                    </w:rPr>
                  </w:pPr>
                  <w:r>
                    <w:rPr>
                      <w:kern w:val="0"/>
                      <w:sz w:val="18"/>
                      <w:szCs w:val="18"/>
                    </w:rPr>
                    <w:t>氮氧化物</w:t>
                  </w:r>
                </w:p>
              </w:tc>
              <w:tc>
                <w:tcPr>
                  <w:tcW w:w="1006" w:type="pct"/>
                  <w:noWrap w:val="0"/>
                  <w:vAlign w:val="center"/>
                </w:tcPr>
                <w:p w14:paraId="2AF00414">
                  <w:pPr>
                    <w:jc w:val="center"/>
                    <w:rPr>
                      <w:rFonts w:hint="eastAsia"/>
                      <w:sz w:val="18"/>
                      <w:szCs w:val="18"/>
                    </w:rPr>
                  </w:pPr>
                  <w:r>
                    <w:rPr>
                      <w:kern w:val="0"/>
                      <w:sz w:val="18"/>
                      <w:szCs w:val="18"/>
                    </w:rPr>
                    <w:t>千克/吨-原料</w:t>
                  </w:r>
                </w:p>
              </w:tc>
              <w:tc>
                <w:tcPr>
                  <w:tcW w:w="726" w:type="pct"/>
                  <w:noWrap w:val="0"/>
                  <w:vAlign w:val="center"/>
                </w:tcPr>
                <w:p w14:paraId="1B61B75D">
                  <w:pPr>
                    <w:jc w:val="center"/>
                    <w:rPr>
                      <w:rFonts w:hint="default" w:eastAsia="宋体"/>
                      <w:sz w:val="18"/>
                      <w:szCs w:val="18"/>
                      <w:lang w:val="en-US" w:eastAsia="zh-CN"/>
                    </w:rPr>
                  </w:pPr>
                  <w:r>
                    <w:rPr>
                      <w:kern w:val="0"/>
                      <w:sz w:val="18"/>
                      <w:szCs w:val="18"/>
                    </w:rPr>
                    <w:t>3.</w:t>
                  </w:r>
                  <w:r>
                    <w:rPr>
                      <w:rFonts w:hint="eastAsia"/>
                      <w:kern w:val="0"/>
                      <w:sz w:val="18"/>
                      <w:szCs w:val="18"/>
                      <w:lang w:val="en-US" w:eastAsia="zh-CN"/>
                    </w:rPr>
                    <w:t>03</w:t>
                  </w:r>
                </w:p>
              </w:tc>
            </w:tr>
            <w:tr w14:paraId="1D62E40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94" w:type="pct"/>
                  <w:vMerge w:val="continue"/>
                  <w:noWrap w:val="0"/>
                  <w:vAlign w:val="center"/>
                </w:tcPr>
                <w:p w14:paraId="46CFF4D4">
                  <w:pPr>
                    <w:jc w:val="center"/>
                    <w:rPr>
                      <w:rFonts w:hint="eastAsia"/>
                      <w:sz w:val="18"/>
                      <w:szCs w:val="18"/>
                    </w:rPr>
                  </w:pPr>
                </w:p>
              </w:tc>
              <w:tc>
                <w:tcPr>
                  <w:tcW w:w="506" w:type="pct"/>
                  <w:vMerge w:val="continue"/>
                  <w:noWrap w:val="0"/>
                  <w:vAlign w:val="center"/>
                </w:tcPr>
                <w:p w14:paraId="50A42240">
                  <w:pPr>
                    <w:jc w:val="center"/>
                    <w:rPr>
                      <w:rFonts w:hint="eastAsia"/>
                      <w:sz w:val="18"/>
                      <w:szCs w:val="18"/>
                    </w:rPr>
                  </w:pPr>
                </w:p>
              </w:tc>
              <w:tc>
                <w:tcPr>
                  <w:tcW w:w="507" w:type="pct"/>
                  <w:vMerge w:val="continue"/>
                  <w:noWrap w:val="0"/>
                  <w:vAlign w:val="center"/>
                </w:tcPr>
                <w:p w14:paraId="5F0DDD2C">
                  <w:pPr>
                    <w:jc w:val="center"/>
                    <w:rPr>
                      <w:rFonts w:hint="eastAsia"/>
                      <w:sz w:val="18"/>
                      <w:szCs w:val="18"/>
                    </w:rPr>
                  </w:pPr>
                </w:p>
              </w:tc>
              <w:tc>
                <w:tcPr>
                  <w:tcW w:w="817" w:type="pct"/>
                  <w:vMerge w:val="continue"/>
                  <w:noWrap w:val="0"/>
                  <w:vAlign w:val="center"/>
                </w:tcPr>
                <w:p w14:paraId="1BE333ED">
                  <w:pPr>
                    <w:jc w:val="center"/>
                    <w:rPr>
                      <w:rFonts w:hint="eastAsia"/>
                      <w:sz w:val="18"/>
                      <w:szCs w:val="18"/>
                    </w:rPr>
                  </w:pPr>
                </w:p>
              </w:tc>
              <w:tc>
                <w:tcPr>
                  <w:tcW w:w="740" w:type="pct"/>
                  <w:noWrap w:val="0"/>
                  <w:vAlign w:val="center"/>
                </w:tcPr>
                <w:p w14:paraId="65F3411C">
                  <w:pPr>
                    <w:jc w:val="center"/>
                    <w:rPr>
                      <w:rFonts w:hint="eastAsia" w:eastAsia="宋体"/>
                      <w:kern w:val="0"/>
                      <w:sz w:val="18"/>
                      <w:szCs w:val="18"/>
                      <w:lang w:val="en-US" w:eastAsia="zh-CN"/>
                    </w:rPr>
                  </w:pPr>
                  <w:r>
                    <w:rPr>
                      <w:rFonts w:hint="eastAsia"/>
                      <w:kern w:val="0"/>
                      <w:sz w:val="18"/>
                      <w:szCs w:val="18"/>
                      <w:lang w:val="en-US" w:eastAsia="zh-CN"/>
                    </w:rPr>
                    <w:t>废气量</w:t>
                  </w:r>
                </w:p>
              </w:tc>
              <w:tc>
                <w:tcPr>
                  <w:tcW w:w="1006" w:type="pct"/>
                  <w:noWrap w:val="0"/>
                  <w:vAlign w:val="center"/>
                </w:tcPr>
                <w:p w14:paraId="3BF561FC">
                  <w:pPr>
                    <w:jc w:val="center"/>
                    <w:rPr>
                      <w:rFonts w:hint="default" w:eastAsia="宋体"/>
                      <w:kern w:val="0"/>
                      <w:sz w:val="18"/>
                      <w:szCs w:val="18"/>
                      <w:lang w:val="en-US" w:eastAsia="zh-CN"/>
                    </w:rPr>
                  </w:pPr>
                  <w:r>
                    <w:rPr>
                      <w:rFonts w:hint="eastAsia"/>
                      <w:kern w:val="0"/>
                      <w:sz w:val="18"/>
                      <w:szCs w:val="18"/>
                      <w:lang w:val="en-US" w:eastAsia="zh-CN"/>
                    </w:rPr>
                    <w:t>标立方米/吨-原料</w:t>
                  </w:r>
                </w:p>
              </w:tc>
              <w:tc>
                <w:tcPr>
                  <w:tcW w:w="726" w:type="pct"/>
                  <w:noWrap w:val="0"/>
                  <w:vAlign w:val="center"/>
                </w:tcPr>
                <w:p w14:paraId="307E568C">
                  <w:pPr>
                    <w:jc w:val="center"/>
                    <w:rPr>
                      <w:rFonts w:hint="default" w:eastAsia="宋体"/>
                      <w:kern w:val="0"/>
                      <w:sz w:val="18"/>
                      <w:szCs w:val="18"/>
                      <w:lang w:val="en-US" w:eastAsia="zh-CN"/>
                    </w:rPr>
                  </w:pPr>
                  <w:r>
                    <w:rPr>
                      <w:rFonts w:hint="eastAsia"/>
                      <w:kern w:val="0"/>
                      <w:sz w:val="18"/>
                      <w:szCs w:val="18"/>
                      <w:lang w:val="en-US" w:eastAsia="zh-CN"/>
                    </w:rPr>
                    <w:t>17804</w:t>
                  </w:r>
                </w:p>
              </w:tc>
            </w:tr>
          </w:tbl>
          <w:p w14:paraId="76B88284">
            <w:pPr>
              <w:spacing w:line="360" w:lineRule="auto"/>
              <w:ind w:firstLine="420" w:firstLineChars="200"/>
              <w:rPr>
                <w:rFonts w:hint="default" w:ascii="Times New Roman" w:hAnsi="Times New Roman" w:eastAsia="宋体" w:cs="Times New Roman"/>
                <w:bCs/>
                <w:color w:val="auto"/>
                <w:szCs w:val="21"/>
                <w:lang w:val="en-US" w:eastAsia="zh-CN"/>
              </w:rPr>
            </w:pPr>
            <w:r>
              <w:rPr>
                <w:rFonts w:hint="eastAsia" w:ascii="Times New Roman" w:hAnsi="Times New Roman" w:eastAsia="宋体" w:cs="Times New Roman"/>
                <w:bCs/>
                <w:color w:val="auto"/>
                <w:szCs w:val="21"/>
                <w:lang w:val="en-US" w:eastAsia="zh-CN"/>
              </w:rPr>
              <w:t xml:space="preserve">注： </w:t>
            </w:r>
            <w:r>
              <w:rPr>
                <w:rFonts w:hint="eastAsia" w:cs="Times New Roman"/>
                <w:bCs/>
                <w:color w:val="auto"/>
                <w:szCs w:val="21"/>
                <w:lang w:val="en-US" w:eastAsia="zh-CN"/>
              </w:rPr>
              <w:t>轻质柴油</w:t>
            </w:r>
            <w:r>
              <w:rPr>
                <w:rFonts w:hint="eastAsia" w:ascii="Times New Roman" w:hAnsi="Times New Roman" w:eastAsia="宋体" w:cs="Times New Roman"/>
                <w:bCs/>
                <w:color w:val="auto"/>
                <w:szCs w:val="21"/>
                <w:lang w:val="en-US" w:eastAsia="zh-CN"/>
              </w:rPr>
              <w:t>含硫量为0.001%，则S=0.001</w:t>
            </w:r>
          </w:p>
          <w:p w14:paraId="0A2084B0">
            <w:pPr>
              <w:spacing w:line="360" w:lineRule="auto"/>
              <w:ind w:firstLine="420" w:firstLineChars="200"/>
              <w:rPr>
                <w:rFonts w:hint="eastAsia" w:ascii="Times New Roman" w:hAnsi="Times New Roman" w:eastAsia="宋体" w:cs="Times New Roman"/>
                <w:bCs/>
                <w:color w:val="auto"/>
                <w:szCs w:val="21"/>
                <w:lang w:val="en-US" w:eastAsia="zh-CN"/>
              </w:rPr>
            </w:pPr>
            <w:r>
              <w:rPr>
                <w:rFonts w:hint="eastAsia" w:ascii="Times New Roman" w:hAnsi="Times New Roman" w:eastAsia="宋体" w:cs="Times New Roman"/>
                <w:bCs/>
                <w:color w:val="auto"/>
                <w:szCs w:val="21"/>
                <w:lang w:val="en-US" w:eastAsia="zh-CN"/>
              </w:rPr>
              <w:t>经计算，燃烧器柴油燃烧过程烟尘产生量为0.0</w:t>
            </w:r>
            <w:r>
              <w:rPr>
                <w:rFonts w:hint="eastAsia" w:cs="Times New Roman"/>
                <w:bCs/>
                <w:color w:val="auto"/>
                <w:szCs w:val="21"/>
                <w:lang w:val="en-US" w:eastAsia="zh-CN"/>
              </w:rPr>
              <w:t>473</w:t>
            </w:r>
            <w:r>
              <w:rPr>
                <w:rFonts w:hint="eastAsia" w:ascii="Times New Roman" w:hAnsi="Times New Roman" w:eastAsia="宋体" w:cs="Times New Roman"/>
                <w:bCs/>
                <w:color w:val="auto"/>
                <w:szCs w:val="21"/>
                <w:lang w:val="en-US" w:eastAsia="zh-CN"/>
              </w:rPr>
              <w:t>t/a，SO</w:t>
            </w:r>
            <w:r>
              <w:rPr>
                <w:rFonts w:hint="eastAsia" w:ascii="Times New Roman" w:hAnsi="Times New Roman" w:eastAsia="宋体" w:cs="Times New Roman"/>
                <w:bCs/>
                <w:color w:val="auto"/>
                <w:szCs w:val="21"/>
                <w:vertAlign w:val="subscript"/>
                <w:lang w:val="en-US" w:eastAsia="zh-CN"/>
              </w:rPr>
              <w:t>2</w:t>
            </w:r>
            <w:r>
              <w:rPr>
                <w:rFonts w:hint="eastAsia" w:ascii="Times New Roman" w:hAnsi="Times New Roman" w:eastAsia="宋体" w:cs="Times New Roman"/>
                <w:bCs/>
                <w:color w:val="auto"/>
                <w:szCs w:val="21"/>
                <w:lang w:val="en-US" w:eastAsia="zh-CN"/>
              </w:rPr>
              <w:t>产生量为0.00</w:t>
            </w:r>
            <w:r>
              <w:rPr>
                <w:rFonts w:hint="eastAsia" w:cs="Times New Roman"/>
                <w:bCs/>
                <w:color w:val="auto"/>
                <w:szCs w:val="21"/>
                <w:lang w:val="en-US" w:eastAsia="zh-CN"/>
              </w:rPr>
              <w:t>35</w:t>
            </w:r>
            <w:r>
              <w:rPr>
                <w:rFonts w:hint="eastAsia" w:ascii="Times New Roman" w:hAnsi="Times New Roman" w:eastAsia="宋体" w:cs="Times New Roman"/>
                <w:bCs/>
                <w:color w:val="auto"/>
                <w:szCs w:val="21"/>
                <w:lang w:val="en-US" w:eastAsia="zh-CN"/>
              </w:rPr>
              <w:t>t/a，NOx产生量为0.</w:t>
            </w:r>
            <w:r>
              <w:rPr>
                <w:rFonts w:hint="eastAsia" w:cs="Times New Roman"/>
                <w:bCs/>
                <w:color w:val="auto"/>
                <w:szCs w:val="21"/>
                <w:lang w:val="en-US" w:eastAsia="zh-CN"/>
              </w:rPr>
              <w:t>5515</w:t>
            </w:r>
            <w:r>
              <w:rPr>
                <w:rFonts w:hint="eastAsia" w:ascii="Times New Roman" w:hAnsi="Times New Roman" w:eastAsia="宋体" w:cs="Times New Roman"/>
                <w:bCs/>
                <w:color w:val="auto"/>
                <w:szCs w:val="21"/>
                <w:lang w:val="en-US" w:eastAsia="zh-CN"/>
              </w:rPr>
              <w:t>t/a</w:t>
            </w:r>
            <w:r>
              <w:rPr>
                <w:rFonts w:hint="eastAsia" w:ascii="Times New Roman" w:hAnsi="Times New Roman" w:eastAsia="宋体" w:cs="Times New Roman"/>
                <w:bCs/>
                <w:color w:val="0070C0"/>
                <w:szCs w:val="21"/>
                <w:lang w:val="en-US" w:eastAsia="zh-CN"/>
              </w:rPr>
              <w:t>。</w:t>
            </w:r>
          </w:p>
          <w:p w14:paraId="10DE36F1">
            <w:pPr>
              <w:spacing w:line="360" w:lineRule="auto"/>
              <w:ind w:firstLine="420" w:firstLineChars="200"/>
              <w:rPr>
                <w:rFonts w:hint="eastAsia" w:ascii="Times New Roman" w:hAnsi="Times New Roman" w:eastAsia="宋体" w:cs="Times New Roman"/>
                <w:bCs/>
                <w:color w:val="auto"/>
                <w:szCs w:val="21"/>
                <w:lang w:val="en-US" w:eastAsia="zh-CN"/>
              </w:rPr>
            </w:pPr>
            <w:r>
              <w:rPr>
                <w:rFonts w:hint="eastAsia" w:ascii="Times New Roman" w:hAnsi="Times New Roman" w:eastAsia="宋体" w:cs="Times New Roman"/>
                <w:bCs/>
                <w:color w:val="auto"/>
                <w:szCs w:val="21"/>
                <w:lang w:val="en-US" w:eastAsia="zh-CN"/>
              </w:rPr>
              <w:t>综上可知，项目骨料烘干、筛分及燃烧器燃料燃烧过程产生的混合废气中，颗粒物产生量为</w:t>
            </w:r>
            <w:r>
              <w:rPr>
                <w:rFonts w:hint="eastAsia" w:cs="Times New Roman"/>
                <w:bCs/>
                <w:color w:val="auto"/>
                <w:szCs w:val="21"/>
                <w:lang w:val="en-US" w:eastAsia="zh-CN"/>
              </w:rPr>
              <w:t>6.5473</w:t>
            </w:r>
            <w:r>
              <w:rPr>
                <w:rFonts w:hint="eastAsia" w:ascii="Times New Roman" w:hAnsi="Times New Roman" w:eastAsia="宋体" w:cs="Times New Roman"/>
                <w:bCs/>
                <w:color w:val="auto"/>
                <w:szCs w:val="21"/>
                <w:lang w:val="en-US" w:eastAsia="zh-CN"/>
              </w:rPr>
              <w:t>t/a，SO</w:t>
            </w:r>
            <w:r>
              <w:rPr>
                <w:rFonts w:hint="eastAsia" w:ascii="Times New Roman" w:hAnsi="Times New Roman" w:eastAsia="宋体" w:cs="Times New Roman"/>
                <w:bCs/>
                <w:color w:val="auto"/>
                <w:szCs w:val="21"/>
                <w:vertAlign w:val="subscript"/>
                <w:lang w:val="en-US" w:eastAsia="zh-CN"/>
              </w:rPr>
              <w:t>2</w:t>
            </w:r>
            <w:r>
              <w:rPr>
                <w:rFonts w:hint="eastAsia" w:ascii="Times New Roman" w:hAnsi="Times New Roman" w:eastAsia="宋体" w:cs="Times New Roman"/>
                <w:bCs/>
                <w:color w:val="auto"/>
                <w:szCs w:val="21"/>
                <w:lang w:val="en-US" w:eastAsia="zh-CN"/>
              </w:rPr>
              <w:t>产生量为0.00</w:t>
            </w:r>
            <w:r>
              <w:rPr>
                <w:rFonts w:hint="eastAsia" w:cs="Times New Roman"/>
                <w:bCs/>
                <w:color w:val="auto"/>
                <w:szCs w:val="21"/>
                <w:lang w:val="en-US" w:eastAsia="zh-CN"/>
              </w:rPr>
              <w:t>35</w:t>
            </w:r>
            <w:r>
              <w:rPr>
                <w:rFonts w:hint="eastAsia" w:ascii="Times New Roman" w:hAnsi="Times New Roman" w:eastAsia="宋体" w:cs="Times New Roman"/>
                <w:bCs/>
                <w:color w:val="auto"/>
                <w:szCs w:val="21"/>
                <w:lang w:val="en-US" w:eastAsia="zh-CN"/>
              </w:rPr>
              <w:t>t/a，NOx产生量为0</w:t>
            </w:r>
            <w:r>
              <w:rPr>
                <w:rFonts w:hint="eastAsia" w:cs="Times New Roman"/>
                <w:bCs/>
                <w:color w:val="auto"/>
                <w:szCs w:val="21"/>
                <w:lang w:val="en-US" w:eastAsia="zh-CN"/>
              </w:rPr>
              <w:t>.5515</w:t>
            </w:r>
            <w:r>
              <w:rPr>
                <w:rFonts w:hint="eastAsia" w:ascii="Times New Roman" w:hAnsi="Times New Roman" w:eastAsia="宋体" w:cs="Times New Roman"/>
                <w:bCs/>
                <w:color w:val="auto"/>
                <w:szCs w:val="21"/>
                <w:lang w:val="en-US" w:eastAsia="zh-CN"/>
              </w:rPr>
              <w:t>t/a。</w:t>
            </w:r>
          </w:p>
          <w:p w14:paraId="06E402FC">
            <w:pPr>
              <w:spacing w:line="360" w:lineRule="auto"/>
              <w:ind w:firstLine="420" w:firstLineChars="200"/>
              <w:rPr>
                <w:rFonts w:hint="default" w:ascii="Times New Roman" w:hAnsi="Times New Roman" w:eastAsia="宋体" w:cs="Times New Roman"/>
                <w:bCs/>
                <w:color w:val="auto"/>
                <w:szCs w:val="21"/>
                <w:lang w:val="en-US" w:eastAsia="zh-CN"/>
              </w:rPr>
            </w:pPr>
            <w:r>
              <w:rPr>
                <w:rFonts w:hint="eastAsia" w:ascii="Times New Roman" w:hAnsi="Times New Roman" w:eastAsia="宋体" w:cs="Times New Roman"/>
                <w:bCs/>
                <w:color w:val="auto"/>
                <w:szCs w:val="21"/>
                <w:lang w:val="en-US" w:eastAsia="zh-CN"/>
              </w:rPr>
              <w:t>环评要求</w:t>
            </w:r>
            <w:r>
              <w:rPr>
                <w:rFonts w:hint="eastAsia" w:cs="Times New Roman"/>
                <w:bCs/>
                <w:color w:val="auto"/>
                <w:szCs w:val="21"/>
                <w:lang w:val="en-US" w:eastAsia="zh-CN"/>
              </w:rPr>
              <w:t>对上料皮带进入干燥筒入口进行局部封闭，干燥筒出料口进行封闭，减少进出料废气逸散，</w:t>
            </w:r>
            <w:r>
              <w:rPr>
                <w:rFonts w:hint="eastAsia" w:ascii="Times New Roman" w:hAnsi="Times New Roman" w:eastAsia="宋体" w:cs="Times New Roman"/>
                <w:bCs/>
                <w:color w:val="auto"/>
                <w:szCs w:val="21"/>
                <w:lang w:val="en-US" w:eastAsia="zh-CN"/>
              </w:rPr>
              <w:t>以上混合废气在引风机的作用下，将废气引至1套旋风除尘器+布袋除尘器中净化处理，风机风量</w:t>
            </w:r>
            <w:r>
              <w:rPr>
                <w:rFonts w:hint="eastAsia" w:cs="Times New Roman"/>
                <w:bCs/>
                <w:color w:val="auto"/>
                <w:szCs w:val="21"/>
                <w:lang w:val="en-US" w:eastAsia="zh-CN"/>
              </w:rPr>
              <w:t>11</w:t>
            </w:r>
            <w:r>
              <w:rPr>
                <w:rFonts w:hint="eastAsia" w:ascii="Times New Roman" w:hAnsi="Times New Roman" w:eastAsia="宋体" w:cs="Times New Roman"/>
                <w:bCs/>
                <w:color w:val="auto"/>
                <w:szCs w:val="21"/>
                <w:lang w:val="en-US" w:eastAsia="zh-CN"/>
              </w:rPr>
              <w:t>0000m</w:t>
            </w:r>
            <w:r>
              <w:rPr>
                <w:rFonts w:hint="eastAsia" w:ascii="Times New Roman" w:hAnsi="Times New Roman" w:eastAsia="宋体" w:cs="Times New Roman"/>
                <w:bCs/>
                <w:color w:val="auto"/>
                <w:szCs w:val="21"/>
                <w:vertAlign w:val="superscript"/>
                <w:lang w:val="en-US" w:eastAsia="zh-CN"/>
              </w:rPr>
              <w:t>3</w:t>
            </w:r>
            <w:r>
              <w:rPr>
                <w:rFonts w:hint="eastAsia" w:ascii="Times New Roman" w:hAnsi="Times New Roman" w:eastAsia="宋体" w:cs="Times New Roman"/>
                <w:bCs/>
                <w:color w:val="auto"/>
                <w:szCs w:val="21"/>
                <w:lang w:val="en-US" w:eastAsia="zh-CN"/>
              </w:rPr>
              <w:t>/h</w:t>
            </w:r>
            <w:r>
              <w:rPr>
                <w:rFonts w:hint="eastAsia" w:cs="Times New Roman"/>
                <w:bCs/>
                <w:color w:val="auto"/>
                <w:szCs w:val="21"/>
                <w:lang w:val="en-US" w:eastAsia="zh-CN"/>
              </w:rPr>
              <w:t>（本风量为已安装设备的额定风量），</w:t>
            </w:r>
            <w:r>
              <w:rPr>
                <w:rFonts w:hint="eastAsia" w:ascii="Times New Roman" w:hAnsi="Times New Roman" w:eastAsia="宋体" w:cs="Times New Roman"/>
                <w:bCs/>
                <w:color w:val="auto"/>
                <w:szCs w:val="21"/>
                <w:lang w:val="en-US" w:eastAsia="zh-CN"/>
              </w:rPr>
              <w:t>经处理后的烟气经DA00</w:t>
            </w:r>
            <w:r>
              <w:rPr>
                <w:rFonts w:hint="eastAsia" w:cs="Times New Roman"/>
                <w:bCs/>
                <w:color w:val="auto"/>
                <w:szCs w:val="21"/>
                <w:lang w:val="en-US" w:eastAsia="zh-CN"/>
              </w:rPr>
              <w:t>1</w:t>
            </w:r>
            <w:r>
              <w:rPr>
                <w:rFonts w:hint="eastAsia" w:ascii="Times New Roman" w:hAnsi="Times New Roman" w:eastAsia="宋体" w:cs="Times New Roman"/>
                <w:bCs/>
                <w:color w:val="auto"/>
                <w:szCs w:val="21"/>
                <w:lang w:val="en-US" w:eastAsia="zh-CN"/>
              </w:rPr>
              <w:t>（H15m，φ</w:t>
            </w:r>
            <w:r>
              <w:rPr>
                <w:rFonts w:hint="eastAsia" w:cs="Times New Roman"/>
                <w:bCs/>
                <w:color w:val="auto"/>
                <w:szCs w:val="21"/>
                <w:lang w:val="en-US" w:eastAsia="zh-CN"/>
              </w:rPr>
              <w:t>1</w:t>
            </w:r>
            <w:r>
              <w:rPr>
                <w:rFonts w:hint="eastAsia" w:ascii="Times New Roman" w:hAnsi="Times New Roman" w:eastAsia="宋体" w:cs="Times New Roman"/>
                <w:bCs/>
                <w:color w:val="auto"/>
                <w:szCs w:val="21"/>
                <w:lang w:val="en-US" w:eastAsia="zh-CN"/>
              </w:rPr>
              <w:t>.</w:t>
            </w:r>
            <w:r>
              <w:rPr>
                <w:rFonts w:hint="eastAsia" w:cs="Times New Roman"/>
                <w:bCs/>
                <w:color w:val="auto"/>
                <w:szCs w:val="21"/>
                <w:lang w:val="en-US" w:eastAsia="zh-CN"/>
              </w:rPr>
              <w:t>5</w:t>
            </w:r>
            <w:r>
              <w:rPr>
                <w:rFonts w:hint="eastAsia" w:ascii="Times New Roman" w:hAnsi="Times New Roman" w:eastAsia="宋体" w:cs="Times New Roman"/>
                <w:bCs/>
                <w:color w:val="auto"/>
                <w:szCs w:val="21"/>
                <w:lang w:val="en-US" w:eastAsia="zh-CN"/>
              </w:rPr>
              <w:t>m）排放。</w:t>
            </w:r>
          </w:p>
          <w:p w14:paraId="6DCBAF9A">
            <w:pPr>
              <w:spacing w:line="360" w:lineRule="auto"/>
              <w:ind w:firstLine="420" w:firstLineChars="200"/>
              <w:rPr>
                <w:rFonts w:hint="eastAsia" w:ascii="Times New Roman" w:hAnsi="Times New Roman" w:eastAsia="宋体" w:cs="Times New Roman"/>
                <w:bCs/>
                <w:color w:val="auto"/>
                <w:szCs w:val="21"/>
                <w:vertAlign w:val="baseline"/>
                <w:lang w:val="en-US" w:eastAsia="zh-CN"/>
              </w:rPr>
            </w:pPr>
            <w:r>
              <w:rPr>
                <w:rFonts w:hint="eastAsia" w:ascii="Times New Roman" w:hAnsi="Times New Roman" w:eastAsia="宋体" w:cs="Times New Roman"/>
                <w:bCs/>
                <w:color w:val="auto"/>
                <w:szCs w:val="21"/>
                <w:lang w:val="en-US" w:eastAsia="zh-CN"/>
              </w:rPr>
              <w:t>根据设备厂家提供的资料显示，DA00</w:t>
            </w:r>
            <w:r>
              <w:rPr>
                <w:rFonts w:hint="eastAsia" w:cs="Times New Roman"/>
                <w:bCs/>
                <w:color w:val="auto"/>
                <w:szCs w:val="21"/>
                <w:lang w:val="en-US" w:eastAsia="zh-CN"/>
              </w:rPr>
              <w:t>1</w:t>
            </w:r>
            <w:r>
              <w:rPr>
                <w:rFonts w:hint="eastAsia" w:ascii="Times New Roman" w:hAnsi="Times New Roman" w:eastAsia="宋体" w:cs="Times New Roman"/>
                <w:bCs/>
                <w:color w:val="auto"/>
                <w:szCs w:val="21"/>
                <w:lang w:val="en-US" w:eastAsia="zh-CN"/>
              </w:rPr>
              <w:t>排放的颗粒物排放浓度小于1</w:t>
            </w:r>
            <w:r>
              <w:rPr>
                <w:rFonts w:hint="eastAsia" w:cs="Times New Roman"/>
                <w:bCs/>
                <w:color w:val="auto"/>
                <w:szCs w:val="21"/>
                <w:lang w:val="en-US" w:eastAsia="zh-CN"/>
              </w:rPr>
              <w:t>5</w:t>
            </w:r>
            <w:r>
              <w:rPr>
                <w:rFonts w:hint="eastAsia" w:ascii="Times New Roman" w:hAnsi="Times New Roman" w:eastAsia="宋体" w:cs="Times New Roman"/>
                <w:bCs/>
                <w:color w:val="auto"/>
                <w:szCs w:val="21"/>
                <w:lang w:val="en-US" w:eastAsia="zh-CN"/>
              </w:rPr>
              <w:t>mg/m</w:t>
            </w:r>
            <w:r>
              <w:rPr>
                <w:rFonts w:hint="eastAsia" w:ascii="Times New Roman" w:hAnsi="Times New Roman" w:eastAsia="宋体" w:cs="Times New Roman"/>
                <w:bCs/>
                <w:color w:val="auto"/>
                <w:szCs w:val="21"/>
                <w:vertAlign w:val="superscript"/>
                <w:lang w:val="en-US" w:eastAsia="zh-CN"/>
              </w:rPr>
              <w:t>3</w:t>
            </w:r>
            <w:r>
              <w:rPr>
                <w:rFonts w:hint="eastAsia" w:cs="Times New Roman"/>
                <w:bCs/>
                <w:color w:val="auto"/>
                <w:szCs w:val="21"/>
                <w:lang w:val="en-US" w:eastAsia="zh-CN"/>
              </w:rPr>
              <w:t>（</w:t>
            </w:r>
            <w:r>
              <w:rPr>
                <w:rFonts w:hint="eastAsia" w:ascii="Times New Roman" w:hAnsi="Times New Roman" w:eastAsia="宋体" w:cs="Times New Roman"/>
                <w:bCs/>
                <w:color w:val="auto"/>
                <w:szCs w:val="21"/>
                <w:lang w:val="en-US" w:eastAsia="zh-CN"/>
              </w:rPr>
              <w:t>本环评按1</w:t>
            </w:r>
            <w:r>
              <w:rPr>
                <w:rFonts w:hint="eastAsia" w:cs="Times New Roman"/>
                <w:bCs/>
                <w:color w:val="auto"/>
                <w:szCs w:val="21"/>
                <w:lang w:val="en-US" w:eastAsia="zh-CN"/>
              </w:rPr>
              <w:t>5</w:t>
            </w:r>
            <w:r>
              <w:rPr>
                <w:rFonts w:hint="eastAsia" w:ascii="Times New Roman" w:hAnsi="Times New Roman" w:eastAsia="宋体" w:cs="Times New Roman"/>
                <w:bCs/>
                <w:color w:val="auto"/>
                <w:szCs w:val="21"/>
                <w:lang w:val="en-US" w:eastAsia="zh-CN"/>
              </w:rPr>
              <w:t>mg/m</w:t>
            </w:r>
            <w:r>
              <w:rPr>
                <w:rFonts w:hint="eastAsia" w:ascii="Times New Roman" w:hAnsi="Times New Roman" w:eastAsia="宋体" w:cs="Times New Roman"/>
                <w:bCs/>
                <w:color w:val="auto"/>
                <w:szCs w:val="21"/>
                <w:vertAlign w:val="superscript"/>
                <w:lang w:val="en-US" w:eastAsia="zh-CN"/>
              </w:rPr>
              <w:t>3</w:t>
            </w:r>
            <w:r>
              <w:rPr>
                <w:rFonts w:hint="eastAsia" w:ascii="Times New Roman" w:hAnsi="Times New Roman" w:eastAsia="宋体" w:cs="Times New Roman"/>
                <w:bCs/>
                <w:color w:val="auto"/>
                <w:szCs w:val="21"/>
                <w:vertAlign w:val="baseline"/>
                <w:lang w:val="en-US" w:eastAsia="zh-CN"/>
              </w:rPr>
              <w:t>计算</w:t>
            </w:r>
            <w:r>
              <w:rPr>
                <w:rFonts w:hint="eastAsia" w:cs="Times New Roman"/>
                <w:bCs/>
                <w:color w:val="auto"/>
                <w:szCs w:val="21"/>
                <w:lang w:val="en-US" w:eastAsia="zh-CN"/>
              </w:rPr>
              <w:t>）</w:t>
            </w:r>
            <w:r>
              <w:rPr>
                <w:rFonts w:hint="eastAsia" w:ascii="Times New Roman" w:hAnsi="Times New Roman" w:eastAsia="宋体" w:cs="Times New Roman"/>
                <w:bCs/>
                <w:color w:val="auto"/>
                <w:szCs w:val="21"/>
                <w:lang w:val="en-US" w:eastAsia="zh-CN"/>
              </w:rPr>
              <w:t>，除尘效率</w:t>
            </w:r>
            <w:r>
              <w:rPr>
                <w:rFonts w:hint="eastAsia" w:cs="Times New Roman"/>
                <w:bCs/>
                <w:color w:val="auto"/>
                <w:szCs w:val="21"/>
                <w:lang w:val="en-US" w:eastAsia="zh-CN"/>
              </w:rPr>
              <w:t>约70</w:t>
            </w:r>
            <w:r>
              <w:rPr>
                <w:rFonts w:hint="eastAsia" w:ascii="Times New Roman" w:hAnsi="Times New Roman" w:eastAsia="宋体" w:cs="Times New Roman"/>
                <w:bCs/>
                <w:color w:val="auto"/>
                <w:szCs w:val="21"/>
                <w:lang w:val="en-US" w:eastAsia="zh-CN"/>
              </w:rPr>
              <w:t>%</w:t>
            </w:r>
            <w:r>
              <w:rPr>
                <w:rFonts w:hint="eastAsia" w:ascii="Times New Roman" w:hAnsi="Times New Roman" w:eastAsia="宋体" w:cs="Times New Roman"/>
                <w:bCs/>
                <w:color w:val="auto"/>
                <w:szCs w:val="21"/>
                <w:vertAlign w:val="baseline"/>
                <w:lang w:val="en-US" w:eastAsia="zh-CN"/>
              </w:rPr>
              <w:t>。则DA00</w:t>
            </w:r>
            <w:r>
              <w:rPr>
                <w:rFonts w:hint="eastAsia" w:cs="Times New Roman"/>
                <w:bCs/>
                <w:color w:val="auto"/>
                <w:szCs w:val="21"/>
                <w:vertAlign w:val="baseline"/>
                <w:lang w:val="en-US" w:eastAsia="zh-CN"/>
              </w:rPr>
              <w:t>1</w:t>
            </w:r>
            <w:r>
              <w:rPr>
                <w:rFonts w:hint="eastAsia" w:ascii="Times New Roman" w:hAnsi="Times New Roman" w:eastAsia="宋体" w:cs="Times New Roman"/>
                <w:bCs/>
                <w:color w:val="auto"/>
                <w:szCs w:val="21"/>
                <w:vertAlign w:val="baseline"/>
                <w:lang w:val="en-US" w:eastAsia="zh-CN"/>
              </w:rPr>
              <w:t>排气筒废气中颗粒物排放量为</w:t>
            </w:r>
            <w:r>
              <w:rPr>
                <w:rFonts w:hint="eastAsia" w:cs="Times New Roman"/>
                <w:bCs/>
                <w:color w:val="auto"/>
                <w:szCs w:val="21"/>
                <w:vertAlign w:val="baseline"/>
                <w:lang w:val="en-US" w:eastAsia="zh-CN"/>
              </w:rPr>
              <w:t>1.98</w:t>
            </w:r>
            <w:r>
              <w:rPr>
                <w:rFonts w:hint="eastAsia" w:ascii="Times New Roman" w:hAnsi="Times New Roman" w:eastAsia="宋体" w:cs="Times New Roman"/>
                <w:bCs/>
                <w:color w:val="auto"/>
                <w:szCs w:val="21"/>
                <w:vertAlign w:val="baseline"/>
                <w:lang w:val="en-US" w:eastAsia="zh-CN"/>
              </w:rPr>
              <w:t>t/a，排放速率</w:t>
            </w:r>
            <w:r>
              <w:rPr>
                <w:rFonts w:hint="eastAsia" w:cs="Times New Roman"/>
                <w:bCs/>
                <w:color w:val="auto"/>
                <w:szCs w:val="21"/>
                <w:vertAlign w:val="baseline"/>
                <w:lang w:val="en-US" w:eastAsia="zh-CN"/>
              </w:rPr>
              <w:t>1</w:t>
            </w:r>
            <w:r>
              <w:rPr>
                <w:rFonts w:hint="eastAsia" w:ascii="Times New Roman" w:hAnsi="Times New Roman" w:eastAsia="宋体" w:cs="Times New Roman"/>
                <w:bCs/>
                <w:color w:val="auto"/>
                <w:szCs w:val="21"/>
                <w:vertAlign w:val="baseline"/>
                <w:lang w:val="en-US" w:eastAsia="zh-CN"/>
              </w:rPr>
              <w:t>.</w:t>
            </w:r>
            <w:r>
              <w:rPr>
                <w:rFonts w:hint="eastAsia" w:cs="Times New Roman"/>
                <w:bCs/>
                <w:color w:val="auto"/>
                <w:szCs w:val="21"/>
                <w:vertAlign w:val="baseline"/>
                <w:lang w:val="en-US" w:eastAsia="zh-CN"/>
              </w:rPr>
              <w:t>65</w:t>
            </w:r>
            <w:r>
              <w:rPr>
                <w:rFonts w:hint="eastAsia" w:ascii="Times New Roman" w:hAnsi="Times New Roman" w:eastAsia="宋体" w:cs="Times New Roman"/>
                <w:bCs/>
                <w:color w:val="auto"/>
                <w:szCs w:val="21"/>
                <w:vertAlign w:val="baseline"/>
                <w:lang w:val="en-US" w:eastAsia="zh-CN"/>
              </w:rPr>
              <w:t>kg/h；</w:t>
            </w:r>
            <w:r>
              <w:rPr>
                <w:rFonts w:hint="eastAsia" w:ascii="Times New Roman" w:hAnsi="Times New Roman" w:eastAsia="宋体" w:cs="Times New Roman"/>
                <w:bCs/>
                <w:color w:val="auto"/>
                <w:szCs w:val="21"/>
                <w:lang w:val="en-US" w:eastAsia="zh-CN"/>
              </w:rPr>
              <w:t>SO</w:t>
            </w:r>
            <w:r>
              <w:rPr>
                <w:rFonts w:hint="eastAsia" w:ascii="Times New Roman" w:hAnsi="Times New Roman" w:eastAsia="宋体" w:cs="Times New Roman"/>
                <w:bCs/>
                <w:color w:val="auto"/>
                <w:szCs w:val="21"/>
                <w:vertAlign w:val="subscript"/>
                <w:lang w:val="en-US" w:eastAsia="zh-CN"/>
              </w:rPr>
              <w:t>2</w:t>
            </w:r>
            <w:r>
              <w:rPr>
                <w:rFonts w:hint="eastAsia" w:ascii="Times New Roman" w:hAnsi="Times New Roman" w:eastAsia="宋体" w:cs="Times New Roman"/>
                <w:bCs/>
                <w:color w:val="auto"/>
                <w:szCs w:val="21"/>
                <w:vertAlign w:val="baseline"/>
                <w:lang w:val="en-US" w:eastAsia="zh-CN"/>
              </w:rPr>
              <w:t>排放量为0.00</w:t>
            </w:r>
            <w:r>
              <w:rPr>
                <w:rFonts w:hint="eastAsia" w:cs="Times New Roman"/>
                <w:bCs/>
                <w:color w:val="auto"/>
                <w:szCs w:val="21"/>
                <w:vertAlign w:val="baseline"/>
                <w:lang w:val="en-US" w:eastAsia="zh-CN"/>
              </w:rPr>
              <w:t>35</w:t>
            </w:r>
            <w:r>
              <w:rPr>
                <w:rFonts w:hint="eastAsia" w:ascii="Times New Roman" w:hAnsi="Times New Roman" w:eastAsia="宋体" w:cs="Times New Roman"/>
                <w:bCs/>
                <w:color w:val="auto"/>
                <w:szCs w:val="21"/>
                <w:vertAlign w:val="baseline"/>
                <w:lang w:val="en-US" w:eastAsia="zh-CN"/>
              </w:rPr>
              <w:t>t/a，排放速率0.003kg/h，排放浓度0.0</w:t>
            </w:r>
            <w:r>
              <w:rPr>
                <w:rFonts w:hint="eastAsia" w:cs="Times New Roman"/>
                <w:bCs/>
                <w:color w:val="auto"/>
                <w:szCs w:val="21"/>
                <w:vertAlign w:val="baseline"/>
                <w:lang w:val="en-US" w:eastAsia="zh-CN"/>
              </w:rPr>
              <w:t>3</w:t>
            </w:r>
            <w:r>
              <w:rPr>
                <w:rFonts w:hint="eastAsia" w:ascii="Times New Roman" w:hAnsi="Times New Roman" w:eastAsia="宋体" w:cs="Times New Roman"/>
                <w:bCs/>
                <w:color w:val="auto"/>
                <w:szCs w:val="21"/>
                <w:vertAlign w:val="baseline"/>
                <w:lang w:val="en-US" w:eastAsia="zh-CN"/>
              </w:rPr>
              <w:t>mg/m</w:t>
            </w:r>
            <w:r>
              <w:rPr>
                <w:rFonts w:hint="eastAsia" w:ascii="Times New Roman" w:hAnsi="Times New Roman" w:eastAsia="宋体" w:cs="Times New Roman"/>
                <w:bCs/>
                <w:color w:val="auto"/>
                <w:szCs w:val="21"/>
                <w:vertAlign w:val="superscript"/>
                <w:lang w:val="en-US" w:eastAsia="zh-CN"/>
              </w:rPr>
              <w:t>3</w:t>
            </w:r>
            <w:r>
              <w:rPr>
                <w:rFonts w:hint="eastAsia" w:ascii="Times New Roman" w:hAnsi="Times New Roman" w:eastAsia="宋体" w:cs="Times New Roman"/>
                <w:bCs/>
                <w:color w:val="auto"/>
                <w:szCs w:val="21"/>
                <w:vertAlign w:val="baseline"/>
                <w:lang w:val="en-US" w:eastAsia="zh-CN"/>
              </w:rPr>
              <w:t>；</w:t>
            </w:r>
            <w:r>
              <w:rPr>
                <w:rFonts w:hint="eastAsia" w:ascii="Times New Roman" w:hAnsi="Times New Roman" w:eastAsia="宋体" w:cs="Times New Roman"/>
                <w:bCs/>
                <w:color w:val="auto"/>
                <w:szCs w:val="21"/>
                <w:lang w:val="en-US" w:eastAsia="zh-CN"/>
              </w:rPr>
              <w:t>NOx</w:t>
            </w:r>
            <w:r>
              <w:rPr>
                <w:rFonts w:hint="eastAsia" w:ascii="Times New Roman" w:hAnsi="Times New Roman" w:eastAsia="宋体" w:cs="Times New Roman"/>
                <w:bCs/>
                <w:color w:val="auto"/>
                <w:szCs w:val="21"/>
                <w:vertAlign w:val="baseline"/>
                <w:lang w:val="en-US" w:eastAsia="zh-CN"/>
              </w:rPr>
              <w:t>排放量为0.</w:t>
            </w:r>
            <w:r>
              <w:rPr>
                <w:rFonts w:hint="eastAsia" w:cs="Times New Roman"/>
                <w:bCs/>
                <w:color w:val="auto"/>
                <w:szCs w:val="21"/>
                <w:vertAlign w:val="baseline"/>
                <w:lang w:val="en-US" w:eastAsia="zh-CN"/>
              </w:rPr>
              <w:t>5515</w:t>
            </w:r>
            <w:r>
              <w:rPr>
                <w:rFonts w:hint="eastAsia" w:ascii="Times New Roman" w:hAnsi="Times New Roman" w:eastAsia="宋体" w:cs="Times New Roman"/>
                <w:bCs/>
                <w:color w:val="auto"/>
                <w:szCs w:val="21"/>
                <w:vertAlign w:val="baseline"/>
                <w:lang w:val="en-US" w:eastAsia="zh-CN"/>
              </w:rPr>
              <w:t>t/a，排放速率0.</w:t>
            </w:r>
            <w:r>
              <w:rPr>
                <w:rFonts w:hint="eastAsia" w:cs="Times New Roman"/>
                <w:bCs/>
                <w:color w:val="auto"/>
                <w:szCs w:val="21"/>
                <w:vertAlign w:val="baseline"/>
                <w:lang w:val="en-US" w:eastAsia="zh-CN"/>
              </w:rPr>
              <w:t>460</w:t>
            </w:r>
            <w:r>
              <w:rPr>
                <w:rFonts w:hint="eastAsia" w:ascii="Times New Roman" w:hAnsi="Times New Roman" w:eastAsia="宋体" w:cs="Times New Roman"/>
                <w:bCs/>
                <w:color w:val="auto"/>
                <w:szCs w:val="21"/>
                <w:vertAlign w:val="baseline"/>
                <w:lang w:val="en-US" w:eastAsia="zh-CN"/>
              </w:rPr>
              <w:t>kg/h，排放浓度</w:t>
            </w:r>
            <w:r>
              <w:rPr>
                <w:rFonts w:hint="eastAsia" w:cs="Times New Roman"/>
                <w:bCs/>
                <w:color w:val="auto"/>
                <w:szCs w:val="21"/>
                <w:vertAlign w:val="baseline"/>
                <w:lang w:val="en-US" w:eastAsia="zh-CN"/>
              </w:rPr>
              <w:t>4.18</w:t>
            </w:r>
            <w:r>
              <w:rPr>
                <w:rFonts w:hint="eastAsia" w:ascii="Times New Roman" w:hAnsi="Times New Roman" w:eastAsia="宋体" w:cs="Times New Roman"/>
                <w:bCs/>
                <w:color w:val="auto"/>
                <w:szCs w:val="21"/>
                <w:vertAlign w:val="baseline"/>
                <w:lang w:val="en-US" w:eastAsia="zh-CN"/>
              </w:rPr>
              <w:t>mg/m</w:t>
            </w:r>
            <w:r>
              <w:rPr>
                <w:rFonts w:hint="eastAsia" w:ascii="Times New Roman" w:hAnsi="Times New Roman" w:eastAsia="宋体" w:cs="Times New Roman"/>
                <w:bCs/>
                <w:color w:val="auto"/>
                <w:szCs w:val="21"/>
                <w:vertAlign w:val="superscript"/>
                <w:lang w:val="en-US" w:eastAsia="zh-CN"/>
              </w:rPr>
              <w:t>3</w:t>
            </w:r>
            <w:r>
              <w:rPr>
                <w:rFonts w:hint="eastAsia" w:ascii="Times New Roman" w:hAnsi="Times New Roman" w:eastAsia="宋体" w:cs="Times New Roman"/>
                <w:bCs/>
                <w:color w:val="auto"/>
                <w:szCs w:val="21"/>
                <w:vertAlign w:val="baseline"/>
                <w:lang w:val="en-US" w:eastAsia="zh-CN"/>
              </w:rPr>
              <w:t>。</w:t>
            </w:r>
          </w:p>
          <w:p w14:paraId="2F61DDEC">
            <w:pPr>
              <w:spacing w:line="360" w:lineRule="auto"/>
              <w:ind w:firstLine="420" w:firstLineChars="200"/>
              <w:rPr>
                <w:rFonts w:hint="eastAsia"/>
                <w:szCs w:val="21"/>
                <w:lang w:eastAsia="zh-CN"/>
              </w:rPr>
            </w:pPr>
            <w:r>
              <w:rPr>
                <w:rFonts w:hint="eastAsia" w:ascii="Times New Roman" w:hAnsi="Times New Roman" w:eastAsia="宋体" w:cs="Times New Roman"/>
                <w:bCs/>
                <w:color w:val="auto"/>
                <w:szCs w:val="21"/>
                <w:vertAlign w:val="baseline"/>
                <w:lang w:val="en-US" w:eastAsia="zh-CN"/>
              </w:rPr>
              <w:t>污染物排放满足</w:t>
            </w:r>
            <w:r>
              <w:rPr>
                <w:szCs w:val="21"/>
              </w:rPr>
              <w:t>《</w:t>
            </w:r>
            <w:r>
              <w:rPr>
                <w:rFonts w:hint="eastAsia"/>
                <w:szCs w:val="21"/>
              </w:rPr>
              <w:t>山西省工业炉窑大气污染综合治理实施方案</w:t>
            </w:r>
            <w:r>
              <w:rPr>
                <w:szCs w:val="21"/>
              </w:rPr>
              <w:t>》（</w:t>
            </w:r>
            <w:r>
              <w:rPr>
                <w:rFonts w:hint="eastAsia"/>
                <w:szCs w:val="21"/>
              </w:rPr>
              <w:t>晋环大气[2019]164号</w:t>
            </w:r>
            <w:r>
              <w:rPr>
                <w:szCs w:val="21"/>
              </w:rPr>
              <w:t>）</w:t>
            </w:r>
            <w:r>
              <w:rPr>
                <w:rFonts w:hint="eastAsia"/>
                <w:szCs w:val="21"/>
              </w:rPr>
              <w:t>中规定的限值要求</w:t>
            </w:r>
            <w:r>
              <w:rPr>
                <w:rFonts w:hint="eastAsia"/>
                <w:szCs w:val="21"/>
                <w:lang w:eastAsia="zh-CN"/>
              </w:rPr>
              <w:t>（</w:t>
            </w:r>
            <w:r>
              <w:rPr>
                <w:rFonts w:hint="eastAsia"/>
                <w:szCs w:val="21"/>
                <w:lang w:val="en-US" w:eastAsia="zh-CN"/>
              </w:rPr>
              <w:t>颗粒物30</w:t>
            </w:r>
            <w:r>
              <w:rPr>
                <w:rFonts w:hint="eastAsia" w:ascii="Times New Roman" w:hAnsi="Times New Roman" w:eastAsia="宋体" w:cs="Times New Roman"/>
                <w:bCs/>
                <w:color w:val="auto"/>
                <w:szCs w:val="21"/>
                <w:lang w:val="en-US" w:eastAsia="zh-CN"/>
              </w:rPr>
              <w:t>mg/m</w:t>
            </w:r>
            <w:r>
              <w:rPr>
                <w:rFonts w:hint="eastAsia" w:ascii="Times New Roman" w:hAnsi="Times New Roman" w:eastAsia="宋体" w:cs="Times New Roman"/>
                <w:bCs/>
                <w:color w:val="auto"/>
                <w:szCs w:val="21"/>
                <w:vertAlign w:val="superscript"/>
                <w:lang w:val="en-US" w:eastAsia="zh-CN"/>
              </w:rPr>
              <w:t>3</w:t>
            </w:r>
            <w:r>
              <w:rPr>
                <w:rFonts w:hint="eastAsia" w:ascii="Times New Roman" w:hAnsi="Times New Roman" w:eastAsia="宋体" w:cs="Times New Roman"/>
                <w:bCs/>
                <w:color w:val="auto"/>
                <w:szCs w:val="21"/>
                <w:lang w:val="en-US" w:eastAsia="zh-CN"/>
              </w:rPr>
              <w:t>，SO</w:t>
            </w:r>
            <w:r>
              <w:rPr>
                <w:rFonts w:hint="eastAsia" w:ascii="Times New Roman" w:hAnsi="Times New Roman" w:eastAsia="宋体" w:cs="Times New Roman"/>
                <w:bCs/>
                <w:color w:val="auto"/>
                <w:szCs w:val="21"/>
                <w:vertAlign w:val="subscript"/>
                <w:lang w:val="en-US" w:eastAsia="zh-CN"/>
              </w:rPr>
              <w:t>2</w:t>
            </w:r>
            <w:r>
              <w:rPr>
                <w:rFonts w:hint="eastAsia" w:ascii="Times New Roman" w:hAnsi="Times New Roman" w:eastAsia="宋体" w:cs="Times New Roman"/>
                <w:bCs/>
                <w:color w:val="auto"/>
                <w:szCs w:val="21"/>
                <w:lang w:val="en-US" w:eastAsia="zh-CN"/>
              </w:rPr>
              <w:t>200mg/m</w:t>
            </w:r>
            <w:r>
              <w:rPr>
                <w:rFonts w:hint="eastAsia" w:ascii="Times New Roman" w:hAnsi="Times New Roman" w:eastAsia="宋体" w:cs="Times New Roman"/>
                <w:bCs/>
                <w:color w:val="auto"/>
                <w:szCs w:val="21"/>
                <w:vertAlign w:val="superscript"/>
                <w:lang w:val="en-US" w:eastAsia="zh-CN"/>
              </w:rPr>
              <w:t>3</w:t>
            </w:r>
            <w:r>
              <w:rPr>
                <w:rFonts w:hint="eastAsia" w:ascii="Times New Roman" w:hAnsi="Times New Roman" w:eastAsia="宋体" w:cs="Times New Roman"/>
                <w:bCs/>
                <w:color w:val="auto"/>
                <w:szCs w:val="21"/>
                <w:lang w:val="en-US" w:eastAsia="zh-CN"/>
              </w:rPr>
              <w:t>，NOx300mg/m</w:t>
            </w:r>
            <w:r>
              <w:rPr>
                <w:rFonts w:hint="eastAsia" w:ascii="Times New Roman" w:hAnsi="Times New Roman" w:eastAsia="宋体" w:cs="Times New Roman"/>
                <w:bCs/>
                <w:color w:val="auto"/>
                <w:szCs w:val="21"/>
                <w:vertAlign w:val="superscript"/>
                <w:lang w:val="en-US" w:eastAsia="zh-CN"/>
              </w:rPr>
              <w:t>3</w:t>
            </w:r>
            <w:r>
              <w:rPr>
                <w:rFonts w:hint="eastAsia"/>
                <w:szCs w:val="21"/>
                <w:lang w:eastAsia="zh-CN"/>
              </w:rPr>
              <w:t>）。</w:t>
            </w:r>
          </w:p>
          <w:p w14:paraId="6C8A5C77">
            <w:pPr>
              <w:spacing w:line="360" w:lineRule="auto"/>
              <w:ind w:firstLine="422" w:firstLineChars="200"/>
              <w:rPr>
                <w:rFonts w:hint="eastAsia"/>
                <w:b/>
                <w:bCs/>
                <w:color w:val="auto"/>
                <w:szCs w:val="21"/>
                <w:lang w:val="en-US" w:eastAsia="zh-CN"/>
              </w:rPr>
            </w:pPr>
            <w:r>
              <w:rPr>
                <w:rFonts w:hint="eastAsia"/>
                <w:b/>
                <w:bCs w:val="0"/>
                <w:color w:val="auto"/>
                <w:szCs w:val="21"/>
                <w:lang w:val="en-US" w:eastAsia="zh-CN"/>
              </w:rPr>
              <w:t>（3）</w:t>
            </w:r>
            <w:r>
              <w:rPr>
                <w:rFonts w:hint="eastAsia"/>
                <w:b/>
                <w:bCs/>
                <w:color w:val="auto"/>
                <w:szCs w:val="21"/>
                <w:lang w:val="en-US" w:eastAsia="zh-CN"/>
              </w:rPr>
              <w:t>导热油炉烟气</w:t>
            </w:r>
          </w:p>
          <w:p w14:paraId="3FD7BCDA">
            <w:pPr>
              <w:spacing w:line="360" w:lineRule="auto"/>
              <w:ind w:firstLine="420" w:firstLineChars="200"/>
              <w:rPr>
                <w:szCs w:val="21"/>
              </w:rPr>
            </w:pPr>
            <w:r>
              <w:rPr>
                <w:rFonts w:hint="eastAsia"/>
                <w:bCs/>
                <w:color w:val="auto"/>
                <w:szCs w:val="21"/>
                <w:lang w:val="en-US" w:eastAsia="zh-CN"/>
              </w:rPr>
              <w:t>项目沥青混凝土生产线中沥青保温采用一台燃油导热油炉提供热量，导热油作为传热介质，燃料使用轻质柴油，</w:t>
            </w:r>
            <w:r>
              <w:rPr>
                <w:rFonts w:hint="eastAsia"/>
                <w:bCs/>
                <w:szCs w:val="21"/>
              </w:rPr>
              <w:t>根据《普通柴油》（GB215-2015）中的规定，普通柴油含硫量小于10mg/kg，柴油燃烧产生的污染物主要有</w:t>
            </w:r>
            <w:r>
              <w:rPr>
                <w:rFonts w:hint="eastAsia"/>
                <w:szCs w:val="21"/>
                <w:lang w:val="en-US" w:eastAsia="zh-CN"/>
              </w:rPr>
              <w:t>颗粒物</w:t>
            </w:r>
            <w:r>
              <w:rPr>
                <w:szCs w:val="21"/>
              </w:rPr>
              <w:t>、SO</w:t>
            </w:r>
            <w:r>
              <w:rPr>
                <w:szCs w:val="21"/>
                <w:vertAlign w:val="subscript"/>
              </w:rPr>
              <w:t>2</w:t>
            </w:r>
            <w:r>
              <w:rPr>
                <w:szCs w:val="21"/>
              </w:rPr>
              <w:t>和NO</w:t>
            </w:r>
            <w:r>
              <w:rPr>
                <w:rFonts w:hint="eastAsia"/>
                <w:szCs w:val="21"/>
              </w:rPr>
              <w:t>x</w:t>
            </w:r>
            <w:r>
              <w:rPr>
                <w:szCs w:val="21"/>
              </w:rPr>
              <w:t>。</w:t>
            </w:r>
          </w:p>
          <w:p w14:paraId="4E7FEF65">
            <w:pPr>
              <w:spacing w:line="360" w:lineRule="auto"/>
              <w:ind w:firstLine="420" w:firstLineChars="200"/>
              <w:rPr>
                <w:rFonts w:hint="eastAsia" w:ascii="Times New Roman" w:hAnsi="Times New Roman" w:eastAsia="宋体" w:cs="Times New Roman"/>
                <w:bCs/>
                <w:color w:val="auto"/>
                <w:szCs w:val="21"/>
                <w:lang w:val="en-US" w:eastAsia="zh-CN"/>
              </w:rPr>
            </w:pPr>
            <w:r>
              <w:rPr>
                <w:rFonts w:hint="eastAsia"/>
                <w:color w:val="auto"/>
                <w:szCs w:val="21"/>
                <w:lang w:val="en-US" w:eastAsia="zh-CN"/>
              </w:rPr>
              <w:t>本项目导热油炉燃料消耗量约为48kg/h，运行时间1200h/a。</w:t>
            </w:r>
            <w:r>
              <w:rPr>
                <w:color w:val="auto"/>
                <w:spacing w:val="6"/>
                <w:szCs w:val="21"/>
              </w:rPr>
              <w:t>参考</w:t>
            </w:r>
            <w:r>
              <w:rPr>
                <w:rFonts w:hint="eastAsia" w:cs="Times New Roman"/>
                <w:color w:val="auto"/>
                <w:sz w:val="21"/>
                <w:szCs w:val="21"/>
                <w:lang w:val="en-US" w:eastAsia="zh-CN"/>
              </w:rPr>
              <w:t>《排放源统计调查产排污核算方法和系数手册》（2021年）</w:t>
            </w:r>
            <w:r>
              <w:rPr>
                <w:rFonts w:hint="eastAsia"/>
                <w:color w:val="auto"/>
                <w:spacing w:val="6"/>
                <w:szCs w:val="21"/>
              </w:rPr>
              <w:t>中430</w:t>
            </w:r>
            <w:r>
              <w:rPr>
                <w:rFonts w:hint="eastAsia"/>
                <w:color w:val="auto"/>
                <w:spacing w:val="6"/>
                <w:szCs w:val="21"/>
                <w:lang w:val="en-US" w:eastAsia="zh-CN"/>
              </w:rPr>
              <w:t>工业锅炉（热力生产和供应行业）-燃油工业锅炉中排污系数（详见表4.1-2）计算可知，导热油炉</w:t>
            </w:r>
            <w:r>
              <w:rPr>
                <w:rFonts w:hint="eastAsia" w:ascii="Times New Roman" w:hAnsi="Times New Roman" w:eastAsia="宋体" w:cs="Times New Roman"/>
                <w:bCs/>
                <w:color w:val="auto"/>
                <w:szCs w:val="21"/>
                <w:lang w:val="en-US" w:eastAsia="zh-CN"/>
              </w:rPr>
              <w:t>燃烧烟气中烟尘产生量为0.0</w:t>
            </w:r>
            <w:r>
              <w:rPr>
                <w:rFonts w:hint="eastAsia" w:cs="Times New Roman"/>
                <w:bCs/>
                <w:color w:val="auto"/>
                <w:szCs w:val="21"/>
                <w:lang w:val="en-US" w:eastAsia="zh-CN"/>
              </w:rPr>
              <w:t>150</w:t>
            </w:r>
            <w:r>
              <w:rPr>
                <w:rFonts w:hint="eastAsia" w:ascii="Times New Roman" w:hAnsi="Times New Roman" w:eastAsia="宋体" w:cs="Times New Roman"/>
                <w:bCs/>
                <w:color w:val="auto"/>
                <w:szCs w:val="21"/>
                <w:lang w:val="en-US" w:eastAsia="zh-CN"/>
              </w:rPr>
              <w:t>t/a，SO</w:t>
            </w:r>
            <w:r>
              <w:rPr>
                <w:rFonts w:hint="eastAsia" w:ascii="Times New Roman" w:hAnsi="Times New Roman" w:eastAsia="宋体" w:cs="Times New Roman"/>
                <w:bCs/>
                <w:color w:val="auto"/>
                <w:szCs w:val="21"/>
                <w:vertAlign w:val="subscript"/>
                <w:lang w:val="en-US" w:eastAsia="zh-CN"/>
              </w:rPr>
              <w:t>2</w:t>
            </w:r>
            <w:r>
              <w:rPr>
                <w:rFonts w:hint="eastAsia" w:ascii="Times New Roman" w:hAnsi="Times New Roman" w:eastAsia="宋体" w:cs="Times New Roman"/>
                <w:bCs/>
                <w:color w:val="auto"/>
                <w:szCs w:val="21"/>
                <w:lang w:val="en-US" w:eastAsia="zh-CN"/>
              </w:rPr>
              <w:t>产生量为0.00</w:t>
            </w:r>
            <w:r>
              <w:rPr>
                <w:rFonts w:hint="eastAsia" w:cs="Times New Roman"/>
                <w:bCs/>
                <w:color w:val="auto"/>
                <w:szCs w:val="21"/>
                <w:lang w:val="en-US" w:eastAsia="zh-CN"/>
              </w:rPr>
              <w:t>11</w:t>
            </w:r>
            <w:r>
              <w:rPr>
                <w:rFonts w:hint="eastAsia" w:ascii="Times New Roman" w:hAnsi="Times New Roman" w:eastAsia="宋体" w:cs="Times New Roman"/>
                <w:bCs/>
                <w:color w:val="auto"/>
                <w:szCs w:val="21"/>
                <w:lang w:val="en-US" w:eastAsia="zh-CN"/>
              </w:rPr>
              <w:t>t/a，NOx产生量为0.</w:t>
            </w:r>
            <w:r>
              <w:rPr>
                <w:rFonts w:hint="eastAsia" w:cs="Times New Roman"/>
                <w:bCs/>
                <w:color w:val="auto"/>
                <w:szCs w:val="21"/>
                <w:lang w:val="en-US" w:eastAsia="zh-CN"/>
              </w:rPr>
              <w:t>1745</w:t>
            </w:r>
            <w:r>
              <w:rPr>
                <w:rFonts w:hint="eastAsia" w:ascii="Times New Roman" w:hAnsi="Times New Roman" w:eastAsia="宋体" w:cs="Times New Roman"/>
                <w:bCs/>
                <w:color w:val="auto"/>
                <w:szCs w:val="21"/>
                <w:lang w:val="en-US" w:eastAsia="zh-CN"/>
              </w:rPr>
              <w:t>t/a，由于燃烧器采用低氮燃烧技术，烟气中氮氧化物产生量会减少50%，产生量为0.</w:t>
            </w:r>
            <w:r>
              <w:rPr>
                <w:rFonts w:hint="eastAsia" w:cs="Times New Roman"/>
                <w:bCs/>
                <w:color w:val="auto"/>
                <w:szCs w:val="21"/>
                <w:lang w:val="en-US" w:eastAsia="zh-CN"/>
              </w:rPr>
              <w:t>0873</w:t>
            </w:r>
            <w:r>
              <w:rPr>
                <w:rFonts w:hint="eastAsia" w:ascii="Times New Roman" w:hAnsi="Times New Roman" w:eastAsia="宋体" w:cs="Times New Roman"/>
                <w:bCs/>
                <w:color w:val="auto"/>
                <w:szCs w:val="21"/>
                <w:lang w:val="en-US" w:eastAsia="zh-CN"/>
              </w:rPr>
              <w:t>t/a。</w:t>
            </w:r>
          </w:p>
          <w:p w14:paraId="7C716936">
            <w:pPr>
              <w:spacing w:line="360" w:lineRule="auto"/>
              <w:ind w:firstLine="420" w:firstLineChars="200"/>
              <w:rPr>
                <w:rFonts w:hint="eastAsia" w:ascii="Times New Roman" w:hAnsi="Times New Roman" w:eastAsia="宋体" w:cs="Times New Roman"/>
                <w:bCs/>
                <w:color w:val="auto"/>
                <w:szCs w:val="21"/>
                <w:vertAlign w:val="baseline"/>
                <w:lang w:val="en-US" w:eastAsia="zh-CN"/>
              </w:rPr>
            </w:pPr>
            <w:r>
              <w:rPr>
                <w:rFonts w:hint="eastAsia" w:ascii="Times New Roman" w:hAnsi="Times New Roman" w:eastAsia="宋体" w:cs="Times New Roman"/>
                <w:bCs/>
                <w:color w:val="auto"/>
                <w:szCs w:val="21"/>
                <w:lang w:val="en-US" w:eastAsia="zh-CN"/>
              </w:rPr>
              <w:t>环评要求导热油炉烟气经布袋除尘器净化处理后由DA00</w:t>
            </w:r>
            <w:r>
              <w:rPr>
                <w:rFonts w:hint="eastAsia" w:cs="Times New Roman"/>
                <w:bCs/>
                <w:color w:val="auto"/>
                <w:szCs w:val="21"/>
                <w:lang w:val="en-US" w:eastAsia="zh-CN"/>
              </w:rPr>
              <w:t>2</w:t>
            </w:r>
            <w:r>
              <w:rPr>
                <w:rFonts w:hint="eastAsia" w:ascii="Times New Roman" w:hAnsi="Times New Roman" w:eastAsia="宋体" w:cs="Times New Roman"/>
                <w:bCs/>
                <w:color w:val="auto"/>
                <w:szCs w:val="21"/>
                <w:lang w:val="en-US" w:eastAsia="zh-CN"/>
              </w:rPr>
              <w:t>排气筒排放（H</w:t>
            </w:r>
            <w:r>
              <w:rPr>
                <w:rFonts w:hint="eastAsia" w:cs="Times New Roman"/>
                <w:bCs/>
                <w:color w:val="auto"/>
                <w:szCs w:val="21"/>
                <w:lang w:val="en-US" w:eastAsia="zh-CN"/>
              </w:rPr>
              <w:t>8</w:t>
            </w:r>
            <w:r>
              <w:rPr>
                <w:rFonts w:hint="eastAsia" w:ascii="Times New Roman" w:hAnsi="Times New Roman" w:eastAsia="宋体" w:cs="Times New Roman"/>
                <w:bCs/>
                <w:color w:val="auto"/>
                <w:szCs w:val="21"/>
                <w:lang w:val="en-US" w:eastAsia="zh-CN"/>
              </w:rPr>
              <w:t>m，φ0.3m）。根据设备厂家资料，DA00</w:t>
            </w:r>
            <w:r>
              <w:rPr>
                <w:rFonts w:hint="eastAsia" w:cs="Times New Roman"/>
                <w:bCs/>
                <w:color w:val="auto"/>
                <w:szCs w:val="21"/>
                <w:lang w:val="en-US" w:eastAsia="zh-CN"/>
              </w:rPr>
              <w:t>2</w:t>
            </w:r>
            <w:r>
              <w:rPr>
                <w:rFonts w:hint="eastAsia" w:ascii="Times New Roman" w:hAnsi="Times New Roman" w:eastAsia="宋体" w:cs="Times New Roman"/>
                <w:bCs/>
                <w:color w:val="auto"/>
                <w:szCs w:val="21"/>
                <w:lang w:val="en-US" w:eastAsia="zh-CN"/>
              </w:rPr>
              <w:t>排放的颗粒物排放浓度小于10mg/m</w:t>
            </w:r>
            <w:r>
              <w:rPr>
                <w:rFonts w:hint="eastAsia" w:ascii="Times New Roman" w:hAnsi="Times New Roman" w:eastAsia="宋体" w:cs="Times New Roman"/>
                <w:bCs/>
                <w:color w:val="auto"/>
                <w:szCs w:val="21"/>
                <w:vertAlign w:val="superscript"/>
                <w:lang w:val="en-US" w:eastAsia="zh-CN"/>
              </w:rPr>
              <w:t>3</w:t>
            </w:r>
            <w:r>
              <w:rPr>
                <w:rFonts w:hint="eastAsia" w:cs="Times New Roman"/>
                <w:bCs/>
                <w:color w:val="auto"/>
                <w:szCs w:val="21"/>
                <w:lang w:val="en-US" w:eastAsia="zh-CN"/>
              </w:rPr>
              <w:t>（</w:t>
            </w:r>
            <w:r>
              <w:rPr>
                <w:rFonts w:hint="eastAsia" w:ascii="Times New Roman" w:hAnsi="Times New Roman" w:eastAsia="宋体" w:cs="Times New Roman"/>
                <w:bCs/>
                <w:color w:val="auto"/>
                <w:szCs w:val="21"/>
                <w:vertAlign w:val="baseline"/>
                <w:lang w:val="en-US" w:eastAsia="zh-CN"/>
              </w:rPr>
              <w:t>本环评按10</w:t>
            </w:r>
            <w:r>
              <w:rPr>
                <w:rFonts w:hint="eastAsia" w:ascii="Times New Roman" w:hAnsi="Times New Roman" w:eastAsia="宋体" w:cs="Times New Roman"/>
                <w:bCs/>
                <w:color w:val="auto"/>
                <w:szCs w:val="21"/>
                <w:lang w:val="en-US" w:eastAsia="zh-CN"/>
              </w:rPr>
              <w:t>mg/m</w:t>
            </w:r>
            <w:r>
              <w:rPr>
                <w:rFonts w:hint="eastAsia" w:ascii="Times New Roman" w:hAnsi="Times New Roman" w:eastAsia="宋体" w:cs="Times New Roman"/>
                <w:bCs/>
                <w:color w:val="auto"/>
                <w:szCs w:val="21"/>
                <w:vertAlign w:val="superscript"/>
                <w:lang w:val="en-US" w:eastAsia="zh-CN"/>
              </w:rPr>
              <w:t>3</w:t>
            </w:r>
            <w:r>
              <w:rPr>
                <w:rFonts w:hint="eastAsia" w:ascii="Times New Roman" w:hAnsi="Times New Roman" w:eastAsia="宋体" w:cs="Times New Roman"/>
                <w:bCs/>
                <w:color w:val="auto"/>
                <w:szCs w:val="21"/>
                <w:vertAlign w:val="baseline"/>
                <w:lang w:val="en-US" w:eastAsia="zh-CN"/>
              </w:rPr>
              <w:t>计算</w:t>
            </w:r>
            <w:r>
              <w:rPr>
                <w:rFonts w:hint="eastAsia" w:cs="Times New Roman"/>
                <w:bCs/>
                <w:color w:val="auto"/>
                <w:szCs w:val="21"/>
                <w:lang w:val="en-US" w:eastAsia="zh-CN"/>
              </w:rPr>
              <w:t>）</w:t>
            </w:r>
            <w:r>
              <w:rPr>
                <w:rFonts w:hint="eastAsia" w:ascii="Times New Roman" w:hAnsi="Times New Roman" w:eastAsia="宋体" w:cs="Times New Roman"/>
                <w:bCs/>
                <w:color w:val="auto"/>
                <w:szCs w:val="21"/>
                <w:lang w:val="en-US" w:eastAsia="zh-CN"/>
              </w:rPr>
              <w:t>，除尘效率</w:t>
            </w:r>
            <w:r>
              <w:rPr>
                <w:rFonts w:hint="eastAsia" w:cs="Times New Roman"/>
                <w:bCs/>
                <w:color w:val="auto"/>
                <w:szCs w:val="21"/>
                <w:lang w:val="en-US" w:eastAsia="zh-CN"/>
              </w:rPr>
              <w:t>32</w:t>
            </w:r>
            <w:r>
              <w:rPr>
                <w:rFonts w:hint="eastAsia" w:ascii="Times New Roman" w:hAnsi="Times New Roman" w:eastAsia="宋体" w:cs="Times New Roman"/>
                <w:bCs/>
                <w:color w:val="auto"/>
                <w:szCs w:val="21"/>
                <w:lang w:val="en-US" w:eastAsia="zh-CN"/>
              </w:rPr>
              <w:t>%。DA00</w:t>
            </w:r>
            <w:r>
              <w:rPr>
                <w:rFonts w:hint="eastAsia" w:cs="Times New Roman"/>
                <w:bCs/>
                <w:color w:val="auto"/>
                <w:szCs w:val="21"/>
                <w:lang w:val="en-US" w:eastAsia="zh-CN"/>
              </w:rPr>
              <w:t>2</w:t>
            </w:r>
            <w:r>
              <w:rPr>
                <w:rFonts w:hint="eastAsia" w:ascii="Times New Roman" w:hAnsi="Times New Roman" w:eastAsia="宋体" w:cs="Times New Roman"/>
                <w:bCs/>
                <w:color w:val="auto"/>
                <w:szCs w:val="21"/>
                <w:vertAlign w:val="baseline"/>
                <w:lang w:val="en-US" w:eastAsia="zh-CN"/>
              </w:rPr>
              <w:t>排气筒废气中颗粒物排放量为0.0</w:t>
            </w:r>
            <w:r>
              <w:rPr>
                <w:rFonts w:hint="eastAsia" w:cs="Times New Roman"/>
                <w:bCs/>
                <w:color w:val="auto"/>
                <w:szCs w:val="21"/>
                <w:vertAlign w:val="baseline"/>
                <w:lang w:val="en-US" w:eastAsia="zh-CN"/>
              </w:rPr>
              <w:t>103</w:t>
            </w:r>
            <w:r>
              <w:rPr>
                <w:rFonts w:hint="eastAsia" w:ascii="Times New Roman" w:hAnsi="Times New Roman" w:eastAsia="宋体" w:cs="Times New Roman"/>
                <w:bCs/>
                <w:color w:val="auto"/>
                <w:szCs w:val="21"/>
                <w:vertAlign w:val="baseline"/>
                <w:lang w:val="en-US" w:eastAsia="zh-CN"/>
              </w:rPr>
              <w:t>t/a，排放速率0.0</w:t>
            </w:r>
            <w:r>
              <w:rPr>
                <w:rFonts w:hint="eastAsia" w:cs="Times New Roman"/>
                <w:bCs/>
                <w:color w:val="auto"/>
                <w:szCs w:val="21"/>
                <w:vertAlign w:val="baseline"/>
                <w:lang w:val="en-US" w:eastAsia="zh-CN"/>
              </w:rPr>
              <w:t>09</w:t>
            </w:r>
            <w:r>
              <w:rPr>
                <w:rFonts w:hint="eastAsia" w:ascii="Times New Roman" w:hAnsi="Times New Roman" w:eastAsia="宋体" w:cs="Times New Roman"/>
                <w:bCs/>
                <w:color w:val="auto"/>
                <w:szCs w:val="21"/>
                <w:vertAlign w:val="baseline"/>
                <w:lang w:val="en-US" w:eastAsia="zh-CN"/>
              </w:rPr>
              <w:t>kg/h；</w:t>
            </w:r>
            <w:r>
              <w:rPr>
                <w:rFonts w:hint="eastAsia" w:ascii="Times New Roman" w:hAnsi="Times New Roman" w:eastAsia="宋体" w:cs="Times New Roman"/>
                <w:bCs/>
                <w:color w:val="auto"/>
                <w:szCs w:val="21"/>
                <w:lang w:val="en-US" w:eastAsia="zh-CN"/>
              </w:rPr>
              <w:t>SO</w:t>
            </w:r>
            <w:r>
              <w:rPr>
                <w:rFonts w:hint="eastAsia" w:ascii="Times New Roman" w:hAnsi="Times New Roman" w:eastAsia="宋体" w:cs="Times New Roman"/>
                <w:bCs/>
                <w:color w:val="auto"/>
                <w:szCs w:val="21"/>
                <w:vertAlign w:val="subscript"/>
                <w:lang w:val="en-US" w:eastAsia="zh-CN"/>
              </w:rPr>
              <w:t>2</w:t>
            </w:r>
            <w:r>
              <w:rPr>
                <w:rFonts w:hint="eastAsia" w:ascii="Times New Roman" w:hAnsi="Times New Roman" w:eastAsia="宋体" w:cs="Times New Roman"/>
                <w:bCs/>
                <w:color w:val="auto"/>
                <w:szCs w:val="21"/>
                <w:vertAlign w:val="baseline"/>
                <w:lang w:val="en-US" w:eastAsia="zh-CN"/>
              </w:rPr>
              <w:t>排放量为0.00</w:t>
            </w:r>
            <w:r>
              <w:rPr>
                <w:rFonts w:hint="eastAsia" w:cs="Times New Roman"/>
                <w:bCs/>
                <w:color w:val="auto"/>
                <w:szCs w:val="21"/>
                <w:vertAlign w:val="baseline"/>
                <w:lang w:val="en-US" w:eastAsia="zh-CN"/>
              </w:rPr>
              <w:t>11</w:t>
            </w:r>
            <w:r>
              <w:rPr>
                <w:rFonts w:hint="eastAsia" w:ascii="Times New Roman" w:hAnsi="Times New Roman" w:eastAsia="宋体" w:cs="Times New Roman"/>
                <w:bCs/>
                <w:color w:val="auto"/>
                <w:szCs w:val="21"/>
                <w:vertAlign w:val="baseline"/>
                <w:lang w:val="en-US" w:eastAsia="zh-CN"/>
              </w:rPr>
              <w:t>t/a，排放速率0.001kg/h，排放浓度1.07mg/m</w:t>
            </w:r>
            <w:r>
              <w:rPr>
                <w:rFonts w:hint="eastAsia" w:ascii="Times New Roman" w:hAnsi="Times New Roman" w:eastAsia="宋体" w:cs="Times New Roman"/>
                <w:bCs/>
                <w:color w:val="auto"/>
                <w:szCs w:val="21"/>
                <w:vertAlign w:val="superscript"/>
                <w:lang w:val="en-US" w:eastAsia="zh-CN"/>
              </w:rPr>
              <w:t>3</w:t>
            </w:r>
            <w:r>
              <w:rPr>
                <w:rFonts w:hint="eastAsia" w:ascii="Times New Roman" w:hAnsi="Times New Roman" w:eastAsia="宋体" w:cs="Times New Roman"/>
                <w:bCs/>
                <w:color w:val="auto"/>
                <w:szCs w:val="21"/>
                <w:vertAlign w:val="baseline"/>
                <w:lang w:val="en-US" w:eastAsia="zh-CN"/>
              </w:rPr>
              <w:t>；</w:t>
            </w:r>
            <w:r>
              <w:rPr>
                <w:rFonts w:hint="eastAsia" w:ascii="Times New Roman" w:hAnsi="Times New Roman" w:eastAsia="宋体" w:cs="Times New Roman"/>
                <w:bCs/>
                <w:color w:val="auto"/>
                <w:szCs w:val="21"/>
                <w:lang w:val="en-US" w:eastAsia="zh-CN"/>
              </w:rPr>
              <w:t>NOx</w:t>
            </w:r>
            <w:r>
              <w:rPr>
                <w:rFonts w:hint="eastAsia" w:ascii="Times New Roman" w:hAnsi="Times New Roman" w:eastAsia="宋体" w:cs="Times New Roman"/>
                <w:bCs/>
                <w:color w:val="auto"/>
                <w:szCs w:val="21"/>
                <w:vertAlign w:val="baseline"/>
                <w:lang w:val="en-US" w:eastAsia="zh-CN"/>
              </w:rPr>
              <w:t>排放量为0.</w:t>
            </w:r>
            <w:r>
              <w:rPr>
                <w:rFonts w:hint="eastAsia" w:cs="Times New Roman"/>
                <w:bCs/>
                <w:color w:val="auto"/>
                <w:szCs w:val="21"/>
                <w:vertAlign w:val="baseline"/>
                <w:lang w:val="en-US" w:eastAsia="zh-CN"/>
              </w:rPr>
              <w:t>0873</w:t>
            </w:r>
            <w:r>
              <w:rPr>
                <w:rFonts w:hint="eastAsia" w:ascii="Times New Roman" w:hAnsi="Times New Roman" w:eastAsia="宋体" w:cs="Times New Roman"/>
                <w:bCs/>
                <w:color w:val="auto"/>
                <w:szCs w:val="21"/>
                <w:vertAlign w:val="baseline"/>
                <w:lang w:val="en-US" w:eastAsia="zh-CN"/>
              </w:rPr>
              <w:t>t/a，排放速率0.</w:t>
            </w:r>
            <w:r>
              <w:rPr>
                <w:rFonts w:hint="eastAsia" w:cs="Times New Roman"/>
                <w:bCs/>
                <w:color w:val="auto"/>
                <w:szCs w:val="21"/>
                <w:vertAlign w:val="baseline"/>
                <w:lang w:val="en-US" w:eastAsia="zh-CN"/>
              </w:rPr>
              <w:t>073</w:t>
            </w:r>
            <w:r>
              <w:rPr>
                <w:rFonts w:hint="eastAsia" w:ascii="Times New Roman" w:hAnsi="Times New Roman" w:eastAsia="宋体" w:cs="Times New Roman"/>
                <w:bCs/>
                <w:color w:val="auto"/>
                <w:szCs w:val="21"/>
                <w:vertAlign w:val="baseline"/>
                <w:lang w:val="en-US" w:eastAsia="zh-CN"/>
              </w:rPr>
              <w:t>kg/h，排放浓度85.09mg/m</w:t>
            </w:r>
            <w:r>
              <w:rPr>
                <w:rFonts w:hint="eastAsia" w:ascii="Times New Roman" w:hAnsi="Times New Roman" w:eastAsia="宋体" w:cs="Times New Roman"/>
                <w:bCs/>
                <w:color w:val="auto"/>
                <w:szCs w:val="21"/>
                <w:vertAlign w:val="superscript"/>
                <w:lang w:val="en-US" w:eastAsia="zh-CN"/>
              </w:rPr>
              <w:t>3</w:t>
            </w:r>
            <w:r>
              <w:rPr>
                <w:rFonts w:hint="eastAsia" w:ascii="Times New Roman" w:hAnsi="Times New Roman" w:eastAsia="宋体" w:cs="Times New Roman"/>
                <w:bCs/>
                <w:color w:val="auto"/>
                <w:szCs w:val="21"/>
                <w:vertAlign w:val="baseline"/>
                <w:lang w:val="en-US" w:eastAsia="zh-CN"/>
              </w:rPr>
              <w:t>。</w:t>
            </w:r>
          </w:p>
          <w:p w14:paraId="63FB4DFE">
            <w:pPr>
              <w:spacing w:line="360" w:lineRule="auto"/>
              <w:ind w:firstLine="420" w:firstLineChars="200"/>
              <w:rPr>
                <w:rFonts w:hint="eastAsia"/>
                <w:szCs w:val="21"/>
                <w:lang w:eastAsia="zh-CN"/>
              </w:rPr>
            </w:pPr>
            <w:r>
              <w:rPr>
                <w:rFonts w:hint="eastAsia" w:ascii="Times New Roman" w:hAnsi="Times New Roman" w:eastAsia="宋体" w:cs="Times New Roman"/>
                <w:bCs/>
                <w:color w:val="auto"/>
                <w:szCs w:val="21"/>
                <w:vertAlign w:val="baseline"/>
                <w:lang w:val="en-US" w:eastAsia="zh-CN"/>
              </w:rPr>
              <w:t>污染物排放满足</w:t>
            </w:r>
            <w:r>
              <w:rPr>
                <w:spacing w:val="6"/>
                <w:szCs w:val="21"/>
              </w:rPr>
              <w:t>《锅炉大气污染物排放标准》</w:t>
            </w:r>
            <w:r>
              <w:rPr>
                <w:rFonts w:hint="eastAsia"/>
                <w:szCs w:val="21"/>
              </w:rPr>
              <w:t>（DB14/1929-2019）</w:t>
            </w:r>
            <w:r>
              <w:rPr>
                <w:spacing w:val="6"/>
                <w:szCs w:val="21"/>
              </w:rPr>
              <w:t>中燃油锅炉排放浓度限值要求</w:t>
            </w:r>
            <w:r>
              <w:rPr>
                <w:rFonts w:hint="eastAsia"/>
                <w:szCs w:val="21"/>
              </w:rPr>
              <w:t>（</w:t>
            </w:r>
            <w:r>
              <w:rPr>
                <w:spacing w:val="6"/>
                <w:szCs w:val="21"/>
              </w:rPr>
              <w:t>烟尘</w:t>
            </w:r>
            <w:r>
              <w:rPr>
                <w:rFonts w:hint="eastAsia"/>
                <w:spacing w:val="6"/>
                <w:szCs w:val="21"/>
              </w:rPr>
              <w:t>1</w:t>
            </w:r>
            <w:r>
              <w:rPr>
                <w:spacing w:val="6"/>
                <w:szCs w:val="21"/>
              </w:rPr>
              <w:t>0mg/Nm</w:t>
            </w:r>
            <w:r>
              <w:rPr>
                <w:spacing w:val="6"/>
                <w:szCs w:val="21"/>
                <w:vertAlign w:val="superscript"/>
              </w:rPr>
              <w:t>3</w:t>
            </w:r>
            <w:r>
              <w:rPr>
                <w:spacing w:val="6"/>
                <w:szCs w:val="21"/>
              </w:rPr>
              <w:t>，SO</w:t>
            </w:r>
            <w:r>
              <w:rPr>
                <w:spacing w:val="6"/>
                <w:szCs w:val="21"/>
                <w:vertAlign w:val="subscript"/>
              </w:rPr>
              <w:t>2</w:t>
            </w:r>
            <w:r>
              <w:rPr>
                <w:rFonts w:hint="eastAsia"/>
                <w:spacing w:val="6"/>
                <w:szCs w:val="21"/>
              </w:rPr>
              <w:t>35</w:t>
            </w:r>
            <w:r>
              <w:rPr>
                <w:spacing w:val="6"/>
                <w:szCs w:val="21"/>
              </w:rPr>
              <w:t>mg/Nm</w:t>
            </w:r>
            <w:r>
              <w:rPr>
                <w:spacing w:val="6"/>
                <w:szCs w:val="21"/>
                <w:vertAlign w:val="superscript"/>
              </w:rPr>
              <w:t>3</w:t>
            </w:r>
            <w:r>
              <w:rPr>
                <w:spacing w:val="6"/>
                <w:szCs w:val="21"/>
              </w:rPr>
              <w:t>，</w:t>
            </w:r>
            <w:r>
              <w:rPr>
                <w:bCs/>
                <w:szCs w:val="21"/>
              </w:rPr>
              <w:t>NOx</w:t>
            </w:r>
            <w:r>
              <w:rPr>
                <w:rFonts w:hint="eastAsia"/>
                <w:spacing w:val="6"/>
                <w:szCs w:val="21"/>
              </w:rPr>
              <w:t>100</w:t>
            </w:r>
            <w:r>
              <w:rPr>
                <w:spacing w:val="6"/>
                <w:szCs w:val="21"/>
              </w:rPr>
              <w:t>mg/m</w:t>
            </w:r>
            <w:r>
              <w:rPr>
                <w:spacing w:val="6"/>
                <w:szCs w:val="21"/>
                <w:vertAlign w:val="superscript"/>
              </w:rPr>
              <w:t>3</w:t>
            </w:r>
            <w:r>
              <w:rPr>
                <w:rFonts w:hint="eastAsia"/>
                <w:szCs w:val="21"/>
              </w:rPr>
              <w:t>）</w:t>
            </w:r>
            <w:r>
              <w:rPr>
                <w:rFonts w:hint="eastAsia"/>
                <w:szCs w:val="21"/>
                <w:lang w:eastAsia="zh-CN"/>
              </w:rPr>
              <w:t>。</w:t>
            </w:r>
          </w:p>
          <w:p w14:paraId="504D91DE">
            <w:pPr>
              <w:spacing w:line="360" w:lineRule="auto"/>
              <w:ind w:firstLine="446" w:firstLineChars="200"/>
              <w:rPr>
                <w:rFonts w:hint="default"/>
                <w:b/>
                <w:bCs/>
                <w:color w:val="000000"/>
                <w:spacing w:val="6"/>
                <w:szCs w:val="21"/>
                <w:lang w:val="en-US" w:eastAsia="zh-CN"/>
              </w:rPr>
            </w:pPr>
            <w:r>
              <w:rPr>
                <w:rFonts w:hint="eastAsia"/>
                <w:b/>
                <w:bCs/>
                <w:color w:val="000000"/>
                <w:spacing w:val="6"/>
                <w:szCs w:val="21"/>
                <w:lang w:val="en-US" w:eastAsia="zh-CN"/>
              </w:rPr>
              <w:t>（4）沥青预处理及搅拌废气</w:t>
            </w:r>
          </w:p>
          <w:p w14:paraId="746C1B88">
            <w:pPr>
              <w:spacing w:line="360" w:lineRule="auto"/>
              <w:ind w:firstLine="420" w:firstLineChars="200"/>
              <w:rPr>
                <w:rFonts w:hint="default"/>
                <w:bCs/>
                <w:color w:val="auto"/>
                <w:szCs w:val="21"/>
                <w:lang w:val="en-US" w:eastAsia="zh-CN"/>
              </w:rPr>
            </w:pPr>
            <w:r>
              <w:rPr>
                <w:rFonts w:hint="eastAsia"/>
                <w:bCs/>
                <w:color w:val="auto"/>
                <w:szCs w:val="21"/>
                <w:lang w:val="en-US" w:eastAsia="zh-CN"/>
              </w:rPr>
              <w:t>本项目沥青混凝土生产线中设置的沥青储罐顶部呼吸孔在一定温度下、沥青搅拌机组在搅拌过程中、沥青混凝土成品出料口逸散这三个过程中均会产生一定的沥青烟气，主要污染物包括沥青烟、苯并[a]芘、非甲烷总烃。</w:t>
            </w:r>
          </w:p>
          <w:p w14:paraId="606B5AD2">
            <w:pPr>
              <w:spacing w:line="360" w:lineRule="auto"/>
              <w:ind w:firstLine="420" w:firstLineChars="200"/>
              <w:rPr>
                <w:rFonts w:hint="eastAsia" w:ascii="Times New Roman" w:hAnsi="Times New Roman" w:eastAsia="宋体" w:cs="Times New Roman"/>
                <w:bCs/>
                <w:color w:val="auto"/>
                <w:szCs w:val="21"/>
                <w:lang w:val="en-US" w:eastAsia="zh-CN"/>
              </w:rPr>
            </w:pPr>
            <w:r>
              <w:rPr>
                <w:rFonts w:hint="eastAsia" w:ascii="Times New Roman" w:hAnsi="Times New Roman" w:eastAsia="宋体" w:cs="Times New Roman"/>
                <w:bCs/>
                <w:color w:val="auto"/>
                <w:szCs w:val="21"/>
                <w:lang w:val="en-US" w:eastAsia="zh-CN"/>
              </w:rPr>
              <w:t>参考《工业生产中的有害物质手册》第一卷（化学工业出版社，1987年12月出版）及《有机化合物污染化学》（清华大学出版社，1990年8月出版），每1吨沥青在加热过程中产生苯并[a]芘约</w:t>
            </w:r>
            <w:r>
              <w:rPr>
                <w:rFonts w:hint="default" w:ascii="Times New Roman" w:hAnsi="Times New Roman" w:eastAsia="宋体" w:cs="Times New Roman"/>
                <w:bCs/>
                <w:color w:val="auto"/>
                <w:szCs w:val="21"/>
                <w:lang w:val="en-US" w:eastAsia="zh-CN"/>
              </w:rPr>
              <w:t>0.1</w:t>
            </w:r>
            <w:r>
              <w:rPr>
                <w:rFonts w:hint="eastAsia" w:ascii="Times New Roman" w:hAnsi="Times New Roman" w:eastAsia="宋体" w:cs="Times New Roman"/>
                <w:bCs/>
                <w:color w:val="auto"/>
                <w:szCs w:val="21"/>
                <w:lang w:val="en-US" w:eastAsia="zh-CN"/>
              </w:rPr>
              <w:t>0~0.15</w:t>
            </w:r>
            <w:r>
              <w:rPr>
                <w:rFonts w:hint="default" w:ascii="Times New Roman" w:hAnsi="Times New Roman" w:eastAsia="宋体" w:cs="Times New Roman"/>
                <w:bCs/>
                <w:color w:val="auto"/>
                <w:szCs w:val="21"/>
                <w:lang w:val="en-US" w:eastAsia="zh-CN"/>
              </w:rPr>
              <w:t>g</w:t>
            </w:r>
            <w:r>
              <w:rPr>
                <w:rFonts w:hint="eastAsia" w:ascii="Times New Roman" w:hAnsi="Times New Roman" w:eastAsia="宋体" w:cs="Times New Roman"/>
                <w:bCs/>
                <w:color w:val="auto"/>
                <w:szCs w:val="21"/>
                <w:lang w:val="en-US" w:eastAsia="zh-CN"/>
              </w:rPr>
              <w:t>（本评价取最大值0.15g/t），</w:t>
            </w:r>
            <w:r>
              <w:rPr>
                <w:rFonts w:hint="eastAsia" w:ascii="Times New Roman" w:hAnsi="Times New Roman"/>
                <w:color w:val="auto"/>
                <w:spacing w:val="6"/>
                <w:szCs w:val="21"/>
                <w:lang w:val="en-US" w:eastAsia="zh-CN"/>
              </w:rPr>
              <w:t>产生沥青烟为56.25g，本项目沥青消耗量为</w:t>
            </w:r>
            <w:r>
              <w:rPr>
                <w:rFonts w:hint="eastAsia"/>
                <w:color w:val="auto"/>
                <w:spacing w:val="6"/>
                <w:szCs w:val="21"/>
                <w:lang w:val="en-US" w:eastAsia="zh-CN"/>
              </w:rPr>
              <w:t>2</w:t>
            </w:r>
            <w:r>
              <w:rPr>
                <w:rFonts w:hint="eastAsia" w:ascii="Times New Roman" w:hAnsi="Times New Roman"/>
                <w:color w:val="auto"/>
                <w:spacing w:val="6"/>
                <w:szCs w:val="21"/>
                <w:lang w:val="en-US" w:eastAsia="zh-CN"/>
              </w:rPr>
              <w:t>000t/a，</w:t>
            </w:r>
            <w:r>
              <w:rPr>
                <w:rFonts w:hint="eastAsia" w:ascii="Times New Roman" w:hAnsi="Times New Roman" w:eastAsia="宋体" w:cs="Times New Roman"/>
                <w:bCs/>
                <w:color w:val="auto"/>
                <w:szCs w:val="21"/>
                <w:lang w:val="en-US" w:eastAsia="zh-CN"/>
              </w:rPr>
              <w:t>则苯并</w:t>
            </w:r>
            <w:r>
              <w:rPr>
                <w:rFonts w:hint="default" w:ascii="Times New Roman" w:hAnsi="Times New Roman" w:eastAsia="宋体" w:cs="Times New Roman"/>
                <w:bCs/>
                <w:color w:val="auto"/>
                <w:szCs w:val="21"/>
                <w:lang w:val="en-US" w:eastAsia="zh-CN"/>
              </w:rPr>
              <w:t>[a]</w:t>
            </w:r>
            <w:r>
              <w:rPr>
                <w:rFonts w:hint="eastAsia" w:ascii="Times New Roman" w:hAnsi="Times New Roman" w:eastAsia="宋体" w:cs="Times New Roman"/>
                <w:bCs/>
                <w:color w:val="auto"/>
                <w:szCs w:val="21"/>
                <w:lang w:val="en-US" w:eastAsia="zh-CN"/>
              </w:rPr>
              <w:t xml:space="preserve">芘产生量约为 </w:t>
            </w:r>
            <w:r>
              <w:rPr>
                <w:rFonts w:hint="default" w:ascii="Times New Roman" w:hAnsi="Times New Roman" w:eastAsia="宋体" w:cs="Times New Roman"/>
                <w:bCs/>
                <w:color w:val="auto"/>
                <w:szCs w:val="21"/>
                <w:lang w:val="en-US" w:eastAsia="zh-CN"/>
              </w:rPr>
              <w:t>0.</w:t>
            </w:r>
            <w:r>
              <w:rPr>
                <w:rFonts w:hint="eastAsia" w:ascii="Times New Roman" w:hAnsi="Times New Roman" w:eastAsia="宋体" w:cs="Times New Roman"/>
                <w:bCs/>
                <w:color w:val="auto"/>
                <w:szCs w:val="21"/>
                <w:lang w:val="en-US" w:eastAsia="zh-CN"/>
              </w:rPr>
              <w:t>000</w:t>
            </w:r>
            <w:r>
              <w:rPr>
                <w:rFonts w:hint="eastAsia" w:cs="Times New Roman"/>
                <w:bCs/>
                <w:color w:val="auto"/>
                <w:szCs w:val="21"/>
                <w:lang w:val="en-US" w:eastAsia="zh-CN"/>
              </w:rPr>
              <w:t>3</w:t>
            </w:r>
            <w:r>
              <w:rPr>
                <w:rFonts w:hint="eastAsia" w:ascii="Times New Roman" w:hAnsi="Times New Roman" w:eastAsia="宋体" w:cs="Times New Roman"/>
                <w:bCs/>
                <w:color w:val="auto"/>
                <w:szCs w:val="21"/>
                <w:lang w:val="en-US" w:eastAsia="zh-CN"/>
              </w:rPr>
              <w:t>t</w:t>
            </w:r>
            <w:r>
              <w:rPr>
                <w:rFonts w:hint="default" w:ascii="Times New Roman" w:hAnsi="Times New Roman" w:eastAsia="宋体" w:cs="Times New Roman"/>
                <w:bCs/>
                <w:color w:val="auto"/>
                <w:szCs w:val="21"/>
                <w:lang w:val="en-US" w:eastAsia="zh-CN"/>
              </w:rPr>
              <w:t>/a</w:t>
            </w:r>
            <w:r>
              <w:rPr>
                <w:rFonts w:hint="eastAsia" w:ascii="Times New Roman" w:hAnsi="Times New Roman" w:eastAsia="宋体" w:cs="Times New Roman"/>
                <w:bCs/>
                <w:color w:val="auto"/>
                <w:szCs w:val="21"/>
                <w:lang w:val="en-US" w:eastAsia="zh-CN"/>
              </w:rPr>
              <w:t>，产生速率0.00</w:t>
            </w:r>
            <w:r>
              <w:rPr>
                <w:rFonts w:hint="eastAsia" w:cs="Times New Roman"/>
                <w:bCs/>
                <w:color w:val="auto"/>
                <w:szCs w:val="21"/>
                <w:lang w:val="en-US" w:eastAsia="zh-CN"/>
              </w:rPr>
              <w:t>03</w:t>
            </w:r>
            <w:r>
              <w:rPr>
                <w:rFonts w:hint="eastAsia" w:ascii="Times New Roman" w:hAnsi="Times New Roman" w:eastAsia="宋体" w:cs="Times New Roman"/>
                <w:bCs/>
                <w:color w:val="auto"/>
                <w:szCs w:val="21"/>
                <w:lang w:val="en-US" w:eastAsia="zh-CN"/>
              </w:rPr>
              <w:t>kg/h；沥青烟产生量约为0.</w:t>
            </w:r>
            <w:r>
              <w:rPr>
                <w:rFonts w:hint="eastAsia" w:cs="Times New Roman"/>
                <w:bCs/>
                <w:color w:val="auto"/>
                <w:szCs w:val="21"/>
                <w:lang w:val="en-US" w:eastAsia="zh-CN"/>
              </w:rPr>
              <w:t>112</w:t>
            </w:r>
            <w:r>
              <w:rPr>
                <w:rFonts w:hint="eastAsia" w:ascii="Times New Roman" w:hAnsi="Times New Roman" w:eastAsia="宋体" w:cs="Times New Roman"/>
                <w:bCs/>
                <w:color w:val="auto"/>
                <w:szCs w:val="21"/>
                <w:lang w:val="en-US" w:eastAsia="zh-CN"/>
              </w:rPr>
              <w:t>5t/a，产生速率0.</w:t>
            </w:r>
            <w:r>
              <w:rPr>
                <w:rFonts w:hint="eastAsia" w:cs="Times New Roman"/>
                <w:bCs/>
                <w:color w:val="auto"/>
                <w:szCs w:val="21"/>
                <w:lang w:val="en-US" w:eastAsia="zh-CN"/>
              </w:rPr>
              <w:t>094</w:t>
            </w:r>
            <w:r>
              <w:rPr>
                <w:rFonts w:hint="eastAsia" w:ascii="Times New Roman" w:hAnsi="Times New Roman" w:eastAsia="宋体" w:cs="Times New Roman"/>
                <w:bCs/>
                <w:color w:val="auto"/>
                <w:szCs w:val="21"/>
                <w:lang w:val="en-US" w:eastAsia="zh-CN"/>
              </w:rPr>
              <w:t>kg/h。参照《沥青烟气净化研究》（李昌建等），沥青烟气中挥发分含量为 63.72</w:t>
            </w:r>
            <w:r>
              <w:rPr>
                <w:rFonts w:hint="default" w:ascii="Times New Roman" w:hAnsi="Times New Roman" w:eastAsia="宋体" w:cs="Times New Roman"/>
                <w:bCs/>
                <w:color w:val="auto"/>
                <w:szCs w:val="21"/>
                <w:lang w:val="en-US" w:eastAsia="zh-CN"/>
              </w:rPr>
              <w:t>%</w:t>
            </w:r>
            <w:r>
              <w:rPr>
                <w:rFonts w:hint="eastAsia" w:ascii="Times New Roman" w:hAnsi="Times New Roman" w:eastAsia="宋体" w:cs="Times New Roman"/>
                <w:bCs/>
                <w:color w:val="auto"/>
                <w:szCs w:val="21"/>
                <w:lang w:val="en-US" w:eastAsia="zh-CN"/>
              </w:rPr>
              <w:t xml:space="preserve">，则非甲烷总烃产生量为 </w:t>
            </w:r>
            <w:r>
              <w:rPr>
                <w:rFonts w:hint="eastAsia" w:cs="Times New Roman"/>
                <w:bCs/>
                <w:color w:val="auto"/>
                <w:szCs w:val="21"/>
                <w:lang w:val="en-US" w:eastAsia="zh-CN"/>
              </w:rPr>
              <w:t>0.072</w:t>
            </w:r>
            <w:r>
              <w:rPr>
                <w:rFonts w:hint="default" w:ascii="Times New Roman" w:hAnsi="Times New Roman" w:eastAsia="宋体" w:cs="Times New Roman"/>
                <w:bCs/>
                <w:color w:val="auto"/>
                <w:szCs w:val="21"/>
                <w:lang w:val="en-US" w:eastAsia="zh-CN"/>
              </w:rPr>
              <w:t>t/a</w:t>
            </w:r>
            <w:r>
              <w:rPr>
                <w:rFonts w:hint="eastAsia" w:ascii="Times New Roman" w:hAnsi="Times New Roman" w:eastAsia="宋体" w:cs="Times New Roman"/>
                <w:bCs/>
                <w:color w:val="auto"/>
                <w:szCs w:val="21"/>
                <w:lang w:val="en-US" w:eastAsia="zh-CN"/>
              </w:rPr>
              <w:t>。</w:t>
            </w:r>
          </w:p>
          <w:p w14:paraId="1EDA536C">
            <w:pPr>
              <w:spacing w:line="360" w:lineRule="auto"/>
              <w:ind w:firstLine="420" w:firstLineChars="200"/>
              <w:rPr>
                <w:rFonts w:hint="eastAsia"/>
                <w:bCs/>
                <w:color w:val="auto"/>
                <w:szCs w:val="21"/>
                <w:lang w:val="en-US" w:eastAsia="zh-CN"/>
              </w:rPr>
            </w:pPr>
            <w:r>
              <w:rPr>
                <w:rFonts w:hint="eastAsia"/>
                <w:bCs/>
                <w:color w:val="auto"/>
                <w:szCs w:val="21"/>
                <w:lang w:val="en-US" w:eastAsia="zh-CN"/>
              </w:rPr>
              <w:t>环评要求将沥青搅拌机组封闭，并在沥青储罐呼吸孔和沥青混凝土成品出料口处设置集气罩，可以有效的将废气收集并利用风机，通过风管将废气通入1套冷凝器+活性炭吸附装置，集气效率95%，去除效率90%，风机风量5500m</w:t>
            </w:r>
            <w:r>
              <w:rPr>
                <w:rFonts w:hint="eastAsia"/>
                <w:bCs/>
                <w:color w:val="auto"/>
                <w:szCs w:val="21"/>
                <w:vertAlign w:val="superscript"/>
                <w:lang w:val="en-US" w:eastAsia="zh-CN"/>
              </w:rPr>
              <w:t>3</w:t>
            </w:r>
            <w:r>
              <w:rPr>
                <w:rFonts w:hint="eastAsia"/>
                <w:bCs/>
                <w:color w:val="auto"/>
                <w:szCs w:val="21"/>
                <w:lang w:val="en-US" w:eastAsia="zh-CN"/>
              </w:rPr>
              <w:t>/h，经处理后的废气经DA003（H15m，φ0.3m）排放。</w:t>
            </w:r>
          </w:p>
          <w:p w14:paraId="697A66F3">
            <w:pPr>
              <w:spacing w:line="360" w:lineRule="auto"/>
              <w:ind w:firstLine="420" w:firstLineChars="200"/>
              <w:rPr>
                <w:rFonts w:hint="eastAsia"/>
                <w:bCs/>
                <w:color w:val="auto"/>
                <w:szCs w:val="21"/>
                <w:lang w:val="en-US" w:eastAsia="zh-CN"/>
              </w:rPr>
            </w:pPr>
            <w:r>
              <w:rPr>
                <w:rFonts w:hint="eastAsia"/>
                <w:bCs/>
                <w:color w:val="auto"/>
                <w:szCs w:val="21"/>
                <w:lang w:val="en-US" w:eastAsia="zh-CN"/>
              </w:rPr>
              <w:t>风机风量的确定：</w:t>
            </w:r>
          </w:p>
          <w:p w14:paraId="095ABB0B">
            <w:pPr>
              <w:spacing w:line="360" w:lineRule="auto"/>
              <w:ind w:firstLine="420" w:firstLineChars="200"/>
              <w:rPr>
                <w:rFonts w:hint="eastAsia"/>
                <w:bCs/>
                <w:color w:val="auto"/>
                <w:szCs w:val="21"/>
                <w:lang w:val="en-US" w:eastAsia="zh-CN"/>
              </w:rPr>
            </w:pPr>
            <w:r>
              <w:rPr>
                <w:rFonts w:hint="eastAsia"/>
                <w:bCs/>
                <w:color w:val="auto"/>
                <w:szCs w:val="21"/>
                <w:lang w:val="en-US" w:eastAsia="zh-CN"/>
              </w:rPr>
              <w:t>沥青预处理，即沥青加热过程中产生的废气经呼吸孔排放，环评要求将呼吸孔封闭，收集效率为95%以上，将废气通过风管引至废气处理装置。单座储罐呼吸孔风量利用经验公式Q=k×A×V×3600进行计算，其中Q为储罐呼吸孔设置的风量（m</w:t>
            </w:r>
            <w:r>
              <w:rPr>
                <w:rFonts w:hint="eastAsia"/>
                <w:bCs/>
                <w:color w:val="auto"/>
                <w:szCs w:val="21"/>
                <w:vertAlign w:val="superscript"/>
                <w:lang w:val="en-US" w:eastAsia="zh-CN"/>
              </w:rPr>
              <w:t>3</w:t>
            </w:r>
            <w:r>
              <w:rPr>
                <w:rFonts w:hint="eastAsia"/>
                <w:bCs/>
                <w:color w:val="auto"/>
                <w:szCs w:val="21"/>
                <w:lang w:val="en-US" w:eastAsia="zh-CN"/>
              </w:rPr>
              <w:t>/h），k为经验系数（取值在1.0-1.5，本次取值1.5），A为沥青储罐呼吸孔面积（呼吸孔为半径0.15m的圆形，则A=0.071m</w:t>
            </w:r>
            <w:r>
              <w:rPr>
                <w:rFonts w:hint="eastAsia"/>
                <w:bCs/>
                <w:color w:val="auto"/>
                <w:szCs w:val="21"/>
                <w:vertAlign w:val="superscript"/>
                <w:lang w:val="en-US" w:eastAsia="zh-CN"/>
              </w:rPr>
              <w:t>2</w:t>
            </w:r>
            <w:r>
              <w:rPr>
                <w:rFonts w:hint="eastAsia"/>
                <w:bCs/>
                <w:color w:val="auto"/>
                <w:szCs w:val="21"/>
                <w:lang w:val="en-US" w:eastAsia="zh-CN"/>
              </w:rPr>
              <w:t>），V为烟气流速（m/s），根据本项目沥青储罐实际建设尺寸以及烟气流速（取值1.0m/s），计算单座沥青储罐风量Q约为1203.88m</w:t>
            </w:r>
            <w:r>
              <w:rPr>
                <w:rFonts w:hint="eastAsia"/>
                <w:bCs/>
                <w:color w:val="auto"/>
                <w:szCs w:val="21"/>
                <w:vertAlign w:val="superscript"/>
                <w:lang w:val="en-US" w:eastAsia="zh-CN"/>
              </w:rPr>
              <w:t>3</w:t>
            </w:r>
            <w:r>
              <w:rPr>
                <w:rFonts w:hint="eastAsia"/>
                <w:bCs/>
                <w:color w:val="auto"/>
                <w:szCs w:val="21"/>
                <w:lang w:val="en-US" w:eastAsia="zh-CN"/>
              </w:rPr>
              <w:t>/h，3座储罐呼吸孔，则Q</w:t>
            </w:r>
            <w:r>
              <w:rPr>
                <w:rFonts w:hint="eastAsia"/>
                <w:bCs/>
                <w:color w:val="auto"/>
                <w:szCs w:val="21"/>
                <w:vertAlign w:val="subscript"/>
                <w:lang w:val="en-US" w:eastAsia="zh-CN"/>
              </w:rPr>
              <w:t>储罐</w:t>
            </w:r>
            <w:r>
              <w:rPr>
                <w:rFonts w:hint="eastAsia"/>
                <w:bCs/>
                <w:color w:val="auto"/>
                <w:szCs w:val="21"/>
                <w:vertAlign w:val="baseline"/>
                <w:lang w:val="en-US" w:eastAsia="zh-CN"/>
              </w:rPr>
              <w:t>=3611.64</w:t>
            </w:r>
            <w:r>
              <w:rPr>
                <w:rFonts w:hint="eastAsia"/>
                <w:bCs/>
                <w:color w:val="auto"/>
                <w:szCs w:val="21"/>
                <w:lang w:val="en-US" w:eastAsia="zh-CN"/>
              </w:rPr>
              <w:t>m</w:t>
            </w:r>
            <w:r>
              <w:rPr>
                <w:rFonts w:hint="eastAsia"/>
                <w:bCs/>
                <w:color w:val="auto"/>
                <w:szCs w:val="21"/>
                <w:vertAlign w:val="superscript"/>
                <w:lang w:val="en-US" w:eastAsia="zh-CN"/>
              </w:rPr>
              <w:t>3</w:t>
            </w:r>
            <w:r>
              <w:rPr>
                <w:rFonts w:hint="eastAsia"/>
                <w:bCs/>
                <w:color w:val="auto"/>
                <w:szCs w:val="21"/>
                <w:lang w:val="en-US" w:eastAsia="zh-CN"/>
              </w:rPr>
              <w:t>/h；</w:t>
            </w:r>
          </w:p>
          <w:p w14:paraId="6F169EFD">
            <w:pPr>
              <w:autoSpaceDE w:val="0"/>
              <w:autoSpaceDN w:val="0"/>
              <w:spacing w:line="360" w:lineRule="auto"/>
              <w:ind w:firstLine="420" w:firstLineChars="200"/>
              <w:rPr>
                <w:rFonts w:hint="default" w:cs="Times New Roman"/>
                <w:color w:val="auto"/>
                <w:szCs w:val="21"/>
                <w:lang w:val="en-US" w:eastAsia="zh-CN"/>
              </w:rPr>
            </w:pPr>
            <w:r>
              <w:rPr>
                <w:rFonts w:hint="eastAsia"/>
                <w:bCs/>
                <w:color w:val="auto"/>
                <w:szCs w:val="21"/>
                <w:lang w:val="en-US" w:eastAsia="zh-CN"/>
              </w:rPr>
              <w:t>沥青搅拌过程产生的废气，由于搅拌机组进行了封闭，废气经搅拌系统由沥青混凝土成品出料口排放，环评要求在出料口进行局部封闭，并设置一套圆形集气罩，罩口面积根据出料口的尺寸进行设置，集气效率约为95%。</w:t>
            </w:r>
            <w:r>
              <w:rPr>
                <w:color w:val="auto"/>
                <w:szCs w:val="21"/>
              </w:rPr>
              <w:t>参考《通风除尘系统中吸尘罩的设计与计算》（李志华），公式：</w:t>
            </w:r>
            <w:r>
              <w:rPr>
                <w:rFonts w:ascii="Times New Roman" w:hAnsi="Times New Roman"/>
                <w:color w:val="auto"/>
                <w:szCs w:val="21"/>
              </w:rPr>
              <w:t>L=3600×Vx×F</w:t>
            </w:r>
            <w:r>
              <w:rPr>
                <w:rFonts w:hint="eastAsia"/>
                <w:color w:val="auto"/>
                <w:szCs w:val="21"/>
                <w:lang w:eastAsia="zh-CN"/>
              </w:rPr>
              <w:t>，</w:t>
            </w:r>
            <w:r>
              <w:rPr>
                <w:rFonts w:hint="eastAsia"/>
                <w:color w:val="auto"/>
                <w:szCs w:val="21"/>
                <w:lang w:val="en-US" w:eastAsia="zh-CN"/>
              </w:rPr>
              <w:t>其中</w:t>
            </w:r>
            <w:r>
              <w:rPr>
                <w:rFonts w:hint="default" w:ascii="Times New Roman" w:hAnsi="Times New Roman" w:cs="Times New Roman"/>
                <w:color w:val="auto"/>
                <w:sz w:val="21"/>
                <w:szCs w:val="21"/>
              </w:rPr>
              <w:t>V</w:t>
            </w:r>
            <w:r>
              <w:rPr>
                <w:rFonts w:hint="default" w:ascii="Times New Roman" w:hAnsi="Times New Roman" w:cs="Times New Roman"/>
                <w:color w:val="auto"/>
                <w:sz w:val="21"/>
                <w:szCs w:val="21"/>
                <w:vertAlign w:val="subscript"/>
              </w:rPr>
              <w:t>X</w:t>
            </w:r>
            <w:r>
              <w:rPr>
                <w:rFonts w:hint="default" w:ascii="Times New Roman" w:hAnsi="Times New Roman" w:cs="Times New Roman"/>
                <w:color w:val="auto"/>
                <w:sz w:val="21"/>
                <w:szCs w:val="21"/>
              </w:rPr>
              <w:t>—罩口平均风速，（m/s），项目取值</w:t>
            </w:r>
            <w:r>
              <w:rPr>
                <w:rFonts w:hint="eastAsia" w:ascii="Times New Roman" w:hAnsi="Times New Roman" w:cs="Times New Roman"/>
                <w:color w:val="auto"/>
                <w:sz w:val="21"/>
                <w:szCs w:val="21"/>
                <w:lang w:val="en-US" w:eastAsia="zh-CN"/>
              </w:rPr>
              <w:t>1</w:t>
            </w:r>
            <w:r>
              <w:rPr>
                <w:rFonts w:hint="default" w:ascii="Times New Roman" w:hAnsi="Times New Roman" w:cs="Times New Roman"/>
                <w:color w:val="auto"/>
                <w:sz w:val="21"/>
                <w:szCs w:val="21"/>
              </w:rPr>
              <w:t>.5m/s；</w:t>
            </w:r>
            <w:r>
              <w:rPr>
                <w:rFonts w:hint="eastAsia" w:cs="Times New Roman"/>
                <w:color w:val="auto"/>
                <w:szCs w:val="21"/>
                <w:lang w:val="en-US" w:eastAsia="zh-CN"/>
              </w:rPr>
              <w:t>圆形罩口F=πR</w:t>
            </w:r>
            <w:r>
              <w:rPr>
                <w:rFonts w:hint="eastAsia" w:cs="Times New Roman"/>
                <w:color w:val="auto"/>
                <w:szCs w:val="21"/>
                <w:vertAlign w:val="superscript"/>
                <w:lang w:val="en-US" w:eastAsia="zh-CN"/>
              </w:rPr>
              <w:t>2</w:t>
            </w:r>
            <w:r>
              <w:rPr>
                <w:rFonts w:hint="eastAsia" w:cs="Times New Roman"/>
                <w:color w:val="auto"/>
                <w:szCs w:val="21"/>
                <w:lang w:val="en-US" w:eastAsia="zh-CN"/>
              </w:rPr>
              <w:t>；R=r+0.25H，r为半径（m）；</w:t>
            </w:r>
            <w:r>
              <w:rPr>
                <w:rFonts w:hint="default" w:ascii="Times New Roman" w:hAnsi="Times New Roman" w:cs="Times New Roman"/>
                <w:color w:val="auto"/>
                <w:szCs w:val="21"/>
              </w:rPr>
              <w:t>H—罩口离设备面的</w:t>
            </w:r>
            <w:r>
              <w:rPr>
                <w:rFonts w:hint="eastAsia" w:ascii="Times New Roman" w:hAnsi="Times New Roman" w:cs="Times New Roman"/>
                <w:color w:val="auto"/>
                <w:szCs w:val="21"/>
                <w:lang w:val="en-US" w:eastAsia="zh-CN"/>
              </w:rPr>
              <w:t>距离</w:t>
            </w:r>
            <w:r>
              <w:rPr>
                <w:rFonts w:hint="default" w:ascii="Times New Roman" w:hAnsi="Times New Roman" w:cs="Times New Roman"/>
                <w:color w:val="auto"/>
                <w:szCs w:val="21"/>
              </w:rPr>
              <w:t>（m）</w:t>
            </w:r>
            <w:r>
              <w:rPr>
                <w:rFonts w:hint="eastAsia" w:cs="Times New Roman"/>
                <w:color w:val="auto"/>
                <w:szCs w:val="21"/>
                <w:lang w:eastAsia="zh-CN"/>
              </w:rPr>
              <w:t>。</w:t>
            </w:r>
            <w:r>
              <w:rPr>
                <w:rFonts w:hint="eastAsia" w:cs="Times New Roman"/>
                <w:color w:val="auto"/>
                <w:szCs w:val="21"/>
                <w:lang w:val="en-US" w:eastAsia="zh-CN"/>
              </w:rPr>
              <w:t>根据本项目沥青混凝土成品出料口实际建设尺寸，确定圆形集气罩口半径为0.2m，罩口距离出料口距离约0.15m，则计算得风量约为956.42m</w:t>
            </w:r>
            <w:r>
              <w:rPr>
                <w:rFonts w:hint="eastAsia" w:cs="Times New Roman"/>
                <w:color w:val="auto"/>
                <w:szCs w:val="21"/>
                <w:vertAlign w:val="superscript"/>
                <w:lang w:val="en-US" w:eastAsia="zh-CN"/>
              </w:rPr>
              <w:t>3</w:t>
            </w:r>
            <w:r>
              <w:rPr>
                <w:rFonts w:hint="eastAsia" w:cs="Times New Roman"/>
                <w:color w:val="auto"/>
                <w:szCs w:val="21"/>
                <w:lang w:val="en-US" w:eastAsia="zh-CN"/>
              </w:rPr>
              <w:t>/h；</w:t>
            </w:r>
          </w:p>
          <w:p w14:paraId="64957E66">
            <w:pPr>
              <w:autoSpaceDE w:val="0"/>
              <w:autoSpaceDN w:val="0"/>
              <w:spacing w:line="360" w:lineRule="auto"/>
              <w:ind w:firstLine="420" w:firstLineChars="200"/>
              <w:rPr>
                <w:rFonts w:hint="default" w:cs="Times New Roman"/>
                <w:color w:val="auto"/>
                <w:szCs w:val="21"/>
                <w:lang w:val="en-US" w:eastAsia="zh-CN"/>
              </w:rPr>
            </w:pPr>
            <w:r>
              <w:rPr>
                <w:rFonts w:hint="eastAsia" w:cs="Times New Roman"/>
                <w:color w:val="auto"/>
                <w:szCs w:val="21"/>
                <w:lang w:val="en-US" w:eastAsia="zh-CN"/>
              </w:rPr>
              <w:t>综上计算，沥青预处理、搅拌、出料口烟气风量总和约为4568.06m</w:t>
            </w:r>
            <w:r>
              <w:rPr>
                <w:rFonts w:hint="eastAsia" w:cs="Times New Roman"/>
                <w:color w:val="auto"/>
                <w:szCs w:val="21"/>
                <w:vertAlign w:val="superscript"/>
                <w:lang w:val="en-US" w:eastAsia="zh-CN"/>
              </w:rPr>
              <w:t>3</w:t>
            </w:r>
            <w:r>
              <w:rPr>
                <w:rFonts w:hint="eastAsia" w:cs="Times New Roman"/>
                <w:color w:val="auto"/>
                <w:szCs w:val="21"/>
                <w:lang w:val="en-US" w:eastAsia="zh-CN"/>
              </w:rPr>
              <w:t>/h。考虑废气经风管连接并引入废气处理装置，会有一定的管道损失，调整系数取1.2，则风量经调整系数并取整后得出风量总和为5500m</w:t>
            </w:r>
            <w:r>
              <w:rPr>
                <w:rFonts w:hint="eastAsia" w:cs="Times New Roman"/>
                <w:color w:val="auto"/>
                <w:szCs w:val="21"/>
                <w:vertAlign w:val="superscript"/>
                <w:lang w:val="en-US" w:eastAsia="zh-CN"/>
              </w:rPr>
              <w:t>3</w:t>
            </w:r>
            <w:r>
              <w:rPr>
                <w:rFonts w:hint="eastAsia" w:cs="Times New Roman"/>
                <w:color w:val="auto"/>
                <w:szCs w:val="21"/>
                <w:lang w:val="en-US" w:eastAsia="zh-CN"/>
              </w:rPr>
              <w:t>/h。</w:t>
            </w:r>
          </w:p>
          <w:p w14:paraId="2F381661">
            <w:pPr>
              <w:spacing w:line="360" w:lineRule="auto"/>
              <w:ind w:firstLine="420" w:firstLineChars="200"/>
              <w:rPr>
                <w:rFonts w:hint="default"/>
                <w:bCs/>
                <w:color w:val="auto"/>
                <w:szCs w:val="21"/>
                <w:lang w:val="en-US" w:eastAsia="zh-CN"/>
              </w:rPr>
            </w:pPr>
            <w:r>
              <w:rPr>
                <w:rFonts w:hint="eastAsia"/>
                <w:bCs/>
                <w:color w:val="auto"/>
                <w:szCs w:val="21"/>
                <w:lang w:val="en-US" w:eastAsia="zh-CN"/>
              </w:rPr>
              <w:t>经计算，DA003排放的污染物中沥青烟排放量0.011t/a，排放速率0.009kg/h，排放浓度1.62mg/m</w:t>
            </w:r>
            <w:r>
              <w:rPr>
                <w:rFonts w:hint="eastAsia"/>
                <w:bCs/>
                <w:color w:val="auto"/>
                <w:szCs w:val="21"/>
                <w:vertAlign w:val="superscript"/>
                <w:lang w:val="en-US" w:eastAsia="zh-CN"/>
              </w:rPr>
              <w:t>3</w:t>
            </w:r>
            <w:r>
              <w:rPr>
                <w:rFonts w:hint="eastAsia"/>
                <w:bCs/>
                <w:color w:val="auto"/>
                <w:szCs w:val="21"/>
                <w:lang w:val="en-US" w:eastAsia="zh-CN"/>
              </w:rPr>
              <w:t>；苯并[a]芘排放量0.00003t/a，排放速率0.00002kg/h，排放浓度0.004mg/m</w:t>
            </w:r>
            <w:r>
              <w:rPr>
                <w:rFonts w:hint="eastAsia"/>
                <w:bCs/>
                <w:color w:val="auto"/>
                <w:szCs w:val="21"/>
                <w:vertAlign w:val="superscript"/>
                <w:lang w:val="en-US" w:eastAsia="zh-CN"/>
              </w:rPr>
              <w:t>3</w:t>
            </w:r>
            <w:r>
              <w:rPr>
                <w:rFonts w:hint="eastAsia"/>
                <w:bCs/>
                <w:color w:val="auto"/>
                <w:szCs w:val="21"/>
                <w:lang w:val="en-US" w:eastAsia="zh-CN"/>
              </w:rPr>
              <w:t>；非甲烷总烃排放量0.007t/a，排放速率0.006kg/h，排放浓度1.03mg/m</w:t>
            </w:r>
            <w:r>
              <w:rPr>
                <w:rFonts w:hint="eastAsia"/>
                <w:bCs/>
                <w:color w:val="auto"/>
                <w:szCs w:val="21"/>
                <w:vertAlign w:val="superscript"/>
                <w:lang w:val="en-US" w:eastAsia="zh-CN"/>
              </w:rPr>
              <w:t>3</w:t>
            </w:r>
            <w:r>
              <w:rPr>
                <w:rFonts w:hint="eastAsia"/>
                <w:bCs/>
                <w:color w:val="auto"/>
                <w:szCs w:val="21"/>
                <w:lang w:val="en-US" w:eastAsia="zh-CN"/>
              </w:rPr>
              <w:t>；</w:t>
            </w:r>
          </w:p>
          <w:p w14:paraId="51EB7654">
            <w:pPr>
              <w:spacing w:line="360" w:lineRule="auto"/>
              <w:ind w:firstLine="420" w:firstLineChars="200"/>
              <w:rPr>
                <w:rFonts w:hint="eastAsia" w:ascii="Times New Roman" w:hAnsi="Times New Roman"/>
                <w:color w:val="auto"/>
                <w:spacing w:val="6"/>
                <w:szCs w:val="21"/>
                <w:lang w:val="en-US" w:eastAsia="zh-CN"/>
              </w:rPr>
            </w:pPr>
            <w:r>
              <w:rPr>
                <w:rFonts w:hint="eastAsia"/>
                <w:bCs/>
                <w:color w:val="auto"/>
                <w:szCs w:val="21"/>
                <w:lang w:val="en-US" w:eastAsia="zh-CN"/>
              </w:rPr>
              <w:t>污染物排放浓度、排放速率均满足</w:t>
            </w:r>
            <w:r>
              <w:rPr>
                <w:rFonts w:hint="eastAsia" w:ascii="Times New Roman" w:hAnsi="Times New Roman"/>
                <w:color w:val="auto"/>
                <w:spacing w:val="6"/>
                <w:szCs w:val="21"/>
                <w:lang w:val="en-US" w:eastAsia="zh-CN"/>
              </w:rPr>
              <w:t>《大气污染物综合排放标准》（GB16297-1996）表2中二级标准限值要求。</w:t>
            </w:r>
          </w:p>
          <w:p w14:paraId="38C68E40">
            <w:pPr>
              <w:spacing w:line="360" w:lineRule="auto"/>
              <w:ind w:firstLine="444" w:firstLineChars="200"/>
              <w:rPr>
                <w:rFonts w:hint="default" w:ascii="Times New Roman" w:hAnsi="Times New Roman"/>
                <w:color w:val="auto"/>
                <w:spacing w:val="6"/>
                <w:szCs w:val="21"/>
                <w:lang w:val="en-US" w:eastAsia="zh-CN"/>
              </w:rPr>
            </w:pPr>
            <w:r>
              <w:rPr>
                <w:rFonts w:hint="eastAsia"/>
                <w:color w:val="auto"/>
                <w:spacing w:val="6"/>
                <w:szCs w:val="21"/>
                <w:lang w:val="en-US" w:eastAsia="zh-CN"/>
              </w:rPr>
              <w:t>另外，未捕集的废气中约有</w:t>
            </w:r>
            <w:r>
              <w:rPr>
                <w:rFonts w:hint="eastAsia"/>
                <w:bCs/>
                <w:color w:val="auto"/>
                <w:szCs w:val="21"/>
                <w:lang w:val="en-US" w:eastAsia="zh-CN"/>
              </w:rPr>
              <w:t>沥青烟0.0056t/a、苯并[a]芘0.000015t/a、非甲烷总烃0.0036t/a，以无组织形式排放至大气环境，无组织污染物排放量较小，可忽略不计。</w:t>
            </w:r>
          </w:p>
          <w:p w14:paraId="1FA624C4">
            <w:pPr>
              <w:spacing w:line="360" w:lineRule="auto"/>
              <w:ind w:firstLine="422" w:firstLineChars="200"/>
              <w:rPr>
                <w:rFonts w:hint="eastAsia"/>
                <w:b/>
                <w:bCs w:val="0"/>
                <w:color w:val="auto"/>
                <w:szCs w:val="21"/>
                <w:lang w:val="en-US" w:eastAsia="zh-CN"/>
              </w:rPr>
            </w:pPr>
            <w:r>
              <w:rPr>
                <w:rFonts w:hint="eastAsia"/>
                <w:b/>
                <w:bCs w:val="0"/>
                <w:color w:val="auto"/>
                <w:szCs w:val="21"/>
                <w:lang w:val="en-US" w:eastAsia="zh-CN"/>
              </w:rPr>
              <w:t>（5）</w:t>
            </w:r>
            <w:r>
              <w:rPr>
                <w:rFonts w:hint="eastAsia"/>
                <w:b/>
                <w:bCs/>
                <w:color w:val="auto"/>
                <w:szCs w:val="21"/>
                <w:lang w:val="en-US" w:eastAsia="zh-CN"/>
              </w:rPr>
              <w:t>混凝</w:t>
            </w:r>
            <w:r>
              <w:rPr>
                <w:rFonts w:hint="eastAsia"/>
                <w:b/>
                <w:bCs w:val="0"/>
                <w:color w:val="auto"/>
                <w:szCs w:val="21"/>
                <w:lang w:val="en-US" w:eastAsia="zh-CN"/>
              </w:rPr>
              <w:t>土搅拌废气</w:t>
            </w:r>
          </w:p>
          <w:p w14:paraId="11FDC09A">
            <w:pPr>
              <w:spacing w:line="360" w:lineRule="auto"/>
              <w:ind w:firstLine="420" w:firstLineChars="200"/>
              <w:rPr>
                <w:rFonts w:hint="eastAsia" w:cs="Times New Roman"/>
                <w:color w:val="auto"/>
                <w:sz w:val="21"/>
                <w:szCs w:val="21"/>
                <w:lang w:val="en-US" w:eastAsia="zh-CN"/>
              </w:rPr>
            </w:pPr>
            <w:r>
              <w:rPr>
                <w:rFonts w:hint="eastAsia" w:cs="Times New Roman"/>
                <w:color w:val="auto"/>
                <w:sz w:val="21"/>
                <w:szCs w:val="21"/>
                <w:lang w:val="en-US" w:eastAsia="zh-CN"/>
              </w:rPr>
              <w:t>本项目混凝土生产线中搅拌机组在搅拌过程中会产生的一定的粉尘，主要污染物为颗粒物。根据《排放源统计调查产排污核算方法和系数手册》（2021年）</w:t>
            </w:r>
            <w:r>
              <w:rPr>
                <w:rFonts w:hint="eastAsia"/>
                <w:color w:val="000000"/>
                <w:spacing w:val="6"/>
                <w:szCs w:val="21"/>
              </w:rPr>
              <w:t>中</w:t>
            </w:r>
            <w:r>
              <w:rPr>
                <w:rFonts w:hint="eastAsia"/>
                <w:color w:val="000000"/>
                <w:spacing w:val="6"/>
                <w:szCs w:val="21"/>
                <w:lang w:val="en-US" w:eastAsia="zh-CN"/>
              </w:rPr>
              <w:t>3029其他水泥类似制品制造行业</w:t>
            </w:r>
            <w:r>
              <w:rPr>
                <w:rFonts w:hint="eastAsia" w:cs="Times New Roman"/>
                <w:color w:val="auto"/>
                <w:sz w:val="21"/>
                <w:szCs w:val="21"/>
                <w:lang w:val="en-US" w:eastAsia="zh-CN"/>
              </w:rPr>
              <w:t>，搅拌过程颗粒物产生系数为0.13kg/t，本项目混凝土生产规模为200000m</w:t>
            </w:r>
            <w:r>
              <w:rPr>
                <w:rFonts w:hint="eastAsia" w:cs="Times New Roman"/>
                <w:color w:val="auto"/>
                <w:sz w:val="21"/>
                <w:szCs w:val="21"/>
                <w:vertAlign w:val="superscript"/>
                <w:lang w:val="en-US" w:eastAsia="zh-CN"/>
              </w:rPr>
              <w:t>3</w:t>
            </w:r>
            <w:r>
              <w:rPr>
                <w:rFonts w:hint="eastAsia" w:cs="Times New Roman"/>
                <w:color w:val="auto"/>
                <w:sz w:val="21"/>
                <w:szCs w:val="21"/>
                <w:lang w:val="en-US" w:eastAsia="zh-CN"/>
              </w:rPr>
              <w:t>/a，混凝土密度按2.4t/m</w:t>
            </w:r>
            <w:r>
              <w:rPr>
                <w:rFonts w:hint="eastAsia" w:cs="Times New Roman"/>
                <w:color w:val="auto"/>
                <w:sz w:val="21"/>
                <w:szCs w:val="21"/>
                <w:vertAlign w:val="superscript"/>
                <w:lang w:val="en-US" w:eastAsia="zh-CN"/>
              </w:rPr>
              <w:t>3</w:t>
            </w:r>
            <w:r>
              <w:rPr>
                <w:rFonts w:hint="eastAsia" w:cs="Times New Roman"/>
                <w:color w:val="auto"/>
                <w:sz w:val="21"/>
                <w:szCs w:val="21"/>
                <w:vertAlign w:val="baseline"/>
                <w:lang w:val="en-US" w:eastAsia="zh-CN"/>
              </w:rPr>
              <w:t>计算</w:t>
            </w:r>
            <w:r>
              <w:rPr>
                <w:rFonts w:hint="eastAsia" w:cs="Times New Roman"/>
                <w:color w:val="auto"/>
                <w:sz w:val="21"/>
                <w:szCs w:val="21"/>
                <w:lang w:val="en-US" w:eastAsia="zh-CN"/>
              </w:rPr>
              <w:t>，则此部分颗粒物产生量约为62.4t/a，产生浓度约为1040mg/m</w:t>
            </w:r>
            <w:r>
              <w:rPr>
                <w:rFonts w:hint="eastAsia" w:cs="Times New Roman"/>
                <w:color w:val="auto"/>
                <w:sz w:val="21"/>
                <w:szCs w:val="21"/>
                <w:vertAlign w:val="superscript"/>
                <w:lang w:val="en-US" w:eastAsia="zh-CN"/>
              </w:rPr>
              <w:t>3</w:t>
            </w:r>
            <w:r>
              <w:rPr>
                <w:rFonts w:hint="eastAsia" w:cs="Times New Roman"/>
                <w:color w:val="auto"/>
                <w:sz w:val="21"/>
                <w:szCs w:val="21"/>
                <w:lang w:val="en-US" w:eastAsia="zh-CN"/>
              </w:rPr>
              <w:t>。</w:t>
            </w:r>
          </w:p>
          <w:p w14:paraId="1B0ECC0F">
            <w:pPr>
              <w:spacing w:line="360" w:lineRule="auto"/>
              <w:ind w:firstLine="420" w:firstLineChars="200"/>
              <w:rPr>
                <w:rFonts w:hint="default" w:cs="Times New Roman"/>
                <w:color w:val="auto"/>
                <w:sz w:val="21"/>
                <w:szCs w:val="21"/>
                <w:lang w:val="en-US" w:eastAsia="zh-CN"/>
              </w:rPr>
            </w:pPr>
            <w:r>
              <w:rPr>
                <w:rFonts w:hint="eastAsia" w:cs="Times New Roman"/>
                <w:color w:val="auto"/>
                <w:sz w:val="21"/>
                <w:szCs w:val="21"/>
                <w:lang w:val="en-US" w:eastAsia="zh-CN"/>
              </w:rPr>
              <w:t>环评要求将搅拌机组封闭，利用风机将废气引至1台布袋除尘器净化处理，集气效率95%，风机风量50000m</w:t>
            </w:r>
            <w:r>
              <w:rPr>
                <w:rFonts w:hint="eastAsia" w:cs="Times New Roman"/>
                <w:color w:val="auto"/>
                <w:sz w:val="21"/>
                <w:szCs w:val="21"/>
                <w:vertAlign w:val="superscript"/>
                <w:lang w:val="en-US" w:eastAsia="zh-CN"/>
              </w:rPr>
              <w:t>3</w:t>
            </w:r>
            <w:r>
              <w:rPr>
                <w:rFonts w:hint="eastAsia" w:cs="Times New Roman"/>
                <w:color w:val="auto"/>
                <w:sz w:val="21"/>
                <w:szCs w:val="21"/>
                <w:lang w:val="en-US" w:eastAsia="zh-CN"/>
              </w:rPr>
              <w:t>/h。根据设备厂家提供资料可知，除尘器出口浓度小于10mg/m</w:t>
            </w:r>
            <w:r>
              <w:rPr>
                <w:rFonts w:hint="eastAsia" w:cs="Times New Roman"/>
                <w:color w:val="auto"/>
                <w:sz w:val="21"/>
                <w:szCs w:val="21"/>
                <w:vertAlign w:val="superscript"/>
                <w:lang w:val="en-US" w:eastAsia="zh-CN"/>
              </w:rPr>
              <w:t>3</w:t>
            </w:r>
            <w:r>
              <w:rPr>
                <w:rFonts w:hint="eastAsia" w:cs="Times New Roman"/>
                <w:color w:val="auto"/>
                <w:sz w:val="21"/>
                <w:szCs w:val="21"/>
                <w:lang w:val="en-US" w:eastAsia="zh-CN"/>
              </w:rPr>
              <w:t>，除尘效率99%。废气经处理后由DA005</w:t>
            </w:r>
            <w:r>
              <w:rPr>
                <w:rFonts w:hint="eastAsia"/>
                <w:bCs/>
                <w:color w:val="auto"/>
                <w:szCs w:val="21"/>
                <w:lang w:val="en-US" w:eastAsia="zh-CN"/>
              </w:rPr>
              <w:t>（H15m，φ0.5m）排放。</w:t>
            </w:r>
          </w:p>
          <w:p w14:paraId="6764FD3F">
            <w:pPr>
              <w:spacing w:line="360" w:lineRule="auto"/>
              <w:ind w:firstLine="420" w:firstLineChars="200"/>
              <w:rPr>
                <w:rFonts w:hint="eastAsia"/>
                <w:bCs/>
                <w:color w:val="auto"/>
                <w:szCs w:val="21"/>
                <w:vertAlign w:val="baseline"/>
                <w:lang w:val="en-US" w:eastAsia="zh-CN"/>
              </w:rPr>
            </w:pPr>
            <w:r>
              <w:rPr>
                <w:rFonts w:hint="eastAsia"/>
                <w:bCs/>
                <w:color w:val="auto"/>
                <w:szCs w:val="21"/>
                <w:lang w:val="en-US" w:eastAsia="zh-CN"/>
              </w:rPr>
              <w:t>经计算，DA006颗粒物排放量0.5928t/a，排放速率0.49kg/h，排放浓度9.88mg/m</w:t>
            </w:r>
            <w:r>
              <w:rPr>
                <w:rFonts w:hint="eastAsia"/>
                <w:bCs/>
                <w:color w:val="auto"/>
                <w:szCs w:val="21"/>
                <w:vertAlign w:val="superscript"/>
                <w:lang w:val="en-US" w:eastAsia="zh-CN"/>
              </w:rPr>
              <w:t>3</w:t>
            </w:r>
            <w:r>
              <w:rPr>
                <w:rFonts w:hint="eastAsia"/>
                <w:bCs/>
                <w:color w:val="auto"/>
                <w:szCs w:val="21"/>
                <w:vertAlign w:val="baseline"/>
                <w:lang w:val="en-US" w:eastAsia="zh-CN"/>
              </w:rPr>
              <w:t>。</w:t>
            </w:r>
          </w:p>
          <w:p w14:paraId="594D2FE0">
            <w:pPr>
              <w:spacing w:line="360" w:lineRule="auto"/>
              <w:ind w:firstLine="420" w:firstLineChars="200"/>
              <w:rPr>
                <w:rFonts w:hint="eastAsia" w:ascii="Times New Roman" w:hAnsi="Times New Roman" w:eastAsia="宋体" w:cs="Times New Roman"/>
                <w:szCs w:val="21"/>
                <w:lang w:val="en-US" w:eastAsia="zh-CN"/>
              </w:rPr>
            </w:pPr>
            <w:r>
              <w:rPr>
                <w:rFonts w:hint="eastAsia"/>
                <w:bCs/>
                <w:color w:val="auto"/>
                <w:szCs w:val="21"/>
                <w:vertAlign w:val="baseline"/>
                <w:lang w:val="en-US" w:eastAsia="zh-CN"/>
              </w:rPr>
              <w:t>污染物排放浓度满足</w:t>
            </w:r>
            <w:r>
              <w:rPr>
                <w:rFonts w:hint="eastAsia" w:ascii="Times New Roman" w:hAnsi="Times New Roman" w:eastAsia="宋体" w:cs="Times New Roman"/>
                <w:szCs w:val="21"/>
                <w:lang w:val="en-US" w:eastAsia="zh-CN"/>
              </w:rPr>
              <w:t>《水泥工业大气污染物排放标准》（DB14/3176-2024）表1中水泥制品生产标准限值要求（10mg/m</w:t>
            </w:r>
            <w:r>
              <w:rPr>
                <w:rFonts w:hint="eastAsia" w:ascii="Times New Roman" w:hAnsi="Times New Roman" w:eastAsia="宋体" w:cs="Times New Roman"/>
                <w:szCs w:val="21"/>
                <w:vertAlign w:val="superscript"/>
                <w:lang w:val="en-US" w:eastAsia="zh-CN"/>
              </w:rPr>
              <w:t>3</w:t>
            </w:r>
            <w:r>
              <w:rPr>
                <w:rFonts w:hint="eastAsia" w:ascii="Times New Roman" w:hAnsi="Times New Roman" w:eastAsia="宋体" w:cs="Times New Roman"/>
                <w:szCs w:val="21"/>
                <w:lang w:val="en-US" w:eastAsia="zh-CN"/>
              </w:rPr>
              <w:t>）。</w:t>
            </w:r>
          </w:p>
          <w:p w14:paraId="1E114948">
            <w:pPr>
              <w:spacing w:line="360" w:lineRule="auto"/>
              <w:ind w:firstLine="422" w:firstLineChars="200"/>
              <w:rPr>
                <w:rFonts w:hint="eastAsia"/>
                <w:b/>
                <w:bCs w:val="0"/>
                <w:color w:val="auto"/>
                <w:szCs w:val="21"/>
                <w:lang w:val="en-US" w:eastAsia="zh-CN"/>
              </w:rPr>
            </w:pPr>
            <w:r>
              <w:rPr>
                <w:rFonts w:hint="eastAsia"/>
                <w:b/>
                <w:bCs w:val="0"/>
                <w:color w:val="auto"/>
                <w:szCs w:val="21"/>
                <w:lang w:val="en-US" w:eastAsia="zh-CN"/>
              </w:rPr>
              <w:t>（6）水稳土搅拌废气</w:t>
            </w:r>
          </w:p>
          <w:p w14:paraId="2417B00C">
            <w:pPr>
              <w:spacing w:line="360" w:lineRule="auto"/>
              <w:ind w:firstLine="420" w:firstLineChars="200"/>
              <w:rPr>
                <w:rFonts w:hint="eastAsia" w:cs="Times New Roman"/>
                <w:color w:val="auto"/>
                <w:sz w:val="21"/>
                <w:szCs w:val="21"/>
                <w:lang w:val="en-US" w:eastAsia="zh-CN"/>
              </w:rPr>
            </w:pPr>
            <w:r>
              <w:rPr>
                <w:rFonts w:hint="eastAsia" w:cs="Times New Roman"/>
                <w:color w:val="auto"/>
                <w:sz w:val="21"/>
                <w:szCs w:val="21"/>
                <w:lang w:val="en-US" w:eastAsia="zh-CN"/>
              </w:rPr>
              <w:t>本项目水稳土生产线中搅拌机组在搅拌过程中会产生的一定的粉尘，主要污染物为颗粒物。根据《排放源统计调查产排污核算方法和系数手册》（2021年）</w:t>
            </w:r>
            <w:r>
              <w:rPr>
                <w:rFonts w:hint="eastAsia"/>
                <w:color w:val="000000"/>
                <w:spacing w:val="6"/>
                <w:szCs w:val="21"/>
              </w:rPr>
              <w:t>中</w:t>
            </w:r>
            <w:r>
              <w:rPr>
                <w:rFonts w:hint="eastAsia"/>
                <w:color w:val="000000"/>
                <w:spacing w:val="6"/>
                <w:szCs w:val="21"/>
                <w:lang w:val="en-US" w:eastAsia="zh-CN"/>
              </w:rPr>
              <w:t>3029其他水泥类似制品制造行业</w:t>
            </w:r>
            <w:r>
              <w:rPr>
                <w:rFonts w:hint="eastAsia" w:cs="Times New Roman"/>
                <w:color w:val="auto"/>
                <w:sz w:val="21"/>
                <w:szCs w:val="21"/>
                <w:lang w:val="en-US" w:eastAsia="zh-CN"/>
              </w:rPr>
              <w:t>，搅拌过程颗粒物产生系数为0.13kg/t，本项目水稳土生产规模为5万m</w:t>
            </w:r>
            <w:r>
              <w:rPr>
                <w:rFonts w:hint="eastAsia" w:cs="Times New Roman"/>
                <w:color w:val="auto"/>
                <w:sz w:val="21"/>
                <w:szCs w:val="21"/>
                <w:vertAlign w:val="superscript"/>
                <w:lang w:val="en-US" w:eastAsia="zh-CN"/>
              </w:rPr>
              <w:t>3</w:t>
            </w:r>
            <w:r>
              <w:rPr>
                <w:rFonts w:hint="eastAsia" w:cs="Times New Roman"/>
                <w:color w:val="auto"/>
                <w:sz w:val="21"/>
                <w:szCs w:val="21"/>
                <w:lang w:val="en-US" w:eastAsia="zh-CN"/>
              </w:rPr>
              <w:t>/a，水稳土密度按2.2t/m</w:t>
            </w:r>
            <w:r>
              <w:rPr>
                <w:rFonts w:hint="eastAsia" w:cs="Times New Roman"/>
                <w:color w:val="auto"/>
                <w:sz w:val="21"/>
                <w:szCs w:val="21"/>
                <w:vertAlign w:val="superscript"/>
                <w:lang w:val="en-US" w:eastAsia="zh-CN"/>
              </w:rPr>
              <w:t>3</w:t>
            </w:r>
            <w:r>
              <w:rPr>
                <w:rFonts w:hint="eastAsia" w:cs="Times New Roman"/>
                <w:color w:val="auto"/>
                <w:sz w:val="21"/>
                <w:szCs w:val="21"/>
                <w:vertAlign w:val="baseline"/>
                <w:lang w:val="en-US" w:eastAsia="zh-CN"/>
              </w:rPr>
              <w:t>计算</w:t>
            </w:r>
            <w:r>
              <w:rPr>
                <w:rFonts w:hint="eastAsia" w:cs="Times New Roman"/>
                <w:color w:val="auto"/>
                <w:sz w:val="21"/>
                <w:szCs w:val="21"/>
                <w:lang w:val="en-US" w:eastAsia="zh-CN"/>
              </w:rPr>
              <w:t>，则此部分颗粒物产生量约为14.3t/a，产生浓度约为993mg/m</w:t>
            </w:r>
            <w:r>
              <w:rPr>
                <w:rFonts w:hint="eastAsia" w:cs="Times New Roman"/>
                <w:color w:val="auto"/>
                <w:sz w:val="21"/>
                <w:szCs w:val="21"/>
                <w:vertAlign w:val="superscript"/>
                <w:lang w:val="en-US" w:eastAsia="zh-CN"/>
              </w:rPr>
              <w:t>3</w:t>
            </w:r>
            <w:r>
              <w:rPr>
                <w:rFonts w:hint="eastAsia" w:cs="Times New Roman"/>
                <w:color w:val="auto"/>
                <w:sz w:val="21"/>
                <w:szCs w:val="21"/>
                <w:lang w:val="en-US" w:eastAsia="zh-CN"/>
              </w:rPr>
              <w:t>。</w:t>
            </w:r>
          </w:p>
          <w:p w14:paraId="6FFEFCF7">
            <w:pPr>
              <w:spacing w:line="360" w:lineRule="auto"/>
              <w:ind w:firstLine="420" w:firstLineChars="200"/>
              <w:rPr>
                <w:rFonts w:hint="default" w:cs="Times New Roman"/>
                <w:color w:val="auto"/>
                <w:sz w:val="21"/>
                <w:szCs w:val="21"/>
                <w:lang w:val="en-US" w:eastAsia="zh-CN"/>
              </w:rPr>
            </w:pPr>
            <w:r>
              <w:rPr>
                <w:rFonts w:hint="eastAsia" w:cs="Times New Roman"/>
                <w:color w:val="auto"/>
                <w:sz w:val="21"/>
                <w:szCs w:val="21"/>
                <w:lang w:val="en-US" w:eastAsia="zh-CN"/>
              </w:rPr>
              <w:t>环评要求将搅拌机组封闭，利用风机将废气引至1台布袋除尘器净化处理，集气效率95%，风机风量12000m</w:t>
            </w:r>
            <w:r>
              <w:rPr>
                <w:rFonts w:hint="eastAsia" w:cs="Times New Roman"/>
                <w:color w:val="auto"/>
                <w:sz w:val="21"/>
                <w:szCs w:val="21"/>
                <w:vertAlign w:val="superscript"/>
                <w:lang w:val="en-US" w:eastAsia="zh-CN"/>
              </w:rPr>
              <w:t>3</w:t>
            </w:r>
            <w:r>
              <w:rPr>
                <w:rFonts w:hint="eastAsia" w:cs="Times New Roman"/>
                <w:color w:val="auto"/>
                <w:sz w:val="21"/>
                <w:szCs w:val="21"/>
                <w:lang w:val="en-US" w:eastAsia="zh-CN"/>
              </w:rPr>
              <w:t>/h。根据设备厂家提供资料可知，除尘器出口浓度小于10mg/m</w:t>
            </w:r>
            <w:r>
              <w:rPr>
                <w:rFonts w:hint="eastAsia" w:cs="Times New Roman"/>
                <w:color w:val="auto"/>
                <w:sz w:val="21"/>
                <w:szCs w:val="21"/>
                <w:vertAlign w:val="superscript"/>
                <w:lang w:val="en-US" w:eastAsia="zh-CN"/>
              </w:rPr>
              <w:t>3</w:t>
            </w:r>
            <w:r>
              <w:rPr>
                <w:rFonts w:hint="eastAsia" w:cs="Times New Roman"/>
                <w:color w:val="auto"/>
                <w:sz w:val="21"/>
                <w:szCs w:val="21"/>
                <w:lang w:val="en-US" w:eastAsia="zh-CN"/>
              </w:rPr>
              <w:t>，除尘效率99%。废气经处理后由DA006</w:t>
            </w:r>
            <w:r>
              <w:rPr>
                <w:rFonts w:hint="eastAsia"/>
                <w:bCs/>
                <w:color w:val="auto"/>
                <w:szCs w:val="21"/>
                <w:lang w:val="en-US" w:eastAsia="zh-CN"/>
              </w:rPr>
              <w:t>（H15m，φ0.5m）排放。</w:t>
            </w:r>
          </w:p>
          <w:p w14:paraId="7B0C464F">
            <w:pPr>
              <w:spacing w:line="360" w:lineRule="auto"/>
              <w:ind w:firstLine="420" w:firstLineChars="200"/>
              <w:rPr>
                <w:rFonts w:hint="eastAsia"/>
                <w:bCs/>
                <w:color w:val="auto"/>
                <w:szCs w:val="21"/>
                <w:vertAlign w:val="baseline"/>
                <w:lang w:val="en-US" w:eastAsia="zh-CN"/>
              </w:rPr>
            </w:pPr>
            <w:r>
              <w:rPr>
                <w:rFonts w:hint="eastAsia"/>
                <w:bCs/>
                <w:color w:val="auto"/>
                <w:szCs w:val="21"/>
                <w:lang w:val="en-US" w:eastAsia="zh-CN"/>
              </w:rPr>
              <w:t>经计算，DA006颗粒物排放量0.1359t/a，排放速率0.11kg/h，排放浓度9.43mg/m</w:t>
            </w:r>
            <w:r>
              <w:rPr>
                <w:rFonts w:hint="eastAsia"/>
                <w:bCs/>
                <w:color w:val="auto"/>
                <w:szCs w:val="21"/>
                <w:vertAlign w:val="superscript"/>
                <w:lang w:val="en-US" w:eastAsia="zh-CN"/>
              </w:rPr>
              <w:t>3</w:t>
            </w:r>
            <w:r>
              <w:rPr>
                <w:rFonts w:hint="eastAsia"/>
                <w:bCs/>
                <w:color w:val="auto"/>
                <w:szCs w:val="21"/>
                <w:vertAlign w:val="baseline"/>
                <w:lang w:val="en-US" w:eastAsia="zh-CN"/>
              </w:rPr>
              <w:t>。</w:t>
            </w:r>
          </w:p>
          <w:p w14:paraId="0B10B39B">
            <w:pPr>
              <w:spacing w:line="360" w:lineRule="auto"/>
              <w:ind w:firstLine="420" w:firstLineChars="200"/>
              <w:rPr>
                <w:rFonts w:hint="eastAsia" w:ascii="Times New Roman" w:hAnsi="Times New Roman" w:eastAsia="宋体" w:cs="Times New Roman"/>
                <w:szCs w:val="21"/>
                <w:lang w:val="en-US" w:eastAsia="zh-CN"/>
              </w:rPr>
            </w:pPr>
            <w:r>
              <w:rPr>
                <w:rFonts w:hint="eastAsia"/>
                <w:bCs/>
                <w:color w:val="auto"/>
                <w:szCs w:val="21"/>
                <w:vertAlign w:val="baseline"/>
                <w:lang w:val="en-US" w:eastAsia="zh-CN"/>
              </w:rPr>
              <w:t>污染物排放浓度满足</w:t>
            </w:r>
            <w:r>
              <w:rPr>
                <w:rFonts w:hint="eastAsia" w:ascii="Times New Roman" w:hAnsi="Times New Roman" w:eastAsia="宋体" w:cs="Times New Roman"/>
                <w:szCs w:val="21"/>
                <w:lang w:val="en-US" w:eastAsia="zh-CN"/>
              </w:rPr>
              <w:t>《水泥工业大气污染物排放标准》（DB14/3176-2024）表1中水泥制品生产标准限值要求（10mg/m</w:t>
            </w:r>
            <w:r>
              <w:rPr>
                <w:rFonts w:hint="eastAsia" w:ascii="Times New Roman" w:hAnsi="Times New Roman" w:eastAsia="宋体" w:cs="Times New Roman"/>
                <w:szCs w:val="21"/>
                <w:vertAlign w:val="superscript"/>
                <w:lang w:val="en-US" w:eastAsia="zh-CN"/>
              </w:rPr>
              <w:t>3</w:t>
            </w:r>
            <w:r>
              <w:rPr>
                <w:rFonts w:hint="eastAsia" w:ascii="Times New Roman" w:hAnsi="Times New Roman" w:eastAsia="宋体" w:cs="Times New Roman"/>
                <w:szCs w:val="21"/>
                <w:lang w:val="en-US" w:eastAsia="zh-CN"/>
              </w:rPr>
              <w:t>）。</w:t>
            </w:r>
          </w:p>
          <w:p w14:paraId="27ED53A6">
            <w:pPr>
              <w:spacing w:line="360" w:lineRule="auto"/>
              <w:ind w:firstLine="422" w:firstLineChars="200"/>
              <w:rPr>
                <w:rFonts w:hint="eastAsia" w:cs="Times New Roman"/>
                <w:b/>
                <w:bCs/>
                <w:color w:val="auto"/>
                <w:sz w:val="21"/>
                <w:szCs w:val="21"/>
                <w:lang w:val="en-US" w:eastAsia="zh-CN"/>
              </w:rPr>
            </w:pPr>
            <w:r>
              <w:rPr>
                <w:rFonts w:hint="eastAsia" w:cs="Times New Roman"/>
                <w:b/>
                <w:bCs/>
                <w:color w:val="auto"/>
                <w:sz w:val="21"/>
                <w:szCs w:val="21"/>
                <w:lang w:val="en-US" w:eastAsia="zh-CN"/>
              </w:rPr>
              <w:t>（7）粉料暂存粉尘</w:t>
            </w:r>
          </w:p>
          <w:p w14:paraId="68927FD0">
            <w:pPr>
              <w:spacing w:line="360" w:lineRule="auto"/>
              <w:ind w:firstLine="420" w:firstLineChars="200"/>
              <w:rPr>
                <w:rFonts w:hint="eastAsia" w:cs="Times New Roman"/>
                <w:color w:val="auto"/>
                <w:sz w:val="21"/>
                <w:szCs w:val="21"/>
                <w:lang w:val="en-US" w:eastAsia="zh-CN"/>
              </w:rPr>
            </w:pPr>
            <w:r>
              <w:rPr>
                <w:rFonts w:hint="eastAsia" w:cs="Times New Roman"/>
                <w:color w:val="auto"/>
                <w:sz w:val="21"/>
                <w:szCs w:val="21"/>
                <w:lang w:val="en-US" w:eastAsia="zh-CN"/>
              </w:rPr>
              <w:t>根据工程分析可知，本项目沥青混凝土生产系统中的矿粉、混凝土生产线中的水泥、粉煤灰、矿粉，均属于细粉料，物料粒径极小，储存过程中极易起尘。项目在沥青混凝土生产线中设置有2座100m</w:t>
            </w:r>
            <w:r>
              <w:rPr>
                <w:rFonts w:hint="eastAsia" w:cs="Times New Roman"/>
                <w:color w:val="auto"/>
                <w:sz w:val="21"/>
                <w:szCs w:val="21"/>
                <w:vertAlign w:val="superscript"/>
                <w:lang w:val="en-US" w:eastAsia="zh-CN"/>
              </w:rPr>
              <w:t>3</w:t>
            </w:r>
            <w:r>
              <w:rPr>
                <w:rFonts w:hint="eastAsia" w:cs="Times New Roman"/>
                <w:color w:val="auto"/>
                <w:sz w:val="21"/>
                <w:szCs w:val="21"/>
                <w:lang w:val="en-US" w:eastAsia="zh-CN"/>
              </w:rPr>
              <w:t>的矿粉筒仓；混凝土生产线中设置有2座200m</w:t>
            </w:r>
            <w:r>
              <w:rPr>
                <w:rFonts w:hint="eastAsia" w:cs="Times New Roman"/>
                <w:color w:val="auto"/>
                <w:sz w:val="21"/>
                <w:szCs w:val="21"/>
                <w:vertAlign w:val="superscript"/>
                <w:lang w:val="en-US" w:eastAsia="zh-CN"/>
              </w:rPr>
              <w:t>3</w:t>
            </w:r>
            <w:r>
              <w:rPr>
                <w:rFonts w:hint="eastAsia" w:cs="Times New Roman"/>
                <w:color w:val="auto"/>
                <w:sz w:val="21"/>
                <w:szCs w:val="21"/>
                <w:lang w:val="en-US" w:eastAsia="zh-CN"/>
              </w:rPr>
              <w:t>的水泥筒仓、1座200m</w:t>
            </w:r>
            <w:r>
              <w:rPr>
                <w:rFonts w:hint="eastAsia" w:cs="Times New Roman"/>
                <w:color w:val="auto"/>
                <w:sz w:val="21"/>
                <w:szCs w:val="21"/>
                <w:vertAlign w:val="superscript"/>
                <w:lang w:val="en-US" w:eastAsia="zh-CN"/>
              </w:rPr>
              <w:t>3</w:t>
            </w:r>
            <w:r>
              <w:rPr>
                <w:rFonts w:hint="eastAsia" w:cs="Times New Roman"/>
                <w:color w:val="auto"/>
                <w:sz w:val="21"/>
                <w:szCs w:val="21"/>
                <w:lang w:val="en-US" w:eastAsia="zh-CN"/>
              </w:rPr>
              <w:t>的粉煤灰筒仓、1座200m</w:t>
            </w:r>
            <w:r>
              <w:rPr>
                <w:rFonts w:hint="eastAsia" w:cs="Times New Roman"/>
                <w:color w:val="auto"/>
                <w:sz w:val="21"/>
                <w:szCs w:val="21"/>
                <w:vertAlign w:val="superscript"/>
                <w:lang w:val="en-US" w:eastAsia="zh-CN"/>
              </w:rPr>
              <w:t>3</w:t>
            </w:r>
            <w:r>
              <w:rPr>
                <w:rFonts w:hint="eastAsia" w:cs="Times New Roman"/>
                <w:color w:val="auto"/>
                <w:sz w:val="21"/>
                <w:szCs w:val="21"/>
                <w:lang w:val="en-US" w:eastAsia="zh-CN"/>
              </w:rPr>
              <w:t>的矿粉筒仓；水稳土生产线中设置有1座100m</w:t>
            </w:r>
            <w:r>
              <w:rPr>
                <w:rFonts w:hint="eastAsia" w:cs="Times New Roman"/>
                <w:color w:val="auto"/>
                <w:sz w:val="21"/>
                <w:szCs w:val="21"/>
                <w:vertAlign w:val="superscript"/>
                <w:lang w:val="en-US" w:eastAsia="zh-CN"/>
              </w:rPr>
              <w:t>3</w:t>
            </w:r>
            <w:r>
              <w:rPr>
                <w:rFonts w:hint="eastAsia" w:cs="Times New Roman"/>
                <w:color w:val="auto"/>
                <w:sz w:val="21"/>
                <w:szCs w:val="21"/>
                <w:lang w:val="en-US" w:eastAsia="zh-CN"/>
              </w:rPr>
              <w:t>的水泥筒仓。均用于暂存粉料。</w:t>
            </w:r>
          </w:p>
          <w:p w14:paraId="003C5C99">
            <w:pPr>
              <w:spacing w:line="360" w:lineRule="auto"/>
              <w:ind w:firstLine="420" w:firstLineChars="200"/>
              <w:rPr>
                <w:rFonts w:hint="default" w:cs="Times New Roman"/>
                <w:color w:val="auto"/>
                <w:sz w:val="21"/>
                <w:szCs w:val="21"/>
                <w:vertAlign w:val="baseline"/>
                <w:lang w:val="en-US" w:eastAsia="zh-CN"/>
              </w:rPr>
            </w:pPr>
            <w:r>
              <w:rPr>
                <w:rFonts w:hint="eastAsia" w:cs="Times New Roman"/>
                <w:color w:val="auto"/>
                <w:sz w:val="21"/>
                <w:szCs w:val="21"/>
                <w:lang w:val="en-US" w:eastAsia="zh-CN"/>
              </w:rPr>
              <w:t>矿粉、水泥、粉煤灰均使用专用罐车由气泵出入密闭筒仓内，此时会有粉尘随之筒仓内的空气从罐顶附近排气孔排出。根据</w:t>
            </w:r>
            <w:r>
              <w:rPr>
                <w:rFonts w:hint="eastAsia"/>
                <w:szCs w:val="21"/>
              </w:rPr>
              <w:t>《逸散型工业粉尘控制技术》混凝土分批搅拌厂的逸散尘排放因子</w:t>
            </w:r>
            <w:r>
              <w:rPr>
                <w:rFonts w:hint="eastAsia" w:cs="Times New Roman"/>
                <w:color w:val="auto"/>
                <w:sz w:val="21"/>
                <w:szCs w:val="21"/>
                <w:lang w:val="en-US" w:eastAsia="zh-CN"/>
              </w:rPr>
              <w:t>中，贮仓颗粒物产生系数为0.12kg/t，其中沥青混凝土生产线矿粉消耗量为2000t/a，混凝土生产线水泥消耗量为85000t/a、粉煤灰消耗量为8000t/a、矿粉消耗量为4000t/a，水稳土生产线水泥消耗量为6125t/a。则此部分颗粒物产生量约为12.615t/a</w:t>
            </w:r>
            <w:r>
              <w:rPr>
                <w:rFonts w:hint="eastAsia" w:cs="Times New Roman"/>
                <w:color w:val="auto"/>
                <w:sz w:val="21"/>
                <w:szCs w:val="21"/>
                <w:vertAlign w:val="baseline"/>
                <w:lang w:val="en-US" w:eastAsia="zh-CN"/>
              </w:rPr>
              <w:t>。</w:t>
            </w:r>
          </w:p>
          <w:p w14:paraId="1965626B">
            <w:pPr>
              <w:spacing w:line="360" w:lineRule="auto"/>
              <w:ind w:firstLine="420" w:firstLineChars="200"/>
              <w:rPr>
                <w:rFonts w:hint="eastAsia" w:cs="Times New Roman"/>
                <w:color w:val="auto"/>
                <w:sz w:val="21"/>
                <w:szCs w:val="21"/>
                <w:lang w:val="en-US" w:eastAsia="zh-CN"/>
              </w:rPr>
            </w:pPr>
            <w:r>
              <w:rPr>
                <w:rFonts w:hint="eastAsia" w:cs="Times New Roman"/>
                <w:color w:val="auto"/>
                <w:sz w:val="21"/>
                <w:szCs w:val="21"/>
                <w:lang w:val="en-US" w:eastAsia="zh-CN"/>
              </w:rPr>
              <w:t>项目粉料筒仓顶部均配套有脉冲式仓顶除尘器，型号为BMC80，共7套。除尘效率约99-99.9%，此部分废气经仓顶除尘器处理后，由仓顶除尘器排气口排出，排气口顶端距离地面高度为15m，沥青混凝土生产线2座矿粉筒仓废气经DA006排放，混凝土生产线2座水泥筒仓废气经DA007排放、粉煤灰筒仓废气经DA008排放、矿粉筒仓废气经DA009排放，水稳土水泥筒仓废气经DA010排放，均属于有组织颗粒物排放源。根据设备厂家资料显示，排气口颗粒物浓度小于10mg/m</w:t>
            </w:r>
            <w:r>
              <w:rPr>
                <w:rFonts w:hint="eastAsia" w:cs="Times New Roman"/>
                <w:color w:val="auto"/>
                <w:sz w:val="21"/>
                <w:szCs w:val="21"/>
                <w:vertAlign w:val="superscript"/>
                <w:lang w:val="en-US" w:eastAsia="zh-CN"/>
              </w:rPr>
              <w:t>3</w:t>
            </w:r>
            <w:r>
              <w:rPr>
                <w:rFonts w:hint="eastAsia" w:cs="Times New Roman"/>
                <w:color w:val="auto"/>
                <w:sz w:val="21"/>
                <w:szCs w:val="21"/>
                <w:lang w:val="en-US" w:eastAsia="zh-CN"/>
              </w:rPr>
              <w:t>。每套风机风量1500m</w:t>
            </w:r>
            <w:r>
              <w:rPr>
                <w:rFonts w:hint="eastAsia" w:cs="Times New Roman"/>
                <w:color w:val="auto"/>
                <w:sz w:val="21"/>
                <w:szCs w:val="21"/>
                <w:vertAlign w:val="superscript"/>
                <w:lang w:val="en-US" w:eastAsia="zh-CN"/>
              </w:rPr>
              <w:t>3</w:t>
            </w:r>
            <w:r>
              <w:rPr>
                <w:rFonts w:hint="eastAsia" w:cs="Times New Roman"/>
                <w:color w:val="auto"/>
                <w:sz w:val="21"/>
                <w:szCs w:val="21"/>
                <w:lang w:val="en-US" w:eastAsia="zh-CN"/>
              </w:rPr>
              <w:t>/h，上料时间计算过程如下：</w:t>
            </w:r>
          </w:p>
          <w:p w14:paraId="08DC2043">
            <w:pPr>
              <w:spacing w:line="360" w:lineRule="auto"/>
              <w:ind w:firstLine="420" w:firstLineChars="200"/>
              <w:rPr>
                <w:rFonts w:hint="eastAsia"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本项目</w:t>
            </w:r>
            <w:r>
              <w:rPr>
                <w:rFonts w:hint="eastAsia" w:cs="Times New Roman"/>
                <w:color w:val="auto"/>
                <w:sz w:val="21"/>
                <w:szCs w:val="21"/>
                <w:lang w:val="en-US" w:eastAsia="zh-CN"/>
              </w:rPr>
              <w:t>混凝土生产线</w:t>
            </w:r>
            <w:r>
              <w:rPr>
                <w:rFonts w:hint="eastAsia" w:ascii="Times New Roman" w:hAnsi="Times New Roman" w:eastAsia="宋体" w:cs="Times New Roman"/>
                <w:color w:val="auto"/>
                <w:sz w:val="21"/>
                <w:szCs w:val="21"/>
                <w:lang w:val="en-US" w:eastAsia="zh-CN"/>
              </w:rPr>
              <w:t>建设有水泥筒仓2座，每座</w:t>
            </w:r>
            <w:r>
              <w:rPr>
                <w:rFonts w:hint="eastAsia" w:cs="Times New Roman"/>
                <w:color w:val="auto"/>
                <w:sz w:val="21"/>
                <w:szCs w:val="21"/>
                <w:lang w:val="en-US" w:eastAsia="zh-CN"/>
              </w:rPr>
              <w:t>200m</w:t>
            </w:r>
            <w:r>
              <w:rPr>
                <w:rFonts w:hint="eastAsia" w:cs="Times New Roman"/>
                <w:color w:val="auto"/>
                <w:sz w:val="21"/>
                <w:szCs w:val="21"/>
                <w:vertAlign w:val="superscript"/>
                <w:lang w:val="en-US" w:eastAsia="zh-CN"/>
              </w:rPr>
              <w:t>3</w:t>
            </w:r>
            <w:r>
              <w:rPr>
                <w:rFonts w:hint="eastAsia" w:cs="Times New Roman"/>
                <w:color w:val="auto"/>
                <w:sz w:val="21"/>
                <w:szCs w:val="21"/>
                <w:vertAlign w:val="baseline"/>
                <w:lang w:val="en-US" w:eastAsia="zh-CN"/>
              </w:rPr>
              <w:t>，贮存量约为300t/座筒仓</w:t>
            </w:r>
            <w:r>
              <w:rPr>
                <w:rFonts w:hint="eastAsia" w:ascii="Times New Roman" w:hAnsi="Times New Roman" w:eastAsia="宋体" w:cs="Times New Roman"/>
                <w:color w:val="auto"/>
                <w:sz w:val="21"/>
                <w:szCs w:val="21"/>
                <w:lang w:val="en-US" w:eastAsia="zh-CN"/>
              </w:rPr>
              <w:t>。每辆散装水泥车罐车卸满</w:t>
            </w:r>
            <w:r>
              <w:rPr>
                <w:rFonts w:hint="eastAsia" w:cs="Times New Roman"/>
                <w:color w:val="auto"/>
                <w:sz w:val="21"/>
                <w:szCs w:val="21"/>
                <w:lang w:val="en-US" w:eastAsia="zh-CN"/>
              </w:rPr>
              <w:t>2</w:t>
            </w:r>
            <w:r>
              <w:rPr>
                <w:rFonts w:hint="eastAsia" w:ascii="Times New Roman" w:hAnsi="Times New Roman" w:eastAsia="宋体" w:cs="Times New Roman"/>
                <w:color w:val="auto"/>
                <w:sz w:val="21"/>
                <w:szCs w:val="21"/>
                <w:lang w:val="en-US" w:eastAsia="zh-CN"/>
              </w:rPr>
              <w:t>座筒仓水泥需要</w:t>
            </w:r>
            <w:r>
              <w:rPr>
                <w:rFonts w:hint="eastAsia" w:cs="Times New Roman"/>
                <w:color w:val="auto"/>
                <w:sz w:val="21"/>
                <w:szCs w:val="21"/>
                <w:lang w:val="en-US" w:eastAsia="zh-CN"/>
              </w:rPr>
              <w:t>16</w:t>
            </w:r>
            <w:r>
              <w:rPr>
                <w:rFonts w:hint="eastAsia" w:ascii="Times New Roman" w:hAnsi="Times New Roman" w:eastAsia="宋体" w:cs="Times New Roman"/>
                <w:color w:val="auto"/>
                <w:sz w:val="21"/>
                <w:szCs w:val="21"/>
                <w:lang w:val="en-US" w:eastAsia="zh-CN"/>
              </w:rPr>
              <w:t>h，本项目水泥消耗量为</w:t>
            </w:r>
            <w:r>
              <w:rPr>
                <w:rFonts w:hint="eastAsia" w:cs="Times New Roman"/>
                <w:color w:val="auto"/>
                <w:sz w:val="21"/>
                <w:szCs w:val="21"/>
                <w:lang w:val="en-US" w:eastAsia="zh-CN"/>
              </w:rPr>
              <w:t>85000</w:t>
            </w:r>
            <w:r>
              <w:rPr>
                <w:rFonts w:hint="eastAsia" w:ascii="Times New Roman" w:hAnsi="Times New Roman" w:eastAsia="宋体" w:cs="Times New Roman"/>
                <w:color w:val="auto"/>
                <w:sz w:val="21"/>
                <w:szCs w:val="21"/>
                <w:lang w:val="en-US" w:eastAsia="zh-CN"/>
              </w:rPr>
              <w:t>t/a，则水泥筒仓装罐时间约为</w:t>
            </w:r>
            <w:r>
              <w:rPr>
                <w:rFonts w:hint="eastAsia" w:cs="Times New Roman"/>
                <w:color w:val="auto"/>
                <w:sz w:val="21"/>
                <w:szCs w:val="21"/>
                <w:lang w:val="en-US" w:eastAsia="zh-CN"/>
              </w:rPr>
              <w:t>2267</w:t>
            </w:r>
            <w:r>
              <w:rPr>
                <w:rFonts w:hint="eastAsia" w:ascii="Times New Roman" w:hAnsi="Times New Roman" w:eastAsia="宋体" w:cs="Times New Roman"/>
                <w:color w:val="auto"/>
                <w:sz w:val="21"/>
                <w:szCs w:val="21"/>
                <w:lang w:val="en-US" w:eastAsia="zh-CN"/>
              </w:rPr>
              <w:t>h</w:t>
            </w:r>
            <w:r>
              <w:rPr>
                <w:rFonts w:hint="eastAsia" w:cs="Times New Roman"/>
                <w:color w:val="auto"/>
                <w:sz w:val="21"/>
                <w:szCs w:val="21"/>
                <w:lang w:val="en-US" w:eastAsia="zh-CN"/>
              </w:rPr>
              <w:t>/a</w:t>
            </w:r>
            <w:r>
              <w:rPr>
                <w:rFonts w:hint="eastAsia" w:ascii="Times New Roman" w:hAnsi="Times New Roman" w:eastAsia="宋体" w:cs="Times New Roman"/>
                <w:color w:val="auto"/>
                <w:sz w:val="21"/>
                <w:szCs w:val="21"/>
                <w:lang w:val="en-US" w:eastAsia="zh-CN"/>
              </w:rPr>
              <w:t>。</w:t>
            </w:r>
            <w:r>
              <w:rPr>
                <w:rFonts w:hint="eastAsia" w:cs="Times New Roman"/>
                <w:color w:val="auto"/>
                <w:sz w:val="21"/>
                <w:szCs w:val="21"/>
                <w:lang w:val="en-US" w:eastAsia="zh-CN"/>
              </w:rPr>
              <w:t>同理，计算得出沥青混凝土生产线矿粉筒仓装罐时间约为7h/a；混凝土生产线粉煤灰装罐时间约为214h/a；混凝土生产线矿粉装罐时间约为107h/a；水稳土生产线水泥装罐时间约为41h/a。装罐上料期间仓顶除尘器打开运行。</w:t>
            </w:r>
          </w:p>
          <w:p w14:paraId="6D59DE9E">
            <w:pPr>
              <w:spacing w:line="360" w:lineRule="auto"/>
              <w:ind w:firstLine="420" w:firstLineChars="200"/>
              <w:rPr>
                <w:rFonts w:hint="eastAsia" w:cs="Times New Roman"/>
                <w:color w:val="auto"/>
                <w:sz w:val="21"/>
                <w:szCs w:val="21"/>
                <w:lang w:val="en-US" w:eastAsia="zh-CN"/>
              </w:rPr>
            </w:pPr>
            <w:r>
              <w:rPr>
                <w:rFonts w:hint="eastAsia" w:cs="Times New Roman"/>
                <w:color w:val="auto"/>
                <w:sz w:val="21"/>
                <w:szCs w:val="21"/>
                <w:lang w:val="en-US" w:eastAsia="zh-CN"/>
              </w:rPr>
              <w:t>则颗粒物产生情况如下：</w:t>
            </w:r>
          </w:p>
          <w:p w14:paraId="150A4F08">
            <w:pPr>
              <w:spacing w:line="360" w:lineRule="auto"/>
              <w:ind w:firstLine="420" w:firstLineChars="200"/>
              <w:rPr>
                <w:rFonts w:hint="eastAsia" w:cs="Times New Roman"/>
                <w:color w:val="auto"/>
                <w:sz w:val="21"/>
                <w:szCs w:val="21"/>
                <w:lang w:val="en-US" w:eastAsia="zh-CN"/>
              </w:rPr>
            </w:pPr>
            <w:r>
              <w:rPr>
                <w:rFonts w:hint="eastAsia" w:cs="Times New Roman"/>
                <w:color w:val="auto"/>
                <w:sz w:val="21"/>
                <w:szCs w:val="21"/>
                <w:lang w:val="en-US" w:eastAsia="zh-CN"/>
              </w:rPr>
              <w:t>沥青混凝土生产线矿粉筒仓颗粒物产生量约为0.24t/a；</w:t>
            </w:r>
          </w:p>
          <w:p w14:paraId="5AAC4BC7">
            <w:pPr>
              <w:spacing w:line="360" w:lineRule="auto"/>
              <w:ind w:firstLine="420" w:firstLineChars="200"/>
              <w:rPr>
                <w:rFonts w:hint="eastAsia" w:cs="Times New Roman"/>
                <w:color w:val="auto"/>
                <w:sz w:val="21"/>
                <w:szCs w:val="21"/>
                <w:lang w:val="en-US" w:eastAsia="zh-CN"/>
              </w:rPr>
            </w:pPr>
            <w:r>
              <w:rPr>
                <w:rFonts w:hint="eastAsia" w:cs="Times New Roman"/>
                <w:color w:val="auto"/>
                <w:sz w:val="21"/>
                <w:szCs w:val="21"/>
                <w:lang w:val="en-US" w:eastAsia="zh-CN"/>
              </w:rPr>
              <w:t>混凝土生产线水泥筒仓颗粒物产生量约为10.2t/a、矿粉筒仓颗粒物产生量约为0.96t/a、矿粉筒仓颗粒物产生量约为0.48t/a；</w:t>
            </w:r>
          </w:p>
          <w:p w14:paraId="733968DE">
            <w:pPr>
              <w:spacing w:line="360" w:lineRule="auto"/>
              <w:ind w:firstLine="420" w:firstLineChars="200"/>
              <w:rPr>
                <w:rFonts w:hint="default" w:cs="Times New Roman"/>
                <w:color w:val="auto"/>
                <w:sz w:val="21"/>
                <w:szCs w:val="21"/>
                <w:lang w:val="en-US" w:eastAsia="zh-CN"/>
              </w:rPr>
            </w:pPr>
            <w:r>
              <w:rPr>
                <w:rFonts w:hint="eastAsia" w:cs="Times New Roman"/>
                <w:color w:val="auto"/>
                <w:sz w:val="21"/>
                <w:szCs w:val="21"/>
                <w:lang w:val="en-US" w:eastAsia="zh-CN"/>
              </w:rPr>
              <w:t>水稳土生产线水泥筒仓颗粒物产生量约为0.735t/a。</w:t>
            </w:r>
          </w:p>
          <w:p w14:paraId="1040197C">
            <w:pPr>
              <w:spacing w:line="360" w:lineRule="auto"/>
              <w:ind w:firstLine="420" w:firstLineChars="200"/>
              <w:rPr>
                <w:rFonts w:hint="eastAsia" w:cs="Times New Roman"/>
                <w:color w:val="auto"/>
                <w:sz w:val="21"/>
                <w:szCs w:val="21"/>
                <w:lang w:val="en-US" w:eastAsia="zh-CN"/>
              </w:rPr>
            </w:pPr>
            <w:r>
              <w:rPr>
                <w:rFonts w:hint="eastAsia" w:cs="Times New Roman"/>
                <w:color w:val="auto"/>
                <w:sz w:val="21"/>
                <w:szCs w:val="21"/>
                <w:lang w:val="en-US" w:eastAsia="zh-CN"/>
              </w:rPr>
              <w:t>经计算，可知：</w:t>
            </w:r>
          </w:p>
          <w:p w14:paraId="46FAB71B">
            <w:pPr>
              <w:spacing w:line="360" w:lineRule="auto"/>
              <w:ind w:firstLine="420" w:firstLineChars="200"/>
              <w:rPr>
                <w:rFonts w:hint="eastAsia" w:cs="Times New Roman"/>
                <w:color w:val="auto"/>
                <w:sz w:val="21"/>
                <w:szCs w:val="21"/>
                <w:vertAlign w:val="baseline"/>
                <w:lang w:val="en-US" w:eastAsia="zh-CN"/>
              </w:rPr>
            </w:pPr>
            <w:r>
              <w:rPr>
                <w:rFonts w:hint="eastAsia" w:cs="Times New Roman"/>
                <w:color w:val="auto"/>
                <w:sz w:val="21"/>
                <w:szCs w:val="21"/>
                <w:lang w:val="en-US" w:eastAsia="zh-CN"/>
              </w:rPr>
              <w:t>DA006（H15m，φ0.15m）为矿粉筒仓（沥青）排气口，排放量约为0.0008t/a，排放速率0.116kg/h，排放浓度10.0mg/m</w:t>
            </w:r>
            <w:r>
              <w:rPr>
                <w:rFonts w:hint="eastAsia" w:cs="Times New Roman"/>
                <w:color w:val="auto"/>
                <w:sz w:val="21"/>
                <w:szCs w:val="21"/>
                <w:vertAlign w:val="superscript"/>
                <w:lang w:val="en-US" w:eastAsia="zh-CN"/>
              </w:rPr>
              <w:t>3</w:t>
            </w:r>
            <w:r>
              <w:rPr>
                <w:rFonts w:hint="eastAsia" w:cs="Times New Roman"/>
                <w:color w:val="auto"/>
                <w:sz w:val="21"/>
                <w:szCs w:val="21"/>
                <w:vertAlign w:val="baseline"/>
                <w:lang w:val="en-US" w:eastAsia="zh-CN"/>
              </w:rPr>
              <w:t>；</w:t>
            </w:r>
          </w:p>
          <w:p w14:paraId="6C79AB34">
            <w:pPr>
              <w:spacing w:line="360" w:lineRule="auto"/>
              <w:ind w:firstLine="420" w:firstLineChars="200"/>
              <w:rPr>
                <w:rFonts w:hint="eastAsia" w:cs="Times New Roman"/>
                <w:color w:val="auto"/>
                <w:sz w:val="21"/>
                <w:szCs w:val="21"/>
                <w:vertAlign w:val="superscript"/>
                <w:lang w:val="en-US" w:eastAsia="zh-CN"/>
              </w:rPr>
            </w:pPr>
            <w:r>
              <w:rPr>
                <w:rFonts w:hint="eastAsia" w:cs="Times New Roman"/>
                <w:color w:val="auto"/>
                <w:sz w:val="21"/>
                <w:szCs w:val="21"/>
                <w:lang w:val="en-US" w:eastAsia="zh-CN"/>
              </w:rPr>
              <w:t>DA007（H15m，φ0.15m）为水泥筒仓（混凝土）排气口，排放量约为0.034t/a，排放速率0.015kg/h，排放浓度10.0mg/m</w:t>
            </w:r>
            <w:r>
              <w:rPr>
                <w:rFonts w:hint="eastAsia" w:cs="Times New Roman"/>
                <w:color w:val="auto"/>
                <w:sz w:val="21"/>
                <w:szCs w:val="21"/>
                <w:vertAlign w:val="superscript"/>
                <w:lang w:val="en-US" w:eastAsia="zh-CN"/>
              </w:rPr>
              <w:t>3</w:t>
            </w:r>
            <w:r>
              <w:rPr>
                <w:rFonts w:hint="eastAsia" w:cs="Times New Roman"/>
                <w:color w:val="auto"/>
                <w:sz w:val="21"/>
                <w:szCs w:val="21"/>
                <w:vertAlign w:val="baseline"/>
                <w:lang w:val="en-US" w:eastAsia="zh-CN"/>
              </w:rPr>
              <w:t>；</w:t>
            </w:r>
          </w:p>
          <w:p w14:paraId="65505B4E">
            <w:pPr>
              <w:spacing w:line="360" w:lineRule="auto"/>
              <w:ind w:firstLine="420" w:firstLineChars="200"/>
              <w:rPr>
                <w:rFonts w:hint="eastAsia" w:cs="Times New Roman"/>
                <w:color w:val="auto"/>
                <w:sz w:val="21"/>
                <w:szCs w:val="21"/>
                <w:vertAlign w:val="superscript"/>
                <w:lang w:val="en-US" w:eastAsia="zh-CN"/>
              </w:rPr>
            </w:pPr>
            <w:r>
              <w:rPr>
                <w:rFonts w:hint="eastAsia" w:cs="Times New Roman"/>
                <w:color w:val="auto"/>
                <w:sz w:val="21"/>
                <w:szCs w:val="21"/>
                <w:lang w:val="en-US" w:eastAsia="zh-CN"/>
              </w:rPr>
              <w:t>DA008（H15m，φ0.15m）为粉煤灰筒仓（混凝土）排气口，排放量约为0.0032t/a，排放速率0.015kg/h，排放浓度10.0mg/m</w:t>
            </w:r>
            <w:r>
              <w:rPr>
                <w:rFonts w:hint="eastAsia" w:cs="Times New Roman"/>
                <w:color w:val="auto"/>
                <w:sz w:val="21"/>
                <w:szCs w:val="21"/>
                <w:vertAlign w:val="superscript"/>
                <w:lang w:val="en-US" w:eastAsia="zh-CN"/>
              </w:rPr>
              <w:t>3</w:t>
            </w:r>
            <w:r>
              <w:rPr>
                <w:rFonts w:hint="eastAsia" w:cs="Times New Roman"/>
                <w:color w:val="auto"/>
                <w:sz w:val="21"/>
                <w:szCs w:val="21"/>
                <w:vertAlign w:val="baseline"/>
                <w:lang w:val="en-US" w:eastAsia="zh-CN"/>
              </w:rPr>
              <w:t>；</w:t>
            </w:r>
          </w:p>
          <w:p w14:paraId="2C83E380">
            <w:pPr>
              <w:spacing w:line="360" w:lineRule="auto"/>
              <w:ind w:firstLine="420" w:firstLineChars="200"/>
              <w:rPr>
                <w:rFonts w:hint="default" w:cs="Times New Roman"/>
                <w:color w:val="auto"/>
                <w:sz w:val="21"/>
                <w:szCs w:val="21"/>
                <w:vertAlign w:val="baseline"/>
                <w:lang w:val="en-US" w:eastAsia="zh-CN"/>
              </w:rPr>
            </w:pPr>
            <w:r>
              <w:rPr>
                <w:rFonts w:hint="eastAsia" w:cs="Times New Roman"/>
                <w:color w:val="auto"/>
                <w:sz w:val="21"/>
                <w:szCs w:val="21"/>
                <w:lang w:val="en-US" w:eastAsia="zh-CN"/>
              </w:rPr>
              <w:t>DA009（H15m，φ0.15m）为矿粉筒仓（混凝土）排气口，排放量约为0.0016t/a，排放速率0.015kg/h，排放浓度10.0mg/m</w:t>
            </w:r>
            <w:r>
              <w:rPr>
                <w:rFonts w:hint="eastAsia" w:cs="Times New Roman"/>
                <w:color w:val="auto"/>
                <w:sz w:val="21"/>
                <w:szCs w:val="21"/>
                <w:vertAlign w:val="superscript"/>
                <w:lang w:val="en-US" w:eastAsia="zh-CN"/>
              </w:rPr>
              <w:t>3</w:t>
            </w:r>
            <w:r>
              <w:rPr>
                <w:rFonts w:hint="eastAsia" w:cs="Times New Roman"/>
                <w:color w:val="auto"/>
                <w:sz w:val="21"/>
                <w:szCs w:val="21"/>
                <w:vertAlign w:val="baseline"/>
                <w:lang w:val="en-US" w:eastAsia="zh-CN"/>
              </w:rPr>
              <w:t>;</w:t>
            </w:r>
          </w:p>
          <w:p w14:paraId="04E80328">
            <w:pPr>
              <w:spacing w:line="360" w:lineRule="auto"/>
              <w:ind w:firstLine="420" w:firstLineChars="200"/>
              <w:rPr>
                <w:rFonts w:hint="default" w:cs="Times New Roman"/>
                <w:color w:val="auto"/>
                <w:sz w:val="21"/>
                <w:szCs w:val="21"/>
                <w:vertAlign w:val="baseline"/>
                <w:lang w:val="en-US" w:eastAsia="zh-CN"/>
              </w:rPr>
            </w:pPr>
            <w:r>
              <w:rPr>
                <w:rFonts w:hint="eastAsia" w:cs="Times New Roman"/>
                <w:color w:val="auto"/>
                <w:sz w:val="21"/>
                <w:szCs w:val="21"/>
                <w:vertAlign w:val="baseline"/>
                <w:lang w:val="en-US" w:eastAsia="zh-CN"/>
              </w:rPr>
              <w:t>DA010</w:t>
            </w:r>
            <w:r>
              <w:rPr>
                <w:rFonts w:hint="eastAsia" w:cs="Times New Roman"/>
                <w:color w:val="auto"/>
                <w:sz w:val="21"/>
                <w:szCs w:val="21"/>
                <w:lang w:val="en-US" w:eastAsia="zh-CN"/>
              </w:rPr>
              <w:t>（H15m，φ0.15m）为水泥筒仓（水稳土）排气口，排放量约为0.0016t/a，排放速率0.039kg/h，排放浓度10.0mg/m</w:t>
            </w:r>
            <w:r>
              <w:rPr>
                <w:rFonts w:hint="eastAsia" w:cs="Times New Roman"/>
                <w:color w:val="auto"/>
                <w:sz w:val="21"/>
                <w:szCs w:val="21"/>
                <w:vertAlign w:val="superscript"/>
                <w:lang w:val="en-US" w:eastAsia="zh-CN"/>
              </w:rPr>
              <w:t>3</w:t>
            </w:r>
            <w:r>
              <w:rPr>
                <w:rFonts w:hint="eastAsia" w:cs="Times New Roman"/>
                <w:color w:val="auto"/>
                <w:sz w:val="21"/>
                <w:szCs w:val="21"/>
                <w:vertAlign w:val="baseline"/>
                <w:lang w:val="en-US" w:eastAsia="zh-CN"/>
              </w:rPr>
              <w:t>。</w:t>
            </w:r>
          </w:p>
          <w:p w14:paraId="3FBEC0A8">
            <w:pPr>
              <w:spacing w:line="360" w:lineRule="auto"/>
              <w:ind w:firstLine="422" w:firstLineChars="200"/>
              <w:rPr>
                <w:rFonts w:hint="eastAsia"/>
                <w:b/>
                <w:bCs w:val="0"/>
                <w:color w:val="auto"/>
                <w:szCs w:val="21"/>
                <w:lang w:val="en-US" w:eastAsia="zh-CN"/>
              </w:rPr>
            </w:pPr>
            <w:r>
              <w:rPr>
                <w:rFonts w:hint="eastAsia"/>
                <w:b/>
                <w:bCs w:val="0"/>
                <w:color w:val="auto"/>
                <w:szCs w:val="21"/>
                <w:lang w:val="en-US" w:eastAsia="zh-CN"/>
              </w:rPr>
              <w:t>（8）柴油储罐卸油及呼吸</w:t>
            </w:r>
          </w:p>
          <w:p w14:paraId="18EF35E4">
            <w:pPr>
              <w:spacing w:line="360" w:lineRule="auto"/>
              <w:ind w:firstLine="420" w:firstLineChars="200"/>
              <w:rPr>
                <w:rFonts w:hint="eastAsia"/>
                <w:kern w:val="0"/>
                <w:szCs w:val="21"/>
                <w:lang w:val="en-US" w:eastAsia="zh-CN"/>
              </w:rPr>
            </w:pPr>
            <w:r>
              <w:rPr>
                <w:rFonts w:hint="eastAsia"/>
                <w:b w:val="0"/>
                <w:bCs/>
                <w:color w:val="auto"/>
                <w:szCs w:val="21"/>
                <w:lang w:val="en-US" w:eastAsia="zh-CN"/>
              </w:rPr>
              <w:t>本项目设置有1座50t和1座8t的柴油储罐，年使用轻质柴油量约为272t，</w:t>
            </w:r>
            <w:r>
              <w:rPr>
                <w:rFonts w:hint="eastAsia"/>
                <w:kern w:val="0"/>
                <w:szCs w:val="21"/>
              </w:rPr>
              <w:t>柴油相对密度为0.81~0.9，本次评价按0.85估算</w:t>
            </w:r>
            <w:r>
              <w:rPr>
                <w:rFonts w:hint="eastAsia"/>
                <w:kern w:val="0"/>
                <w:szCs w:val="21"/>
                <w:lang w:eastAsia="zh-CN"/>
              </w:rPr>
              <w:t>，</w:t>
            </w:r>
            <w:r>
              <w:rPr>
                <w:rFonts w:hint="eastAsia"/>
                <w:kern w:val="0"/>
                <w:szCs w:val="21"/>
                <w:lang w:val="en-US" w:eastAsia="zh-CN"/>
              </w:rPr>
              <w:t>则本项目柴油周转量为320m</w:t>
            </w:r>
            <w:r>
              <w:rPr>
                <w:rFonts w:hint="eastAsia"/>
                <w:kern w:val="0"/>
                <w:szCs w:val="21"/>
                <w:vertAlign w:val="superscript"/>
                <w:lang w:val="en-US" w:eastAsia="zh-CN"/>
              </w:rPr>
              <w:t>3</w:t>
            </w:r>
            <w:r>
              <w:rPr>
                <w:rFonts w:hint="eastAsia"/>
                <w:kern w:val="0"/>
                <w:szCs w:val="21"/>
                <w:lang w:val="en-US" w:eastAsia="zh-CN"/>
              </w:rPr>
              <w:t>/a。</w:t>
            </w:r>
          </w:p>
          <w:p w14:paraId="65B8C880">
            <w:pPr>
              <w:numPr>
                <w:ilvl w:val="0"/>
                <w:numId w:val="1"/>
              </w:numPr>
              <w:spacing w:line="360" w:lineRule="auto"/>
              <w:ind w:firstLine="420" w:firstLineChars="200"/>
              <w:rPr>
                <w:rFonts w:hint="eastAsia"/>
                <w:kern w:val="0"/>
                <w:szCs w:val="21"/>
                <w:lang w:eastAsia="zh-CN"/>
              </w:rPr>
            </w:pPr>
            <w:r>
              <w:rPr>
                <w:rFonts w:hint="eastAsia"/>
                <w:kern w:val="0"/>
                <w:szCs w:val="21"/>
                <w:lang w:val="en-US" w:eastAsia="zh-CN"/>
              </w:rPr>
              <w:t>卸油过程：</w:t>
            </w:r>
            <w:r>
              <w:rPr>
                <w:rFonts w:hint="eastAsia"/>
                <w:kern w:val="0"/>
                <w:szCs w:val="21"/>
              </w:rPr>
              <w:t>卸油损失即为油罐大呼吸损失；油罐车卸油时，由于油罐车和油罐的液位不断发生变化，气体的吸入和呼出对油罐车内油品造成一定的扰动蒸发，另外随着油罐车液面下降，罐壁蒸发面积增大，由于外部的温度影响，也会造成一定的油品蒸发。参考《散装液态石油产品损耗》（GB11085-89），油罐车卸油时柴油卸油损失为0.05%，由此可计算出柴油卸油过程中非甲烷总烃产生量为</w:t>
            </w:r>
            <w:r>
              <w:rPr>
                <w:rFonts w:hint="eastAsia"/>
                <w:kern w:val="0"/>
                <w:szCs w:val="21"/>
                <w:lang w:val="en-US" w:eastAsia="zh-CN"/>
              </w:rPr>
              <w:t>0.136t</w:t>
            </w:r>
            <w:r>
              <w:rPr>
                <w:rFonts w:hint="eastAsia"/>
                <w:kern w:val="0"/>
                <w:szCs w:val="21"/>
              </w:rPr>
              <w:t>/a</w:t>
            </w:r>
            <w:r>
              <w:rPr>
                <w:rFonts w:hint="eastAsia"/>
                <w:kern w:val="0"/>
                <w:szCs w:val="21"/>
                <w:lang w:eastAsia="zh-CN"/>
              </w:rPr>
              <w:t>；</w:t>
            </w:r>
          </w:p>
          <w:p w14:paraId="6410FD45">
            <w:pPr>
              <w:widowControl/>
              <w:snapToGrid w:val="0"/>
              <w:spacing w:line="360" w:lineRule="auto"/>
              <w:ind w:firstLine="420" w:firstLineChars="200"/>
              <w:rPr>
                <w:rFonts w:hint="eastAsia"/>
                <w:szCs w:val="21"/>
              </w:rPr>
            </w:pPr>
            <w:r>
              <w:rPr>
                <w:rFonts w:hint="eastAsia"/>
                <w:kern w:val="0"/>
                <w:szCs w:val="21"/>
              </w:rPr>
              <w:t>2）</w:t>
            </w:r>
            <w:r>
              <w:rPr>
                <w:kern w:val="0"/>
                <w:szCs w:val="21"/>
              </w:rPr>
              <w:t>油罐呼吸</w:t>
            </w:r>
            <w:r>
              <w:rPr>
                <w:rFonts w:hint="eastAsia"/>
                <w:kern w:val="0"/>
                <w:szCs w:val="21"/>
                <w:lang w:eastAsia="zh-CN"/>
              </w:rPr>
              <w:t>：</w:t>
            </w:r>
            <w:r>
              <w:rPr>
                <w:szCs w:val="21"/>
              </w:rPr>
              <w:t>油罐在没有收发油作业的情况下，随着外界气温、压力在一天内的升降周期变化，罐内气体空间温度、油品蒸发速度、油气浓度和蒸汽压力也随之变化，这种排出油蒸气和吸入空气的过程造成的油气损失，叫小呼吸损失。储油罐小呼吸造成的烃类有机物平均排放率为0.12kg/m</w:t>
            </w:r>
            <w:r>
              <w:rPr>
                <w:szCs w:val="21"/>
                <w:vertAlign w:val="superscript"/>
              </w:rPr>
              <w:t>3</w:t>
            </w:r>
            <w:r>
              <w:rPr>
                <w:rFonts w:hint="eastAsia"/>
                <w:szCs w:val="21"/>
              </w:rPr>
              <w:t>-通过量。计算</w:t>
            </w:r>
            <w:r>
              <w:rPr>
                <w:rFonts w:hint="eastAsia"/>
                <w:szCs w:val="21"/>
                <w:lang w:val="en-US" w:eastAsia="zh-CN"/>
              </w:rPr>
              <w:t>得</w:t>
            </w:r>
            <w:r>
              <w:rPr>
                <w:rFonts w:hint="eastAsia"/>
                <w:szCs w:val="21"/>
              </w:rPr>
              <w:t>出，营运期储油罐呼吸非甲烷总烃排放量为</w:t>
            </w:r>
            <w:r>
              <w:rPr>
                <w:rFonts w:hint="eastAsia"/>
                <w:szCs w:val="21"/>
                <w:lang w:val="en-US" w:eastAsia="zh-CN"/>
              </w:rPr>
              <w:t>0.0384t</w:t>
            </w:r>
            <w:r>
              <w:rPr>
                <w:rFonts w:hint="eastAsia"/>
                <w:szCs w:val="21"/>
              </w:rPr>
              <w:t>/a。</w:t>
            </w:r>
          </w:p>
          <w:p w14:paraId="2F19658E">
            <w:pPr>
              <w:widowControl/>
              <w:snapToGrid w:val="0"/>
              <w:spacing w:line="360" w:lineRule="auto"/>
              <w:ind w:firstLine="420" w:firstLineChars="200"/>
              <w:rPr>
                <w:rFonts w:hint="default" w:eastAsia="宋体"/>
                <w:szCs w:val="21"/>
                <w:lang w:val="en-US" w:eastAsia="zh-CN"/>
              </w:rPr>
            </w:pPr>
            <w:r>
              <w:rPr>
                <w:rFonts w:hint="eastAsia"/>
                <w:szCs w:val="21"/>
                <w:lang w:val="en-US" w:eastAsia="zh-CN"/>
              </w:rPr>
              <w:t>本项目柴油储罐主要是卸油、油罐大小呼吸过程排放的非甲烷总烃，无组织产生量约为0.174t/a。</w:t>
            </w:r>
          </w:p>
          <w:p w14:paraId="47B0DC7A">
            <w:pPr>
              <w:widowControl/>
              <w:snapToGrid w:val="0"/>
              <w:spacing w:line="360" w:lineRule="auto"/>
              <w:ind w:firstLine="420" w:firstLineChars="200"/>
              <w:rPr>
                <w:rFonts w:hint="default"/>
                <w:color w:val="auto"/>
                <w:szCs w:val="21"/>
                <w:lang w:val="en-US" w:eastAsia="zh-CN"/>
              </w:rPr>
            </w:pPr>
            <w:r>
              <w:rPr>
                <w:rFonts w:hint="eastAsia"/>
                <w:color w:val="auto"/>
                <w:szCs w:val="21"/>
                <w:lang w:val="en-US" w:eastAsia="zh-CN"/>
              </w:rPr>
              <w:t>环评要求本项目柴油储罐在卸油时采取浸没式卸油方式，卸油以及储油罐安设在开阔场地，可以有效地减少无组织非甲烷总烃的排放，防治效果约为80%，则此部分无组织非甲烷总烃排放量约为0.035t/a，无组织污染物排放量较小，可忽略不计。</w:t>
            </w:r>
          </w:p>
          <w:p w14:paraId="691006EA">
            <w:pPr>
              <w:spacing w:line="360" w:lineRule="auto"/>
              <w:ind w:firstLine="422" w:firstLineChars="200"/>
              <w:rPr>
                <w:rFonts w:hint="eastAsia"/>
                <w:b/>
                <w:bCs w:val="0"/>
                <w:color w:val="auto"/>
                <w:szCs w:val="21"/>
                <w:lang w:val="en-US" w:eastAsia="zh-CN"/>
              </w:rPr>
            </w:pPr>
            <w:r>
              <w:rPr>
                <w:rFonts w:hint="eastAsia"/>
                <w:b/>
                <w:bCs w:val="0"/>
                <w:color w:val="auto"/>
                <w:szCs w:val="21"/>
                <w:lang w:val="en-US" w:eastAsia="zh-CN"/>
              </w:rPr>
              <w:t>（9）物料输送转载扬尘</w:t>
            </w:r>
          </w:p>
          <w:p w14:paraId="5A4899AB">
            <w:pPr>
              <w:spacing w:line="360" w:lineRule="auto"/>
              <w:ind w:firstLine="420" w:firstLineChars="200"/>
              <w:rPr>
                <w:rFonts w:hint="eastAsia"/>
                <w:bCs/>
                <w:color w:val="auto"/>
                <w:szCs w:val="21"/>
                <w:lang w:val="en-US" w:eastAsia="zh-CN"/>
              </w:rPr>
            </w:pPr>
            <w:r>
              <w:rPr>
                <w:rFonts w:hint="eastAsia"/>
                <w:bCs/>
                <w:color w:val="auto"/>
                <w:szCs w:val="21"/>
                <w:lang w:val="en-US" w:eastAsia="zh-CN"/>
              </w:rPr>
              <w:t>本项目物料输送采用皮带输送机、斜皮带输送机以及螺旋输送机等设备，为减少物料输送转载过程中产生的扬尘，环评要求皮带输送设备均采用全封闭式，可大大降低此过程中无组织颗粒物的排放，抑尘效果大于98%，经防治后无组织颗粒物排放量可忽略不计。</w:t>
            </w:r>
          </w:p>
          <w:p w14:paraId="4B220CDF">
            <w:pPr>
              <w:spacing w:line="360" w:lineRule="auto"/>
              <w:ind w:firstLine="422" w:firstLineChars="200"/>
              <w:rPr>
                <w:rFonts w:hint="eastAsia"/>
                <w:b/>
                <w:bCs w:val="0"/>
                <w:color w:val="auto"/>
                <w:szCs w:val="21"/>
                <w:lang w:val="en-US" w:eastAsia="zh-CN"/>
              </w:rPr>
            </w:pPr>
            <w:r>
              <w:rPr>
                <w:rFonts w:hint="eastAsia"/>
                <w:b/>
                <w:bCs w:val="0"/>
                <w:color w:val="auto"/>
                <w:szCs w:val="21"/>
                <w:lang w:val="en-US" w:eastAsia="zh-CN"/>
              </w:rPr>
              <w:t>（10）运输扬尘</w:t>
            </w:r>
          </w:p>
          <w:p w14:paraId="2522839F">
            <w:pPr>
              <w:spacing w:line="360" w:lineRule="auto"/>
              <w:ind w:firstLine="420" w:firstLineChars="200"/>
              <w:rPr>
                <w:szCs w:val="21"/>
              </w:rPr>
            </w:pPr>
            <w:r>
              <w:rPr>
                <w:szCs w:val="21"/>
              </w:rPr>
              <w:t>汽车在运输原</w:t>
            </w:r>
            <w:r>
              <w:rPr>
                <w:rFonts w:hint="eastAsia"/>
                <w:szCs w:val="21"/>
              </w:rPr>
              <w:t>料</w:t>
            </w:r>
            <w:r>
              <w:rPr>
                <w:szCs w:val="21"/>
              </w:rPr>
              <w:t>至储</w:t>
            </w:r>
            <w:r>
              <w:rPr>
                <w:rFonts w:hint="eastAsia"/>
                <w:szCs w:val="21"/>
                <w:lang w:val="en-US" w:eastAsia="zh-CN"/>
              </w:rPr>
              <w:t>料</w:t>
            </w:r>
            <w:r>
              <w:rPr>
                <w:szCs w:val="21"/>
              </w:rPr>
              <w:t>库的过程</w:t>
            </w:r>
            <w:r>
              <w:rPr>
                <w:rFonts w:hint="eastAsia"/>
                <w:szCs w:val="21"/>
              </w:rPr>
              <w:t>、</w:t>
            </w:r>
            <w:r>
              <w:rPr>
                <w:rFonts w:hint="eastAsia"/>
                <w:szCs w:val="21"/>
                <w:lang w:val="en-US" w:eastAsia="zh-CN"/>
              </w:rPr>
              <w:t>成品</w:t>
            </w:r>
            <w:r>
              <w:rPr>
                <w:szCs w:val="21"/>
              </w:rPr>
              <w:t>运输过程中会产生一定的道路扬尘。计算公式如下：</w:t>
            </w:r>
          </w:p>
          <w:p w14:paraId="4FC4ED8F">
            <w:pPr>
              <w:spacing w:line="360" w:lineRule="auto"/>
              <w:ind w:firstLine="420" w:firstLineChars="200"/>
              <w:rPr>
                <w:szCs w:val="21"/>
              </w:rPr>
            </w:pPr>
            <w:r>
              <w:rPr>
                <w:szCs w:val="21"/>
              </w:rPr>
              <w:pict>
                <v:shape id="Picture 107" o:spid="_x0000_s3046" o:spt="75" type="#_x0000_t75" style="position:absolute;left:0pt;margin-left:103.8pt;margin-top:38.35pt;height:19.25pt;width:99.65pt;z-index:251707392;mso-width-relative:page;mso-height-relative:page;" o:ole="t" fillcolor="#FFFFFF" filled="f" o:preferrelative="t" stroked="f" coordsize="21600,21600">
                  <v:path/>
                  <v:fill on="f" focussize="0,0"/>
                  <v:stroke on="f" joinstyle="miter"/>
                  <v:imagedata r:id="rId19" o:title=""/>
                  <o:lock v:ext="edit" aspectratio="t"/>
                </v:shape>
                <o:OLEObject Type="Embed" ProgID="Equations" ShapeID="Picture 107" DrawAspect="Content" ObjectID="_1468075725" r:id="rId18">
                  <o:LockedField>false</o:LockedField>
                </o:OLEObject>
              </w:pict>
            </w:r>
            <w:r>
              <w:rPr>
                <w:szCs w:val="21"/>
              </w:rPr>
              <w:pict>
                <v:shape id="Picture 106" o:spid="_x0000_s3047" o:spt="75" type="#_x0000_t75" style="position:absolute;left:0pt;margin-left:101.8pt;margin-top:-0.75pt;height:36.85pt;width:163.25pt;z-index:251704320;mso-width-relative:page;mso-height-relative:page;" o:ole="t" fillcolor="#FFFFFF" filled="f" o:preferrelative="t" stroked="f" coordsize="21600,21600">
                  <v:path/>
                  <v:fill on="f" focussize="0,0"/>
                  <v:stroke on="f" joinstyle="miter"/>
                  <v:imagedata r:id="rId21" o:title=""/>
                  <o:lock v:ext="edit" aspectratio="t"/>
                </v:shape>
                <o:OLEObject Type="Embed" ProgID="Equations" ShapeID="Picture 106" DrawAspect="Content" ObjectID="_1468075726" r:id="rId20">
                  <o:LockedField>false</o:LockedField>
                </o:OLEObject>
              </w:pict>
            </w:r>
          </w:p>
          <w:p w14:paraId="721261E7">
            <w:pPr>
              <w:spacing w:line="360" w:lineRule="auto"/>
              <w:ind w:firstLine="420" w:firstLineChars="200"/>
              <w:rPr>
                <w:szCs w:val="21"/>
              </w:rPr>
            </w:pPr>
          </w:p>
          <w:p w14:paraId="6EF73DFA">
            <w:pPr>
              <w:spacing w:line="360" w:lineRule="auto"/>
              <w:ind w:firstLine="420" w:firstLineChars="200"/>
              <w:rPr>
                <w:szCs w:val="21"/>
              </w:rPr>
            </w:pPr>
          </w:p>
          <w:p w14:paraId="2AEFAC57">
            <w:pPr>
              <w:spacing w:line="360" w:lineRule="auto"/>
              <w:ind w:firstLine="420" w:firstLineChars="200"/>
              <w:rPr>
                <w:szCs w:val="21"/>
              </w:rPr>
            </w:pPr>
            <w:r>
              <w:rPr>
                <w:szCs w:val="21"/>
              </w:rPr>
              <w:pict>
                <v:shape id="_x0000_s3048" o:spid="_x0000_s3048" o:spt="75" type="#_x0000_t75" style="position:absolute;left:0pt;margin-left:214.55pt;margin-top:17.25pt;height:17.25pt;width:17.25pt;z-index:251689984;mso-width-relative:page;mso-height-relative:page;" o:ole="t" fillcolor="#FFFFFF" filled="f" o:preferrelative="t" stroked="f" coordsize="21600,21600">
                  <v:path/>
                  <v:fill on="f" focussize="0,0"/>
                  <v:stroke on="f" joinstyle="miter"/>
                  <v:imagedata r:id="rId23" o:title=""/>
                  <o:lock v:ext="edit" aspectratio="t"/>
                </v:shape>
                <o:OLEObject Type="Embed" ProgID="Equations" ShapeID="_x0000_s3048" DrawAspect="Content" ObjectID="_1468075727" r:id="rId22">
                  <o:LockedField>false</o:LockedField>
                </o:OLEObject>
              </w:pict>
            </w:r>
          </w:p>
          <w:p w14:paraId="78F0511A">
            <w:pPr>
              <w:spacing w:line="360" w:lineRule="auto"/>
              <w:ind w:firstLine="420" w:firstLineChars="200"/>
              <w:rPr>
                <w:szCs w:val="21"/>
              </w:rPr>
            </w:pPr>
            <w:r>
              <w:rPr>
                <w:szCs w:val="21"/>
              </w:rPr>
              <w:t>式中：Q</w:t>
            </w:r>
            <w:r>
              <w:rPr>
                <w:szCs w:val="21"/>
                <w:vertAlign w:val="subscript"/>
              </w:rPr>
              <w:t>p</w:t>
            </w:r>
            <w:r>
              <w:rPr>
                <w:szCs w:val="21"/>
              </w:rPr>
              <w:t>——交通运输起尘量，kg/km辆；  ——运输途中起尘量，kg/a；V——车辆行驶速度；M——车辆载重；P——路面状况，以每平方m路面灰尘覆盖率表示；L——运输距离；Q——运输量，万t/a。</w:t>
            </w:r>
          </w:p>
          <w:p w14:paraId="3622464D">
            <w:pPr>
              <w:autoSpaceDE w:val="0"/>
              <w:autoSpaceDN w:val="0"/>
              <w:ind w:firstLine="361" w:firstLineChars="200"/>
              <w:jc w:val="center"/>
              <w:rPr>
                <w:b/>
                <w:bCs/>
                <w:sz w:val="18"/>
                <w:szCs w:val="18"/>
              </w:rPr>
            </w:pPr>
            <w:r>
              <w:rPr>
                <w:b/>
                <w:bCs/>
                <w:sz w:val="18"/>
                <w:szCs w:val="18"/>
              </w:rPr>
              <w:t>表4</w:t>
            </w:r>
            <w:r>
              <w:rPr>
                <w:rFonts w:hint="eastAsia"/>
                <w:b/>
                <w:bCs/>
                <w:sz w:val="18"/>
                <w:szCs w:val="18"/>
                <w:lang w:val="en-US" w:eastAsia="zh-CN"/>
              </w:rPr>
              <w:t>.1</w:t>
            </w:r>
            <w:r>
              <w:rPr>
                <w:b/>
                <w:bCs/>
                <w:sz w:val="18"/>
                <w:szCs w:val="18"/>
              </w:rPr>
              <w:t>-</w:t>
            </w:r>
            <w:r>
              <w:rPr>
                <w:rFonts w:hint="eastAsia"/>
                <w:b/>
                <w:bCs/>
                <w:sz w:val="18"/>
                <w:szCs w:val="18"/>
                <w:lang w:val="en-US" w:eastAsia="zh-CN"/>
              </w:rPr>
              <w:t>3</w:t>
            </w:r>
            <w:r>
              <w:rPr>
                <w:b/>
                <w:bCs/>
                <w:sz w:val="18"/>
                <w:szCs w:val="18"/>
              </w:rPr>
              <w:t xml:space="preserve">    运输过程各路段起尘量估算</w:t>
            </w:r>
          </w:p>
          <w:tbl>
            <w:tblPr>
              <w:tblStyle w:val="4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70"/>
              <w:gridCol w:w="1017"/>
              <w:gridCol w:w="1088"/>
              <w:gridCol w:w="1054"/>
              <w:gridCol w:w="928"/>
              <w:gridCol w:w="1002"/>
              <w:gridCol w:w="896"/>
              <w:gridCol w:w="1098"/>
            </w:tblGrid>
            <w:tr w14:paraId="0F3433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3" w:hRule="atLeast"/>
                <w:jc w:val="center"/>
              </w:trPr>
              <w:tc>
                <w:tcPr>
                  <w:tcW w:w="602" w:type="pct"/>
                  <w:tcBorders>
                    <w:tl2br w:val="nil"/>
                    <w:tr2bl w:val="nil"/>
                  </w:tcBorders>
                  <w:vAlign w:val="center"/>
                </w:tcPr>
                <w:p w14:paraId="78BF0497">
                  <w:pPr>
                    <w:jc w:val="center"/>
                    <w:rPr>
                      <w:sz w:val="18"/>
                      <w:szCs w:val="18"/>
                    </w:rPr>
                  </w:pPr>
                  <w:r>
                    <w:rPr>
                      <w:sz w:val="18"/>
                      <w:szCs w:val="18"/>
                    </w:rPr>
                    <w:t>路段</w:t>
                  </w:r>
                </w:p>
              </w:tc>
              <w:tc>
                <w:tcPr>
                  <w:tcW w:w="631" w:type="pct"/>
                  <w:tcBorders>
                    <w:tl2br w:val="nil"/>
                    <w:tr2bl w:val="nil"/>
                  </w:tcBorders>
                  <w:vAlign w:val="center"/>
                </w:tcPr>
                <w:p w14:paraId="3573087E">
                  <w:pPr>
                    <w:jc w:val="center"/>
                    <w:rPr>
                      <w:sz w:val="18"/>
                      <w:szCs w:val="18"/>
                    </w:rPr>
                  </w:pPr>
                  <w:r>
                    <w:rPr>
                      <w:rFonts w:hint="eastAsia"/>
                      <w:sz w:val="18"/>
                      <w:szCs w:val="18"/>
                    </w:rPr>
                    <w:t>类别</w:t>
                  </w:r>
                </w:p>
              </w:tc>
              <w:tc>
                <w:tcPr>
                  <w:tcW w:w="675" w:type="pct"/>
                  <w:tcBorders>
                    <w:tl2br w:val="nil"/>
                    <w:tr2bl w:val="nil"/>
                  </w:tcBorders>
                  <w:vAlign w:val="center"/>
                </w:tcPr>
                <w:p w14:paraId="5CD80A12">
                  <w:pPr>
                    <w:jc w:val="center"/>
                    <w:rPr>
                      <w:sz w:val="18"/>
                      <w:szCs w:val="18"/>
                    </w:rPr>
                  </w:pPr>
                  <w:r>
                    <w:rPr>
                      <w:sz w:val="18"/>
                      <w:szCs w:val="18"/>
                    </w:rPr>
                    <w:t>P（kg/m</w:t>
                  </w:r>
                  <w:r>
                    <w:rPr>
                      <w:sz w:val="18"/>
                      <w:szCs w:val="18"/>
                      <w:vertAlign w:val="superscript"/>
                    </w:rPr>
                    <w:t>2</w:t>
                  </w:r>
                  <w:r>
                    <w:rPr>
                      <w:sz w:val="18"/>
                      <w:szCs w:val="18"/>
                    </w:rPr>
                    <w:t>）</w:t>
                  </w:r>
                </w:p>
              </w:tc>
              <w:tc>
                <w:tcPr>
                  <w:tcW w:w="654" w:type="pct"/>
                  <w:tcBorders>
                    <w:tl2br w:val="nil"/>
                    <w:tr2bl w:val="nil"/>
                  </w:tcBorders>
                  <w:vAlign w:val="center"/>
                </w:tcPr>
                <w:p w14:paraId="37D092FB">
                  <w:pPr>
                    <w:jc w:val="center"/>
                    <w:rPr>
                      <w:sz w:val="18"/>
                      <w:szCs w:val="18"/>
                    </w:rPr>
                  </w:pPr>
                  <w:r>
                    <w:rPr>
                      <w:sz w:val="18"/>
                      <w:szCs w:val="18"/>
                    </w:rPr>
                    <w:t>V（km/h）</w:t>
                  </w:r>
                </w:p>
              </w:tc>
              <w:tc>
                <w:tcPr>
                  <w:tcW w:w="576" w:type="pct"/>
                  <w:tcBorders>
                    <w:tl2br w:val="nil"/>
                    <w:tr2bl w:val="nil"/>
                  </w:tcBorders>
                  <w:vAlign w:val="center"/>
                </w:tcPr>
                <w:p w14:paraId="630A6A48">
                  <w:pPr>
                    <w:jc w:val="center"/>
                    <w:rPr>
                      <w:sz w:val="18"/>
                      <w:szCs w:val="18"/>
                    </w:rPr>
                  </w:pPr>
                  <w:r>
                    <w:rPr>
                      <w:sz w:val="18"/>
                      <w:szCs w:val="18"/>
                    </w:rPr>
                    <w:t>M（t/辆）</w:t>
                  </w:r>
                </w:p>
              </w:tc>
              <w:tc>
                <w:tcPr>
                  <w:tcW w:w="622" w:type="pct"/>
                  <w:tcBorders>
                    <w:tl2br w:val="nil"/>
                    <w:tr2bl w:val="nil"/>
                  </w:tcBorders>
                  <w:vAlign w:val="center"/>
                </w:tcPr>
                <w:p w14:paraId="275F7CCC">
                  <w:pPr>
                    <w:jc w:val="center"/>
                    <w:rPr>
                      <w:sz w:val="18"/>
                      <w:szCs w:val="18"/>
                    </w:rPr>
                  </w:pPr>
                  <w:r>
                    <w:rPr>
                      <w:sz w:val="18"/>
                      <w:szCs w:val="18"/>
                    </w:rPr>
                    <w:t>Q（万t/a）</w:t>
                  </w:r>
                </w:p>
              </w:tc>
              <w:tc>
                <w:tcPr>
                  <w:tcW w:w="556" w:type="pct"/>
                  <w:tcBorders>
                    <w:tl2br w:val="nil"/>
                    <w:tr2bl w:val="nil"/>
                  </w:tcBorders>
                  <w:vAlign w:val="center"/>
                </w:tcPr>
                <w:p w14:paraId="58E95B63">
                  <w:pPr>
                    <w:jc w:val="center"/>
                    <w:rPr>
                      <w:sz w:val="18"/>
                      <w:szCs w:val="18"/>
                    </w:rPr>
                  </w:pPr>
                  <w:r>
                    <w:rPr>
                      <w:sz w:val="18"/>
                      <w:szCs w:val="18"/>
                    </w:rPr>
                    <w:t>L（km）</w:t>
                  </w:r>
                </w:p>
              </w:tc>
              <w:tc>
                <w:tcPr>
                  <w:tcW w:w="681" w:type="pct"/>
                  <w:tcBorders>
                    <w:tl2br w:val="nil"/>
                    <w:tr2bl w:val="nil"/>
                  </w:tcBorders>
                  <w:vAlign w:val="center"/>
                </w:tcPr>
                <w:p w14:paraId="64C1F910">
                  <w:pPr>
                    <w:jc w:val="center"/>
                    <w:rPr>
                      <w:sz w:val="18"/>
                      <w:szCs w:val="18"/>
                    </w:rPr>
                  </w:pPr>
                  <w:r>
                    <w:rPr>
                      <w:sz w:val="18"/>
                      <w:szCs w:val="18"/>
                    </w:rPr>
                    <w:t>Q′p（kg/a）</w:t>
                  </w:r>
                </w:p>
              </w:tc>
            </w:tr>
            <w:tr w14:paraId="3115CC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02" w:type="pct"/>
                  <w:vMerge w:val="restart"/>
                  <w:tcBorders>
                    <w:tl2br w:val="nil"/>
                    <w:tr2bl w:val="nil"/>
                  </w:tcBorders>
                  <w:vAlign w:val="center"/>
                </w:tcPr>
                <w:p w14:paraId="27D8505B">
                  <w:pPr>
                    <w:jc w:val="center"/>
                    <w:rPr>
                      <w:sz w:val="18"/>
                      <w:szCs w:val="18"/>
                    </w:rPr>
                  </w:pPr>
                  <w:r>
                    <w:rPr>
                      <w:sz w:val="18"/>
                      <w:szCs w:val="18"/>
                    </w:rPr>
                    <w:t>进出厂道路</w:t>
                  </w:r>
                </w:p>
              </w:tc>
              <w:tc>
                <w:tcPr>
                  <w:tcW w:w="631" w:type="pct"/>
                  <w:tcBorders>
                    <w:tl2br w:val="nil"/>
                    <w:tr2bl w:val="nil"/>
                  </w:tcBorders>
                  <w:vAlign w:val="center"/>
                </w:tcPr>
                <w:p w14:paraId="61100F1F">
                  <w:pPr>
                    <w:jc w:val="center"/>
                    <w:rPr>
                      <w:rFonts w:hint="eastAsia" w:eastAsia="宋体"/>
                      <w:sz w:val="18"/>
                      <w:szCs w:val="18"/>
                      <w:lang w:val="en-US" w:eastAsia="zh-CN"/>
                    </w:rPr>
                  </w:pPr>
                  <w:r>
                    <w:rPr>
                      <w:rFonts w:hint="eastAsia"/>
                      <w:sz w:val="18"/>
                      <w:szCs w:val="18"/>
                    </w:rPr>
                    <w:t>厂外-储</w:t>
                  </w:r>
                  <w:r>
                    <w:rPr>
                      <w:rFonts w:hint="eastAsia"/>
                      <w:sz w:val="18"/>
                      <w:szCs w:val="18"/>
                      <w:lang w:val="en-US" w:eastAsia="zh-CN"/>
                    </w:rPr>
                    <w:t>料</w:t>
                  </w:r>
                  <w:r>
                    <w:rPr>
                      <w:rFonts w:hint="eastAsia"/>
                      <w:sz w:val="18"/>
                      <w:szCs w:val="18"/>
                    </w:rPr>
                    <w:t>库</w:t>
                  </w:r>
                  <w:r>
                    <w:rPr>
                      <w:rFonts w:hint="eastAsia"/>
                      <w:sz w:val="18"/>
                      <w:szCs w:val="18"/>
                      <w:lang w:val="en-US" w:eastAsia="zh-CN"/>
                    </w:rPr>
                    <w:t>/筒仓</w:t>
                  </w:r>
                </w:p>
              </w:tc>
              <w:tc>
                <w:tcPr>
                  <w:tcW w:w="675" w:type="pct"/>
                  <w:tcBorders>
                    <w:tl2br w:val="nil"/>
                    <w:tr2bl w:val="nil"/>
                  </w:tcBorders>
                  <w:vAlign w:val="center"/>
                </w:tcPr>
                <w:p w14:paraId="12BADD77">
                  <w:pPr>
                    <w:jc w:val="center"/>
                    <w:rPr>
                      <w:sz w:val="18"/>
                      <w:szCs w:val="18"/>
                    </w:rPr>
                  </w:pPr>
                  <w:r>
                    <w:rPr>
                      <w:sz w:val="18"/>
                      <w:szCs w:val="18"/>
                    </w:rPr>
                    <w:t>0.05</w:t>
                  </w:r>
                </w:p>
              </w:tc>
              <w:tc>
                <w:tcPr>
                  <w:tcW w:w="654" w:type="pct"/>
                  <w:tcBorders>
                    <w:tl2br w:val="nil"/>
                    <w:tr2bl w:val="nil"/>
                  </w:tcBorders>
                  <w:vAlign w:val="center"/>
                </w:tcPr>
                <w:p w14:paraId="50C3A080">
                  <w:pPr>
                    <w:jc w:val="center"/>
                    <w:rPr>
                      <w:sz w:val="18"/>
                      <w:szCs w:val="18"/>
                    </w:rPr>
                  </w:pPr>
                  <w:r>
                    <w:rPr>
                      <w:sz w:val="18"/>
                      <w:szCs w:val="18"/>
                    </w:rPr>
                    <w:t>20</w:t>
                  </w:r>
                </w:p>
              </w:tc>
              <w:tc>
                <w:tcPr>
                  <w:tcW w:w="576" w:type="pct"/>
                  <w:tcBorders>
                    <w:tl2br w:val="nil"/>
                    <w:tr2bl w:val="nil"/>
                  </w:tcBorders>
                  <w:vAlign w:val="center"/>
                </w:tcPr>
                <w:p w14:paraId="26B4F6A8">
                  <w:pPr>
                    <w:jc w:val="center"/>
                    <w:rPr>
                      <w:sz w:val="18"/>
                      <w:szCs w:val="18"/>
                    </w:rPr>
                  </w:pPr>
                  <w:r>
                    <w:rPr>
                      <w:rFonts w:hint="eastAsia"/>
                      <w:sz w:val="18"/>
                      <w:szCs w:val="18"/>
                    </w:rPr>
                    <w:t>3</w:t>
                  </w:r>
                  <w:r>
                    <w:rPr>
                      <w:sz w:val="18"/>
                      <w:szCs w:val="18"/>
                    </w:rPr>
                    <w:t>0</w:t>
                  </w:r>
                </w:p>
              </w:tc>
              <w:tc>
                <w:tcPr>
                  <w:tcW w:w="622" w:type="pct"/>
                  <w:tcBorders>
                    <w:tl2br w:val="nil"/>
                    <w:tr2bl w:val="nil"/>
                  </w:tcBorders>
                  <w:vAlign w:val="center"/>
                </w:tcPr>
                <w:p w14:paraId="65BBF2E8">
                  <w:pPr>
                    <w:jc w:val="center"/>
                    <w:rPr>
                      <w:rFonts w:hint="default" w:eastAsia="宋体"/>
                      <w:sz w:val="18"/>
                      <w:szCs w:val="18"/>
                      <w:lang w:val="en-US" w:eastAsia="zh-CN"/>
                    </w:rPr>
                  </w:pPr>
                  <w:r>
                    <w:rPr>
                      <w:rFonts w:hint="eastAsia"/>
                      <w:sz w:val="18"/>
                      <w:szCs w:val="18"/>
                      <w:lang w:val="en-US" w:eastAsia="zh-CN"/>
                    </w:rPr>
                    <w:t>57</w:t>
                  </w:r>
                </w:p>
              </w:tc>
              <w:tc>
                <w:tcPr>
                  <w:tcW w:w="556" w:type="pct"/>
                  <w:tcBorders>
                    <w:tl2br w:val="nil"/>
                    <w:tr2bl w:val="nil"/>
                  </w:tcBorders>
                  <w:vAlign w:val="center"/>
                </w:tcPr>
                <w:p w14:paraId="00538274">
                  <w:pPr>
                    <w:jc w:val="center"/>
                    <w:rPr>
                      <w:sz w:val="18"/>
                      <w:szCs w:val="18"/>
                    </w:rPr>
                  </w:pPr>
                  <w:r>
                    <w:rPr>
                      <w:sz w:val="18"/>
                      <w:szCs w:val="18"/>
                    </w:rPr>
                    <w:t>0.</w:t>
                  </w:r>
                  <w:r>
                    <w:rPr>
                      <w:rFonts w:hint="eastAsia"/>
                      <w:sz w:val="18"/>
                      <w:szCs w:val="18"/>
                    </w:rPr>
                    <w:t>2</w:t>
                  </w:r>
                </w:p>
              </w:tc>
              <w:tc>
                <w:tcPr>
                  <w:tcW w:w="681" w:type="pct"/>
                  <w:tcBorders>
                    <w:tl2br w:val="nil"/>
                    <w:tr2bl w:val="nil"/>
                  </w:tcBorders>
                  <w:vAlign w:val="center"/>
                </w:tcPr>
                <w:p w14:paraId="23130499">
                  <w:pPr>
                    <w:jc w:val="center"/>
                    <w:rPr>
                      <w:rFonts w:hint="default" w:eastAsia="宋体"/>
                      <w:sz w:val="18"/>
                      <w:szCs w:val="18"/>
                      <w:lang w:val="en-US" w:eastAsia="zh-CN"/>
                    </w:rPr>
                  </w:pPr>
                  <w:r>
                    <w:rPr>
                      <w:rFonts w:hint="eastAsia"/>
                      <w:sz w:val="18"/>
                      <w:szCs w:val="18"/>
                      <w:lang w:val="en-US" w:eastAsia="zh-CN"/>
                    </w:rPr>
                    <w:t>1257.97</w:t>
                  </w:r>
                </w:p>
              </w:tc>
            </w:tr>
            <w:tr w14:paraId="4BD0E1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02" w:type="pct"/>
                  <w:vMerge w:val="continue"/>
                  <w:tcBorders>
                    <w:tl2br w:val="nil"/>
                    <w:tr2bl w:val="nil"/>
                  </w:tcBorders>
                  <w:vAlign w:val="center"/>
                </w:tcPr>
                <w:p w14:paraId="085C0778">
                  <w:pPr>
                    <w:jc w:val="center"/>
                    <w:rPr>
                      <w:sz w:val="18"/>
                      <w:szCs w:val="18"/>
                    </w:rPr>
                  </w:pPr>
                </w:p>
              </w:tc>
              <w:tc>
                <w:tcPr>
                  <w:tcW w:w="631" w:type="pct"/>
                  <w:tcBorders>
                    <w:tl2br w:val="nil"/>
                    <w:tr2bl w:val="nil"/>
                  </w:tcBorders>
                  <w:vAlign w:val="center"/>
                </w:tcPr>
                <w:p w14:paraId="67A05F15">
                  <w:pPr>
                    <w:jc w:val="center"/>
                    <w:rPr>
                      <w:rFonts w:hint="default" w:eastAsia="宋体"/>
                      <w:sz w:val="18"/>
                      <w:szCs w:val="18"/>
                      <w:lang w:val="en-US" w:eastAsia="zh-CN"/>
                    </w:rPr>
                  </w:pPr>
                  <w:r>
                    <w:rPr>
                      <w:rFonts w:hint="eastAsia"/>
                      <w:sz w:val="18"/>
                      <w:szCs w:val="18"/>
                      <w:lang w:val="en-US" w:eastAsia="zh-CN"/>
                    </w:rPr>
                    <w:t>出厂</w:t>
                  </w:r>
                </w:p>
              </w:tc>
              <w:tc>
                <w:tcPr>
                  <w:tcW w:w="675" w:type="pct"/>
                  <w:tcBorders>
                    <w:tl2br w:val="nil"/>
                    <w:tr2bl w:val="nil"/>
                  </w:tcBorders>
                  <w:vAlign w:val="center"/>
                </w:tcPr>
                <w:p w14:paraId="70F31D72">
                  <w:pPr>
                    <w:jc w:val="center"/>
                    <w:rPr>
                      <w:rFonts w:hint="default" w:eastAsia="宋体"/>
                      <w:sz w:val="18"/>
                      <w:szCs w:val="18"/>
                      <w:lang w:val="en-US" w:eastAsia="zh-CN"/>
                    </w:rPr>
                  </w:pPr>
                  <w:r>
                    <w:rPr>
                      <w:rFonts w:hint="eastAsia"/>
                      <w:sz w:val="18"/>
                      <w:szCs w:val="18"/>
                      <w:lang w:val="en-US" w:eastAsia="zh-CN"/>
                    </w:rPr>
                    <w:t>0.05</w:t>
                  </w:r>
                </w:p>
              </w:tc>
              <w:tc>
                <w:tcPr>
                  <w:tcW w:w="654" w:type="pct"/>
                  <w:tcBorders>
                    <w:tl2br w:val="nil"/>
                    <w:tr2bl w:val="nil"/>
                  </w:tcBorders>
                  <w:vAlign w:val="center"/>
                </w:tcPr>
                <w:p w14:paraId="7B49A7E4">
                  <w:pPr>
                    <w:jc w:val="center"/>
                    <w:rPr>
                      <w:rFonts w:hint="default" w:eastAsia="宋体"/>
                      <w:sz w:val="18"/>
                      <w:szCs w:val="18"/>
                      <w:lang w:val="en-US" w:eastAsia="zh-CN"/>
                    </w:rPr>
                  </w:pPr>
                  <w:r>
                    <w:rPr>
                      <w:rFonts w:hint="eastAsia"/>
                      <w:sz w:val="18"/>
                      <w:szCs w:val="18"/>
                      <w:lang w:val="en-US" w:eastAsia="zh-CN"/>
                    </w:rPr>
                    <w:t>20</w:t>
                  </w:r>
                </w:p>
              </w:tc>
              <w:tc>
                <w:tcPr>
                  <w:tcW w:w="576" w:type="pct"/>
                  <w:tcBorders>
                    <w:tl2br w:val="nil"/>
                    <w:tr2bl w:val="nil"/>
                  </w:tcBorders>
                  <w:vAlign w:val="center"/>
                </w:tcPr>
                <w:p w14:paraId="08525E87">
                  <w:pPr>
                    <w:jc w:val="center"/>
                    <w:rPr>
                      <w:rFonts w:hint="default" w:eastAsia="宋体"/>
                      <w:sz w:val="18"/>
                      <w:szCs w:val="18"/>
                      <w:lang w:val="en-US" w:eastAsia="zh-CN"/>
                    </w:rPr>
                  </w:pPr>
                  <w:r>
                    <w:rPr>
                      <w:rFonts w:hint="eastAsia"/>
                      <w:sz w:val="18"/>
                      <w:szCs w:val="18"/>
                      <w:lang w:val="en-US" w:eastAsia="zh-CN"/>
                    </w:rPr>
                    <w:t>30</w:t>
                  </w:r>
                </w:p>
              </w:tc>
              <w:tc>
                <w:tcPr>
                  <w:tcW w:w="622" w:type="pct"/>
                  <w:tcBorders>
                    <w:tl2br w:val="nil"/>
                    <w:tr2bl w:val="nil"/>
                  </w:tcBorders>
                  <w:vAlign w:val="center"/>
                </w:tcPr>
                <w:p w14:paraId="45D822D5">
                  <w:pPr>
                    <w:jc w:val="center"/>
                    <w:rPr>
                      <w:rFonts w:hint="default" w:eastAsia="宋体"/>
                      <w:sz w:val="18"/>
                      <w:szCs w:val="18"/>
                      <w:lang w:val="en-US" w:eastAsia="zh-CN"/>
                    </w:rPr>
                  </w:pPr>
                  <w:r>
                    <w:rPr>
                      <w:rFonts w:hint="eastAsia"/>
                      <w:sz w:val="18"/>
                      <w:szCs w:val="18"/>
                      <w:lang w:val="en-US" w:eastAsia="zh-CN"/>
                    </w:rPr>
                    <w:t>56</w:t>
                  </w:r>
                </w:p>
              </w:tc>
              <w:tc>
                <w:tcPr>
                  <w:tcW w:w="556" w:type="pct"/>
                  <w:tcBorders>
                    <w:tl2br w:val="nil"/>
                    <w:tr2bl w:val="nil"/>
                  </w:tcBorders>
                  <w:vAlign w:val="center"/>
                </w:tcPr>
                <w:p w14:paraId="1908E687">
                  <w:pPr>
                    <w:jc w:val="center"/>
                    <w:rPr>
                      <w:rFonts w:hint="default" w:eastAsia="宋体"/>
                      <w:sz w:val="18"/>
                      <w:szCs w:val="18"/>
                      <w:lang w:val="en-US" w:eastAsia="zh-CN"/>
                    </w:rPr>
                  </w:pPr>
                  <w:r>
                    <w:rPr>
                      <w:rFonts w:hint="eastAsia"/>
                      <w:sz w:val="18"/>
                      <w:szCs w:val="18"/>
                      <w:lang w:val="en-US" w:eastAsia="zh-CN"/>
                    </w:rPr>
                    <w:t>0.2</w:t>
                  </w:r>
                </w:p>
              </w:tc>
              <w:tc>
                <w:tcPr>
                  <w:tcW w:w="681" w:type="pct"/>
                  <w:tcBorders>
                    <w:tl2br w:val="nil"/>
                    <w:tr2bl w:val="nil"/>
                  </w:tcBorders>
                  <w:vAlign w:val="center"/>
                </w:tcPr>
                <w:p w14:paraId="4F7B8665">
                  <w:pPr>
                    <w:jc w:val="center"/>
                    <w:rPr>
                      <w:rFonts w:hint="default" w:eastAsia="宋体"/>
                      <w:sz w:val="18"/>
                      <w:szCs w:val="18"/>
                      <w:lang w:val="en-US" w:eastAsia="zh-CN"/>
                    </w:rPr>
                  </w:pPr>
                  <w:r>
                    <w:rPr>
                      <w:rFonts w:hint="eastAsia"/>
                      <w:sz w:val="18"/>
                      <w:szCs w:val="18"/>
                      <w:lang w:val="en-US" w:eastAsia="zh-CN"/>
                    </w:rPr>
                    <w:t>1235.9</w:t>
                  </w:r>
                </w:p>
              </w:tc>
            </w:tr>
            <w:tr w14:paraId="087F99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02" w:type="pct"/>
                  <w:tcBorders>
                    <w:tl2br w:val="nil"/>
                    <w:tr2bl w:val="nil"/>
                  </w:tcBorders>
                  <w:vAlign w:val="center"/>
                </w:tcPr>
                <w:p w14:paraId="1040AD91">
                  <w:pPr>
                    <w:jc w:val="center"/>
                    <w:rPr>
                      <w:rFonts w:hint="eastAsia" w:eastAsia="宋体"/>
                      <w:sz w:val="18"/>
                      <w:szCs w:val="18"/>
                      <w:lang w:val="en-US" w:eastAsia="zh-CN"/>
                    </w:rPr>
                  </w:pPr>
                  <w:r>
                    <w:rPr>
                      <w:rFonts w:hint="eastAsia"/>
                      <w:sz w:val="18"/>
                      <w:szCs w:val="18"/>
                      <w:lang w:val="en-US" w:eastAsia="zh-CN"/>
                    </w:rPr>
                    <w:t>合计</w:t>
                  </w:r>
                </w:p>
              </w:tc>
              <w:tc>
                <w:tcPr>
                  <w:tcW w:w="631" w:type="pct"/>
                  <w:tcBorders>
                    <w:tl2br w:val="nil"/>
                    <w:tr2bl w:val="nil"/>
                  </w:tcBorders>
                  <w:vAlign w:val="center"/>
                </w:tcPr>
                <w:p w14:paraId="2E96F40A">
                  <w:pPr>
                    <w:jc w:val="center"/>
                    <w:rPr>
                      <w:rFonts w:hint="eastAsia"/>
                      <w:sz w:val="18"/>
                      <w:szCs w:val="18"/>
                      <w:lang w:val="en-US" w:eastAsia="zh-CN"/>
                    </w:rPr>
                  </w:pPr>
                </w:p>
              </w:tc>
              <w:tc>
                <w:tcPr>
                  <w:tcW w:w="675" w:type="pct"/>
                  <w:tcBorders>
                    <w:tl2br w:val="nil"/>
                    <w:tr2bl w:val="nil"/>
                  </w:tcBorders>
                  <w:vAlign w:val="center"/>
                </w:tcPr>
                <w:p w14:paraId="1E3492DE">
                  <w:pPr>
                    <w:jc w:val="center"/>
                    <w:rPr>
                      <w:rFonts w:hint="eastAsia"/>
                      <w:sz w:val="18"/>
                      <w:szCs w:val="18"/>
                      <w:lang w:val="en-US" w:eastAsia="zh-CN"/>
                    </w:rPr>
                  </w:pPr>
                </w:p>
              </w:tc>
              <w:tc>
                <w:tcPr>
                  <w:tcW w:w="654" w:type="pct"/>
                  <w:tcBorders>
                    <w:tl2br w:val="nil"/>
                    <w:tr2bl w:val="nil"/>
                  </w:tcBorders>
                  <w:vAlign w:val="center"/>
                </w:tcPr>
                <w:p w14:paraId="05981CEE">
                  <w:pPr>
                    <w:jc w:val="center"/>
                    <w:rPr>
                      <w:rFonts w:hint="eastAsia"/>
                      <w:sz w:val="18"/>
                      <w:szCs w:val="18"/>
                      <w:lang w:val="en-US" w:eastAsia="zh-CN"/>
                    </w:rPr>
                  </w:pPr>
                </w:p>
              </w:tc>
              <w:tc>
                <w:tcPr>
                  <w:tcW w:w="576" w:type="pct"/>
                  <w:tcBorders>
                    <w:tl2br w:val="nil"/>
                    <w:tr2bl w:val="nil"/>
                  </w:tcBorders>
                  <w:vAlign w:val="center"/>
                </w:tcPr>
                <w:p w14:paraId="306549A5">
                  <w:pPr>
                    <w:jc w:val="center"/>
                    <w:rPr>
                      <w:rFonts w:hint="eastAsia"/>
                      <w:sz w:val="18"/>
                      <w:szCs w:val="18"/>
                      <w:lang w:val="en-US" w:eastAsia="zh-CN"/>
                    </w:rPr>
                  </w:pPr>
                </w:p>
              </w:tc>
              <w:tc>
                <w:tcPr>
                  <w:tcW w:w="622" w:type="pct"/>
                  <w:tcBorders>
                    <w:tl2br w:val="nil"/>
                    <w:tr2bl w:val="nil"/>
                  </w:tcBorders>
                  <w:vAlign w:val="center"/>
                </w:tcPr>
                <w:p w14:paraId="156846CC">
                  <w:pPr>
                    <w:jc w:val="center"/>
                    <w:rPr>
                      <w:rFonts w:hint="eastAsia"/>
                      <w:sz w:val="18"/>
                      <w:szCs w:val="18"/>
                      <w:lang w:val="en-US" w:eastAsia="zh-CN"/>
                    </w:rPr>
                  </w:pPr>
                </w:p>
              </w:tc>
              <w:tc>
                <w:tcPr>
                  <w:tcW w:w="556" w:type="pct"/>
                  <w:tcBorders>
                    <w:tl2br w:val="nil"/>
                    <w:tr2bl w:val="nil"/>
                  </w:tcBorders>
                  <w:vAlign w:val="center"/>
                </w:tcPr>
                <w:p w14:paraId="36E7645C">
                  <w:pPr>
                    <w:jc w:val="center"/>
                    <w:rPr>
                      <w:rFonts w:hint="eastAsia"/>
                      <w:sz w:val="18"/>
                      <w:szCs w:val="18"/>
                      <w:lang w:val="en-US" w:eastAsia="zh-CN"/>
                    </w:rPr>
                  </w:pPr>
                </w:p>
              </w:tc>
              <w:tc>
                <w:tcPr>
                  <w:tcW w:w="681" w:type="pct"/>
                  <w:tcBorders>
                    <w:tl2br w:val="nil"/>
                    <w:tr2bl w:val="nil"/>
                  </w:tcBorders>
                  <w:vAlign w:val="center"/>
                </w:tcPr>
                <w:p w14:paraId="16ECD44A">
                  <w:pPr>
                    <w:jc w:val="center"/>
                    <w:rPr>
                      <w:rFonts w:hint="default"/>
                      <w:sz w:val="18"/>
                      <w:szCs w:val="18"/>
                      <w:lang w:val="en-US" w:eastAsia="zh-CN"/>
                    </w:rPr>
                  </w:pPr>
                  <w:r>
                    <w:rPr>
                      <w:rFonts w:hint="eastAsia"/>
                      <w:sz w:val="18"/>
                      <w:szCs w:val="18"/>
                      <w:lang w:val="en-US" w:eastAsia="zh-CN"/>
                    </w:rPr>
                    <w:t>2493.87</w:t>
                  </w:r>
                </w:p>
              </w:tc>
            </w:tr>
          </w:tbl>
          <w:p w14:paraId="5596EA27">
            <w:pPr>
              <w:pStyle w:val="78"/>
              <w:spacing w:line="360" w:lineRule="auto"/>
              <w:ind w:firstLine="420"/>
              <w:rPr>
                <w:rFonts w:ascii="Times New Roman" w:hAnsi="Times New Roman" w:cs="Times New Roman"/>
                <w:sz w:val="21"/>
                <w:szCs w:val="21"/>
              </w:rPr>
            </w:pPr>
            <w:r>
              <w:rPr>
                <w:rFonts w:ascii="Times New Roman" w:cs="Times New Roman"/>
                <w:sz w:val="21"/>
                <w:szCs w:val="21"/>
              </w:rPr>
              <w:t>根据上述公式可计算</w:t>
            </w:r>
            <w:r>
              <w:rPr>
                <w:rFonts w:ascii="Times New Roman" w:hAnsi="Times New Roman" w:cs="Times New Roman"/>
                <w:sz w:val="21"/>
                <w:szCs w:val="21"/>
              </w:rPr>
              <w:t>，Q</w:t>
            </w:r>
            <w:r>
              <w:rPr>
                <w:rFonts w:ascii="Times New Roman" w:hAnsi="Times New Roman" w:cs="Times New Roman"/>
                <w:sz w:val="21"/>
                <w:szCs w:val="21"/>
                <w:vertAlign w:val="subscript"/>
              </w:rPr>
              <w:t>P</w:t>
            </w:r>
            <w:r>
              <w:rPr>
                <w:rFonts w:ascii="Times New Roman" w:hAnsi="Times New Roman" w:cs="Times New Roman"/>
                <w:sz w:val="21"/>
                <w:szCs w:val="21"/>
              </w:rPr>
              <w:t>=</w:t>
            </w:r>
            <w:r>
              <w:rPr>
                <w:rFonts w:hint="eastAsia" w:ascii="Times New Roman" w:hAnsi="Times New Roman" w:cs="Times New Roman"/>
                <w:sz w:val="21"/>
                <w:szCs w:val="21"/>
              </w:rPr>
              <w:t>0.</w:t>
            </w:r>
            <w:r>
              <w:rPr>
                <w:rFonts w:hint="eastAsia" w:ascii="Times New Roman" w:hAnsi="Times New Roman" w:cs="Times New Roman"/>
                <w:sz w:val="21"/>
                <w:szCs w:val="21"/>
                <w:lang w:val="en-US" w:eastAsia="zh-CN"/>
              </w:rPr>
              <w:t>33</w:t>
            </w:r>
            <w:r>
              <w:rPr>
                <w:rFonts w:ascii="Times New Roman" w:hAnsi="Times New Roman" w:cs="Times New Roman"/>
                <w:sz w:val="21"/>
                <w:szCs w:val="21"/>
              </w:rPr>
              <w:t>kg/km</w:t>
            </w:r>
            <w:r>
              <w:rPr>
                <w:rFonts w:hint="eastAsia" w:ascii="Times New Roman" w:hAnsi="Times New Roman" w:cs="Times New Roman"/>
                <w:sz w:val="21"/>
                <w:szCs w:val="21"/>
              </w:rPr>
              <w:t>，</w:t>
            </w:r>
            <w:r>
              <w:rPr>
                <w:rFonts w:ascii="Times New Roman" w:hAnsi="Times New Roman" w:cs="Times New Roman"/>
                <w:sz w:val="21"/>
                <w:szCs w:val="21"/>
              </w:rPr>
              <w:t>Q′</w:t>
            </w:r>
            <w:r>
              <w:rPr>
                <w:rFonts w:ascii="Times New Roman" w:hAnsi="Times New Roman" w:cs="Times New Roman"/>
                <w:sz w:val="21"/>
                <w:szCs w:val="21"/>
                <w:vertAlign w:val="subscript"/>
              </w:rPr>
              <w:t>P</w:t>
            </w:r>
            <w:r>
              <w:rPr>
                <w:rFonts w:ascii="Times New Roman" w:hAnsi="Times New Roman" w:cs="Times New Roman"/>
                <w:sz w:val="21"/>
                <w:szCs w:val="21"/>
              </w:rPr>
              <w:t>=</w:t>
            </w:r>
            <w:r>
              <w:rPr>
                <w:rFonts w:hint="eastAsia" w:ascii="Times New Roman" w:hAnsi="Times New Roman" w:cs="Times New Roman"/>
                <w:sz w:val="21"/>
                <w:szCs w:val="21"/>
                <w:lang w:val="en-US" w:eastAsia="zh-CN"/>
              </w:rPr>
              <w:t>2.49</w:t>
            </w:r>
            <w:r>
              <w:rPr>
                <w:rFonts w:ascii="Times New Roman" w:hAnsi="Times New Roman" w:cs="Times New Roman"/>
                <w:sz w:val="21"/>
                <w:szCs w:val="21"/>
              </w:rPr>
              <w:t>t/a。</w:t>
            </w:r>
          </w:p>
          <w:p w14:paraId="124AB9B6">
            <w:pPr>
              <w:pStyle w:val="78"/>
              <w:spacing w:line="360" w:lineRule="auto"/>
              <w:ind w:firstLine="420"/>
              <w:rPr>
                <w:rFonts w:ascii="Times New Roman" w:cs="Times New Roman"/>
                <w:sz w:val="21"/>
                <w:szCs w:val="21"/>
              </w:rPr>
            </w:pPr>
            <w:r>
              <w:rPr>
                <w:rFonts w:ascii="Times New Roman" w:cs="Times New Roman"/>
                <w:sz w:val="21"/>
                <w:szCs w:val="21"/>
              </w:rPr>
              <w:t>为减少汽车运输过程产生的扬尘，环评要求采取以下措施：限制汽车超载，运输车辆</w:t>
            </w:r>
            <w:r>
              <w:rPr>
                <w:rFonts w:hint="eastAsia" w:ascii="Times New Roman" w:cs="Times New Roman"/>
                <w:sz w:val="21"/>
                <w:szCs w:val="21"/>
              </w:rPr>
              <w:t>采用</w:t>
            </w:r>
            <w:r>
              <w:rPr>
                <w:rFonts w:ascii="Times New Roman" w:cs="Times New Roman"/>
                <w:sz w:val="21"/>
                <w:szCs w:val="21"/>
              </w:rPr>
              <w:t>清洁能源燃料箱式货车；路面保证清扫和洒水的频率，保持路面的湿度和清洁度；对厂区至集运站道路、厂区大门进出口道路两侧进行绿化并将道路硬化，硬化程度应满足运输要求，以减少起尘量；同时环评要求项目运输车辆驶离厂区时必须对车辆轮胎、车身进行冲洗，减少车辆扬尘污染。厂区内站台硬化</w:t>
            </w:r>
            <w:r>
              <w:rPr>
                <w:rFonts w:hint="eastAsia" w:ascii="Times New Roman" w:cs="Times New Roman"/>
                <w:sz w:val="21"/>
                <w:szCs w:val="21"/>
              </w:rPr>
              <w:t>，</w:t>
            </w:r>
            <w:r>
              <w:rPr>
                <w:rFonts w:ascii="Times New Roman" w:cs="Times New Roman"/>
                <w:sz w:val="21"/>
                <w:szCs w:val="21"/>
              </w:rPr>
              <w:t>减少作业面物料洒落引起的扬尘</w:t>
            </w:r>
            <w:r>
              <w:rPr>
                <w:rFonts w:hint="eastAsia" w:ascii="Times New Roman" w:cs="Times New Roman"/>
                <w:sz w:val="21"/>
                <w:szCs w:val="21"/>
              </w:rPr>
              <w:t>，</w:t>
            </w:r>
            <w:r>
              <w:rPr>
                <w:rFonts w:ascii="Times New Roman" w:cs="Times New Roman"/>
                <w:sz w:val="21"/>
                <w:szCs w:val="21"/>
              </w:rPr>
              <w:t>另外厂区配备一辆洒水车</w:t>
            </w:r>
            <w:r>
              <w:rPr>
                <w:rFonts w:hint="eastAsia" w:ascii="Times New Roman" w:cs="Times New Roman"/>
                <w:sz w:val="21"/>
                <w:szCs w:val="21"/>
              </w:rPr>
              <w:t>，</w:t>
            </w:r>
            <w:r>
              <w:rPr>
                <w:rFonts w:ascii="Times New Roman" w:cs="Times New Roman"/>
                <w:sz w:val="21"/>
                <w:szCs w:val="21"/>
              </w:rPr>
              <w:t>定时对厂区内喷洒灭尘</w:t>
            </w:r>
            <w:r>
              <w:rPr>
                <w:rFonts w:hint="eastAsia" w:ascii="Times New Roman" w:cs="Times New Roman"/>
                <w:sz w:val="21"/>
                <w:szCs w:val="21"/>
              </w:rPr>
              <w:t>。</w:t>
            </w:r>
          </w:p>
          <w:p w14:paraId="4606836F">
            <w:pPr>
              <w:pStyle w:val="78"/>
              <w:spacing w:line="360" w:lineRule="auto"/>
              <w:ind w:firstLine="420"/>
              <w:rPr>
                <w:rFonts w:ascii="Times New Roman" w:hAnsi="Times New Roman" w:cs="Times New Roman"/>
                <w:sz w:val="21"/>
                <w:szCs w:val="21"/>
              </w:rPr>
            </w:pPr>
            <w:r>
              <w:rPr>
                <w:rFonts w:hint="eastAsia" w:ascii="Times New Roman" w:cs="Times New Roman"/>
                <w:sz w:val="21"/>
                <w:szCs w:val="21"/>
              </w:rPr>
              <w:t>另外，考虑本项目运输周转量的因素，故在储</w:t>
            </w:r>
            <w:r>
              <w:rPr>
                <w:rFonts w:hint="eastAsia" w:ascii="Times New Roman" w:cs="Times New Roman"/>
                <w:sz w:val="21"/>
                <w:szCs w:val="21"/>
                <w:lang w:val="en-US" w:eastAsia="zh-CN"/>
              </w:rPr>
              <w:t>料</w:t>
            </w:r>
            <w:r>
              <w:rPr>
                <w:rFonts w:hint="eastAsia" w:ascii="Times New Roman" w:cs="Times New Roman"/>
                <w:sz w:val="21"/>
                <w:szCs w:val="21"/>
              </w:rPr>
              <w:t>库</w:t>
            </w:r>
            <w:r>
              <w:rPr>
                <w:rFonts w:hint="eastAsia" w:ascii="Times New Roman" w:cs="Times New Roman"/>
                <w:sz w:val="21"/>
                <w:szCs w:val="21"/>
                <w:lang w:val="en-US" w:eastAsia="zh-CN"/>
              </w:rPr>
              <w:t>旁</w:t>
            </w:r>
            <w:r>
              <w:rPr>
                <w:rFonts w:hint="eastAsia" w:ascii="Times New Roman" w:cs="Times New Roman"/>
                <w:sz w:val="21"/>
                <w:szCs w:val="21"/>
              </w:rPr>
              <w:t>设置临时停车场，用于中转车辆的协调与疏导，环评要求</w:t>
            </w:r>
            <w:r>
              <w:rPr>
                <w:rFonts w:hint="eastAsia" w:ascii="Times New Roman" w:cs="Times New Roman"/>
                <w:sz w:val="21"/>
                <w:szCs w:val="21"/>
                <w:lang w:val="en-US" w:eastAsia="zh-CN"/>
              </w:rPr>
              <w:t>停车</w:t>
            </w:r>
            <w:r>
              <w:rPr>
                <w:rFonts w:hint="eastAsia" w:ascii="Times New Roman" w:cs="Times New Roman"/>
                <w:sz w:val="21"/>
                <w:szCs w:val="21"/>
              </w:rPr>
              <w:t>场地硬化，硬化面积约</w:t>
            </w:r>
            <w:r>
              <w:rPr>
                <w:rFonts w:hint="eastAsia" w:ascii="Times New Roman" w:cs="Times New Roman"/>
                <w:sz w:val="21"/>
                <w:szCs w:val="21"/>
                <w:lang w:val="en-US" w:eastAsia="zh-CN"/>
              </w:rPr>
              <w:t>5</w:t>
            </w:r>
            <w:r>
              <w:rPr>
                <w:rFonts w:hint="eastAsia" w:ascii="Times New Roman" w:cs="Times New Roman"/>
                <w:sz w:val="21"/>
                <w:szCs w:val="21"/>
              </w:rPr>
              <w:t>00m</w:t>
            </w:r>
            <w:r>
              <w:rPr>
                <w:rFonts w:hint="eastAsia" w:ascii="Times New Roman" w:cs="Times New Roman"/>
                <w:sz w:val="21"/>
                <w:szCs w:val="21"/>
                <w:vertAlign w:val="superscript"/>
              </w:rPr>
              <w:t>2</w:t>
            </w:r>
            <w:r>
              <w:rPr>
                <w:rFonts w:hint="eastAsia" w:ascii="Times New Roman" w:cs="Times New Roman"/>
                <w:sz w:val="21"/>
                <w:szCs w:val="21"/>
              </w:rPr>
              <w:t>，厂区内运输道路以及过道均硬化，道路硬化面积约为300m</w:t>
            </w:r>
            <w:r>
              <w:rPr>
                <w:rFonts w:hint="eastAsia" w:ascii="Times New Roman" w:cs="Times New Roman"/>
                <w:sz w:val="21"/>
                <w:szCs w:val="21"/>
                <w:vertAlign w:val="superscript"/>
              </w:rPr>
              <w:t>2</w:t>
            </w:r>
            <w:r>
              <w:rPr>
                <w:rFonts w:hint="eastAsia" w:ascii="Times New Roman" w:cs="Times New Roman"/>
                <w:sz w:val="21"/>
                <w:szCs w:val="21"/>
              </w:rPr>
              <w:t>，硬化情况示意图见附图2中所示。</w:t>
            </w:r>
          </w:p>
          <w:p w14:paraId="69D1F841">
            <w:pPr>
              <w:spacing w:line="360" w:lineRule="auto"/>
              <w:ind w:firstLine="420" w:firstLineChars="200"/>
              <w:rPr>
                <w:rFonts w:hint="eastAsia"/>
                <w:bCs/>
                <w:color w:val="auto"/>
                <w:szCs w:val="21"/>
                <w:lang w:val="en-US" w:eastAsia="zh-CN"/>
              </w:rPr>
            </w:pPr>
            <w:r>
              <w:rPr>
                <w:rFonts w:ascii="Times New Roman" w:cs="Times New Roman"/>
                <w:sz w:val="21"/>
                <w:szCs w:val="21"/>
              </w:rPr>
              <w:t>采取上述措施后可抑尘90%，运输无组织道路扬尘排放量约</w:t>
            </w:r>
            <w:r>
              <w:rPr>
                <w:rFonts w:hint="eastAsia" w:cs="Times New Roman"/>
                <w:sz w:val="21"/>
                <w:szCs w:val="21"/>
                <w:lang w:val="en-US" w:eastAsia="zh-CN"/>
              </w:rPr>
              <w:t>0.25</w:t>
            </w:r>
            <w:r>
              <w:rPr>
                <w:rFonts w:hint="eastAsia" w:ascii="Times New Roman" w:cs="Times New Roman"/>
                <w:sz w:val="21"/>
                <w:szCs w:val="21"/>
              </w:rPr>
              <w:t>t/a，排放量较小</w:t>
            </w:r>
            <w:r>
              <w:rPr>
                <w:rFonts w:ascii="Times New Roman" w:cs="Times New Roman"/>
                <w:sz w:val="21"/>
                <w:szCs w:val="21"/>
              </w:rPr>
              <w:t>。</w:t>
            </w:r>
          </w:p>
          <w:p w14:paraId="23E10622">
            <w:pPr>
              <w:spacing w:line="360" w:lineRule="auto"/>
              <w:ind w:firstLine="420" w:firstLineChars="200"/>
              <w:rPr>
                <w:rFonts w:hint="default"/>
                <w:color w:val="auto"/>
                <w:szCs w:val="21"/>
                <w:lang w:val="en-US" w:eastAsia="zh-CN"/>
              </w:rPr>
            </w:pPr>
            <w:r>
              <w:rPr>
                <w:rFonts w:hint="eastAsia"/>
                <w:color w:val="auto"/>
                <w:szCs w:val="21"/>
                <w:lang w:val="en-US" w:eastAsia="zh-CN"/>
              </w:rPr>
              <w:t>另外，因集气设置未能将全部无组织废气收集，主要包括少量的颗粒物未捕集，在加强厂区地面硬化、绿化面积、定期洒水降尘等措施防治后，此部分无组织颗粒排放量可忽略不计。</w:t>
            </w:r>
          </w:p>
          <w:p w14:paraId="789F041E">
            <w:pPr>
              <w:spacing w:line="360" w:lineRule="auto"/>
              <w:ind w:firstLine="422" w:firstLineChars="200"/>
              <w:rPr>
                <w:rFonts w:hint="default"/>
                <w:b/>
                <w:bCs/>
                <w:color w:val="auto"/>
                <w:szCs w:val="21"/>
                <w:lang w:val="en-US" w:eastAsia="zh-CN"/>
              </w:rPr>
            </w:pPr>
            <w:r>
              <w:rPr>
                <w:rFonts w:hint="eastAsia"/>
                <w:b/>
                <w:bCs/>
                <w:color w:val="auto"/>
                <w:szCs w:val="21"/>
                <w:lang w:val="en-US" w:eastAsia="zh-CN"/>
              </w:rPr>
              <w:t>排气筒高度的确定：</w:t>
            </w:r>
          </w:p>
          <w:p w14:paraId="15EBB1C2">
            <w:pPr>
              <w:spacing w:line="360" w:lineRule="auto"/>
              <w:ind w:firstLine="420" w:firstLineChars="200"/>
              <w:rPr>
                <w:rFonts w:hint="default"/>
                <w:color w:val="auto"/>
                <w:szCs w:val="21"/>
                <w:lang w:val="en-US" w:eastAsia="zh-CN"/>
              </w:rPr>
            </w:pPr>
            <w:r>
              <w:rPr>
                <w:rFonts w:hint="eastAsia"/>
                <w:color w:val="auto"/>
                <w:szCs w:val="21"/>
                <w:lang w:val="en-US" w:eastAsia="zh-CN"/>
              </w:rPr>
              <w:t>据调查，本项目厂址周围200m范围内均为本项目占地范围，范围内最高的建筑为储料库（高度为12m）、筒仓（排气口高度为15m），本项目排气筒需要大于周围200m范围内构筑物3m以上，故确定本项目排气筒高度均为15m。</w:t>
            </w:r>
          </w:p>
          <w:p w14:paraId="08A55515">
            <w:pPr>
              <w:widowControl/>
              <w:snapToGrid w:val="0"/>
              <w:spacing w:line="360" w:lineRule="auto"/>
              <w:ind w:firstLine="430" w:firstLineChars="204"/>
              <w:rPr>
                <w:b/>
                <w:color w:val="auto"/>
                <w:szCs w:val="21"/>
              </w:rPr>
            </w:pPr>
            <w:r>
              <w:rPr>
                <w:rFonts w:hint="eastAsia"/>
                <w:b/>
                <w:bCs w:val="0"/>
                <w:color w:val="auto"/>
                <w:szCs w:val="21"/>
                <w:lang w:val="en-US" w:eastAsia="zh-CN"/>
              </w:rPr>
              <w:t>4.1.2</w:t>
            </w:r>
            <w:r>
              <w:rPr>
                <w:rFonts w:hint="eastAsia"/>
                <w:b/>
                <w:color w:val="auto"/>
                <w:szCs w:val="21"/>
              </w:rPr>
              <w:t>污染防治措施可行性分析</w:t>
            </w:r>
          </w:p>
          <w:p w14:paraId="29726D72">
            <w:pPr>
              <w:spacing w:line="360" w:lineRule="auto"/>
              <w:ind w:firstLine="420" w:firstLineChars="200"/>
              <w:rPr>
                <w:rFonts w:hint="default"/>
                <w:color w:val="auto"/>
                <w:szCs w:val="21"/>
                <w:lang w:val="en-US" w:eastAsia="zh-CN"/>
              </w:rPr>
            </w:pPr>
            <w:r>
              <w:rPr>
                <w:rFonts w:hint="eastAsia"/>
                <w:color w:val="auto"/>
                <w:szCs w:val="21"/>
                <w:lang w:val="en-US" w:eastAsia="zh-CN"/>
              </w:rPr>
              <w:t>①除尘</w:t>
            </w:r>
          </w:p>
          <w:p w14:paraId="08B4E322">
            <w:pPr>
              <w:spacing w:line="360" w:lineRule="auto"/>
              <w:ind w:firstLine="420" w:firstLineChars="200"/>
              <w:rPr>
                <w:rFonts w:hint="default"/>
                <w:color w:val="auto"/>
                <w:szCs w:val="21"/>
                <w:lang w:val="en-US" w:eastAsia="zh-CN"/>
              </w:rPr>
            </w:pPr>
            <w:r>
              <w:rPr>
                <w:rFonts w:hint="eastAsia"/>
                <w:color w:val="auto"/>
                <w:szCs w:val="21"/>
                <w:lang w:val="en-US" w:eastAsia="zh-CN"/>
              </w:rPr>
              <w:t>布袋除尘器：安装位置包括沥青混凝土生产线骨料烘干、筛分及燃烧器混合工序、导热油炉燃烧工序、混凝土搅拌工序等。</w:t>
            </w:r>
          </w:p>
          <w:p w14:paraId="65621A93">
            <w:pPr>
              <w:spacing w:line="360" w:lineRule="auto"/>
              <w:ind w:firstLine="420" w:firstLineChars="200"/>
              <w:rPr>
                <w:rFonts w:hint="eastAsia"/>
                <w:color w:val="auto"/>
                <w:szCs w:val="21"/>
              </w:rPr>
            </w:pPr>
            <w:r>
              <w:rPr>
                <w:bCs/>
                <w:szCs w:val="21"/>
              </w:rPr>
              <w:t>本项目除尘方式选用除尘效率高且稳定的袋式除尘方式，</w:t>
            </w:r>
            <w:r>
              <w:rPr>
                <w:rFonts w:hint="eastAsia"/>
                <w:bCs/>
                <w:szCs w:val="21"/>
              </w:rPr>
              <w:t>袋式除尘属于目前常用的除尘方式，</w:t>
            </w:r>
            <w:r>
              <w:rPr>
                <w:rFonts w:hint="eastAsia"/>
                <w:szCs w:val="21"/>
              </w:rPr>
              <w:t xml:space="preserve">《排污许可证申领与核发技术规范  </w:t>
            </w:r>
            <w:r>
              <w:rPr>
                <w:rFonts w:hint="eastAsia"/>
                <w:szCs w:val="21"/>
                <w:lang w:val="en-US" w:eastAsia="zh-CN"/>
              </w:rPr>
              <w:t>石墨及其他非金属矿物制品制造</w:t>
            </w:r>
            <w:r>
              <w:rPr>
                <w:rFonts w:hint="eastAsia"/>
                <w:szCs w:val="21"/>
              </w:rPr>
              <w:t>》（HJ</w:t>
            </w:r>
            <w:r>
              <w:rPr>
                <w:rFonts w:hint="eastAsia"/>
                <w:szCs w:val="21"/>
                <w:lang w:val="en-US" w:eastAsia="zh-CN"/>
              </w:rPr>
              <w:t>1119</w:t>
            </w:r>
            <w:r>
              <w:rPr>
                <w:rFonts w:hint="eastAsia"/>
                <w:szCs w:val="21"/>
              </w:rPr>
              <w:t>-20</w:t>
            </w:r>
            <w:r>
              <w:rPr>
                <w:rFonts w:hint="eastAsia"/>
                <w:szCs w:val="21"/>
                <w:lang w:val="en-US" w:eastAsia="zh-CN"/>
              </w:rPr>
              <w:t>20</w:t>
            </w:r>
            <w:r>
              <w:rPr>
                <w:rFonts w:hint="eastAsia"/>
                <w:szCs w:val="21"/>
              </w:rPr>
              <w:t>）</w:t>
            </w:r>
            <w:r>
              <w:rPr>
                <w:rFonts w:hint="eastAsia"/>
                <w:szCs w:val="21"/>
                <w:lang w:val="en-US" w:eastAsia="zh-CN"/>
              </w:rPr>
              <w:t>表21中</w:t>
            </w:r>
            <w:r>
              <w:rPr>
                <w:rFonts w:hint="eastAsia"/>
                <w:szCs w:val="21"/>
              </w:rPr>
              <w:t>可行技术：燃</w:t>
            </w:r>
            <w:r>
              <w:rPr>
                <w:rFonts w:hint="eastAsia"/>
                <w:szCs w:val="21"/>
                <w:lang w:val="en-US" w:eastAsia="zh-CN"/>
              </w:rPr>
              <w:t>油</w:t>
            </w:r>
            <w:r>
              <w:rPr>
                <w:rFonts w:hint="eastAsia"/>
                <w:szCs w:val="21"/>
              </w:rPr>
              <w:t>锅炉一般采用旋风除尘和袋式除尘组合技术</w:t>
            </w:r>
            <w:r>
              <w:rPr>
                <w:rFonts w:hint="eastAsia"/>
                <w:szCs w:val="21"/>
                <w:lang w:eastAsia="zh-CN"/>
              </w:rPr>
              <w:t>，</w:t>
            </w:r>
            <w:r>
              <w:rPr>
                <w:rFonts w:hint="eastAsia"/>
                <w:szCs w:val="21"/>
                <w:lang w:val="en-US" w:eastAsia="zh-CN"/>
              </w:rPr>
              <w:t>属于</w:t>
            </w:r>
            <w:r>
              <w:rPr>
                <w:rFonts w:hint="eastAsia"/>
                <w:szCs w:val="21"/>
              </w:rPr>
              <w:t>《排污许可证申领与核发技术规范  锅炉》</w:t>
            </w:r>
            <w:r>
              <w:rPr>
                <w:rFonts w:hint="eastAsia"/>
                <w:color w:val="auto"/>
                <w:szCs w:val="21"/>
              </w:rPr>
              <w:t>（HJ953-2018）</w:t>
            </w:r>
            <w:r>
              <w:rPr>
                <w:rFonts w:hint="eastAsia"/>
                <w:color w:val="auto"/>
                <w:szCs w:val="21"/>
                <w:lang w:val="en-US" w:eastAsia="zh-CN"/>
              </w:rPr>
              <w:t>中可行技术</w:t>
            </w:r>
            <w:r>
              <w:rPr>
                <w:rFonts w:hint="eastAsia"/>
                <w:color w:val="auto"/>
                <w:szCs w:val="21"/>
              </w:rPr>
              <w:t>。</w:t>
            </w:r>
            <w:r>
              <w:rPr>
                <w:bCs/>
                <w:color w:val="auto"/>
                <w:szCs w:val="21"/>
              </w:rPr>
              <w:t>环评要求</w:t>
            </w:r>
            <w:r>
              <w:rPr>
                <w:rFonts w:hint="eastAsia"/>
                <w:bCs/>
                <w:color w:val="auto"/>
                <w:szCs w:val="21"/>
              </w:rPr>
              <w:t>项目</w:t>
            </w:r>
            <w:r>
              <w:rPr>
                <w:bCs/>
                <w:color w:val="auto"/>
                <w:szCs w:val="21"/>
              </w:rPr>
              <w:t>采用高精过滤滤料、过滤风速小于0.</w:t>
            </w:r>
            <w:r>
              <w:rPr>
                <w:rFonts w:hint="eastAsia"/>
                <w:bCs/>
                <w:color w:val="auto"/>
                <w:szCs w:val="21"/>
              </w:rPr>
              <w:t>6</w:t>
            </w:r>
            <w:r>
              <w:rPr>
                <w:bCs/>
                <w:color w:val="auto"/>
                <w:szCs w:val="21"/>
              </w:rPr>
              <w:t>m/min的袋式除尘器，除尘效率可达</w:t>
            </w:r>
            <w:r>
              <w:rPr>
                <w:rFonts w:hint="eastAsia"/>
                <w:bCs/>
                <w:color w:val="auto"/>
                <w:szCs w:val="21"/>
              </w:rPr>
              <w:t>99%~</w:t>
            </w:r>
            <w:r>
              <w:rPr>
                <w:bCs/>
                <w:color w:val="auto"/>
                <w:szCs w:val="21"/>
              </w:rPr>
              <w:t>99.99%</w:t>
            </w:r>
            <w:r>
              <w:rPr>
                <w:rFonts w:hint="eastAsia"/>
                <w:color w:val="auto"/>
                <w:szCs w:val="21"/>
              </w:rPr>
              <w:t>。</w:t>
            </w:r>
          </w:p>
          <w:p w14:paraId="36705848">
            <w:pPr>
              <w:autoSpaceDE w:val="0"/>
              <w:autoSpaceDN w:val="0"/>
              <w:ind w:firstLine="361" w:firstLineChars="200"/>
              <w:jc w:val="center"/>
              <w:rPr>
                <w:rFonts w:hint="default" w:eastAsia="宋体"/>
                <w:b/>
                <w:bCs/>
                <w:color w:val="auto"/>
                <w:sz w:val="18"/>
                <w:szCs w:val="18"/>
                <w:lang w:val="en-US" w:eastAsia="zh-CN"/>
              </w:rPr>
            </w:pPr>
            <w:r>
              <w:rPr>
                <w:b/>
                <w:bCs/>
                <w:color w:val="auto"/>
                <w:sz w:val="18"/>
                <w:szCs w:val="18"/>
              </w:rPr>
              <w:t>表4</w:t>
            </w:r>
            <w:r>
              <w:rPr>
                <w:rFonts w:hint="eastAsia"/>
                <w:b/>
                <w:bCs/>
                <w:color w:val="auto"/>
                <w:sz w:val="18"/>
                <w:szCs w:val="18"/>
                <w:lang w:val="en-US" w:eastAsia="zh-CN"/>
              </w:rPr>
              <w:t>.1</w:t>
            </w:r>
            <w:r>
              <w:rPr>
                <w:b/>
                <w:bCs/>
                <w:color w:val="auto"/>
                <w:sz w:val="18"/>
                <w:szCs w:val="18"/>
              </w:rPr>
              <w:t>-</w:t>
            </w:r>
            <w:r>
              <w:rPr>
                <w:rFonts w:hint="eastAsia"/>
                <w:b/>
                <w:bCs/>
                <w:color w:val="auto"/>
                <w:sz w:val="18"/>
                <w:szCs w:val="18"/>
                <w:lang w:val="en-US" w:eastAsia="zh-CN"/>
              </w:rPr>
              <w:t>4</w:t>
            </w:r>
            <w:r>
              <w:rPr>
                <w:b/>
                <w:bCs/>
                <w:color w:val="auto"/>
                <w:sz w:val="18"/>
                <w:szCs w:val="18"/>
              </w:rPr>
              <w:t xml:space="preserve">    </w:t>
            </w:r>
            <w:r>
              <w:rPr>
                <w:rFonts w:hint="eastAsia"/>
                <w:b/>
                <w:bCs/>
                <w:color w:val="auto"/>
                <w:sz w:val="18"/>
                <w:szCs w:val="18"/>
                <w:lang w:val="en-US" w:eastAsia="zh-CN"/>
              </w:rPr>
              <w:t>除尘器工艺参数表</w:t>
            </w:r>
          </w:p>
          <w:tbl>
            <w:tblPr>
              <w:tblStyle w:val="48"/>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36"/>
              <w:gridCol w:w="2973"/>
              <w:gridCol w:w="1971"/>
              <w:gridCol w:w="1971"/>
            </w:tblGrid>
            <w:tr w14:paraId="17B4E4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36" w:type="dxa"/>
                  <w:tcBorders>
                    <w:tl2br w:val="nil"/>
                    <w:tr2bl w:val="nil"/>
                  </w:tcBorders>
                  <w:vAlign w:val="center"/>
                </w:tcPr>
                <w:p w14:paraId="59D9FC9C">
                  <w:pPr>
                    <w:keepNext w:val="0"/>
                    <w:keepLines w:val="0"/>
                    <w:widowControl/>
                    <w:suppressLineNumbers w:val="0"/>
                    <w:jc w:val="center"/>
                    <w:textAlignment w:val="center"/>
                    <w:rPr>
                      <w:rFonts w:hint="eastAsia" w:cs="Times New Roman"/>
                      <w:color w:val="auto"/>
                      <w:kern w:val="2"/>
                      <w:sz w:val="18"/>
                      <w:szCs w:val="18"/>
                      <w:lang w:val="en-US" w:eastAsia="zh-CN" w:bidi="ar-SA"/>
                    </w:rPr>
                  </w:pPr>
                </w:p>
              </w:tc>
              <w:tc>
                <w:tcPr>
                  <w:tcW w:w="2973" w:type="dxa"/>
                  <w:tcBorders>
                    <w:tl2br w:val="nil"/>
                    <w:tr2bl w:val="nil"/>
                  </w:tcBorders>
                  <w:vAlign w:val="center"/>
                </w:tcPr>
                <w:p w14:paraId="15458E01">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骨料干燥及燃烧器除尘</w:t>
                  </w:r>
                </w:p>
              </w:tc>
              <w:tc>
                <w:tcPr>
                  <w:tcW w:w="1971" w:type="dxa"/>
                  <w:tcBorders>
                    <w:tl2br w:val="nil"/>
                    <w:tr2bl w:val="nil"/>
                  </w:tcBorders>
                  <w:vAlign w:val="center"/>
                </w:tcPr>
                <w:p w14:paraId="1B22423A">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混凝土除尘</w:t>
                  </w:r>
                </w:p>
              </w:tc>
              <w:tc>
                <w:tcPr>
                  <w:tcW w:w="1971" w:type="dxa"/>
                  <w:tcBorders>
                    <w:tl2br w:val="nil"/>
                    <w:tr2bl w:val="nil"/>
                  </w:tcBorders>
                  <w:vAlign w:val="center"/>
                </w:tcPr>
                <w:p w14:paraId="5ED81605">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水稳土除尘</w:t>
                  </w:r>
                </w:p>
              </w:tc>
            </w:tr>
            <w:tr w14:paraId="049A92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36" w:type="dxa"/>
                  <w:tcBorders>
                    <w:tl2br w:val="nil"/>
                    <w:tr2bl w:val="nil"/>
                  </w:tcBorders>
                  <w:shd w:val="clear" w:color="auto" w:fill="auto"/>
                  <w:vAlign w:val="center"/>
                </w:tcPr>
                <w:p w14:paraId="4FAF44A3">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类别</w:t>
                  </w:r>
                </w:p>
              </w:tc>
              <w:tc>
                <w:tcPr>
                  <w:tcW w:w="2973" w:type="dxa"/>
                  <w:tcBorders>
                    <w:tl2br w:val="nil"/>
                    <w:tr2bl w:val="nil"/>
                  </w:tcBorders>
                  <w:vAlign w:val="center"/>
                </w:tcPr>
                <w:p w14:paraId="077BC161">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旋风除尘器+袋式除尘器（648袋）</w:t>
                  </w:r>
                </w:p>
              </w:tc>
              <w:tc>
                <w:tcPr>
                  <w:tcW w:w="1971" w:type="dxa"/>
                  <w:tcBorders>
                    <w:tl2br w:val="nil"/>
                    <w:tr2bl w:val="nil"/>
                  </w:tcBorders>
                  <w:vAlign w:val="center"/>
                </w:tcPr>
                <w:p w14:paraId="10F46929">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袋式除尘器（324袋）</w:t>
                  </w:r>
                </w:p>
              </w:tc>
              <w:tc>
                <w:tcPr>
                  <w:tcW w:w="1971" w:type="dxa"/>
                  <w:tcBorders>
                    <w:tl2br w:val="nil"/>
                    <w:tr2bl w:val="nil"/>
                  </w:tcBorders>
                  <w:vAlign w:val="center"/>
                </w:tcPr>
                <w:p w14:paraId="79619636">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袋式除尘器（108袋）</w:t>
                  </w:r>
                </w:p>
              </w:tc>
            </w:tr>
            <w:tr w14:paraId="0EC00D1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36" w:type="dxa"/>
                  <w:tcBorders>
                    <w:tl2br w:val="nil"/>
                    <w:tr2bl w:val="nil"/>
                  </w:tcBorders>
                  <w:shd w:val="clear" w:color="auto" w:fill="auto"/>
                  <w:vAlign w:val="center"/>
                </w:tcPr>
                <w:p w14:paraId="1C8FEF05">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lang w:val="en-US" w:eastAsia="zh-CN" w:bidi="ar-SA"/>
                    </w:rPr>
                  </w:pPr>
                  <w:r>
                    <w:rPr>
                      <w:rFonts w:hint="eastAsia" w:cs="Times New Roman"/>
                      <w:color w:val="auto"/>
                      <w:sz w:val="18"/>
                      <w:szCs w:val="18"/>
                      <w:lang w:val="en-US" w:eastAsia="zh-CN"/>
                    </w:rPr>
                    <w:t>风机</w:t>
                  </w:r>
                </w:p>
              </w:tc>
              <w:tc>
                <w:tcPr>
                  <w:tcW w:w="2973" w:type="dxa"/>
                  <w:tcBorders>
                    <w:tl2br w:val="nil"/>
                    <w:tr2bl w:val="nil"/>
                  </w:tcBorders>
                  <w:vAlign w:val="center"/>
                </w:tcPr>
                <w:p w14:paraId="0CF8A5FD">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风量110000m</w:t>
                  </w:r>
                  <w:r>
                    <w:rPr>
                      <w:rFonts w:hint="eastAsia" w:cs="Times New Roman"/>
                      <w:color w:val="auto"/>
                      <w:kern w:val="2"/>
                      <w:sz w:val="18"/>
                      <w:szCs w:val="18"/>
                      <w:vertAlign w:val="superscript"/>
                      <w:lang w:val="en-US" w:eastAsia="zh-CN" w:bidi="ar-SA"/>
                    </w:rPr>
                    <w:t>3/</w:t>
                  </w:r>
                  <w:r>
                    <w:rPr>
                      <w:rFonts w:hint="eastAsia" w:cs="Times New Roman"/>
                      <w:color w:val="auto"/>
                      <w:kern w:val="2"/>
                      <w:sz w:val="18"/>
                      <w:szCs w:val="18"/>
                      <w:lang w:val="en-US" w:eastAsia="zh-CN" w:bidi="ar-SA"/>
                    </w:rPr>
                    <w:t>h</w:t>
                  </w:r>
                </w:p>
              </w:tc>
              <w:tc>
                <w:tcPr>
                  <w:tcW w:w="1971" w:type="dxa"/>
                  <w:tcBorders>
                    <w:tl2br w:val="nil"/>
                    <w:tr2bl w:val="nil"/>
                  </w:tcBorders>
                  <w:vAlign w:val="center"/>
                </w:tcPr>
                <w:p w14:paraId="21E64354">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风量50000m</w:t>
                  </w:r>
                  <w:r>
                    <w:rPr>
                      <w:rFonts w:hint="eastAsia" w:cs="Times New Roman"/>
                      <w:color w:val="auto"/>
                      <w:kern w:val="2"/>
                      <w:sz w:val="18"/>
                      <w:szCs w:val="18"/>
                      <w:vertAlign w:val="superscript"/>
                      <w:lang w:val="en-US" w:eastAsia="zh-CN" w:bidi="ar-SA"/>
                    </w:rPr>
                    <w:t>3</w:t>
                  </w:r>
                  <w:r>
                    <w:rPr>
                      <w:rFonts w:hint="eastAsia" w:cs="Times New Roman"/>
                      <w:color w:val="auto"/>
                      <w:kern w:val="2"/>
                      <w:sz w:val="18"/>
                      <w:szCs w:val="18"/>
                      <w:lang w:val="en-US" w:eastAsia="zh-CN" w:bidi="ar-SA"/>
                    </w:rPr>
                    <w:t>/h</w:t>
                  </w:r>
                </w:p>
              </w:tc>
              <w:tc>
                <w:tcPr>
                  <w:tcW w:w="1971" w:type="dxa"/>
                  <w:tcBorders>
                    <w:tl2br w:val="nil"/>
                    <w:tr2bl w:val="nil"/>
                  </w:tcBorders>
                  <w:vAlign w:val="center"/>
                </w:tcPr>
                <w:p w14:paraId="6E72B642">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风量12000m</w:t>
                  </w:r>
                  <w:r>
                    <w:rPr>
                      <w:rFonts w:hint="eastAsia" w:cs="Times New Roman"/>
                      <w:color w:val="auto"/>
                      <w:kern w:val="2"/>
                      <w:sz w:val="18"/>
                      <w:szCs w:val="18"/>
                      <w:vertAlign w:val="superscript"/>
                      <w:lang w:val="en-US" w:eastAsia="zh-CN" w:bidi="ar-SA"/>
                    </w:rPr>
                    <w:t>3</w:t>
                  </w:r>
                  <w:r>
                    <w:rPr>
                      <w:rFonts w:hint="eastAsia" w:cs="Times New Roman"/>
                      <w:color w:val="auto"/>
                      <w:kern w:val="2"/>
                      <w:sz w:val="18"/>
                      <w:szCs w:val="18"/>
                      <w:lang w:val="en-US" w:eastAsia="zh-CN" w:bidi="ar-SA"/>
                    </w:rPr>
                    <w:t>/h</w:t>
                  </w:r>
                </w:p>
              </w:tc>
            </w:tr>
            <w:tr w14:paraId="519056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36" w:type="dxa"/>
                  <w:tcBorders>
                    <w:tl2br w:val="nil"/>
                    <w:tr2bl w:val="nil"/>
                  </w:tcBorders>
                  <w:vAlign w:val="center"/>
                </w:tcPr>
                <w:p w14:paraId="05189F7B">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过滤风速</w:t>
                  </w:r>
                </w:p>
              </w:tc>
              <w:tc>
                <w:tcPr>
                  <w:tcW w:w="2973" w:type="dxa"/>
                  <w:tcBorders>
                    <w:tl2br w:val="nil"/>
                    <w:tr2bl w:val="nil"/>
                  </w:tcBorders>
                  <w:shd w:val="clear" w:color="auto" w:fill="auto"/>
                  <w:vAlign w:val="center"/>
                </w:tcPr>
                <w:p w14:paraId="4FB585BF">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0.6m/min</w:t>
                  </w:r>
                </w:p>
              </w:tc>
              <w:tc>
                <w:tcPr>
                  <w:tcW w:w="1971" w:type="dxa"/>
                  <w:tcBorders>
                    <w:tl2br w:val="nil"/>
                    <w:tr2bl w:val="nil"/>
                  </w:tcBorders>
                  <w:shd w:val="clear" w:color="auto" w:fill="auto"/>
                  <w:vAlign w:val="center"/>
                </w:tcPr>
                <w:p w14:paraId="2D9C3891">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0.6m/min</w:t>
                  </w:r>
                </w:p>
              </w:tc>
              <w:tc>
                <w:tcPr>
                  <w:tcW w:w="1971" w:type="dxa"/>
                  <w:tcBorders>
                    <w:tl2br w:val="nil"/>
                    <w:tr2bl w:val="nil"/>
                  </w:tcBorders>
                  <w:shd w:val="clear" w:color="auto" w:fill="auto"/>
                  <w:vAlign w:val="center"/>
                </w:tcPr>
                <w:p w14:paraId="3B5DD756">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0.6m/min</w:t>
                  </w:r>
                </w:p>
              </w:tc>
            </w:tr>
            <w:tr w14:paraId="77158E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36" w:type="dxa"/>
                  <w:tcBorders>
                    <w:tl2br w:val="nil"/>
                    <w:tr2bl w:val="nil"/>
                  </w:tcBorders>
                  <w:shd w:val="clear" w:color="auto" w:fill="auto"/>
                  <w:vAlign w:val="center"/>
                </w:tcPr>
                <w:p w14:paraId="23B02279">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过滤面积</w:t>
                  </w:r>
                </w:p>
              </w:tc>
              <w:tc>
                <w:tcPr>
                  <w:tcW w:w="2973" w:type="dxa"/>
                  <w:tcBorders>
                    <w:tl2br w:val="nil"/>
                    <w:tr2bl w:val="nil"/>
                  </w:tcBorders>
                  <w:shd w:val="clear" w:color="auto" w:fill="auto"/>
                  <w:vAlign w:val="center"/>
                </w:tcPr>
                <w:p w14:paraId="7E471E78">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lang w:val="en-US" w:eastAsia="zh-CN" w:bidi="ar-SA"/>
                    </w:rPr>
                  </w:pPr>
                  <w:r>
                    <w:rPr>
                      <w:rFonts w:hint="eastAsia" w:cs="Times New Roman"/>
                      <w:color w:val="auto"/>
                      <w:sz w:val="18"/>
                      <w:szCs w:val="18"/>
                      <w:lang w:val="en-US" w:eastAsia="zh-CN"/>
                    </w:rPr>
                    <w:t>3056m</w:t>
                  </w:r>
                  <w:r>
                    <w:rPr>
                      <w:rFonts w:hint="eastAsia" w:cs="Times New Roman"/>
                      <w:color w:val="auto"/>
                      <w:sz w:val="18"/>
                      <w:szCs w:val="18"/>
                      <w:vertAlign w:val="superscript"/>
                      <w:lang w:val="en-US" w:eastAsia="zh-CN"/>
                    </w:rPr>
                    <w:t>2</w:t>
                  </w:r>
                </w:p>
              </w:tc>
              <w:tc>
                <w:tcPr>
                  <w:tcW w:w="1971" w:type="dxa"/>
                  <w:tcBorders>
                    <w:tl2br w:val="nil"/>
                    <w:tr2bl w:val="nil"/>
                  </w:tcBorders>
                  <w:shd w:val="clear" w:color="auto" w:fill="auto"/>
                  <w:vAlign w:val="center"/>
                </w:tcPr>
                <w:p w14:paraId="0B0B9678">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1389</w:t>
                  </w:r>
                  <w:r>
                    <w:rPr>
                      <w:rFonts w:hint="eastAsia" w:cs="Times New Roman"/>
                      <w:color w:val="auto"/>
                      <w:sz w:val="18"/>
                      <w:szCs w:val="18"/>
                      <w:lang w:val="en-US" w:eastAsia="zh-CN"/>
                    </w:rPr>
                    <w:t>m</w:t>
                  </w:r>
                  <w:r>
                    <w:rPr>
                      <w:rFonts w:hint="eastAsia" w:cs="Times New Roman"/>
                      <w:color w:val="auto"/>
                      <w:sz w:val="18"/>
                      <w:szCs w:val="18"/>
                      <w:vertAlign w:val="superscript"/>
                      <w:lang w:val="en-US" w:eastAsia="zh-CN"/>
                    </w:rPr>
                    <w:t>2</w:t>
                  </w:r>
                </w:p>
              </w:tc>
              <w:tc>
                <w:tcPr>
                  <w:tcW w:w="1971" w:type="dxa"/>
                  <w:tcBorders>
                    <w:tl2br w:val="nil"/>
                    <w:tr2bl w:val="nil"/>
                  </w:tcBorders>
                  <w:shd w:val="clear" w:color="auto" w:fill="auto"/>
                  <w:vAlign w:val="center"/>
                </w:tcPr>
                <w:p w14:paraId="714926C4">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334</w:t>
                  </w:r>
                  <w:r>
                    <w:rPr>
                      <w:rFonts w:hint="eastAsia" w:cs="Times New Roman"/>
                      <w:color w:val="auto"/>
                      <w:sz w:val="18"/>
                      <w:szCs w:val="18"/>
                      <w:lang w:val="en-US" w:eastAsia="zh-CN"/>
                    </w:rPr>
                    <w:t>m</w:t>
                  </w:r>
                  <w:r>
                    <w:rPr>
                      <w:rFonts w:hint="eastAsia" w:cs="Times New Roman"/>
                      <w:color w:val="auto"/>
                      <w:sz w:val="18"/>
                      <w:szCs w:val="18"/>
                      <w:vertAlign w:val="superscript"/>
                      <w:lang w:val="en-US" w:eastAsia="zh-CN"/>
                    </w:rPr>
                    <w:t>2</w:t>
                  </w:r>
                </w:p>
              </w:tc>
            </w:tr>
            <w:tr w14:paraId="4B0091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36" w:type="dxa"/>
                  <w:tcBorders>
                    <w:tl2br w:val="nil"/>
                    <w:tr2bl w:val="nil"/>
                  </w:tcBorders>
                  <w:shd w:val="clear" w:color="auto" w:fill="auto"/>
                  <w:vAlign w:val="center"/>
                </w:tcPr>
                <w:p w14:paraId="4D6497D5">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除尘效率</w:t>
                  </w:r>
                </w:p>
              </w:tc>
              <w:tc>
                <w:tcPr>
                  <w:tcW w:w="2973" w:type="dxa"/>
                  <w:tcBorders>
                    <w:tl2br w:val="nil"/>
                    <w:tr2bl w:val="nil"/>
                  </w:tcBorders>
                  <w:shd w:val="clear" w:color="auto" w:fill="auto"/>
                  <w:vAlign w:val="center"/>
                </w:tcPr>
                <w:p w14:paraId="1B576B0C">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70%</w:t>
                  </w:r>
                </w:p>
              </w:tc>
              <w:tc>
                <w:tcPr>
                  <w:tcW w:w="1971" w:type="dxa"/>
                  <w:tcBorders>
                    <w:tl2br w:val="nil"/>
                    <w:tr2bl w:val="nil"/>
                  </w:tcBorders>
                  <w:shd w:val="clear" w:color="auto" w:fill="auto"/>
                  <w:vAlign w:val="center"/>
                </w:tcPr>
                <w:p w14:paraId="7E97453C">
                  <w:pPr>
                    <w:keepNext w:val="0"/>
                    <w:keepLines w:val="0"/>
                    <w:widowControl/>
                    <w:suppressLineNumbers w:val="0"/>
                    <w:jc w:val="center"/>
                    <w:textAlignment w:val="center"/>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99%</w:t>
                  </w:r>
                </w:p>
              </w:tc>
              <w:tc>
                <w:tcPr>
                  <w:tcW w:w="1971" w:type="dxa"/>
                  <w:tcBorders>
                    <w:tl2br w:val="nil"/>
                    <w:tr2bl w:val="nil"/>
                  </w:tcBorders>
                  <w:shd w:val="clear" w:color="auto" w:fill="auto"/>
                  <w:vAlign w:val="center"/>
                </w:tcPr>
                <w:p w14:paraId="28405F06">
                  <w:pPr>
                    <w:keepNext w:val="0"/>
                    <w:keepLines w:val="0"/>
                    <w:widowControl/>
                    <w:suppressLineNumbers w:val="0"/>
                    <w:jc w:val="center"/>
                    <w:textAlignment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99%</w:t>
                  </w:r>
                </w:p>
              </w:tc>
            </w:tr>
          </w:tbl>
          <w:p w14:paraId="01A2991E">
            <w:pPr>
              <w:widowControl/>
              <w:snapToGrid w:val="0"/>
              <w:spacing w:line="360" w:lineRule="auto"/>
              <w:ind w:firstLine="420" w:firstLineChars="200"/>
              <w:rPr>
                <w:rFonts w:hint="default"/>
                <w:color w:val="auto"/>
                <w:szCs w:val="21"/>
                <w:lang w:val="en-US" w:eastAsia="zh-CN"/>
              </w:rPr>
            </w:pPr>
            <w:r>
              <w:rPr>
                <w:rFonts w:hint="eastAsia"/>
                <w:color w:val="auto"/>
                <w:szCs w:val="21"/>
                <w:lang w:val="en-US" w:eastAsia="zh-CN"/>
              </w:rPr>
              <w:t>仓顶除尘器：安装位置主要为矿粉筒仓和水泥筒仓顶部。</w:t>
            </w:r>
          </w:p>
          <w:p w14:paraId="5F1575D0">
            <w:pPr>
              <w:widowControl/>
              <w:snapToGrid w:val="0"/>
              <w:spacing w:line="360" w:lineRule="auto"/>
              <w:ind w:firstLine="420" w:firstLineChars="200"/>
              <w:rPr>
                <w:rFonts w:hint="default" w:eastAsia="宋体"/>
                <w:bCs/>
                <w:szCs w:val="21"/>
                <w:lang w:val="en-US" w:eastAsia="zh-CN"/>
              </w:rPr>
            </w:pPr>
            <w:r>
              <w:rPr>
                <w:rFonts w:hint="eastAsia"/>
                <w:bCs/>
                <w:szCs w:val="21"/>
              </w:rPr>
              <w:t>脉冲式仓顶粉尘工作的原理如下：仓顶收尘</w:t>
            </w:r>
            <w:r>
              <w:rPr>
                <w:bCs/>
                <w:szCs w:val="21"/>
              </w:rPr>
              <w:t>由防雨顶盖、上、中、下桶体、卡式滤芯、电磁脉冲阀及脉冲控制仪，喷吹管路等构成。根据水泥，粉煤灰、矿粉、石灰等各种粉末状物料的通过孔径及附着力的作用，对滤芯孔径的影响来选择不同的滤芯，以满足各种粉尘的过滤的要求。工作原理：上部桶体与大气相连通，在向仓内风送水泥或其他粉料时，由于仓内气压大于仓外气压，滤芯内外产生气压差、由脉冲仪及电磁阀的作用对滤芯进行间歇喷吹，以不断清楚滤芯表面附着的粉尘。</w:t>
            </w:r>
            <w:r>
              <w:rPr>
                <w:rFonts w:hint="eastAsia"/>
                <w:bCs/>
                <w:szCs w:val="21"/>
                <w:lang w:val="en-US" w:eastAsia="zh-CN"/>
              </w:rPr>
              <w:t>本环保措施属于混凝土厂常用筒仓粉尘大气环保防治措施，成熟稳定，除尘效果良好，技术可行。</w:t>
            </w:r>
          </w:p>
          <w:p w14:paraId="0CFE4DF3">
            <w:pPr>
              <w:widowControl/>
              <w:snapToGrid w:val="0"/>
              <w:spacing w:line="360" w:lineRule="auto"/>
              <w:ind w:firstLine="420" w:firstLineChars="200"/>
              <w:rPr>
                <w:rFonts w:hint="eastAsia"/>
                <w:bCs/>
                <w:szCs w:val="21"/>
                <w:lang w:val="en-US" w:eastAsia="zh-CN"/>
              </w:rPr>
            </w:pPr>
            <w:r>
              <w:rPr>
                <w:rFonts w:hint="eastAsia"/>
                <w:bCs/>
                <w:szCs w:val="21"/>
                <w:lang w:val="en-US" w:eastAsia="zh-CN"/>
              </w:rPr>
              <w:t>②沥青烟气</w:t>
            </w:r>
          </w:p>
          <w:p w14:paraId="12C3A36C">
            <w:pPr>
              <w:pStyle w:val="24"/>
              <w:topLinePunct/>
              <w:spacing w:line="360" w:lineRule="auto"/>
              <w:ind w:firstLine="420" w:firstLineChars="200"/>
              <w:jc w:val="left"/>
              <w:rPr>
                <w:rFonts w:hint="eastAsia"/>
                <w:bCs/>
                <w:szCs w:val="21"/>
                <w:lang w:val="en-US" w:eastAsia="zh-CN"/>
              </w:rPr>
            </w:pPr>
            <w:r>
              <w:rPr>
                <w:rFonts w:hint="eastAsia"/>
                <w:bCs/>
                <w:szCs w:val="21"/>
                <w:lang w:val="en-US" w:eastAsia="zh-CN"/>
              </w:rPr>
              <w:t>本项目沥青烟气中的污染物主要包括沥青烟、苯并[a]芘、非甲烷总烃。本环评采用“冷凝器+活性炭吸附”装置对废气进行处理。</w:t>
            </w:r>
          </w:p>
          <w:p w14:paraId="5FEA16CB">
            <w:pPr>
              <w:pStyle w:val="24"/>
              <w:topLinePunct/>
              <w:spacing w:line="360" w:lineRule="auto"/>
              <w:ind w:firstLine="444" w:firstLineChars="200"/>
              <w:jc w:val="left"/>
              <w:rPr>
                <w:rFonts w:hint="eastAsia" w:ascii="Times New Roman" w:hAnsi="Times New Roman"/>
                <w:spacing w:val="6"/>
                <w:szCs w:val="21"/>
                <w:lang w:val="en-US" w:eastAsia="zh-CN"/>
              </w:rPr>
            </w:pPr>
            <w:r>
              <w:rPr>
                <w:rFonts w:hint="eastAsia" w:ascii="Times New Roman" w:hAnsi="Times New Roman"/>
                <w:spacing w:val="6"/>
                <w:szCs w:val="21"/>
                <w:lang w:val="en-US" w:eastAsia="zh-CN"/>
              </w:rPr>
              <w:t>冷凝法：是指根据降低有害气体的温度能使其某些成分冷凝成液体的原理，由降低温度来分离废气中有害成分的方法，称为冷凝法。主要是利用物质在不同温度下具有不同饱和蒸汽压这一物理性质，采用降低系统温度或提高系统压力的方法，使处于蒸汽状态的污染物冷凝并从废气中分离出来的过程。冷凝法从废气中分离有害物质时，可有两种基本方法，即接触冷凝和表面接触冷凝。本项目选用表面接触冷凝器，冷却介质和热蒸汽互不接触，采用中间换热面的冷凝器。冷凝器按其冷却介质不同，可分为水冷式、空气冷却式、蒸发式三大类。水冷式冷凝器是以水作为冷却介质，靠水的温升带走冷凝热量。冷却水一般循环使用，但系统中需设有冷却塔或凉水池；空气冷却式冷凝器是以空气作为冷却介质，靠空气的温升带走冷凝热量的。这种冷凝器适用于极度缺水或无法供水的场合；蒸发式冷凝器的换热主要是靠冷却水在空气中蒸发吸收气化潜热而进行的，不适合用于本项目。根据项目设备布局情况，本项目选用水冷式冷凝器。</w:t>
            </w:r>
          </w:p>
          <w:p w14:paraId="388AF108">
            <w:pPr>
              <w:pStyle w:val="24"/>
              <w:topLinePunct/>
              <w:spacing w:line="360" w:lineRule="auto"/>
              <w:ind w:firstLine="444" w:firstLineChars="200"/>
              <w:jc w:val="left"/>
              <w:rPr>
                <w:rFonts w:hint="eastAsia" w:ascii="Times New Roman" w:hAnsi="Times New Roman"/>
                <w:spacing w:val="6"/>
                <w:szCs w:val="21"/>
                <w:lang w:val="en-US" w:eastAsia="zh-CN"/>
              </w:rPr>
            </w:pPr>
            <w:r>
              <w:rPr>
                <w:rFonts w:hint="eastAsia" w:ascii="Times New Roman" w:hAnsi="Times New Roman"/>
                <w:spacing w:val="6"/>
                <w:szCs w:val="21"/>
                <w:lang w:val="en-US" w:eastAsia="zh-CN"/>
              </w:rPr>
              <w:t>活性炭吸附原理：活性炭是一种很细小的炭粒,有很大的表面积，而且炭粒中还有更细小的孔----毛细管。这种毛细管具有很强的吸附能力，由于炭粒的表面积很大，所以能与气体(杂质)充分接触，当这些气体(杂质)碰到毛细管就被吸附，起净化作用。</w:t>
            </w:r>
          </w:p>
          <w:p w14:paraId="0349C9BF">
            <w:pPr>
              <w:pStyle w:val="24"/>
              <w:topLinePunct/>
              <w:spacing w:line="360" w:lineRule="auto"/>
              <w:ind w:firstLine="444" w:firstLineChars="200"/>
              <w:jc w:val="left"/>
              <w:rPr>
                <w:rFonts w:hint="default" w:ascii="Times New Roman" w:hAnsi="Times New Roman" w:cs="Times New Roman"/>
                <w:color w:val="auto"/>
                <w:szCs w:val="21"/>
                <w:lang w:eastAsia="zh-CN"/>
              </w:rPr>
            </w:pPr>
            <w:r>
              <w:rPr>
                <w:rFonts w:hint="default" w:ascii="Times New Roman" w:hAnsi="Times New Roman" w:cs="Times New Roman"/>
                <w:color w:val="auto"/>
                <w:spacing w:val="6"/>
                <w:szCs w:val="21"/>
                <w:lang w:val="en-US" w:eastAsia="zh-CN"/>
              </w:rPr>
              <w:t>本项目沥青烟气中的污染物</w:t>
            </w:r>
            <w:r>
              <w:rPr>
                <w:rFonts w:hint="eastAsia" w:ascii="Times New Roman" w:hAnsi="Times New Roman" w:cs="Times New Roman"/>
                <w:color w:val="auto"/>
                <w:spacing w:val="6"/>
                <w:szCs w:val="21"/>
                <w:lang w:val="en-US" w:eastAsia="zh-CN"/>
              </w:rPr>
              <w:t>，主要包括沥青烟、苯并[a]芘、非甲烷总烃，</w:t>
            </w:r>
            <w:r>
              <w:rPr>
                <w:rFonts w:hint="default" w:ascii="Times New Roman" w:hAnsi="Times New Roman" w:cs="Times New Roman"/>
                <w:color w:val="auto"/>
                <w:spacing w:val="6"/>
                <w:szCs w:val="21"/>
                <w:lang w:val="en-US" w:eastAsia="zh-CN"/>
              </w:rPr>
              <w:t>经冷凝+活性炭吸附后，污染物去除效率可达90%，且处理方法属于</w:t>
            </w:r>
            <w:r>
              <w:rPr>
                <w:rFonts w:hint="default" w:ascii="Times New Roman" w:hAnsi="Times New Roman" w:cs="Times New Roman"/>
                <w:color w:val="auto"/>
                <w:szCs w:val="21"/>
              </w:rPr>
              <w:t xml:space="preserve">《排污许可证申领与核发技术规范  </w:t>
            </w:r>
            <w:r>
              <w:rPr>
                <w:rFonts w:hint="default" w:ascii="Times New Roman" w:hAnsi="Times New Roman" w:cs="Times New Roman"/>
                <w:color w:val="auto"/>
                <w:szCs w:val="21"/>
                <w:lang w:val="en-US" w:eastAsia="zh-CN"/>
              </w:rPr>
              <w:t>石墨及其他非金属矿物制品制造</w:t>
            </w:r>
            <w:r>
              <w:rPr>
                <w:rFonts w:hint="default" w:ascii="Times New Roman" w:hAnsi="Times New Roman" w:cs="Times New Roman"/>
                <w:color w:val="auto"/>
                <w:szCs w:val="21"/>
              </w:rPr>
              <w:t>》（HJ</w:t>
            </w:r>
            <w:r>
              <w:rPr>
                <w:rFonts w:hint="default" w:ascii="Times New Roman" w:hAnsi="Times New Roman" w:cs="Times New Roman"/>
                <w:color w:val="auto"/>
                <w:szCs w:val="21"/>
                <w:lang w:val="en-US" w:eastAsia="zh-CN"/>
              </w:rPr>
              <w:t>1119</w:t>
            </w:r>
            <w:r>
              <w:rPr>
                <w:rFonts w:hint="default" w:ascii="Times New Roman" w:hAnsi="Times New Roman" w:cs="Times New Roman"/>
                <w:color w:val="auto"/>
                <w:szCs w:val="21"/>
              </w:rPr>
              <w:t>-20</w:t>
            </w:r>
            <w:r>
              <w:rPr>
                <w:rFonts w:hint="default" w:ascii="Times New Roman" w:hAnsi="Times New Roman" w:cs="Times New Roman"/>
                <w:color w:val="auto"/>
                <w:szCs w:val="21"/>
                <w:lang w:val="en-US" w:eastAsia="zh-CN"/>
              </w:rPr>
              <w:t>20</w:t>
            </w:r>
            <w:r>
              <w:rPr>
                <w:rFonts w:hint="default" w:ascii="Times New Roman" w:hAnsi="Times New Roman" w:cs="Times New Roman"/>
                <w:color w:val="auto"/>
                <w:szCs w:val="21"/>
              </w:rPr>
              <w:t>）</w:t>
            </w:r>
            <w:r>
              <w:rPr>
                <w:rFonts w:hint="default" w:ascii="Times New Roman" w:hAnsi="Times New Roman" w:cs="Times New Roman"/>
                <w:color w:val="auto"/>
                <w:szCs w:val="21"/>
                <w:lang w:val="en-US" w:eastAsia="zh-CN"/>
              </w:rPr>
              <w:t>表21中</w:t>
            </w:r>
            <w:r>
              <w:rPr>
                <w:rFonts w:hint="default" w:ascii="Times New Roman" w:hAnsi="Times New Roman" w:cs="Times New Roman"/>
                <w:color w:val="auto"/>
                <w:szCs w:val="21"/>
              </w:rPr>
              <w:t>可行技术</w:t>
            </w:r>
            <w:r>
              <w:rPr>
                <w:rFonts w:hint="default" w:ascii="Times New Roman" w:hAnsi="Times New Roman" w:cs="Times New Roman"/>
                <w:color w:val="auto"/>
                <w:szCs w:val="21"/>
                <w:lang w:eastAsia="zh-CN"/>
              </w:rPr>
              <w:t>。</w:t>
            </w:r>
          </w:p>
          <w:p w14:paraId="162C3C13">
            <w:pPr>
              <w:autoSpaceDE w:val="0"/>
              <w:autoSpaceDN w:val="0"/>
              <w:ind w:firstLine="361" w:firstLineChars="200"/>
              <w:jc w:val="center"/>
              <w:rPr>
                <w:rFonts w:hint="default" w:eastAsia="宋体"/>
                <w:b/>
                <w:bCs/>
                <w:color w:val="auto"/>
                <w:sz w:val="18"/>
                <w:szCs w:val="18"/>
                <w:lang w:val="en-US" w:eastAsia="zh-CN"/>
              </w:rPr>
            </w:pPr>
            <w:r>
              <w:rPr>
                <w:b/>
                <w:bCs/>
                <w:color w:val="auto"/>
                <w:sz w:val="18"/>
                <w:szCs w:val="18"/>
              </w:rPr>
              <w:t>表4</w:t>
            </w:r>
            <w:r>
              <w:rPr>
                <w:rFonts w:hint="eastAsia"/>
                <w:b/>
                <w:bCs/>
                <w:color w:val="auto"/>
                <w:sz w:val="18"/>
                <w:szCs w:val="18"/>
                <w:lang w:val="en-US" w:eastAsia="zh-CN"/>
              </w:rPr>
              <w:t>.1</w:t>
            </w:r>
            <w:r>
              <w:rPr>
                <w:b/>
                <w:bCs/>
                <w:color w:val="auto"/>
                <w:sz w:val="18"/>
                <w:szCs w:val="18"/>
              </w:rPr>
              <w:t>-</w:t>
            </w:r>
            <w:r>
              <w:rPr>
                <w:rFonts w:hint="eastAsia"/>
                <w:b/>
                <w:bCs/>
                <w:color w:val="auto"/>
                <w:sz w:val="18"/>
                <w:szCs w:val="18"/>
                <w:lang w:val="en-US" w:eastAsia="zh-CN"/>
              </w:rPr>
              <w:t>5</w:t>
            </w:r>
            <w:r>
              <w:rPr>
                <w:b/>
                <w:bCs/>
                <w:color w:val="auto"/>
                <w:sz w:val="18"/>
                <w:szCs w:val="18"/>
              </w:rPr>
              <w:t xml:space="preserve">    </w:t>
            </w:r>
            <w:r>
              <w:rPr>
                <w:rFonts w:hint="eastAsia"/>
                <w:b/>
                <w:bCs/>
                <w:color w:val="auto"/>
                <w:sz w:val="18"/>
                <w:szCs w:val="18"/>
                <w:lang w:val="en-US" w:eastAsia="zh-CN"/>
              </w:rPr>
              <w:t>废气处理工艺参数表</w:t>
            </w:r>
          </w:p>
          <w:tbl>
            <w:tblPr>
              <w:tblStyle w:val="48"/>
              <w:tblW w:w="8053" w:type="dxa"/>
              <w:tblInd w:w="-11"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91"/>
              <w:gridCol w:w="2007"/>
              <w:gridCol w:w="3914"/>
              <w:gridCol w:w="1541"/>
            </w:tblGrid>
            <w:tr w14:paraId="15F5D5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c>
                <w:tcPr>
                  <w:tcW w:w="591" w:type="dxa"/>
                  <w:tcBorders>
                    <w:tl2br w:val="nil"/>
                    <w:tr2bl w:val="nil"/>
                  </w:tcBorders>
                  <w:vAlign w:val="center"/>
                </w:tcPr>
                <w:p w14:paraId="2D833558">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序号</w:t>
                  </w:r>
                </w:p>
              </w:tc>
              <w:tc>
                <w:tcPr>
                  <w:tcW w:w="2007" w:type="dxa"/>
                  <w:tcBorders>
                    <w:tl2br w:val="nil"/>
                    <w:tr2bl w:val="nil"/>
                  </w:tcBorders>
                  <w:vAlign w:val="center"/>
                </w:tcPr>
                <w:p w14:paraId="2B3B2DBA">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名称</w:t>
                  </w:r>
                </w:p>
              </w:tc>
              <w:tc>
                <w:tcPr>
                  <w:tcW w:w="3914" w:type="dxa"/>
                  <w:tcBorders>
                    <w:tl2br w:val="nil"/>
                    <w:tr2bl w:val="nil"/>
                  </w:tcBorders>
                  <w:vAlign w:val="center"/>
                </w:tcPr>
                <w:p w14:paraId="3B7E05D5">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工艺参数</w:t>
                  </w:r>
                </w:p>
              </w:tc>
              <w:tc>
                <w:tcPr>
                  <w:tcW w:w="1541" w:type="dxa"/>
                  <w:tcBorders>
                    <w:tl2br w:val="nil"/>
                    <w:tr2bl w:val="nil"/>
                  </w:tcBorders>
                  <w:vAlign w:val="center"/>
                </w:tcPr>
                <w:p w14:paraId="04C66256">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备注</w:t>
                  </w:r>
                </w:p>
              </w:tc>
            </w:tr>
            <w:tr w14:paraId="486450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91" w:type="dxa"/>
                  <w:tcBorders>
                    <w:tl2br w:val="nil"/>
                    <w:tr2bl w:val="nil"/>
                  </w:tcBorders>
                  <w:shd w:val="clear" w:color="auto" w:fill="auto"/>
                  <w:vAlign w:val="center"/>
                </w:tcPr>
                <w:p w14:paraId="0C2CC76F">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1</w:t>
                  </w:r>
                </w:p>
              </w:tc>
              <w:tc>
                <w:tcPr>
                  <w:tcW w:w="2007" w:type="dxa"/>
                  <w:tcBorders>
                    <w:tl2br w:val="nil"/>
                    <w:tr2bl w:val="nil"/>
                  </w:tcBorders>
                  <w:shd w:val="clear" w:color="auto" w:fill="auto"/>
                  <w:vAlign w:val="center"/>
                </w:tcPr>
                <w:p w14:paraId="5E6F2EEF">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冷凝系统</w:t>
                  </w:r>
                </w:p>
              </w:tc>
              <w:tc>
                <w:tcPr>
                  <w:tcW w:w="3914" w:type="dxa"/>
                  <w:tcBorders>
                    <w:tl2br w:val="nil"/>
                    <w:tr2bl w:val="nil"/>
                  </w:tcBorders>
                  <w:vAlign w:val="center"/>
                </w:tcPr>
                <w:p w14:paraId="158CC8ED">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由筒体、喷水装置和冷凝器组成</w:t>
                  </w:r>
                </w:p>
              </w:tc>
              <w:tc>
                <w:tcPr>
                  <w:tcW w:w="1541" w:type="dxa"/>
                  <w:tcBorders>
                    <w:tl2br w:val="nil"/>
                    <w:tr2bl w:val="nil"/>
                  </w:tcBorders>
                  <w:vAlign w:val="center"/>
                </w:tcPr>
                <w:p w14:paraId="79943ED8">
                  <w:pPr>
                    <w:keepNext w:val="0"/>
                    <w:keepLines w:val="0"/>
                    <w:widowControl/>
                    <w:suppressLineNumbers w:val="0"/>
                    <w:jc w:val="center"/>
                    <w:textAlignment w:val="center"/>
                    <w:rPr>
                      <w:rFonts w:hint="eastAsia" w:cs="Times New Roman"/>
                      <w:color w:val="auto"/>
                      <w:kern w:val="2"/>
                      <w:sz w:val="18"/>
                      <w:szCs w:val="18"/>
                      <w:lang w:val="en-US" w:eastAsia="zh-CN" w:bidi="ar-SA"/>
                    </w:rPr>
                  </w:pPr>
                </w:p>
              </w:tc>
            </w:tr>
            <w:tr w14:paraId="727D5F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91" w:type="dxa"/>
                  <w:tcBorders>
                    <w:tl2br w:val="nil"/>
                    <w:tr2bl w:val="nil"/>
                  </w:tcBorders>
                  <w:shd w:val="clear" w:color="auto" w:fill="auto"/>
                  <w:vAlign w:val="center"/>
                </w:tcPr>
                <w:p w14:paraId="71D42A83">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1.1</w:t>
                  </w:r>
                </w:p>
              </w:tc>
              <w:tc>
                <w:tcPr>
                  <w:tcW w:w="2007" w:type="dxa"/>
                  <w:tcBorders>
                    <w:tl2br w:val="nil"/>
                    <w:tr2bl w:val="nil"/>
                  </w:tcBorders>
                  <w:shd w:val="clear" w:color="auto" w:fill="auto"/>
                  <w:vAlign w:val="center"/>
                </w:tcPr>
                <w:p w14:paraId="36C064E7">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筒体</w:t>
                  </w:r>
                </w:p>
              </w:tc>
              <w:tc>
                <w:tcPr>
                  <w:tcW w:w="3914" w:type="dxa"/>
                  <w:tcBorders>
                    <w:tl2br w:val="nil"/>
                    <w:tr2bl w:val="nil"/>
                  </w:tcBorders>
                  <w:vAlign w:val="center"/>
                </w:tcPr>
                <w:p w14:paraId="76D3B6D6">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外形尺寸L1.0m，φ0.6m</w:t>
                  </w:r>
                </w:p>
              </w:tc>
              <w:tc>
                <w:tcPr>
                  <w:tcW w:w="1541" w:type="dxa"/>
                  <w:tcBorders>
                    <w:tl2br w:val="nil"/>
                    <w:tr2bl w:val="nil"/>
                  </w:tcBorders>
                  <w:vAlign w:val="center"/>
                </w:tcPr>
                <w:p w14:paraId="18BD48C7">
                  <w:pPr>
                    <w:keepNext w:val="0"/>
                    <w:keepLines w:val="0"/>
                    <w:widowControl/>
                    <w:suppressLineNumbers w:val="0"/>
                    <w:jc w:val="center"/>
                    <w:textAlignment w:val="center"/>
                    <w:rPr>
                      <w:rFonts w:hint="eastAsia" w:cs="Times New Roman"/>
                      <w:color w:val="auto"/>
                      <w:kern w:val="2"/>
                      <w:sz w:val="18"/>
                      <w:szCs w:val="18"/>
                      <w:lang w:val="en-US" w:eastAsia="zh-CN" w:bidi="ar-SA"/>
                    </w:rPr>
                  </w:pPr>
                </w:p>
              </w:tc>
            </w:tr>
            <w:tr w14:paraId="2E725A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91" w:type="dxa"/>
                  <w:tcBorders>
                    <w:tl2br w:val="nil"/>
                    <w:tr2bl w:val="nil"/>
                  </w:tcBorders>
                  <w:shd w:val="clear" w:color="auto" w:fill="auto"/>
                  <w:vAlign w:val="center"/>
                </w:tcPr>
                <w:p w14:paraId="05FCE08F">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1.2</w:t>
                  </w:r>
                </w:p>
              </w:tc>
              <w:tc>
                <w:tcPr>
                  <w:tcW w:w="2007" w:type="dxa"/>
                  <w:tcBorders>
                    <w:tl2br w:val="nil"/>
                    <w:tr2bl w:val="nil"/>
                  </w:tcBorders>
                  <w:shd w:val="clear" w:color="auto" w:fill="auto"/>
                  <w:vAlign w:val="center"/>
                </w:tcPr>
                <w:p w14:paraId="74BD9FDA">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循环水箱</w:t>
                  </w:r>
                </w:p>
              </w:tc>
              <w:tc>
                <w:tcPr>
                  <w:tcW w:w="3914" w:type="dxa"/>
                  <w:tcBorders>
                    <w:tl2br w:val="nil"/>
                    <w:tr2bl w:val="nil"/>
                  </w:tcBorders>
                  <w:vAlign w:val="center"/>
                </w:tcPr>
                <w:p w14:paraId="0890FA94">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总循环水量5m</w:t>
                  </w:r>
                  <w:r>
                    <w:rPr>
                      <w:rFonts w:hint="eastAsia" w:cs="Times New Roman"/>
                      <w:color w:val="auto"/>
                      <w:kern w:val="2"/>
                      <w:sz w:val="18"/>
                      <w:szCs w:val="18"/>
                      <w:vertAlign w:val="superscript"/>
                      <w:lang w:val="en-US" w:eastAsia="zh-CN" w:bidi="ar-SA"/>
                    </w:rPr>
                    <w:t>3</w:t>
                  </w:r>
                  <w:r>
                    <w:rPr>
                      <w:rFonts w:hint="eastAsia" w:cs="Times New Roman"/>
                      <w:color w:val="auto"/>
                      <w:kern w:val="2"/>
                      <w:sz w:val="18"/>
                      <w:szCs w:val="18"/>
                      <w:vertAlign w:val="baseline"/>
                      <w:lang w:val="en-US" w:eastAsia="zh-CN" w:bidi="ar-SA"/>
                    </w:rPr>
                    <w:t>，冷却水量0.625m</w:t>
                  </w:r>
                  <w:r>
                    <w:rPr>
                      <w:rFonts w:hint="eastAsia" w:cs="Times New Roman"/>
                      <w:color w:val="auto"/>
                      <w:kern w:val="2"/>
                      <w:sz w:val="18"/>
                      <w:szCs w:val="18"/>
                      <w:vertAlign w:val="superscript"/>
                      <w:lang w:val="en-US" w:eastAsia="zh-CN" w:bidi="ar-SA"/>
                    </w:rPr>
                    <w:t>3</w:t>
                  </w:r>
                  <w:r>
                    <w:rPr>
                      <w:rFonts w:hint="eastAsia" w:cs="Times New Roman"/>
                      <w:color w:val="auto"/>
                      <w:kern w:val="2"/>
                      <w:sz w:val="18"/>
                      <w:szCs w:val="18"/>
                      <w:vertAlign w:val="baseline"/>
                      <w:lang w:val="en-US" w:eastAsia="zh-CN" w:bidi="ar-SA"/>
                    </w:rPr>
                    <w:t>/h</w:t>
                  </w:r>
                </w:p>
              </w:tc>
              <w:tc>
                <w:tcPr>
                  <w:tcW w:w="1541" w:type="dxa"/>
                  <w:tcBorders>
                    <w:tl2br w:val="nil"/>
                    <w:tr2bl w:val="nil"/>
                  </w:tcBorders>
                  <w:vAlign w:val="center"/>
                </w:tcPr>
                <w:p w14:paraId="242D2696">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8h/d</w:t>
                  </w:r>
                </w:p>
              </w:tc>
            </w:tr>
            <w:tr w14:paraId="5CCB44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91" w:type="dxa"/>
                  <w:tcBorders>
                    <w:tl2br w:val="nil"/>
                    <w:tr2bl w:val="nil"/>
                  </w:tcBorders>
                  <w:shd w:val="clear" w:color="auto" w:fill="auto"/>
                  <w:vAlign w:val="center"/>
                </w:tcPr>
                <w:p w14:paraId="4CDE095C">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1.3</w:t>
                  </w:r>
                </w:p>
              </w:tc>
              <w:tc>
                <w:tcPr>
                  <w:tcW w:w="2007" w:type="dxa"/>
                  <w:tcBorders>
                    <w:tl2br w:val="nil"/>
                    <w:tr2bl w:val="nil"/>
                  </w:tcBorders>
                  <w:shd w:val="clear" w:color="auto" w:fill="auto"/>
                  <w:vAlign w:val="center"/>
                </w:tcPr>
                <w:p w14:paraId="22A048EF">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喷水装置</w:t>
                  </w:r>
                </w:p>
              </w:tc>
              <w:tc>
                <w:tcPr>
                  <w:tcW w:w="3914" w:type="dxa"/>
                  <w:tcBorders>
                    <w:tl2br w:val="nil"/>
                    <w:tr2bl w:val="nil"/>
                  </w:tcBorders>
                  <w:vAlign w:val="center"/>
                </w:tcPr>
                <w:p w14:paraId="13DB6D30">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设置有2组喷头</w:t>
                  </w:r>
                </w:p>
              </w:tc>
              <w:tc>
                <w:tcPr>
                  <w:tcW w:w="1541" w:type="dxa"/>
                  <w:tcBorders>
                    <w:tl2br w:val="nil"/>
                    <w:tr2bl w:val="nil"/>
                  </w:tcBorders>
                  <w:vAlign w:val="center"/>
                </w:tcPr>
                <w:p w14:paraId="32E07A62">
                  <w:pPr>
                    <w:keepNext w:val="0"/>
                    <w:keepLines w:val="0"/>
                    <w:widowControl/>
                    <w:suppressLineNumbers w:val="0"/>
                    <w:jc w:val="center"/>
                    <w:textAlignment w:val="center"/>
                    <w:rPr>
                      <w:rFonts w:hint="eastAsia" w:cs="Times New Roman"/>
                      <w:color w:val="auto"/>
                      <w:kern w:val="2"/>
                      <w:sz w:val="18"/>
                      <w:szCs w:val="18"/>
                      <w:lang w:val="en-US" w:eastAsia="zh-CN" w:bidi="ar-SA"/>
                    </w:rPr>
                  </w:pPr>
                </w:p>
              </w:tc>
            </w:tr>
            <w:tr w14:paraId="3A383D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91" w:type="dxa"/>
                  <w:tcBorders>
                    <w:tl2br w:val="nil"/>
                    <w:tr2bl w:val="nil"/>
                  </w:tcBorders>
                  <w:shd w:val="clear" w:color="auto" w:fill="auto"/>
                  <w:vAlign w:val="center"/>
                </w:tcPr>
                <w:p w14:paraId="5148460F">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1.4</w:t>
                  </w:r>
                </w:p>
              </w:tc>
              <w:tc>
                <w:tcPr>
                  <w:tcW w:w="2007" w:type="dxa"/>
                  <w:tcBorders>
                    <w:tl2br w:val="nil"/>
                    <w:tr2bl w:val="nil"/>
                  </w:tcBorders>
                  <w:shd w:val="clear" w:color="auto" w:fill="auto"/>
                  <w:vAlign w:val="center"/>
                </w:tcPr>
                <w:p w14:paraId="5D3A8584">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冷凝器</w:t>
                  </w:r>
                </w:p>
              </w:tc>
              <w:tc>
                <w:tcPr>
                  <w:tcW w:w="3914" w:type="dxa"/>
                  <w:tcBorders>
                    <w:tl2br w:val="nil"/>
                    <w:tr2bl w:val="nil"/>
                  </w:tcBorders>
                  <w:vAlign w:val="center"/>
                </w:tcPr>
                <w:p w14:paraId="3323205B">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低温间接水冷式</w:t>
                  </w:r>
                </w:p>
              </w:tc>
              <w:tc>
                <w:tcPr>
                  <w:tcW w:w="1541" w:type="dxa"/>
                  <w:tcBorders>
                    <w:tl2br w:val="nil"/>
                    <w:tr2bl w:val="nil"/>
                  </w:tcBorders>
                  <w:vAlign w:val="center"/>
                </w:tcPr>
                <w:p w14:paraId="4AD020A6">
                  <w:pPr>
                    <w:keepNext w:val="0"/>
                    <w:keepLines w:val="0"/>
                    <w:widowControl/>
                    <w:suppressLineNumbers w:val="0"/>
                    <w:jc w:val="center"/>
                    <w:textAlignment w:val="center"/>
                    <w:rPr>
                      <w:rFonts w:hint="eastAsia" w:cs="Times New Roman"/>
                      <w:color w:val="auto"/>
                      <w:kern w:val="2"/>
                      <w:sz w:val="18"/>
                      <w:szCs w:val="18"/>
                      <w:lang w:val="en-US" w:eastAsia="zh-CN" w:bidi="ar-SA"/>
                    </w:rPr>
                  </w:pPr>
                </w:p>
              </w:tc>
            </w:tr>
            <w:tr w14:paraId="605921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91" w:type="dxa"/>
                  <w:tcBorders>
                    <w:tl2br w:val="nil"/>
                    <w:tr2bl w:val="nil"/>
                  </w:tcBorders>
                  <w:vAlign w:val="center"/>
                </w:tcPr>
                <w:p w14:paraId="7F1D0CA3">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3</w:t>
                  </w:r>
                </w:p>
              </w:tc>
              <w:tc>
                <w:tcPr>
                  <w:tcW w:w="2007" w:type="dxa"/>
                  <w:tcBorders>
                    <w:tl2br w:val="nil"/>
                    <w:tr2bl w:val="nil"/>
                  </w:tcBorders>
                  <w:vAlign w:val="center"/>
                </w:tcPr>
                <w:p w14:paraId="2C18480C">
                  <w:pPr>
                    <w:keepNext w:val="0"/>
                    <w:keepLines w:val="0"/>
                    <w:widowControl/>
                    <w:suppressLineNumbers w:val="0"/>
                    <w:jc w:val="center"/>
                    <w:textAlignment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活性炭吸附箱</w:t>
                  </w:r>
                </w:p>
              </w:tc>
              <w:tc>
                <w:tcPr>
                  <w:tcW w:w="3914" w:type="dxa"/>
                  <w:tcBorders>
                    <w:tl2br w:val="nil"/>
                    <w:tr2bl w:val="nil"/>
                  </w:tcBorders>
                  <w:shd w:val="clear" w:color="auto" w:fill="auto"/>
                  <w:vAlign w:val="center"/>
                </w:tcPr>
                <w:p w14:paraId="1CADB045">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填充箱尺寸为1.5m×1.0m×0.8m，可填充约0.78t活性炭填料</w:t>
                  </w:r>
                </w:p>
              </w:tc>
              <w:tc>
                <w:tcPr>
                  <w:tcW w:w="1541" w:type="dxa"/>
                  <w:tcBorders>
                    <w:tl2br w:val="nil"/>
                    <w:tr2bl w:val="nil"/>
                  </w:tcBorders>
                  <w:shd w:val="clear" w:color="auto" w:fill="auto"/>
                  <w:vAlign w:val="center"/>
                </w:tcPr>
                <w:p w14:paraId="3E36C31A">
                  <w:pPr>
                    <w:keepNext w:val="0"/>
                    <w:keepLines w:val="0"/>
                    <w:widowControl/>
                    <w:suppressLineNumbers w:val="0"/>
                    <w:jc w:val="center"/>
                    <w:textAlignment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每半年更换一次填料</w:t>
                  </w:r>
                </w:p>
              </w:tc>
            </w:tr>
          </w:tbl>
          <w:p w14:paraId="57227455">
            <w:pPr>
              <w:widowControl/>
              <w:snapToGrid w:val="0"/>
              <w:spacing w:line="360" w:lineRule="auto"/>
              <w:ind w:firstLine="420" w:firstLineChars="200"/>
              <w:rPr>
                <w:b/>
                <w:color w:val="auto"/>
                <w:szCs w:val="21"/>
              </w:rPr>
            </w:pPr>
            <w:r>
              <w:rPr>
                <w:rFonts w:hint="eastAsia"/>
                <w:color w:val="auto"/>
                <w:szCs w:val="21"/>
              </w:rPr>
              <w:t>综上所</w:t>
            </w:r>
            <w:r>
              <w:rPr>
                <w:rFonts w:hint="eastAsia"/>
                <w:color w:val="auto"/>
                <w:szCs w:val="21"/>
                <w:lang w:val="en-US" w:eastAsia="zh-CN"/>
              </w:rPr>
              <w:t>述</w:t>
            </w:r>
            <w:r>
              <w:rPr>
                <w:rFonts w:hint="eastAsia"/>
                <w:color w:val="auto"/>
                <w:szCs w:val="21"/>
              </w:rPr>
              <w:t>，本项目拟选废气污染防治措施可行。</w:t>
            </w:r>
          </w:p>
          <w:p w14:paraId="39C1E7F7">
            <w:pPr>
              <w:widowControl/>
              <w:snapToGrid w:val="0"/>
              <w:spacing w:line="360" w:lineRule="auto"/>
              <w:ind w:firstLine="422" w:firstLineChars="200"/>
              <w:rPr>
                <w:b/>
                <w:color w:val="auto"/>
                <w:szCs w:val="21"/>
              </w:rPr>
            </w:pPr>
            <w:r>
              <w:rPr>
                <w:rFonts w:hint="eastAsia"/>
                <w:b/>
                <w:color w:val="auto"/>
                <w:szCs w:val="21"/>
                <w:lang w:val="en-US" w:eastAsia="zh-CN"/>
              </w:rPr>
              <w:t>4.1.3</w:t>
            </w:r>
            <w:r>
              <w:rPr>
                <w:b/>
                <w:color w:val="auto"/>
                <w:szCs w:val="21"/>
              </w:rPr>
              <w:t>废气污染物产排污情况汇总</w:t>
            </w:r>
          </w:p>
          <w:p w14:paraId="4591E8D5">
            <w:pPr>
              <w:widowControl/>
              <w:snapToGrid w:val="0"/>
              <w:spacing w:line="360" w:lineRule="auto"/>
              <w:ind w:firstLine="420" w:firstLineChars="200"/>
              <w:rPr>
                <w:color w:val="auto"/>
                <w:szCs w:val="21"/>
              </w:rPr>
            </w:pPr>
            <w:r>
              <w:rPr>
                <w:color w:val="auto"/>
                <w:szCs w:val="21"/>
              </w:rPr>
              <w:t>综上分析，项目营运期主要大气污染物产生及排放情况见下表。</w:t>
            </w:r>
          </w:p>
          <w:p w14:paraId="36C081AC">
            <w:pPr>
              <w:pStyle w:val="153"/>
              <w:spacing w:before="0" w:after="0" w:line="240" w:lineRule="exact"/>
              <w:rPr>
                <w:color w:val="auto"/>
                <w:sz w:val="18"/>
                <w:szCs w:val="18"/>
              </w:rPr>
            </w:pPr>
            <w:r>
              <w:rPr>
                <w:color w:val="auto"/>
                <w:sz w:val="18"/>
                <w:szCs w:val="18"/>
              </w:rPr>
              <w:t>表4</w:t>
            </w:r>
            <w:r>
              <w:rPr>
                <w:rFonts w:hint="eastAsia"/>
                <w:color w:val="auto"/>
                <w:sz w:val="18"/>
                <w:szCs w:val="18"/>
                <w:lang w:val="en-US" w:eastAsia="zh-CN"/>
              </w:rPr>
              <w:t>.1</w:t>
            </w:r>
            <w:r>
              <w:rPr>
                <w:color w:val="auto"/>
                <w:sz w:val="18"/>
                <w:szCs w:val="18"/>
              </w:rPr>
              <w:t>-</w:t>
            </w:r>
            <w:r>
              <w:rPr>
                <w:rFonts w:hint="eastAsia"/>
                <w:color w:val="auto"/>
                <w:sz w:val="18"/>
                <w:szCs w:val="18"/>
                <w:lang w:val="en-US" w:eastAsia="zh-CN"/>
              </w:rPr>
              <w:t>6</w:t>
            </w:r>
            <w:r>
              <w:rPr>
                <w:color w:val="auto"/>
                <w:sz w:val="18"/>
                <w:szCs w:val="18"/>
              </w:rPr>
              <w:t xml:space="preserve"> </w:t>
            </w:r>
            <w:r>
              <w:rPr>
                <w:rFonts w:hint="eastAsia"/>
                <w:color w:val="auto"/>
                <w:sz w:val="18"/>
                <w:szCs w:val="18"/>
              </w:rPr>
              <w:t xml:space="preserve">  </w:t>
            </w:r>
            <w:r>
              <w:rPr>
                <w:color w:val="auto"/>
                <w:sz w:val="18"/>
                <w:szCs w:val="18"/>
              </w:rPr>
              <w:t xml:space="preserve"> 项目运营期大气污染物排放情况统计</w:t>
            </w:r>
          </w:p>
          <w:tbl>
            <w:tblPr>
              <w:tblStyle w:val="4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16"/>
              <w:gridCol w:w="905"/>
              <w:gridCol w:w="928"/>
              <w:gridCol w:w="661"/>
              <w:gridCol w:w="756"/>
              <w:gridCol w:w="1370"/>
              <w:gridCol w:w="892"/>
              <w:gridCol w:w="615"/>
              <w:gridCol w:w="705"/>
              <w:gridCol w:w="705"/>
            </w:tblGrid>
            <w:tr w14:paraId="464711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82" w:type="pct"/>
                  <w:gridSpan w:val="2"/>
                  <w:vMerge w:val="restart"/>
                  <w:vAlign w:val="center"/>
                </w:tcPr>
                <w:p w14:paraId="008A28E5">
                  <w:pPr>
                    <w:jc w:val="center"/>
                    <w:rPr>
                      <w:color w:val="auto"/>
                      <w:sz w:val="15"/>
                      <w:szCs w:val="15"/>
                    </w:rPr>
                  </w:pPr>
                  <w:r>
                    <w:rPr>
                      <w:color w:val="auto"/>
                      <w:sz w:val="15"/>
                      <w:szCs w:val="15"/>
                    </w:rPr>
                    <w:t>污染源</w:t>
                  </w:r>
                </w:p>
              </w:tc>
              <w:tc>
                <w:tcPr>
                  <w:tcW w:w="576" w:type="pct"/>
                  <w:vMerge w:val="restart"/>
                  <w:vAlign w:val="center"/>
                </w:tcPr>
                <w:p w14:paraId="14067895">
                  <w:pPr>
                    <w:jc w:val="center"/>
                    <w:rPr>
                      <w:color w:val="auto"/>
                      <w:sz w:val="15"/>
                      <w:szCs w:val="15"/>
                    </w:rPr>
                  </w:pPr>
                  <w:r>
                    <w:rPr>
                      <w:color w:val="auto"/>
                      <w:sz w:val="15"/>
                      <w:szCs w:val="15"/>
                    </w:rPr>
                    <w:t>污染物</w:t>
                  </w:r>
                </w:p>
              </w:tc>
              <w:tc>
                <w:tcPr>
                  <w:tcW w:w="410" w:type="pct"/>
                  <w:vAlign w:val="center"/>
                </w:tcPr>
                <w:p w14:paraId="212A6B5B">
                  <w:pPr>
                    <w:jc w:val="center"/>
                    <w:rPr>
                      <w:color w:val="auto"/>
                      <w:sz w:val="15"/>
                      <w:szCs w:val="15"/>
                    </w:rPr>
                  </w:pPr>
                  <w:r>
                    <w:rPr>
                      <w:color w:val="auto"/>
                      <w:sz w:val="15"/>
                      <w:szCs w:val="15"/>
                    </w:rPr>
                    <w:t>风量</w:t>
                  </w:r>
                </w:p>
              </w:tc>
              <w:tc>
                <w:tcPr>
                  <w:tcW w:w="469" w:type="pct"/>
                  <w:vAlign w:val="center"/>
                </w:tcPr>
                <w:p w14:paraId="2CA05DC5">
                  <w:pPr>
                    <w:jc w:val="center"/>
                    <w:rPr>
                      <w:color w:val="auto"/>
                      <w:sz w:val="15"/>
                      <w:szCs w:val="15"/>
                    </w:rPr>
                  </w:pPr>
                  <w:r>
                    <w:rPr>
                      <w:color w:val="auto"/>
                      <w:sz w:val="15"/>
                      <w:szCs w:val="15"/>
                    </w:rPr>
                    <w:t>产生量</w:t>
                  </w:r>
                </w:p>
              </w:tc>
              <w:tc>
                <w:tcPr>
                  <w:tcW w:w="850" w:type="pct"/>
                  <w:vMerge w:val="restart"/>
                  <w:vAlign w:val="center"/>
                </w:tcPr>
                <w:p w14:paraId="15546D52">
                  <w:pPr>
                    <w:jc w:val="center"/>
                    <w:rPr>
                      <w:color w:val="auto"/>
                      <w:sz w:val="15"/>
                      <w:szCs w:val="15"/>
                    </w:rPr>
                  </w:pPr>
                  <w:r>
                    <w:rPr>
                      <w:color w:val="auto"/>
                      <w:sz w:val="15"/>
                      <w:szCs w:val="15"/>
                    </w:rPr>
                    <w:t>处理措施</w:t>
                  </w:r>
                </w:p>
              </w:tc>
              <w:tc>
                <w:tcPr>
                  <w:tcW w:w="553" w:type="pct"/>
                  <w:vMerge w:val="restart"/>
                  <w:vAlign w:val="center"/>
                </w:tcPr>
                <w:p w14:paraId="5B82412A">
                  <w:pPr>
                    <w:jc w:val="center"/>
                    <w:rPr>
                      <w:rFonts w:hint="default" w:eastAsia="宋体"/>
                      <w:color w:val="auto"/>
                      <w:sz w:val="15"/>
                      <w:szCs w:val="15"/>
                      <w:lang w:val="en-US" w:eastAsia="zh-CN"/>
                    </w:rPr>
                  </w:pPr>
                  <w:r>
                    <w:rPr>
                      <w:rFonts w:hint="eastAsia"/>
                      <w:color w:val="auto"/>
                      <w:sz w:val="15"/>
                      <w:szCs w:val="15"/>
                      <w:lang w:val="en-US" w:eastAsia="zh-CN"/>
                    </w:rPr>
                    <w:t>排气筒</w:t>
                  </w:r>
                </w:p>
              </w:tc>
              <w:tc>
                <w:tcPr>
                  <w:tcW w:w="381" w:type="pct"/>
                  <w:vAlign w:val="center"/>
                </w:tcPr>
                <w:p w14:paraId="2C0CA6BF">
                  <w:pPr>
                    <w:jc w:val="center"/>
                    <w:rPr>
                      <w:color w:val="auto"/>
                      <w:sz w:val="15"/>
                      <w:szCs w:val="15"/>
                    </w:rPr>
                  </w:pPr>
                  <w:r>
                    <w:rPr>
                      <w:color w:val="auto"/>
                      <w:sz w:val="15"/>
                      <w:szCs w:val="15"/>
                    </w:rPr>
                    <w:t>排放浓度</w:t>
                  </w:r>
                </w:p>
              </w:tc>
              <w:tc>
                <w:tcPr>
                  <w:tcW w:w="437" w:type="pct"/>
                  <w:vAlign w:val="center"/>
                </w:tcPr>
                <w:p w14:paraId="616CBC5C">
                  <w:pPr>
                    <w:jc w:val="center"/>
                    <w:rPr>
                      <w:color w:val="auto"/>
                      <w:sz w:val="15"/>
                      <w:szCs w:val="15"/>
                    </w:rPr>
                  </w:pPr>
                  <w:r>
                    <w:rPr>
                      <w:color w:val="auto"/>
                      <w:sz w:val="15"/>
                      <w:szCs w:val="15"/>
                    </w:rPr>
                    <w:t>排放</w:t>
                  </w:r>
                </w:p>
                <w:p w14:paraId="345B72B4">
                  <w:pPr>
                    <w:jc w:val="center"/>
                    <w:rPr>
                      <w:color w:val="auto"/>
                      <w:sz w:val="15"/>
                      <w:szCs w:val="15"/>
                    </w:rPr>
                  </w:pPr>
                  <w:r>
                    <w:rPr>
                      <w:color w:val="auto"/>
                      <w:sz w:val="15"/>
                      <w:szCs w:val="15"/>
                    </w:rPr>
                    <w:t>速率</w:t>
                  </w:r>
                </w:p>
              </w:tc>
              <w:tc>
                <w:tcPr>
                  <w:tcW w:w="437" w:type="pct"/>
                  <w:vAlign w:val="center"/>
                </w:tcPr>
                <w:p w14:paraId="6AE74D1C">
                  <w:pPr>
                    <w:jc w:val="center"/>
                    <w:rPr>
                      <w:color w:val="auto"/>
                      <w:sz w:val="15"/>
                      <w:szCs w:val="15"/>
                    </w:rPr>
                  </w:pPr>
                  <w:r>
                    <w:rPr>
                      <w:color w:val="auto"/>
                      <w:sz w:val="15"/>
                      <w:szCs w:val="15"/>
                    </w:rPr>
                    <w:t>排放量</w:t>
                  </w:r>
                </w:p>
              </w:tc>
            </w:tr>
            <w:tr w14:paraId="772A41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82" w:type="pct"/>
                  <w:gridSpan w:val="2"/>
                  <w:vMerge w:val="continue"/>
                  <w:vAlign w:val="center"/>
                </w:tcPr>
                <w:p w14:paraId="25F3F56B">
                  <w:pPr>
                    <w:jc w:val="center"/>
                    <w:rPr>
                      <w:color w:val="auto"/>
                      <w:sz w:val="15"/>
                      <w:szCs w:val="15"/>
                    </w:rPr>
                  </w:pPr>
                </w:p>
              </w:tc>
              <w:tc>
                <w:tcPr>
                  <w:tcW w:w="576" w:type="pct"/>
                  <w:vMerge w:val="continue"/>
                  <w:vAlign w:val="center"/>
                </w:tcPr>
                <w:p w14:paraId="39BCAC18">
                  <w:pPr>
                    <w:jc w:val="center"/>
                    <w:rPr>
                      <w:color w:val="auto"/>
                      <w:sz w:val="15"/>
                      <w:szCs w:val="15"/>
                    </w:rPr>
                  </w:pPr>
                </w:p>
              </w:tc>
              <w:tc>
                <w:tcPr>
                  <w:tcW w:w="410" w:type="pct"/>
                  <w:vAlign w:val="center"/>
                </w:tcPr>
                <w:p w14:paraId="53C3DB90">
                  <w:pPr>
                    <w:jc w:val="center"/>
                    <w:rPr>
                      <w:color w:val="auto"/>
                      <w:sz w:val="15"/>
                      <w:szCs w:val="15"/>
                    </w:rPr>
                  </w:pPr>
                  <w:r>
                    <w:rPr>
                      <w:color w:val="auto"/>
                      <w:sz w:val="15"/>
                      <w:szCs w:val="15"/>
                    </w:rPr>
                    <w:t>m</w:t>
                  </w:r>
                  <w:r>
                    <w:rPr>
                      <w:color w:val="auto"/>
                      <w:sz w:val="15"/>
                      <w:szCs w:val="15"/>
                      <w:vertAlign w:val="superscript"/>
                    </w:rPr>
                    <w:t>3</w:t>
                  </w:r>
                  <w:r>
                    <w:rPr>
                      <w:color w:val="auto"/>
                      <w:sz w:val="15"/>
                      <w:szCs w:val="15"/>
                    </w:rPr>
                    <w:t>/h</w:t>
                  </w:r>
                </w:p>
              </w:tc>
              <w:tc>
                <w:tcPr>
                  <w:tcW w:w="469" w:type="pct"/>
                  <w:vAlign w:val="center"/>
                </w:tcPr>
                <w:p w14:paraId="6073E1B7">
                  <w:pPr>
                    <w:jc w:val="center"/>
                    <w:rPr>
                      <w:color w:val="auto"/>
                      <w:sz w:val="15"/>
                      <w:szCs w:val="15"/>
                    </w:rPr>
                  </w:pPr>
                  <w:r>
                    <w:rPr>
                      <w:color w:val="auto"/>
                      <w:sz w:val="15"/>
                      <w:szCs w:val="15"/>
                    </w:rPr>
                    <w:t>t/a</w:t>
                  </w:r>
                </w:p>
              </w:tc>
              <w:tc>
                <w:tcPr>
                  <w:tcW w:w="850" w:type="pct"/>
                  <w:vMerge w:val="continue"/>
                  <w:vAlign w:val="center"/>
                </w:tcPr>
                <w:p w14:paraId="3904F7E2">
                  <w:pPr>
                    <w:jc w:val="center"/>
                    <w:rPr>
                      <w:color w:val="auto"/>
                      <w:sz w:val="15"/>
                      <w:szCs w:val="15"/>
                    </w:rPr>
                  </w:pPr>
                </w:p>
              </w:tc>
              <w:tc>
                <w:tcPr>
                  <w:tcW w:w="553" w:type="pct"/>
                  <w:vMerge w:val="continue"/>
                  <w:vAlign w:val="center"/>
                </w:tcPr>
                <w:p w14:paraId="482B83BE">
                  <w:pPr>
                    <w:jc w:val="center"/>
                    <w:rPr>
                      <w:color w:val="auto"/>
                      <w:sz w:val="15"/>
                      <w:szCs w:val="15"/>
                    </w:rPr>
                  </w:pPr>
                </w:p>
              </w:tc>
              <w:tc>
                <w:tcPr>
                  <w:tcW w:w="381" w:type="pct"/>
                  <w:vAlign w:val="center"/>
                </w:tcPr>
                <w:p w14:paraId="43759434">
                  <w:pPr>
                    <w:jc w:val="center"/>
                    <w:rPr>
                      <w:color w:val="auto"/>
                      <w:sz w:val="15"/>
                      <w:szCs w:val="15"/>
                    </w:rPr>
                  </w:pPr>
                  <w:r>
                    <w:rPr>
                      <w:color w:val="auto"/>
                      <w:sz w:val="15"/>
                      <w:szCs w:val="15"/>
                    </w:rPr>
                    <w:t>mg/m</w:t>
                  </w:r>
                  <w:r>
                    <w:rPr>
                      <w:color w:val="auto"/>
                      <w:sz w:val="15"/>
                      <w:szCs w:val="15"/>
                      <w:vertAlign w:val="superscript"/>
                    </w:rPr>
                    <w:t>3</w:t>
                  </w:r>
                </w:p>
              </w:tc>
              <w:tc>
                <w:tcPr>
                  <w:tcW w:w="437" w:type="pct"/>
                  <w:vAlign w:val="center"/>
                </w:tcPr>
                <w:p w14:paraId="7331B9B2">
                  <w:pPr>
                    <w:jc w:val="center"/>
                    <w:rPr>
                      <w:color w:val="auto"/>
                      <w:sz w:val="15"/>
                      <w:szCs w:val="15"/>
                    </w:rPr>
                  </w:pPr>
                  <w:r>
                    <w:rPr>
                      <w:color w:val="auto"/>
                      <w:sz w:val="15"/>
                      <w:szCs w:val="15"/>
                    </w:rPr>
                    <w:t>kg/h</w:t>
                  </w:r>
                </w:p>
              </w:tc>
              <w:tc>
                <w:tcPr>
                  <w:tcW w:w="437" w:type="pct"/>
                  <w:vAlign w:val="center"/>
                </w:tcPr>
                <w:p w14:paraId="76DF9AFB">
                  <w:pPr>
                    <w:jc w:val="center"/>
                    <w:rPr>
                      <w:color w:val="auto"/>
                      <w:sz w:val="15"/>
                      <w:szCs w:val="15"/>
                    </w:rPr>
                  </w:pPr>
                  <w:r>
                    <w:rPr>
                      <w:color w:val="auto"/>
                      <w:sz w:val="15"/>
                      <w:szCs w:val="15"/>
                    </w:rPr>
                    <w:t>t/a</w:t>
                  </w:r>
                </w:p>
              </w:tc>
            </w:tr>
            <w:tr w14:paraId="49CC3D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82" w:type="pct"/>
                  <w:gridSpan w:val="2"/>
                  <w:vAlign w:val="center"/>
                </w:tcPr>
                <w:p w14:paraId="7501916F">
                  <w:pPr>
                    <w:jc w:val="center"/>
                    <w:rPr>
                      <w:rFonts w:hint="eastAsia"/>
                      <w:color w:val="auto"/>
                      <w:sz w:val="15"/>
                      <w:szCs w:val="15"/>
                      <w:lang w:val="en-US" w:eastAsia="zh-CN"/>
                    </w:rPr>
                  </w:pPr>
                  <w:r>
                    <w:rPr>
                      <w:rFonts w:hint="eastAsia"/>
                      <w:color w:val="auto"/>
                      <w:sz w:val="15"/>
                      <w:szCs w:val="15"/>
                      <w:lang w:val="en-US" w:eastAsia="zh-CN"/>
                    </w:rPr>
                    <w:t>原料堆</w:t>
                  </w:r>
                </w:p>
                <w:p w14:paraId="4154610A">
                  <w:pPr>
                    <w:jc w:val="center"/>
                    <w:rPr>
                      <w:rFonts w:hint="default" w:eastAsia="宋体"/>
                      <w:color w:val="auto"/>
                      <w:sz w:val="15"/>
                      <w:szCs w:val="15"/>
                      <w:lang w:val="en-US" w:eastAsia="zh-CN"/>
                    </w:rPr>
                  </w:pPr>
                  <w:r>
                    <w:rPr>
                      <w:rFonts w:hint="eastAsia"/>
                      <w:color w:val="auto"/>
                      <w:sz w:val="15"/>
                      <w:szCs w:val="15"/>
                      <w:lang w:val="en-US" w:eastAsia="zh-CN"/>
                    </w:rPr>
                    <w:t>存装卸</w:t>
                  </w:r>
                </w:p>
              </w:tc>
              <w:tc>
                <w:tcPr>
                  <w:tcW w:w="576" w:type="pct"/>
                  <w:vAlign w:val="center"/>
                </w:tcPr>
                <w:p w14:paraId="320C777C">
                  <w:pPr>
                    <w:jc w:val="center"/>
                    <w:rPr>
                      <w:rFonts w:hint="eastAsia" w:eastAsia="宋体"/>
                      <w:color w:val="auto"/>
                      <w:sz w:val="15"/>
                      <w:szCs w:val="15"/>
                      <w:lang w:val="en-US" w:eastAsia="zh-CN"/>
                    </w:rPr>
                  </w:pPr>
                  <w:r>
                    <w:rPr>
                      <w:rFonts w:hint="eastAsia"/>
                      <w:color w:val="auto"/>
                      <w:sz w:val="15"/>
                      <w:szCs w:val="15"/>
                      <w:lang w:val="en-US" w:eastAsia="zh-CN"/>
                    </w:rPr>
                    <w:t>颗粒物</w:t>
                  </w:r>
                </w:p>
              </w:tc>
              <w:tc>
                <w:tcPr>
                  <w:tcW w:w="410" w:type="pct"/>
                  <w:vAlign w:val="center"/>
                </w:tcPr>
                <w:p w14:paraId="6B0F51E2">
                  <w:pPr>
                    <w:jc w:val="center"/>
                    <w:rPr>
                      <w:rFonts w:hint="eastAsia" w:eastAsia="宋体"/>
                      <w:color w:val="auto"/>
                      <w:sz w:val="15"/>
                      <w:szCs w:val="15"/>
                      <w:lang w:val="en-US" w:eastAsia="zh-CN"/>
                    </w:rPr>
                  </w:pPr>
                  <w:r>
                    <w:rPr>
                      <w:rFonts w:hint="eastAsia"/>
                      <w:color w:val="auto"/>
                      <w:sz w:val="15"/>
                      <w:szCs w:val="15"/>
                      <w:lang w:val="en-US" w:eastAsia="zh-CN"/>
                    </w:rPr>
                    <w:t>无组织</w:t>
                  </w:r>
                </w:p>
              </w:tc>
              <w:tc>
                <w:tcPr>
                  <w:tcW w:w="469" w:type="pct"/>
                  <w:vAlign w:val="center"/>
                </w:tcPr>
                <w:p w14:paraId="758ACC9F">
                  <w:pPr>
                    <w:jc w:val="center"/>
                    <w:rPr>
                      <w:rFonts w:hint="default" w:eastAsia="宋体"/>
                      <w:color w:val="auto"/>
                      <w:sz w:val="15"/>
                      <w:szCs w:val="15"/>
                      <w:lang w:val="en-US" w:eastAsia="zh-CN"/>
                    </w:rPr>
                  </w:pPr>
                  <w:r>
                    <w:rPr>
                      <w:rFonts w:hint="eastAsia"/>
                      <w:color w:val="auto"/>
                      <w:sz w:val="15"/>
                      <w:szCs w:val="15"/>
                      <w:lang w:val="en-US" w:eastAsia="zh-CN"/>
                    </w:rPr>
                    <w:t>0.53</w:t>
                  </w:r>
                </w:p>
              </w:tc>
              <w:tc>
                <w:tcPr>
                  <w:tcW w:w="850" w:type="pct"/>
                  <w:vAlign w:val="center"/>
                </w:tcPr>
                <w:p w14:paraId="42149F14">
                  <w:pPr>
                    <w:jc w:val="center"/>
                    <w:rPr>
                      <w:rFonts w:hint="default" w:eastAsia="宋体"/>
                      <w:color w:val="auto"/>
                      <w:sz w:val="15"/>
                      <w:szCs w:val="15"/>
                      <w:lang w:val="en-US" w:eastAsia="zh-CN"/>
                    </w:rPr>
                  </w:pPr>
                  <w:r>
                    <w:rPr>
                      <w:rFonts w:hint="eastAsia"/>
                      <w:color w:val="auto"/>
                      <w:sz w:val="15"/>
                      <w:szCs w:val="15"/>
                      <w:lang w:val="en-US" w:eastAsia="zh-CN"/>
                    </w:rPr>
                    <w:t>建设封闭式储料库，储库地面硬化，原料分区堆存，设置固定装卸点，并配套雾炮车或雾炮机，定期洒水降尘，抑尘效果98%以上</w:t>
                  </w:r>
                </w:p>
              </w:tc>
              <w:tc>
                <w:tcPr>
                  <w:tcW w:w="553" w:type="pct"/>
                  <w:vAlign w:val="center"/>
                </w:tcPr>
                <w:p w14:paraId="78F60AD3">
                  <w:pPr>
                    <w:jc w:val="center"/>
                    <w:rPr>
                      <w:rFonts w:hint="default" w:eastAsia="宋体"/>
                      <w:color w:val="auto"/>
                      <w:sz w:val="15"/>
                      <w:szCs w:val="15"/>
                      <w:lang w:val="en-US" w:eastAsia="zh-CN"/>
                    </w:rPr>
                  </w:pPr>
                  <w:r>
                    <w:rPr>
                      <w:rFonts w:hint="eastAsia"/>
                      <w:color w:val="auto"/>
                      <w:sz w:val="15"/>
                      <w:szCs w:val="15"/>
                      <w:lang w:val="en-US" w:eastAsia="zh-CN"/>
                    </w:rPr>
                    <w:t>//</w:t>
                  </w:r>
                </w:p>
              </w:tc>
              <w:tc>
                <w:tcPr>
                  <w:tcW w:w="381" w:type="pct"/>
                  <w:vAlign w:val="center"/>
                </w:tcPr>
                <w:p w14:paraId="2CB98F72">
                  <w:pPr>
                    <w:jc w:val="center"/>
                    <w:rPr>
                      <w:rFonts w:hint="default" w:eastAsia="宋体"/>
                      <w:color w:val="auto"/>
                      <w:sz w:val="15"/>
                      <w:szCs w:val="15"/>
                      <w:lang w:val="en-US" w:eastAsia="zh-CN"/>
                    </w:rPr>
                  </w:pPr>
                  <w:r>
                    <w:rPr>
                      <w:rFonts w:hint="eastAsia"/>
                      <w:color w:val="auto"/>
                      <w:sz w:val="15"/>
                      <w:szCs w:val="15"/>
                      <w:lang w:val="en-US" w:eastAsia="zh-CN"/>
                    </w:rPr>
                    <w:t>//</w:t>
                  </w:r>
                </w:p>
              </w:tc>
              <w:tc>
                <w:tcPr>
                  <w:tcW w:w="437" w:type="pct"/>
                  <w:vAlign w:val="center"/>
                </w:tcPr>
                <w:p w14:paraId="6DAED712">
                  <w:pPr>
                    <w:jc w:val="center"/>
                    <w:rPr>
                      <w:rFonts w:hint="default" w:eastAsia="宋体"/>
                      <w:color w:val="auto"/>
                      <w:sz w:val="15"/>
                      <w:szCs w:val="15"/>
                      <w:lang w:val="en-US" w:eastAsia="zh-CN"/>
                    </w:rPr>
                  </w:pPr>
                  <w:r>
                    <w:rPr>
                      <w:rFonts w:hint="eastAsia"/>
                      <w:color w:val="auto"/>
                      <w:sz w:val="15"/>
                      <w:szCs w:val="15"/>
                      <w:lang w:val="en-US" w:eastAsia="zh-CN"/>
                    </w:rPr>
                    <w:t>//</w:t>
                  </w:r>
                </w:p>
              </w:tc>
              <w:tc>
                <w:tcPr>
                  <w:tcW w:w="437" w:type="pct"/>
                  <w:vAlign w:val="center"/>
                </w:tcPr>
                <w:p w14:paraId="269859E4">
                  <w:pPr>
                    <w:jc w:val="center"/>
                    <w:rPr>
                      <w:rFonts w:hint="default" w:eastAsia="宋体"/>
                      <w:color w:val="auto"/>
                      <w:sz w:val="15"/>
                      <w:szCs w:val="15"/>
                      <w:lang w:val="en-US" w:eastAsia="zh-CN"/>
                    </w:rPr>
                  </w:pPr>
                  <w:r>
                    <w:rPr>
                      <w:rFonts w:hint="eastAsia"/>
                      <w:color w:val="auto"/>
                      <w:sz w:val="15"/>
                      <w:szCs w:val="15"/>
                      <w:lang w:val="en-US" w:eastAsia="zh-CN"/>
                    </w:rPr>
                    <w:t>0.01</w:t>
                  </w:r>
                </w:p>
              </w:tc>
            </w:tr>
            <w:tr w14:paraId="3FFDEC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82" w:type="pct"/>
                  <w:gridSpan w:val="2"/>
                  <w:vAlign w:val="center"/>
                </w:tcPr>
                <w:p w14:paraId="4B1ABDC9">
                  <w:pPr>
                    <w:jc w:val="center"/>
                    <w:rPr>
                      <w:rFonts w:hint="eastAsia"/>
                      <w:color w:val="auto"/>
                      <w:sz w:val="15"/>
                      <w:szCs w:val="15"/>
                      <w:lang w:val="en-US" w:eastAsia="zh-CN"/>
                    </w:rPr>
                  </w:pPr>
                  <w:r>
                    <w:rPr>
                      <w:rFonts w:hint="eastAsia"/>
                      <w:color w:val="auto"/>
                      <w:sz w:val="15"/>
                      <w:szCs w:val="15"/>
                      <w:lang w:val="en-US" w:eastAsia="zh-CN"/>
                    </w:rPr>
                    <w:t>骨料烘</w:t>
                  </w:r>
                </w:p>
                <w:p w14:paraId="18118B04">
                  <w:pPr>
                    <w:jc w:val="center"/>
                    <w:rPr>
                      <w:color w:val="auto"/>
                      <w:sz w:val="15"/>
                      <w:szCs w:val="15"/>
                    </w:rPr>
                  </w:pPr>
                  <w:r>
                    <w:rPr>
                      <w:rFonts w:hint="eastAsia"/>
                      <w:color w:val="auto"/>
                      <w:sz w:val="15"/>
                      <w:szCs w:val="15"/>
                      <w:lang w:val="en-US" w:eastAsia="zh-CN"/>
                    </w:rPr>
                    <w:t>干筛分</w:t>
                  </w:r>
                </w:p>
              </w:tc>
              <w:tc>
                <w:tcPr>
                  <w:tcW w:w="576" w:type="pct"/>
                  <w:vAlign w:val="center"/>
                </w:tcPr>
                <w:p w14:paraId="7CB035A5">
                  <w:pPr>
                    <w:jc w:val="center"/>
                    <w:rPr>
                      <w:color w:val="auto"/>
                      <w:sz w:val="15"/>
                      <w:szCs w:val="15"/>
                    </w:rPr>
                  </w:pPr>
                  <w:r>
                    <w:rPr>
                      <w:rFonts w:hint="eastAsia"/>
                      <w:color w:val="auto"/>
                      <w:sz w:val="15"/>
                      <w:szCs w:val="15"/>
                      <w:lang w:val="en-US" w:eastAsia="zh-CN"/>
                    </w:rPr>
                    <w:t>颗粒物</w:t>
                  </w:r>
                </w:p>
              </w:tc>
              <w:tc>
                <w:tcPr>
                  <w:tcW w:w="410" w:type="pct"/>
                  <w:vMerge w:val="restart"/>
                  <w:vAlign w:val="center"/>
                </w:tcPr>
                <w:p w14:paraId="08C8F566">
                  <w:pPr>
                    <w:jc w:val="center"/>
                    <w:rPr>
                      <w:rFonts w:hint="default" w:eastAsia="宋体"/>
                      <w:color w:val="auto"/>
                      <w:sz w:val="15"/>
                      <w:szCs w:val="15"/>
                      <w:lang w:val="en-US" w:eastAsia="zh-CN"/>
                    </w:rPr>
                  </w:pPr>
                  <w:r>
                    <w:rPr>
                      <w:rFonts w:hint="eastAsia"/>
                      <w:color w:val="auto"/>
                      <w:sz w:val="15"/>
                      <w:szCs w:val="15"/>
                      <w:lang w:val="en-US" w:eastAsia="zh-CN"/>
                    </w:rPr>
                    <w:t>110000</w:t>
                  </w:r>
                </w:p>
              </w:tc>
              <w:tc>
                <w:tcPr>
                  <w:tcW w:w="469" w:type="pct"/>
                  <w:vAlign w:val="center"/>
                </w:tcPr>
                <w:p w14:paraId="3D284C8B">
                  <w:pPr>
                    <w:jc w:val="center"/>
                    <w:rPr>
                      <w:rFonts w:hint="default" w:eastAsia="宋体"/>
                      <w:color w:val="auto"/>
                      <w:sz w:val="15"/>
                      <w:szCs w:val="15"/>
                      <w:lang w:val="en-US" w:eastAsia="zh-CN"/>
                    </w:rPr>
                  </w:pPr>
                  <w:r>
                    <w:rPr>
                      <w:rFonts w:hint="eastAsia"/>
                      <w:color w:val="auto"/>
                      <w:sz w:val="15"/>
                      <w:szCs w:val="15"/>
                      <w:lang w:val="en-US" w:eastAsia="zh-CN"/>
                    </w:rPr>
                    <w:t>6.5</w:t>
                  </w:r>
                </w:p>
              </w:tc>
              <w:tc>
                <w:tcPr>
                  <w:tcW w:w="850" w:type="pct"/>
                  <w:vMerge w:val="restart"/>
                  <w:vAlign w:val="center"/>
                </w:tcPr>
                <w:p w14:paraId="02E9D38B">
                  <w:pPr>
                    <w:jc w:val="center"/>
                    <w:rPr>
                      <w:rFonts w:hint="default" w:eastAsia="宋体"/>
                      <w:color w:val="auto"/>
                      <w:sz w:val="15"/>
                      <w:szCs w:val="15"/>
                      <w:lang w:val="en-US" w:eastAsia="zh-CN"/>
                    </w:rPr>
                  </w:pPr>
                  <w:r>
                    <w:rPr>
                      <w:rFonts w:hint="eastAsia"/>
                      <w:color w:val="auto"/>
                      <w:sz w:val="15"/>
                      <w:szCs w:val="15"/>
                      <w:lang w:val="en-US" w:eastAsia="zh-CN"/>
                    </w:rPr>
                    <w:t>混合废气经旋风+布袋除尘器去除废气中的颗粒物，除尘效率70%</w:t>
                  </w:r>
                </w:p>
              </w:tc>
              <w:tc>
                <w:tcPr>
                  <w:tcW w:w="553" w:type="pct"/>
                  <w:vMerge w:val="restart"/>
                  <w:vAlign w:val="center"/>
                </w:tcPr>
                <w:p w14:paraId="77B82FF5">
                  <w:pPr>
                    <w:jc w:val="center"/>
                    <w:rPr>
                      <w:color w:val="auto"/>
                      <w:sz w:val="15"/>
                      <w:szCs w:val="15"/>
                    </w:rPr>
                  </w:pPr>
                  <w:r>
                    <w:rPr>
                      <w:rFonts w:hint="eastAsia"/>
                      <w:color w:val="auto"/>
                      <w:sz w:val="15"/>
                      <w:szCs w:val="15"/>
                      <w:lang w:val="en-US" w:eastAsia="zh-CN"/>
                    </w:rPr>
                    <w:t>DA001（H15m，φ1.5m）</w:t>
                  </w:r>
                </w:p>
              </w:tc>
              <w:tc>
                <w:tcPr>
                  <w:tcW w:w="381" w:type="pct"/>
                  <w:vMerge w:val="restart"/>
                  <w:vAlign w:val="center"/>
                </w:tcPr>
                <w:p w14:paraId="5BC2E4B2">
                  <w:pPr>
                    <w:jc w:val="center"/>
                    <w:rPr>
                      <w:rFonts w:hint="default" w:eastAsia="宋体"/>
                      <w:color w:val="auto"/>
                      <w:sz w:val="15"/>
                      <w:szCs w:val="15"/>
                      <w:lang w:val="en-US" w:eastAsia="zh-CN"/>
                    </w:rPr>
                  </w:pPr>
                  <w:r>
                    <w:rPr>
                      <w:rFonts w:hint="eastAsia"/>
                      <w:color w:val="auto"/>
                      <w:sz w:val="15"/>
                      <w:szCs w:val="15"/>
                      <w:lang w:val="en-US" w:eastAsia="zh-CN"/>
                    </w:rPr>
                    <w:t>15.0</w:t>
                  </w:r>
                </w:p>
              </w:tc>
              <w:tc>
                <w:tcPr>
                  <w:tcW w:w="437" w:type="pct"/>
                  <w:vMerge w:val="restart"/>
                  <w:vAlign w:val="center"/>
                </w:tcPr>
                <w:p w14:paraId="2B8692FF">
                  <w:pPr>
                    <w:jc w:val="center"/>
                    <w:rPr>
                      <w:rFonts w:hint="default" w:eastAsia="宋体"/>
                      <w:color w:val="auto"/>
                      <w:sz w:val="15"/>
                      <w:szCs w:val="15"/>
                      <w:lang w:val="en-US" w:eastAsia="zh-CN"/>
                    </w:rPr>
                  </w:pPr>
                  <w:r>
                    <w:rPr>
                      <w:rFonts w:hint="eastAsia"/>
                      <w:color w:val="auto"/>
                      <w:sz w:val="15"/>
                      <w:szCs w:val="15"/>
                      <w:lang w:val="en-US" w:eastAsia="zh-CN"/>
                    </w:rPr>
                    <w:t>1.65</w:t>
                  </w:r>
                </w:p>
              </w:tc>
              <w:tc>
                <w:tcPr>
                  <w:tcW w:w="437" w:type="pct"/>
                  <w:vMerge w:val="restart"/>
                  <w:vAlign w:val="center"/>
                </w:tcPr>
                <w:p w14:paraId="44EB389D">
                  <w:pPr>
                    <w:jc w:val="center"/>
                    <w:rPr>
                      <w:rFonts w:hint="default" w:eastAsia="宋体"/>
                      <w:color w:val="auto"/>
                      <w:sz w:val="15"/>
                      <w:szCs w:val="15"/>
                      <w:lang w:val="en-US" w:eastAsia="zh-CN"/>
                    </w:rPr>
                  </w:pPr>
                  <w:r>
                    <w:rPr>
                      <w:rFonts w:hint="eastAsia"/>
                      <w:color w:val="auto"/>
                      <w:sz w:val="15"/>
                      <w:szCs w:val="15"/>
                      <w:lang w:val="en-US" w:eastAsia="zh-CN"/>
                    </w:rPr>
                    <w:t>1.98</w:t>
                  </w:r>
                </w:p>
              </w:tc>
            </w:tr>
            <w:tr w14:paraId="72589B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82" w:type="pct"/>
                  <w:gridSpan w:val="2"/>
                  <w:vMerge w:val="restart"/>
                  <w:vAlign w:val="center"/>
                </w:tcPr>
                <w:p w14:paraId="73C655CC">
                  <w:pPr>
                    <w:jc w:val="center"/>
                    <w:rPr>
                      <w:rFonts w:hint="default" w:eastAsia="宋体"/>
                      <w:color w:val="auto"/>
                      <w:sz w:val="15"/>
                      <w:szCs w:val="15"/>
                      <w:lang w:val="en-US" w:eastAsia="zh-CN"/>
                    </w:rPr>
                  </w:pPr>
                  <w:r>
                    <w:rPr>
                      <w:rFonts w:hint="eastAsia"/>
                      <w:color w:val="auto"/>
                      <w:sz w:val="15"/>
                      <w:szCs w:val="15"/>
                      <w:lang w:val="en-US" w:eastAsia="zh-CN"/>
                    </w:rPr>
                    <w:t>燃烧器</w:t>
                  </w:r>
                </w:p>
              </w:tc>
              <w:tc>
                <w:tcPr>
                  <w:tcW w:w="576" w:type="pct"/>
                  <w:vAlign w:val="center"/>
                </w:tcPr>
                <w:p w14:paraId="1E0D3406">
                  <w:pPr>
                    <w:jc w:val="center"/>
                    <w:rPr>
                      <w:rFonts w:hint="eastAsia"/>
                      <w:color w:val="auto"/>
                      <w:sz w:val="15"/>
                      <w:szCs w:val="15"/>
                      <w:lang w:val="en-US" w:eastAsia="zh-CN"/>
                    </w:rPr>
                  </w:pPr>
                  <w:r>
                    <w:rPr>
                      <w:rFonts w:hint="eastAsia"/>
                      <w:color w:val="auto"/>
                      <w:sz w:val="15"/>
                      <w:szCs w:val="15"/>
                      <w:lang w:val="en-US" w:eastAsia="zh-CN"/>
                    </w:rPr>
                    <w:t>颗粒物</w:t>
                  </w:r>
                </w:p>
                <w:p w14:paraId="29B8DFE0">
                  <w:pPr>
                    <w:jc w:val="center"/>
                    <w:rPr>
                      <w:color w:val="auto"/>
                      <w:sz w:val="15"/>
                      <w:szCs w:val="15"/>
                    </w:rPr>
                  </w:pPr>
                  <w:r>
                    <w:rPr>
                      <w:rFonts w:hint="eastAsia"/>
                      <w:color w:val="auto"/>
                      <w:sz w:val="15"/>
                      <w:szCs w:val="15"/>
                      <w:lang w:val="en-US" w:eastAsia="zh-CN"/>
                    </w:rPr>
                    <w:t>（烟尘）</w:t>
                  </w:r>
                </w:p>
              </w:tc>
              <w:tc>
                <w:tcPr>
                  <w:tcW w:w="410" w:type="pct"/>
                  <w:vMerge w:val="continue"/>
                  <w:vAlign w:val="center"/>
                </w:tcPr>
                <w:p w14:paraId="7F4E608B">
                  <w:pPr>
                    <w:jc w:val="center"/>
                    <w:rPr>
                      <w:color w:val="auto"/>
                      <w:sz w:val="15"/>
                      <w:szCs w:val="15"/>
                    </w:rPr>
                  </w:pPr>
                </w:p>
              </w:tc>
              <w:tc>
                <w:tcPr>
                  <w:tcW w:w="469" w:type="pct"/>
                  <w:vAlign w:val="center"/>
                </w:tcPr>
                <w:p w14:paraId="64996E70">
                  <w:pPr>
                    <w:jc w:val="center"/>
                    <w:rPr>
                      <w:rFonts w:hint="default" w:eastAsia="宋体"/>
                      <w:color w:val="auto"/>
                      <w:sz w:val="15"/>
                      <w:szCs w:val="15"/>
                      <w:lang w:val="en-US" w:eastAsia="zh-CN"/>
                    </w:rPr>
                  </w:pPr>
                  <w:r>
                    <w:rPr>
                      <w:rFonts w:hint="eastAsia"/>
                      <w:color w:val="auto"/>
                      <w:sz w:val="15"/>
                      <w:szCs w:val="15"/>
                      <w:lang w:val="en-US" w:eastAsia="zh-CN"/>
                    </w:rPr>
                    <w:t>0.0473</w:t>
                  </w:r>
                </w:p>
              </w:tc>
              <w:tc>
                <w:tcPr>
                  <w:tcW w:w="850" w:type="pct"/>
                  <w:vMerge w:val="continue"/>
                  <w:vAlign w:val="center"/>
                </w:tcPr>
                <w:p w14:paraId="0333E752">
                  <w:pPr>
                    <w:jc w:val="center"/>
                    <w:rPr>
                      <w:color w:val="auto"/>
                      <w:sz w:val="15"/>
                      <w:szCs w:val="15"/>
                    </w:rPr>
                  </w:pPr>
                </w:p>
              </w:tc>
              <w:tc>
                <w:tcPr>
                  <w:tcW w:w="553" w:type="pct"/>
                  <w:vMerge w:val="continue"/>
                  <w:vAlign w:val="center"/>
                </w:tcPr>
                <w:p w14:paraId="0C2F123D">
                  <w:pPr>
                    <w:jc w:val="center"/>
                    <w:rPr>
                      <w:color w:val="auto"/>
                      <w:sz w:val="15"/>
                      <w:szCs w:val="15"/>
                    </w:rPr>
                  </w:pPr>
                </w:p>
              </w:tc>
              <w:tc>
                <w:tcPr>
                  <w:tcW w:w="381" w:type="pct"/>
                  <w:vMerge w:val="continue"/>
                  <w:vAlign w:val="center"/>
                </w:tcPr>
                <w:p w14:paraId="170F3226">
                  <w:pPr>
                    <w:jc w:val="center"/>
                    <w:rPr>
                      <w:color w:val="auto"/>
                      <w:sz w:val="15"/>
                      <w:szCs w:val="15"/>
                    </w:rPr>
                  </w:pPr>
                </w:p>
              </w:tc>
              <w:tc>
                <w:tcPr>
                  <w:tcW w:w="437" w:type="pct"/>
                  <w:vMerge w:val="continue"/>
                  <w:vAlign w:val="center"/>
                </w:tcPr>
                <w:p w14:paraId="008486AF">
                  <w:pPr>
                    <w:jc w:val="center"/>
                    <w:rPr>
                      <w:color w:val="auto"/>
                      <w:sz w:val="15"/>
                      <w:szCs w:val="15"/>
                    </w:rPr>
                  </w:pPr>
                </w:p>
              </w:tc>
              <w:tc>
                <w:tcPr>
                  <w:tcW w:w="437" w:type="pct"/>
                  <w:vMerge w:val="continue"/>
                  <w:vAlign w:val="center"/>
                </w:tcPr>
                <w:p w14:paraId="7E4A7C79">
                  <w:pPr>
                    <w:jc w:val="center"/>
                    <w:rPr>
                      <w:color w:val="auto"/>
                      <w:sz w:val="15"/>
                      <w:szCs w:val="15"/>
                    </w:rPr>
                  </w:pPr>
                </w:p>
              </w:tc>
            </w:tr>
            <w:tr w14:paraId="65F9B1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82" w:type="pct"/>
                  <w:gridSpan w:val="2"/>
                  <w:vMerge w:val="continue"/>
                  <w:vAlign w:val="center"/>
                </w:tcPr>
                <w:p w14:paraId="5C79DA35">
                  <w:pPr>
                    <w:jc w:val="center"/>
                    <w:rPr>
                      <w:color w:val="auto"/>
                      <w:sz w:val="15"/>
                      <w:szCs w:val="15"/>
                    </w:rPr>
                  </w:pPr>
                </w:p>
              </w:tc>
              <w:tc>
                <w:tcPr>
                  <w:tcW w:w="576" w:type="pct"/>
                  <w:vAlign w:val="center"/>
                </w:tcPr>
                <w:p w14:paraId="4CD19FBE">
                  <w:pPr>
                    <w:jc w:val="center"/>
                    <w:rPr>
                      <w:rFonts w:hint="default" w:eastAsia="宋体"/>
                      <w:color w:val="auto"/>
                      <w:sz w:val="15"/>
                      <w:szCs w:val="15"/>
                      <w:lang w:val="en-US" w:eastAsia="zh-CN"/>
                    </w:rPr>
                  </w:pPr>
                  <w:r>
                    <w:rPr>
                      <w:rFonts w:hint="eastAsia"/>
                      <w:color w:val="auto"/>
                      <w:sz w:val="15"/>
                      <w:szCs w:val="15"/>
                      <w:lang w:val="en-US" w:eastAsia="zh-CN"/>
                    </w:rPr>
                    <w:t>SO</w:t>
                  </w:r>
                  <w:r>
                    <w:rPr>
                      <w:rFonts w:hint="eastAsia"/>
                      <w:color w:val="auto"/>
                      <w:sz w:val="15"/>
                      <w:szCs w:val="15"/>
                      <w:vertAlign w:val="subscript"/>
                      <w:lang w:val="en-US" w:eastAsia="zh-CN"/>
                    </w:rPr>
                    <w:t>2</w:t>
                  </w:r>
                </w:p>
              </w:tc>
              <w:tc>
                <w:tcPr>
                  <w:tcW w:w="410" w:type="pct"/>
                  <w:vMerge w:val="continue"/>
                  <w:vAlign w:val="center"/>
                </w:tcPr>
                <w:p w14:paraId="35140C9D">
                  <w:pPr>
                    <w:jc w:val="center"/>
                    <w:rPr>
                      <w:color w:val="auto"/>
                      <w:sz w:val="15"/>
                      <w:szCs w:val="15"/>
                    </w:rPr>
                  </w:pPr>
                </w:p>
              </w:tc>
              <w:tc>
                <w:tcPr>
                  <w:tcW w:w="469" w:type="pct"/>
                  <w:vAlign w:val="center"/>
                </w:tcPr>
                <w:p w14:paraId="2BC6CA93">
                  <w:pPr>
                    <w:jc w:val="center"/>
                    <w:rPr>
                      <w:rFonts w:hint="default" w:eastAsia="宋体"/>
                      <w:color w:val="auto"/>
                      <w:sz w:val="15"/>
                      <w:szCs w:val="15"/>
                      <w:lang w:val="en-US" w:eastAsia="zh-CN"/>
                    </w:rPr>
                  </w:pPr>
                  <w:r>
                    <w:rPr>
                      <w:rFonts w:hint="eastAsia"/>
                      <w:color w:val="auto"/>
                      <w:sz w:val="15"/>
                      <w:szCs w:val="15"/>
                      <w:lang w:val="en-US" w:eastAsia="zh-CN"/>
                    </w:rPr>
                    <w:t>0.0035</w:t>
                  </w:r>
                </w:p>
              </w:tc>
              <w:tc>
                <w:tcPr>
                  <w:tcW w:w="850" w:type="pct"/>
                  <w:vMerge w:val="continue"/>
                  <w:vAlign w:val="center"/>
                </w:tcPr>
                <w:p w14:paraId="56D3C305">
                  <w:pPr>
                    <w:jc w:val="center"/>
                    <w:rPr>
                      <w:color w:val="auto"/>
                      <w:sz w:val="15"/>
                      <w:szCs w:val="15"/>
                    </w:rPr>
                  </w:pPr>
                </w:p>
              </w:tc>
              <w:tc>
                <w:tcPr>
                  <w:tcW w:w="553" w:type="pct"/>
                  <w:vMerge w:val="continue"/>
                  <w:vAlign w:val="center"/>
                </w:tcPr>
                <w:p w14:paraId="513E5A7E">
                  <w:pPr>
                    <w:jc w:val="center"/>
                    <w:rPr>
                      <w:color w:val="auto"/>
                      <w:sz w:val="15"/>
                      <w:szCs w:val="15"/>
                    </w:rPr>
                  </w:pPr>
                </w:p>
              </w:tc>
              <w:tc>
                <w:tcPr>
                  <w:tcW w:w="381" w:type="pct"/>
                  <w:vAlign w:val="center"/>
                </w:tcPr>
                <w:p w14:paraId="71AEF7AA">
                  <w:pPr>
                    <w:jc w:val="center"/>
                    <w:rPr>
                      <w:rFonts w:hint="default" w:eastAsia="宋体"/>
                      <w:color w:val="auto"/>
                      <w:sz w:val="15"/>
                      <w:szCs w:val="15"/>
                      <w:lang w:val="en-US" w:eastAsia="zh-CN"/>
                    </w:rPr>
                  </w:pPr>
                  <w:r>
                    <w:rPr>
                      <w:rFonts w:hint="eastAsia"/>
                      <w:color w:val="auto"/>
                      <w:sz w:val="15"/>
                      <w:szCs w:val="15"/>
                      <w:lang w:val="en-US" w:eastAsia="zh-CN"/>
                    </w:rPr>
                    <w:t>0.03</w:t>
                  </w:r>
                </w:p>
              </w:tc>
              <w:tc>
                <w:tcPr>
                  <w:tcW w:w="437" w:type="pct"/>
                  <w:vAlign w:val="center"/>
                </w:tcPr>
                <w:p w14:paraId="32E743BE">
                  <w:pPr>
                    <w:jc w:val="center"/>
                    <w:rPr>
                      <w:rFonts w:hint="default" w:eastAsia="宋体"/>
                      <w:color w:val="auto"/>
                      <w:sz w:val="15"/>
                      <w:szCs w:val="15"/>
                      <w:lang w:val="en-US" w:eastAsia="zh-CN"/>
                    </w:rPr>
                  </w:pPr>
                  <w:r>
                    <w:rPr>
                      <w:rFonts w:hint="eastAsia"/>
                      <w:color w:val="auto"/>
                      <w:sz w:val="15"/>
                      <w:szCs w:val="15"/>
                      <w:lang w:val="en-US" w:eastAsia="zh-CN"/>
                    </w:rPr>
                    <w:t>0.003</w:t>
                  </w:r>
                </w:p>
              </w:tc>
              <w:tc>
                <w:tcPr>
                  <w:tcW w:w="437" w:type="pct"/>
                  <w:vAlign w:val="center"/>
                </w:tcPr>
                <w:p w14:paraId="645C8A14">
                  <w:pPr>
                    <w:jc w:val="center"/>
                    <w:rPr>
                      <w:rFonts w:hint="default" w:eastAsia="宋体"/>
                      <w:color w:val="auto"/>
                      <w:sz w:val="15"/>
                      <w:szCs w:val="15"/>
                      <w:lang w:val="en-US" w:eastAsia="zh-CN"/>
                    </w:rPr>
                  </w:pPr>
                  <w:r>
                    <w:rPr>
                      <w:rFonts w:hint="eastAsia"/>
                      <w:color w:val="auto"/>
                      <w:sz w:val="15"/>
                      <w:szCs w:val="15"/>
                      <w:lang w:val="en-US" w:eastAsia="zh-CN"/>
                    </w:rPr>
                    <w:t>0.0035</w:t>
                  </w:r>
                </w:p>
              </w:tc>
            </w:tr>
            <w:tr w14:paraId="264F59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82" w:type="pct"/>
                  <w:gridSpan w:val="2"/>
                  <w:vMerge w:val="continue"/>
                  <w:vAlign w:val="center"/>
                </w:tcPr>
                <w:p w14:paraId="6514E6C4">
                  <w:pPr>
                    <w:jc w:val="center"/>
                    <w:rPr>
                      <w:color w:val="auto"/>
                      <w:sz w:val="15"/>
                      <w:szCs w:val="15"/>
                    </w:rPr>
                  </w:pPr>
                </w:p>
              </w:tc>
              <w:tc>
                <w:tcPr>
                  <w:tcW w:w="576" w:type="pct"/>
                  <w:vAlign w:val="center"/>
                </w:tcPr>
                <w:p w14:paraId="71880964">
                  <w:pPr>
                    <w:jc w:val="center"/>
                    <w:rPr>
                      <w:rFonts w:hint="default" w:eastAsia="宋体"/>
                      <w:color w:val="auto"/>
                      <w:sz w:val="15"/>
                      <w:szCs w:val="15"/>
                      <w:lang w:val="en-US" w:eastAsia="zh-CN"/>
                    </w:rPr>
                  </w:pPr>
                  <w:r>
                    <w:rPr>
                      <w:rFonts w:hint="eastAsia"/>
                      <w:color w:val="auto"/>
                      <w:sz w:val="15"/>
                      <w:szCs w:val="15"/>
                      <w:lang w:val="en-US" w:eastAsia="zh-CN"/>
                    </w:rPr>
                    <w:t>NO</w:t>
                  </w:r>
                  <w:r>
                    <w:rPr>
                      <w:rFonts w:hint="eastAsia"/>
                      <w:color w:val="auto"/>
                      <w:sz w:val="15"/>
                      <w:szCs w:val="15"/>
                      <w:vertAlign w:val="subscript"/>
                      <w:lang w:val="en-US" w:eastAsia="zh-CN"/>
                    </w:rPr>
                    <w:t>x</w:t>
                  </w:r>
                </w:p>
              </w:tc>
              <w:tc>
                <w:tcPr>
                  <w:tcW w:w="410" w:type="pct"/>
                  <w:vMerge w:val="continue"/>
                  <w:vAlign w:val="center"/>
                </w:tcPr>
                <w:p w14:paraId="28EE923E">
                  <w:pPr>
                    <w:jc w:val="center"/>
                    <w:rPr>
                      <w:color w:val="auto"/>
                      <w:sz w:val="15"/>
                      <w:szCs w:val="15"/>
                    </w:rPr>
                  </w:pPr>
                </w:p>
              </w:tc>
              <w:tc>
                <w:tcPr>
                  <w:tcW w:w="469" w:type="pct"/>
                  <w:vAlign w:val="center"/>
                </w:tcPr>
                <w:p w14:paraId="3F3876C2">
                  <w:pPr>
                    <w:jc w:val="center"/>
                    <w:rPr>
                      <w:rFonts w:hint="default" w:eastAsia="宋体"/>
                      <w:color w:val="auto"/>
                      <w:sz w:val="15"/>
                      <w:szCs w:val="15"/>
                      <w:lang w:val="en-US" w:eastAsia="zh-CN"/>
                    </w:rPr>
                  </w:pPr>
                  <w:r>
                    <w:rPr>
                      <w:rFonts w:hint="eastAsia"/>
                      <w:color w:val="auto"/>
                      <w:sz w:val="15"/>
                      <w:szCs w:val="15"/>
                      <w:lang w:val="en-US" w:eastAsia="zh-CN"/>
                    </w:rPr>
                    <w:t>0.5515</w:t>
                  </w:r>
                </w:p>
              </w:tc>
              <w:tc>
                <w:tcPr>
                  <w:tcW w:w="850" w:type="pct"/>
                  <w:vMerge w:val="continue"/>
                  <w:vAlign w:val="center"/>
                </w:tcPr>
                <w:p w14:paraId="2808A155">
                  <w:pPr>
                    <w:jc w:val="center"/>
                    <w:rPr>
                      <w:color w:val="auto"/>
                      <w:sz w:val="15"/>
                      <w:szCs w:val="15"/>
                    </w:rPr>
                  </w:pPr>
                </w:p>
              </w:tc>
              <w:tc>
                <w:tcPr>
                  <w:tcW w:w="553" w:type="pct"/>
                  <w:vMerge w:val="continue"/>
                  <w:vAlign w:val="center"/>
                </w:tcPr>
                <w:p w14:paraId="78FA3310">
                  <w:pPr>
                    <w:jc w:val="center"/>
                    <w:rPr>
                      <w:color w:val="auto"/>
                      <w:sz w:val="15"/>
                      <w:szCs w:val="15"/>
                    </w:rPr>
                  </w:pPr>
                </w:p>
              </w:tc>
              <w:tc>
                <w:tcPr>
                  <w:tcW w:w="381" w:type="pct"/>
                  <w:vAlign w:val="center"/>
                </w:tcPr>
                <w:p w14:paraId="19785D91">
                  <w:pPr>
                    <w:jc w:val="center"/>
                    <w:rPr>
                      <w:rFonts w:hint="default" w:eastAsia="宋体"/>
                      <w:color w:val="auto"/>
                      <w:sz w:val="15"/>
                      <w:szCs w:val="15"/>
                      <w:lang w:val="en-US" w:eastAsia="zh-CN"/>
                    </w:rPr>
                  </w:pPr>
                  <w:r>
                    <w:rPr>
                      <w:rFonts w:hint="eastAsia"/>
                      <w:color w:val="auto"/>
                      <w:sz w:val="15"/>
                      <w:szCs w:val="15"/>
                      <w:lang w:val="en-US" w:eastAsia="zh-CN"/>
                    </w:rPr>
                    <w:t>3.83</w:t>
                  </w:r>
                </w:p>
              </w:tc>
              <w:tc>
                <w:tcPr>
                  <w:tcW w:w="437" w:type="pct"/>
                  <w:vAlign w:val="center"/>
                </w:tcPr>
                <w:p w14:paraId="0B50FA4C">
                  <w:pPr>
                    <w:jc w:val="center"/>
                    <w:rPr>
                      <w:rFonts w:hint="default" w:eastAsia="宋体"/>
                      <w:color w:val="auto"/>
                      <w:sz w:val="15"/>
                      <w:szCs w:val="15"/>
                      <w:lang w:val="en-US" w:eastAsia="zh-CN"/>
                    </w:rPr>
                  </w:pPr>
                  <w:r>
                    <w:rPr>
                      <w:rFonts w:hint="eastAsia"/>
                      <w:color w:val="auto"/>
                      <w:sz w:val="15"/>
                      <w:szCs w:val="15"/>
                      <w:lang w:val="en-US" w:eastAsia="zh-CN"/>
                    </w:rPr>
                    <w:t>0.460</w:t>
                  </w:r>
                </w:p>
              </w:tc>
              <w:tc>
                <w:tcPr>
                  <w:tcW w:w="437" w:type="pct"/>
                  <w:vAlign w:val="center"/>
                </w:tcPr>
                <w:p w14:paraId="24E9598F">
                  <w:pPr>
                    <w:jc w:val="center"/>
                    <w:rPr>
                      <w:rFonts w:hint="default" w:eastAsia="宋体"/>
                      <w:color w:val="auto"/>
                      <w:sz w:val="15"/>
                      <w:szCs w:val="15"/>
                      <w:lang w:val="en-US" w:eastAsia="zh-CN"/>
                    </w:rPr>
                  </w:pPr>
                  <w:r>
                    <w:rPr>
                      <w:rFonts w:hint="eastAsia"/>
                      <w:color w:val="auto"/>
                      <w:sz w:val="15"/>
                      <w:szCs w:val="15"/>
                      <w:lang w:val="en-US" w:eastAsia="zh-CN"/>
                    </w:rPr>
                    <w:t>0.5515</w:t>
                  </w:r>
                </w:p>
              </w:tc>
            </w:tr>
            <w:tr w14:paraId="275385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882" w:type="pct"/>
                  <w:gridSpan w:val="2"/>
                  <w:vMerge w:val="restart"/>
                  <w:vAlign w:val="center"/>
                </w:tcPr>
                <w:p w14:paraId="31EE5A84">
                  <w:pPr>
                    <w:jc w:val="center"/>
                    <w:rPr>
                      <w:rFonts w:hint="default" w:eastAsia="宋体"/>
                      <w:color w:val="auto"/>
                      <w:sz w:val="15"/>
                      <w:szCs w:val="15"/>
                      <w:lang w:val="en-US" w:eastAsia="zh-CN"/>
                    </w:rPr>
                  </w:pPr>
                  <w:r>
                    <w:rPr>
                      <w:rFonts w:hint="eastAsia"/>
                      <w:color w:val="auto"/>
                      <w:sz w:val="15"/>
                      <w:szCs w:val="15"/>
                      <w:lang w:val="en-US" w:eastAsia="zh-CN"/>
                    </w:rPr>
                    <w:t>导热油炉</w:t>
                  </w:r>
                </w:p>
              </w:tc>
              <w:tc>
                <w:tcPr>
                  <w:tcW w:w="576" w:type="pct"/>
                  <w:vAlign w:val="center"/>
                </w:tcPr>
                <w:p w14:paraId="6F535435">
                  <w:pPr>
                    <w:jc w:val="center"/>
                    <w:rPr>
                      <w:rFonts w:hint="eastAsia"/>
                      <w:color w:val="auto"/>
                      <w:sz w:val="15"/>
                      <w:szCs w:val="15"/>
                      <w:lang w:val="en-US" w:eastAsia="zh-CN"/>
                    </w:rPr>
                  </w:pPr>
                  <w:r>
                    <w:rPr>
                      <w:rFonts w:hint="eastAsia"/>
                      <w:color w:val="auto"/>
                      <w:sz w:val="15"/>
                      <w:szCs w:val="15"/>
                      <w:lang w:val="en-US" w:eastAsia="zh-CN"/>
                    </w:rPr>
                    <w:t>颗粒物</w:t>
                  </w:r>
                </w:p>
                <w:p w14:paraId="4195DDD8">
                  <w:pPr>
                    <w:jc w:val="center"/>
                    <w:rPr>
                      <w:color w:val="auto"/>
                      <w:sz w:val="15"/>
                      <w:szCs w:val="15"/>
                    </w:rPr>
                  </w:pPr>
                  <w:r>
                    <w:rPr>
                      <w:rFonts w:hint="eastAsia"/>
                      <w:color w:val="auto"/>
                      <w:sz w:val="15"/>
                      <w:szCs w:val="15"/>
                      <w:lang w:val="en-US" w:eastAsia="zh-CN"/>
                    </w:rPr>
                    <w:t>（烟尘）</w:t>
                  </w:r>
                </w:p>
              </w:tc>
              <w:tc>
                <w:tcPr>
                  <w:tcW w:w="410" w:type="pct"/>
                  <w:vMerge w:val="restart"/>
                  <w:vAlign w:val="center"/>
                </w:tcPr>
                <w:p w14:paraId="57078735">
                  <w:pPr>
                    <w:jc w:val="center"/>
                    <w:rPr>
                      <w:rFonts w:hint="default" w:eastAsia="宋体"/>
                      <w:color w:val="auto"/>
                      <w:sz w:val="15"/>
                      <w:szCs w:val="15"/>
                      <w:lang w:val="en-US" w:eastAsia="zh-CN"/>
                    </w:rPr>
                  </w:pPr>
                  <w:r>
                    <w:rPr>
                      <w:rFonts w:hint="eastAsia"/>
                      <w:color w:val="auto"/>
                      <w:sz w:val="15"/>
                      <w:szCs w:val="15"/>
                      <w:lang w:val="en-US" w:eastAsia="zh-CN"/>
                    </w:rPr>
                    <w:t>854.60</w:t>
                  </w:r>
                </w:p>
              </w:tc>
              <w:tc>
                <w:tcPr>
                  <w:tcW w:w="469" w:type="pct"/>
                  <w:vAlign w:val="center"/>
                </w:tcPr>
                <w:p w14:paraId="097D394F">
                  <w:pPr>
                    <w:jc w:val="center"/>
                    <w:rPr>
                      <w:rFonts w:hint="default" w:eastAsia="宋体"/>
                      <w:color w:val="auto"/>
                      <w:sz w:val="15"/>
                      <w:szCs w:val="15"/>
                      <w:lang w:val="en-US" w:eastAsia="zh-CN"/>
                    </w:rPr>
                  </w:pPr>
                  <w:r>
                    <w:rPr>
                      <w:rFonts w:hint="eastAsia"/>
                      <w:color w:val="auto"/>
                      <w:sz w:val="15"/>
                      <w:szCs w:val="15"/>
                      <w:lang w:val="en-US" w:eastAsia="zh-CN"/>
                    </w:rPr>
                    <w:t>0.0234</w:t>
                  </w:r>
                </w:p>
              </w:tc>
              <w:tc>
                <w:tcPr>
                  <w:tcW w:w="850" w:type="pct"/>
                  <w:vMerge w:val="restart"/>
                  <w:vAlign w:val="center"/>
                </w:tcPr>
                <w:p w14:paraId="43093153">
                  <w:pPr>
                    <w:jc w:val="center"/>
                    <w:rPr>
                      <w:rFonts w:hint="default" w:eastAsia="宋体"/>
                      <w:color w:val="auto"/>
                      <w:sz w:val="15"/>
                      <w:szCs w:val="15"/>
                      <w:lang w:val="en-US" w:eastAsia="zh-CN"/>
                    </w:rPr>
                  </w:pPr>
                  <w:r>
                    <w:rPr>
                      <w:rFonts w:hint="eastAsia"/>
                      <w:color w:val="auto"/>
                      <w:sz w:val="15"/>
                      <w:szCs w:val="15"/>
                      <w:lang w:val="en-US" w:eastAsia="zh-CN"/>
                    </w:rPr>
                    <w:t>废气通入1套布袋除尘器，燃烧采用低氮燃烧技术，经处理后由排气筒排放</w:t>
                  </w:r>
                </w:p>
              </w:tc>
              <w:tc>
                <w:tcPr>
                  <w:tcW w:w="553" w:type="pct"/>
                  <w:vMerge w:val="restart"/>
                  <w:vAlign w:val="center"/>
                </w:tcPr>
                <w:p w14:paraId="4B2FEBEA">
                  <w:pPr>
                    <w:jc w:val="center"/>
                    <w:rPr>
                      <w:color w:val="auto"/>
                      <w:sz w:val="15"/>
                      <w:szCs w:val="15"/>
                    </w:rPr>
                  </w:pPr>
                  <w:r>
                    <w:rPr>
                      <w:rFonts w:hint="eastAsia"/>
                      <w:color w:val="auto"/>
                      <w:sz w:val="15"/>
                      <w:szCs w:val="15"/>
                      <w:lang w:val="en-US" w:eastAsia="zh-CN"/>
                    </w:rPr>
                    <w:t>DA002（H8m，φ0.3m）</w:t>
                  </w:r>
                </w:p>
              </w:tc>
              <w:tc>
                <w:tcPr>
                  <w:tcW w:w="381" w:type="pct"/>
                  <w:vAlign w:val="center"/>
                </w:tcPr>
                <w:p w14:paraId="03E8DF16">
                  <w:pPr>
                    <w:jc w:val="center"/>
                    <w:rPr>
                      <w:rFonts w:hint="default" w:eastAsia="宋体"/>
                      <w:color w:val="auto"/>
                      <w:sz w:val="15"/>
                      <w:szCs w:val="15"/>
                      <w:lang w:val="en-US" w:eastAsia="zh-CN"/>
                    </w:rPr>
                  </w:pPr>
                  <w:r>
                    <w:rPr>
                      <w:rFonts w:hint="eastAsia"/>
                      <w:color w:val="auto"/>
                      <w:sz w:val="15"/>
                      <w:szCs w:val="15"/>
                      <w:lang w:val="en-US" w:eastAsia="zh-CN"/>
                    </w:rPr>
                    <w:t>10.0</w:t>
                  </w:r>
                </w:p>
              </w:tc>
              <w:tc>
                <w:tcPr>
                  <w:tcW w:w="437" w:type="pct"/>
                  <w:vAlign w:val="center"/>
                </w:tcPr>
                <w:p w14:paraId="027FF0F9">
                  <w:pPr>
                    <w:jc w:val="center"/>
                    <w:rPr>
                      <w:rFonts w:hint="default" w:eastAsia="宋体"/>
                      <w:color w:val="auto"/>
                      <w:sz w:val="15"/>
                      <w:szCs w:val="15"/>
                      <w:lang w:val="en-US" w:eastAsia="zh-CN"/>
                    </w:rPr>
                  </w:pPr>
                  <w:r>
                    <w:rPr>
                      <w:rFonts w:hint="eastAsia"/>
                      <w:color w:val="auto"/>
                      <w:sz w:val="15"/>
                      <w:szCs w:val="15"/>
                      <w:lang w:val="en-US" w:eastAsia="zh-CN"/>
                    </w:rPr>
                    <w:t>0.009</w:t>
                  </w:r>
                </w:p>
              </w:tc>
              <w:tc>
                <w:tcPr>
                  <w:tcW w:w="437" w:type="pct"/>
                  <w:vAlign w:val="center"/>
                </w:tcPr>
                <w:p w14:paraId="5AD9F9EF">
                  <w:pPr>
                    <w:jc w:val="center"/>
                    <w:rPr>
                      <w:rFonts w:hint="default" w:eastAsia="宋体"/>
                      <w:color w:val="auto"/>
                      <w:sz w:val="15"/>
                      <w:szCs w:val="15"/>
                      <w:lang w:val="en-US" w:eastAsia="zh-CN"/>
                    </w:rPr>
                  </w:pPr>
                  <w:r>
                    <w:rPr>
                      <w:rFonts w:hint="eastAsia"/>
                      <w:color w:val="auto"/>
                      <w:sz w:val="15"/>
                      <w:szCs w:val="15"/>
                      <w:lang w:val="en-US" w:eastAsia="zh-CN"/>
                    </w:rPr>
                    <w:t>0.0103</w:t>
                  </w:r>
                </w:p>
              </w:tc>
            </w:tr>
            <w:tr w14:paraId="1A48D4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82" w:type="pct"/>
                  <w:gridSpan w:val="2"/>
                  <w:vMerge w:val="continue"/>
                  <w:vAlign w:val="center"/>
                </w:tcPr>
                <w:p w14:paraId="2A0EF80F">
                  <w:pPr>
                    <w:jc w:val="center"/>
                    <w:rPr>
                      <w:color w:val="auto"/>
                      <w:sz w:val="15"/>
                      <w:szCs w:val="15"/>
                    </w:rPr>
                  </w:pPr>
                </w:p>
              </w:tc>
              <w:tc>
                <w:tcPr>
                  <w:tcW w:w="576" w:type="pct"/>
                  <w:vAlign w:val="center"/>
                </w:tcPr>
                <w:p w14:paraId="0BC23B13">
                  <w:pPr>
                    <w:jc w:val="center"/>
                    <w:rPr>
                      <w:color w:val="auto"/>
                      <w:sz w:val="15"/>
                      <w:szCs w:val="15"/>
                    </w:rPr>
                  </w:pPr>
                  <w:r>
                    <w:rPr>
                      <w:rFonts w:hint="eastAsia"/>
                      <w:color w:val="auto"/>
                      <w:sz w:val="15"/>
                      <w:szCs w:val="15"/>
                      <w:lang w:val="en-US" w:eastAsia="zh-CN"/>
                    </w:rPr>
                    <w:t>SO</w:t>
                  </w:r>
                  <w:r>
                    <w:rPr>
                      <w:rFonts w:hint="eastAsia"/>
                      <w:color w:val="auto"/>
                      <w:sz w:val="15"/>
                      <w:szCs w:val="15"/>
                      <w:vertAlign w:val="subscript"/>
                      <w:lang w:val="en-US" w:eastAsia="zh-CN"/>
                    </w:rPr>
                    <w:t>2</w:t>
                  </w:r>
                </w:p>
              </w:tc>
              <w:tc>
                <w:tcPr>
                  <w:tcW w:w="410" w:type="pct"/>
                  <w:vMerge w:val="continue"/>
                  <w:vAlign w:val="center"/>
                </w:tcPr>
                <w:p w14:paraId="23437E71">
                  <w:pPr>
                    <w:jc w:val="center"/>
                    <w:rPr>
                      <w:color w:val="auto"/>
                      <w:sz w:val="15"/>
                      <w:szCs w:val="15"/>
                    </w:rPr>
                  </w:pPr>
                </w:p>
              </w:tc>
              <w:tc>
                <w:tcPr>
                  <w:tcW w:w="469" w:type="pct"/>
                  <w:vAlign w:val="center"/>
                </w:tcPr>
                <w:p w14:paraId="716AE9F8">
                  <w:pPr>
                    <w:jc w:val="center"/>
                    <w:rPr>
                      <w:rFonts w:hint="default" w:eastAsia="宋体"/>
                      <w:color w:val="auto"/>
                      <w:sz w:val="15"/>
                      <w:szCs w:val="15"/>
                      <w:lang w:val="en-US" w:eastAsia="zh-CN"/>
                    </w:rPr>
                  </w:pPr>
                  <w:r>
                    <w:rPr>
                      <w:rFonts w:hint="eastAsia"/>
                      <w:color w:val="auto"/>
                      <w:sz w:val="15"/>
                      <w:szCs w:val="15"/>
                      <w:lang w:val="en-US" w:eastAsia="zh-CN"/>
                    </w:rPr>
                    <w:t>0.0017</w:t>
                  </w:r>
                </w:p>
              </w:tc>
              <w:tc>
                <w:tcPr>
                  <w:tcW w:w="850" w:type="pct"/>
                  <w:vMerge w:val="continue"/>
                  <w:vAlign w:val="center"/>
                </w:tcPr>
                <w:p w14:paraId="0929B4A6">
                  <w:pPr>
                    <w:jc w:val="center"/>
                    <w:rPr>
                      <w:color w:val="auto"/>
                      <w:sz w:val="15"/>
                      <w:szCs w:val="15"/>
                    </w:rPr>
                  </w:pPr>
                </w:p>
              </w:tc>
              <w:tc>
                <w:tcPr>
                  <w:tcW w:w="553" w:type="pct"/>
                  <w:vMerge w:val="continue"/>
                  <w:vAlign w:val="center"/>
                </w:tcPr>
                <w:p w14:paraId="15D519A8">
                  <w:pPr>
                    <w:jc w:val="center"/>
                    <w:rPr>
                      <w:color w:val="auto"/>
                      <w:sz w:val="15"/>
                      <w:szCs w:val="15"/>
                    </w:rPr>
                  </w:pPr>
                </w:p>
              </w:tc>
              <w:tc>
                <w:tcPr>
                  <w:tcW w:w="381" w:type="pct"/>
                  <w:vAlign w:val="center"/>
                </w:tcPr>
                <w:p w14:paraId="7EE1E785">
                  <w:pPr>
                    <w:jc w:val="center"/>
                    <w:rPr>
                      <w:rFonts w:hint="default" w:eastAsia="宋体"/>
                      <w:color w:val="auto"/>
                      <w:sz w:val="15"/>
                      <w:szCs w:val="15"/>
                      <w:lang w:val="en-US" w:eastAsia="zh-CN"/>
                    </w:rPr>
                  </w:pPr>
                  <w:r>
                    <w:rPr>
                      <w:rFonts w:hint="eastAsia"/>
                      <w:color w:val="auto"/>
                      <w:sz w:val="15"/>
                      <w:szCs w:val="15"/>
                      <w:lang w:val="en-US" w:eastAsia="zh-CN"/>
                    </w:rPr>
                    <w:t>1.07</w:t>
                  </w:r>
                </w:p>
              </w:tc>
              <w:tc>
                <w:tcPr>
                  <w:tcW w:w="437" w:type="pct"/>
                  <w:vAlign w:val="center"/>
                </w:tcPr>
                <w:p w14:paraId="4CA4EB2B">
                  <w:pPr>
                    <w:jc w:val="center"/>
                    <w:rPr>
                      <w:rFonts w:hint="default" w:eastAsia="宋体"/>
                      <w:color w:val="auto"/>
                      <w:sz w:val="15"/>
                      <w:szCs w:val="15"/>
                      <w:lang w:val="en-US" w:eastAsia="zh-CN"/>
                    </w:rPr>
                  </w:pPr>
                  <w:r>
                    <w:rPr>
                      <w:rFonts w:hint="eastAsia"/>
                      <w:color w:val="auto"/>
                      <w:sz w:val="15"/>
                      <w:szCs w:val="15"/>
                      <w:lang w:val="en-US" w:eastAsia="zh-CN"/>
                    </w:rPr>
                    <w:t>0.001</w:t>
                  </w:r>
                </w:p>
              </w:tc>
              <w:tc>
                <w:tcPr>
                  <w:tcW w:w="437" w:type="pct"/>
                  <w:vAlign w:val="center"/>
                </w:tcPr>
                <w:p w14:paraId="5D5F73B8">
                  <w:pPr>
                    <w:jc w:val="center"/>
                    <w:rPr>
                      <w:rFonts w:hint="default" w:eastAsia="宋体"/>
                      <w:color w:val="auto"/>
                      <w:sz w:val="15"/>
                      <w:szCs w:val="15"/>
                      <w:lang w:val="en-US" w:eastAsia="zh-CN"/>
                    </w:rPr>
                  </w:pPr>
                  <w:r>
                    <w:rPr>
                      <w:rFonts w:hint="eastAsia"/>
                      <w:color w:val="auto"/>
                      <w:sz w:val="15"/>
                      <w:szCs w:val="15"/>
                      <w:lang w:val="en-US" w:eastAsia="zh-CN"/>
                    </w:rPr>
                    <w:t>0.0011</w:t>
                  </w:r>
                </w:p>
              </w:tc>
            </w:tr>
            <w:tr w14:paraId="1686E1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82" w:type="pct"/>
                  <w:gridSpan w:val="2"/>
                  <w:vMerge w:val="continue"/>
                  <w:vAlign w:val="center"/>
                </w:tcPr>
                <w:p w14:paraId="46D7FC2C">
                  <w:pPr>
                    <w:jc w:val="center"/>
                    <w:rPr>
                      <w:color w:val="auto"/>
                      <w:sz w:val="15"/>
                      <w:szCs w:val="15"/>
                    </w:rPr>
                  </w:pPr>
                </w:p>
              </w:tc>
              <w:tc>
                <w:tcPr>
                  <w:tcW w:w="576" w:type="pct"/>
                  <w:vAlign w:val="center"/>
                </w:tcPr>
                <w:p w14:paraId="6C2DC68B">
                  <w:pPr>
                    <w:jc w:val="center"/>
                    <w:rPr>
                      <w:color w:val="auto"/>
                      <w:sz w:val="15"/>
                      <w:szCs w:val="15"/>
                    </w:rPr>
                  </w:pPr>
                  <w:r>
                    <w:rPr>
                      <w:rFonts w:hint="eastAsia"/>
                      <w:color w:val="auto"/>
                      <w:sz w:val="15"/>
                      <w:szCs w:val="15"/>
                      <w:lang w:val="en-US" w:eastAsia="zh-CN"/>
                    </w:rPr>
                    <w:t>NO</w:t>
                  </w:r>
                  <w:r>
                    <w:rPr>
                      <w:rFonts w:hint="eastAsia"/>
                      <w:color w:val="auto"/>
                      <w:sz w:val="15"/>
                      <w:szCs w:val="15"/>
                      <w:vertAlign w:val="subscript"/>
                      <w:lang w:val="en-US" w:eastAsia="zh-CN"/>
                    </w:rPr>
                    <w:t>x</w:t>
                  </w:r>
                </w:p>
              </w:tc>
              <w:tc>
                <w:tcPr>
                  <w:tcW w:w="410" w:type="pct"/>
                  <w:vMerge w:val="continue"/>
                  <w:vAlign w:val="center"/>
                </w:tcPr>
                <w:p w14:paraId="338AC8AC">
                  <w:pPr>
                    <w:jc w:val="center"/>
                    <w:rPr>
                      <w:color w:val="auto"/>
                      <w:sz w:val="15"/>
                      <w:szCs w:val="15"/>
                    </w:rPr>
                  </w:pPr>
                </w:p>
              </w:tc>
              <w:tc>
                <w:tcPr>
                  <w:tcW w:w="469" w:type="pct"/>
                  <w:vAlign w:val="center"/>
                </w:tcPr>
                <w:p w14:paraId="382741C5">
                  <w:pPr>
                    <w:jc w:val="center"/>
                    <w:rPr>
                      <w:rFonts w:hint="default" w:eastAsia="宋体"/>
                      <w:color w:val="auto"/>
                      <w:sz w:val="15"/>
                      <w:szCs w:val="15"/>
                      <w:lang w:val="en-US" w:eastAsia="zh-CN"/>
                    </w:rPr>
                  </w:pPr>
                  <w:r>
                    <w:rPr>
                      <w:rFonts w:hint="eastAsia"/>
                      <w:color w:val="auto"/>
                      <w:sz w:val="15"/>
                      <w:szCs w:val="15"/>
                      <w:lang w:val="en-US" w:eastAsia="zh-CN"/>
                    </w:rPr>
                    <w:t>0.1364</w:t>
                  </w:r>
                </w:p>
              </w:tc>
              <w:tc>
                <w:tcPr>
                  <w:tcW w:w="850" w:type="pct"/>
                  <w:vMerge w:val="continue"/>
                  <w:vAlign w:val="center"/>
                </w:tcPr>
                <w:p w14:paraId="173F5F1A">
                  <w:pPr>
                    <w:jc w:val="center"/>
                    <w:rPr>
                      <w:color w:val="auto"/>
                      <w:sz w:val="15"/>
                      <w:szCs w:val="15"/>
                    </w:rPr>
                  </w:pPr>
                </w:p>
              </w:tc>
              <w:tc>
                <w:tcPr>
                  <w:tcW w:w="553" w:type="pct"/>
                  <w:vMerge w:val="continue"/>
                  <w:vAlign w:val="center"/>
                </w:tcPr>
                <w:p w14:paraId="6E6DA7C9">
                  <w:pPr>
                    <w:jc w:val="center"/>
                    <w:rPr>
                      <w:color w:val="auto"/>
                      <w:sz w:val="15"/>
                      <w:szCs w:val="15"/>
                    </w:rPr>
                  </w:pPr>
                </w:p>
              </w:tc>
              <w:tc>
                <w:tcPr>
                  <w:tcW w:w="381" w:type="pct"/>
                  <w:vAlign w:val="center"/>
                </w:tcPr>
                <w:p w14:paraId="19523988">
                  <w:pPr>
                    <w:jc w:val="center"/>
                    <w:rPr>
                      <w:rFonts w:hint="default" w:eastAsia="宋体"/>
                      <w:color w:val="auto"/>
                      <w:sz w:val="15"/>
                      <w:szCs w:val="15"/>
                      <w:lang w:val="en-US" w:eastAsia="zh-CN"/>
                    </w:rPr>
                  </w:pPr>
                  <w:r>
                    <w:rPr>
                      <w:rFonts w:hint="eastAsia"/>
                      <w:color w:val="auto"/>
                      <w:sz w:val="15"/>
                      <w:szCs w:val="15"/>
                      <w:lang w:val="en-US" w:eastAsia="zh-CN"/>
                    </w:rPr>
                    <w:t>85.09</w:t>
                  </w:r>
                </w:p>
              </w:tc>
              <w:tc>
                <w:tcPr>
                  <w:tcW w:w="437" w:type="pct"/>
                  <w:vAlign w:val="center"/>
                </w:tcPr>
                <w:p w14:paraId="48F66158">
                  <w:pPr>
                    <w:jc w:val="center"/>
                    <w:rPr>
                      <w:rFonts w:hint="default" w:eastAsia="宋体"/>
                      <w:color w:val="auto"/>
                      <w:sz w:val="15"/>
                      <w:szCs w:val="15"/>
                      <w:lang w:val="en-US" w:eastAsia="zh-CN"/>
                    </w:rPr>
                  </w:pPr>
                  <w:r>
                    <w:rPr>
                      <w:rFonts w:hint="eastAsia"/>
                      <w:color w:val="auto"/>
                      <w:sz w:val="15"/>
                      <w:szCs w:val="15"/>
                      <w:lang w:val="en-US" w:eastAsia="zh-CN"/>
                    </w:rPr>
                    <w:t>0.073</w:t>
                  </w:r>
                </w:p>
              </w:tc>
              <w:tc>
                <w:tcPr>
                  <w:tcW w:w="437" w:type="pct"/>
                  <w:vAlign w:val="center"/>
                </w:tcPr>
                <w:p w14:paraId="02A3BF9C">
                  <w:pPr>
                    <w:jc w:val="center"/>
                    <w:rPr>
                      <w:rFonts w:hint="default" w:eastAsia="宋体"/>
                      <w:color w:val="auto"/>
                      <w:sz w:val="15"/>
                      <w:szCs w:val="15"/>
                      <w:lang w:val="en-US" w:eastAsia="zh-CN"/>
                    </w:rPr>
                  </w:pPr>
                  <w:r>
                    <w:rPr>
                      <w:rFonts w:hint="eastAsia"/>
                      <w:color w:val="auto"/>
                      <w:sz w:val="15"/>
                      <w:szCs w:val="15"/>
                      <w:lang w:val="en-US" w:eastAsia="zh-CN"/>
                    </w:rPr>
                    <w:t>0.0873</w:t>
                  </w:r>
                </w:p>
              </w:tc>
            </w:tr>
            <w:tr w14:paraId="66EE2A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82" w:type="pct"/>
                  <w:gridSpan w:val="2"/>
                  <w:vMerge w:val="restart"/>
                  <w:vAlign w:val="center"/>
                </w:tcPr>
                <w:p w14:paraId="570FECDB">
                  <w:pPr>
                    <w:jc w:val="center"/>
                    <w:rPr>
                      <w:rFonts w:hint="default" w:eastAsia="宋体"/>
                      <w:color w:val="auto"/>
                      <w:sz w:val="15"/>
                      <w:szCs w:val="15"/>
                      <w:lang w:val="en-US" w:eastAsia="zh-CN"/>
                    </w:rPr>
                  </w:pPr>
                  <w:r>
                    <w:rPr>
                      <w:rFonts w:hint="eastAsia"/>
                      <w:color w:val="auto"/>
                      <w:sz w:val="15"/>
                      <w:szCs w:val="15"/>
                      <w:lang w:val="en-US" w:eastAsia="zh-CN"/>
                    </w:rPr>
                    <w:t>沥青预处理及搅拌</w:t>
                  </w:r>
                </w:p>
              </w:tc>
              <w:tc>
                <w:tcPr>
                  <w:tcW w:w="576" w:type="pct"/>
                  <w:vAlign w:val="center"/>
                </w:tcPr>
                <w:p w14:paraId="452F7042">
                  <w:pPr>
                    <w:jc w:val="center"/>
                    <w:rPr>
                      <w:rFonts w:hint="eastAsia" w:eastAsia="宋体"/>
                      <w:color w:val="auto"/>
                      <w:sz w:val="15"/>
                      <w:szCs w:val="15"/>
                      <w:lang w:val="en-US" w:eastAsia="zh-CN"/>
                    </w:rPr>
                  </w:pPr>
                  <w:r>
                    <w:rPr>
                      <w:rFonts w:hint="eastAsia"/>
                      <w:color w:val="auto"/>
                      <w:sz w:val="15"/>
                      <w:szCs w:val="15"/>
                      <w:lang w:val="en-US" w:eastAsia="zh-CN"/>
                    </w:rPr>
                    <w:t>沥青烟</w:t>
                  </w:r>
                </w:p>
              </w:tc>
              <w:tc>
                <w:tcPr>
                  <w:tcW w:w="410" w:type="pct"/>
                  <w:vMerge w:val="restart"/>
                  <w:vAlign w:val="center"/>
                </w:tcPr>
                <w:p w14:paraId="40918C05">
                  <w:pPr>
                    <w:jc w:val="center"/>
                    <w:rPr>
                      <w:rFonts w:hint="default" w:eastAsia="宋体"/>
                      <w:color w:val="auto"/>
                      <w:sz w:val="15"/>
                      <w:szCs w:val="15"/>
                      <w:lang w:val="en-US" w:eastAsia="zh-CN"/>
                    </w:rPr>
                  </w:pPr>
                  <w:r>
                    <w:rPr>
                      <w:rFonts w:hint="eastAsia"/>
                      <w:color w:val="auto"/>
                      <w:sz w:val="15"/>
                      <w:szCs w:val="15"/>
                      <w:lang w:val="en-US" w:eastAsia="zh-CN"/>
                    </w:rPr>
                    <w:t>5500</w:t>
                  </w:r>
                </w:p>
              </w:tc>
              <w:tc>
                <w:tcPr>
                  <w:tcW w:w="469" w:type="pct"/>
                  <w:vAlign w:val="center"/>
                </w:tcPr>
                <w:p w14:paraId="5D606768">
                  <w:pPr>
                    <w:jc w:val="center"/>
                    <w:rPr>
                      <w:rFonts w:hint="default" w:eastAsia="宋体"/>
                      <w:color w:val="auto"/>
                      <w:sz w:val="15"/>
                      <w:szCs w:val="15"/>
                      <w:lang w:val="en-US" w:eastAsia="zh-CN"/>
                    </w:rPr>
                  </w:pPr>
                  <w:r>
                    <w:rPr>
                      <w:rFonts w:hint="eastAsia"/>
                      <w:color w:val="auto"/>
                      <w:sz w:val="15"/>
                      <w:szCs w:val="15"/>
                      <w:lang w:val="en-US" w:eastAsia="zh-CN"/>
                    </w:rPr>
                    <w:t>0.1125</w:t>
                  </w:r>
                </w:p>
              </w:tc>
              <w:tc>
                <w:tcPr>
                  <w:tcW w:w="850" w:type="pct"/>
                  <w:vMerge w:val="restart"/>
                  <w:vAlign w:val="center"/>
                </w:tcPr>
                <w:p w14:paraId="647F8AF0">
                  <w:pPr>
                    <w:jc w:val="center"/>
                    <w:rPr>
                      <w:rFonts w:hint="default" w:eastAsia="宋体"/>
                      <w:color w:val="auto"/>
                      <w:sz w:val="15"/>
                      <w:szCs w:val="15"/>
                      <w:lang w:val="en-US" w:eastAsia="zh-CN"/>
                    </w:rPr>
                  </w:pPr>
                  <w:r>
                    <w:rPr>
                      <w:rFonts w:hint="eastAsia"/>
                      <w:color w:val="auto"/>
                      <w:sz w:val="15"/>
                      <w:szCs w:val="15"/>
                      <w:lang w:val="en-US" w:eastAsia="zh-CN"/>
                    </w:rPr>
                    <w:t>将沥青搅拌机组封闭，并在沥青储罐呼吸孔和成品沥青混凝土储存仓出料口处设置集气罩，通过风管将废气通入1套冷凝器+活性炭吸附装置，集气效率95%，去除效率90%</w:t>
                  </w:r>
                </w:p>
              </w:tc>
              <w:tc>
                <w:tcPr>
                  <w:tcW w:w="553" w:type="pct"/>
                  <w:vMerge w:val="restart"/>
                  <w:vAlign w:val="center"/>
                </w:tcPr>
                <w:p w14:paraId="19A74490">
                  <w:pPr>
                    <w:jc w:val="center"/>
                    <w:rPr>
                      <w:color w:val="auto"/>
                      <w:sz w:val="15"/>
                      <w:szCs w:val="15"/>
                    </w:rPr>
                  </w:pPr>
                  <w:r>
                    <w:rPr>
                      <w:rFonts w:hint="eastAsia"/>
                      <w:color w:val="auto"/>
                      <w:sz w:val="15"/>
                      <w:szCs w:val="15"/>
                      <w:lang w:val="en-US" w:eastAsia="zh-CN"/>
                    </w:rPr>
                    <w:t>DA003（H15m，φ0.3m）</w:t>
                  </w:r>
                </w:p>
              </w:tc>
              <w:tc>
                <w:tcPr>
                  <w:tcW w:w="381" w:type="pct"/>
                  <w:vAlign w:val="center"/>
                </w:tcPr>
                <w:p w14:paraId="2CA89330">
                  <w:pPr>
                    <w:jc w:val="center"/>
                    <w:rPr>
                      <w:rFonts w:hint="default" w:eastAsia="宋体"/>
                      <w:color w:val="auto"/>
                      <w:sz w:val="15"/>
                      <w:szCs w:val="15"/>
                      <w:lang w:val="en-US" w:eastAsia="zh-CN"/>
                    </w:rPr>
                  </w:pPr>
                  <w:r>
                    <w:rPr>
                      <w:rFonts w:hint="eastAsia"/>
                      <w:color w:val="auto"/>
                      <w:sz w:val="15"/>
                      <w:szCs w:val="15"/>
                      <w:lang w:val="en-US" w:eastAsia="zh-CN"/>
                    </w:rPr>
                    <w:t>0.89</w:t>
                  </w:r>
                </w:p>
              </w:tc>
              <w:tc>
                <w:tcPr>
                  <w:tcW w:w="437" w:type="pct"/>
                  <w:vAlign w:val="center"/>
                </w:tcPr>
                <w:p w14:paraId="52B3781B">
                  <w:pPr>
                    <w:jc w:val="center"/>
                    <w:rPr>
                      <w:rFonts w:hint="default" w:eastAsia="宋体"/>
                      <w:color w:val="auto"/>
                      <w:sz w:val="15"/>
                      <w:szCs w:val="15"/>
                      <w:lang w:val="en-US" w:eastAsia="zh-CN"/>
                    </w:rPr>
                  </w:pPr>
                  <w:r>
                    <w:rPr>
                      <w:rFonts w:hint="eastAsia"/>
                      <w:color w:val="auto"/>
                      <w:sz w:val="15"/>
                      <w:szCs w:val="15"/>
                      <w:lang w:val="en-US" w:eastAsia="zh-CN"/>
                    </w:rPr>
                    <w:t>0.009</w:t>
                  </w:r>
                </w:p>
              </w:tc>
              <w:tc>
                <w:tcPr>
                  <w:tcW w:w="437" w:type="pct"/>
                  <w:vAlign w:val="center"/>
                </w:tcPr>
                <w:p w14:paraId="1ED727D8">
                  <w:pPr>
                    <w:jc w:val="center"/>
                    <w:rPr>
                      <w:rFonts w:hint="default" w:eastAsia="宋体"/>
                      <w:color w:val="auto"/>
                      <w:sz w:val="15"/>
                      <w:szCs w:val="15"/>
                      <w:lang w:val="en-US" w:eastAsia="zh-CN"/>
                    </w:rPr>
                  </w:pPr>
                  <w:r>
                    <w:rPr>
                      <w:rFonts w:hint="eastAsia"/>
                      <w:color w:val="auto"/>
                      <w:sz w:val="15"/>
                      <w:szCs w:val="15"/>
                      <w:lang w:val="en-US" w:eastAsia="zh-CN"/>
                    </w:rPr>
                    <w:t>0.011</w:t>
                  </w:r>
                </w:p>
              </w:tc>
            </w:tr>
            <w:tr w14:paraId="44F7DD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72" w:hRule="atLeast"/>
                <w:jc w:val="center"/>
              </w:trPr>
              <w:tc>
                <w:tcPr>
                  <w:tcW w:w="882" w:type="pct"/>
                  <w:gridSpan w:val="2"/>
                  <w:vMerge w:val="continue"/>
                  <w:vAlign w:val="center"/>
                </w:tcPr>
                <w:p w14:paraId="52DD90D8">
                  <w:pPr>
                    <w:jc w:val="center"/>
                    <w:rPr>
                      <w:color w:val="auto"/>
                      <w:sz w:val="15"/>
                      <w:szCs w:val="15"/>
                    </w:rPr>
                  </w:pPr>
                </w:p>
              </w:tc>
              <w:tc>
                <w:tcPr>
                  <w:tcW w:w="576" w:type="pct"/>
                  <w:vAlign w:val="center"/>
                </w:tcPr>
                <w:p w14:paraId="26BA1FEA">
                  <w:pPr>
                    <w:jc w:val="center"/>
                    <w:rPr>
                      <w:rFonts w:hint="eastAsia" w:eastAsia="宋体"/>
                      <w:color w:val="auto"/>
                      <w:sz w:val="15"/>
                      <w:szCs w:val="15"/>
                      <w:lang w:val="en-US" w:eastAsia="zh-CN"/>
                    </w:rPr>
                  </w:pPr>
                  <w:r>
                    <w:rPr>
                      <w:rFonts w:hint="eastAsia"/>
                      <w:color w:val="auto"/>
                      <w:sz w:val="15"/>
                      <w:szCs w:val="15"/>
                      <w:lang w:val="en-US" w:eastAsia="zh-CN"/>
                    </w:rPr>
                    <w:t>苯并[a]芘</w:t>
                  </w:r>
                </w:p>
              </w:tc>
              <w:tc>
                <w:tcPr>
                  <w:tcW w:w="410" w:type="pct"/>
                  <w:vMerge w:val="continue"/>
                  <w:vAlign w:val="center"/>
                </w:tcPr>
                <w:p w14:paraId="529CDB47">
                  <w:pPr>
                    <w:jc w:val="center"/>
                    <w:rPr>
                      <w:color w:val="auto"/>
                      <w:sz w:val="15"/>
                      <w:szCs w:val="15"/>
                    </w:rPr>
                  </w:pPr>
                </w:p>
              </w:tc>
              <w:tc>
                <w:tcPr>
                  <w:tcW w:w="469" w:type="pct"/>
                  <w:vAlign w:val="center"/>
                </w:tcPr>
                <w:p w14:paraId="70B398C7">
                  <w:pPr>
                    <w:jc w:val="center"/>
                    <w:rPr>
                      <w:rFonts w:hint="default" w:eastAsia="宋体"/>
                      <w:color w:val="auto"/>
                      <w:sz w:val="15"/>
                      <w:szCs w:val="15"/>
                      <w:lang w:val="en-US" w:eastAsia="zh-CN"/>
                    </w:rPr>
                  </w:pPr>
                  <w:r>
                    <w:rPr>
                      <w:rFonts w:hint="eastAsia"/>
                      <w:color w:val="auto"/>
                      <w:sz w:val="15"/>
                      <w:szCs w:val="15"/>
                      <w:lang w:val="en-US" w:eastAsia="zh-CN"/>
                    </w:rPr>
                    <w:t>0.0003</w:t>
                  </w:r>
                </w:p>
              </w:tc>
              <w:tc>
                <w:tcPr>
                  <w:tcW w:w="850" w:type="pct"/>
                  <w:vMerge w:val="continue"/>
                  <w:vAlign w:val="center"/>
                </w:tcPr>
                <w:p w14:paraId="0B347EA7">
                  <w:pPr>
                    <w:jc w:val="center"/>
                    <w:rPr>
                      <w:color w:val="auto"/>
                      <w:sz w:val="15"/>
                      <w:szCs w:val="15"/>
                    </w:rPr>
                  </w:pPr>
                </w:p>
              </w:tc>
              <w:tc>
                <w:tcPr>
                  <w:tcW w:w="553" w:type="pct"/>
                  <w:vMerge w:val="continue"/>
                  <w:vAlign w:val="center"/>
                </w:tcPr>
                <w:p w14:paraId="33B2534E">
                  <w:pPr>
                    <w:jc w:val="center"/>
                    <w:rPr>
                      <w:color w:val="auto"/>
                      <w:sz w:val="15"/>
                      <w:szCs w:val="15"/>
                    </w:rPr>
                  </w:pPr>
                </w:p>
              </w:tc>
              <w:tc>
                <w:tcPr>
                  <w:tcW w:w="381" w:type="pct"/>
                  <w:vAlign w:val="center"/>
                </w:tcPr>
                <w:p w14:paraId="527F8271">
                  <w:pPr>
                    <w:jc w:val="center"/>
                    <w:rPr>
                      <w:rFonts w:hint="default" w:eastAsia="宋体"/>
                      <w:color w:val="auto"/>
                      <w:sz w:val="15"/>
                      <w:szCs w:val="15"/>
                      <w:lang w:val="en-US" w:eastAsia="zh-CN"/>
                    </w:rPr>
                  </w:pPr>
                  <w:r>
                    <w:rPr>
                      <w:rFonts w:hint="eastAsia"/>
                      <w:color w:val="auto"/>
                      <w:sz w:val="15"/>
                      <w:szCs w:val="15"/>
                      <w:lang w:val="en-US" w:eastAsia="zh-CN"/>
                    </w:rPr>
                    <w:t>0.002</w:t>
                  </w:r>
                </w:p>
              </w:tc>
              <w:tc>
                <w:tcPr>
                  <w:tcW w:w="437" w:type="pct"/>
                  <w:vAlign w:val="center"/>
                </w:tcPr>
                <w:p w14:paraId="2C2842E7">
                  <w:pPr>
                    <w:jc w:val="center"/>
                    <w:rPr>
                      <w:rFonts w:hint="default" w:eastAsia="宋体"/>
                      <w:color w:val="auto"/>
                      <w:sz w:val="15"/>
                      <w:szCs w:val="15"/>
                      <w:lang w:val="en-US" w:eastAsia="zh-CN"/>
                    </w:rPr>
                  </w:pPr>
                  <w:r>
                    <w:rPr>
                      <w:rFonts w:hint="eastAsia"/>
                      <w:color w:val="auto"/>
                      <w:sz w:val="15"/>
                      <w:szCs w:val="15"/>
                      <w:lang w:val="en-US" w:eastAsia="zh-CN"/>
                    </w:rPr>
                    <w:t>0.00002</w:t>
                  </w:r>
                </w:p>
              </w:tc>
              <w:tc>
                <w:tcPr>
                  <w:tcW w:w="437" w:type="pct"/>
                  <w:vAlign w:val="center"/>
                </w:tcPr>
                <w:p w14:paraId="5317C9AA">
                  <w:pPr>
                    <w:jc w:val="center"/>
                    <w:rPr>
                      <w:rFonts w:hint="default" w:eastAsia="宋体"/>
                      <w:color w:val="auto"/>
                      <w:sz w:val="15"/>
                      <w:szCs w:val="15"/>
                      <w:lang w:val="en-US" w:eastAsia="zh-CN"/>
                    </w:rPr>
                  </w:pPr>
                  <w:r>
                    <w:rPr>
                      <w:rFonts w:hint="eastAsia"/>
                      <w:color w:val="auto"/>
                      <w:sz w:val="15"/>
                      <w:szCs w:val="15"/>
                      <w:lang w:val="en-US" w:eastAsia="zh-CN"/>
                    </w:rPr>
                    <w:t>0.00003</w:t>
                  </w:r>
                </w:p>
              </w:tc>
            </w:tr>
            <w:tr w14:paraId="710D82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82" w:type="pct"/>
                  <w:gridSpan w:val="2"/>
                  <w:vMerge w:val="continue"/>
                  <w:vAlign w:val="center"/>
                </w:tcPr>
                <w:p w14:paraId="42CDE195">
                  <w:pPr>
                    <w:jc w:val="center"/>
                    <w:rPr>
                      <w:color w:val="auto"/>
                      <w:sz w:val="15"/>
                      <w:szCs w:val="15"/>
                    </w:rPr>
                  </w:pPr>
                </w:p>
              </w:tc>
              <w:tc>
                <w:tcPr>
                  <w:tcW w:w="576" w:type="pct"/>
                  <w:vAlign w:val="center"/>
                </w:tcPr>
                <w:p w14:paraId="7FC398D6">
                  <w:pPr>
                    <w:jc w:val="center"/>
                    <w:rPr>
                      <w:rFonts w:hint="eastAsia" w:eastAsia="宋体"/>
                      <w:color w:val="auto"/>
                      <w:sz w:val="15"/>
                      <w:szCs w:val="15"/>
                      <w:lang w:val="en-US" w:eastAsia="zh-CN"/>
                    </w:rPr>
                  </w:pPr>
                  <w:r>
                    <w:rPr>
                      <w:rFonts w:hint="eastAsia"/>
                      <w:color w:val="auto"/>
                      <w:sz w:val="15"/>
                      <w:szCs w:val="15"/>
                      <w:lang w:val="en-US" w:eastAsia="zh-CN"/>
                    </w:rPr>
                    <w:t>非甲烷总烃</w:t>
                  </w:r>
                </w:p>
              </w:tc>
              <w:tc>
                <w:tcPr>
                  <w:tcW w:w="410" w:type="pct"/>
                  <w:vMerge w:val="continue"/>
                  <w:vAlign w:val="center"/>
                </w:tcPr>
                <w:p w14:paraId="1606EE08">
                  <w:pPr>
                    <w:jc w:val="center"/>
                    <w:rPr>
                      <w:color w:val="auto"/>
                      <w:sz w:val="15"/>
                      <w:szCs w:val="15"/>
                    </w:rPr>
                  </w:pPr>
                </w:p>
              </w:tc>
              <w:tc>
                <w:tcPr>
                  <w:tcW w:w="469" w:type="pct"/>
                  <w:vAlign w:val="center"/>
                </w:tcPr>
                <w:p w14:paraId="5EBD9A13">
                  <w:pPr>
                    <w:jc w:val="center"/>
                    <w:rPr>
                      <w:rFonts w:hint="default" w:eastAsia="宋体"/>
                      <w:color w:val="auto"/>
                      <w:sz w:val="15"/>
                      <w:szCs w:val="15"/>
                      <w:lang w:val="en-US" w:eastAsia="zh-CN"/>
                    </w:rPr>
                  </w:pPr>
                  <w:r>
                    <w:rPr>
                      <w:rFonts w:hint="eastAsia"/>
                      <w:color w:val="auto"/>
                      <w:sz w:val="15"/>
                      <w:szCs w:val="15"/>
                      <w:lang w:val="en-US" w:eastAsia="zh-CN"/>
                    </w:rPr>
                    <w:t>0.0717</w:t>
                  </w:r>
                </w:p>
              </w:tc>
              <w:tc>
                <w:tcPr>
                  <w:tcW w:w="850" w:type="pct"/>
                  <w:vMerge w:val="continue"/>
                  <w:vAlign w:val="center"/>
                </w:tcPr>
                <w:p w14:paraId="3E7B8B7F">
                  <w:pPr>
                    <w:jc w:val="center"/>
                    <w:rPr>
                      <w:color w:val="auto"/>
                      <w:sz w:val="15"/>
                      <w:szCs w:val="15"/>
                    </w:rPr>
                  </w:pPr>
                </w:p>
              </w:tc>
              <w:tc>
                <w:tcPr>
                  <w:tcW w:w="553" w:type="pct"/>
                  <w:vMerge w:val="continue"/>
                  <w:vAlign w:val="center"/>
                </w:tcPr>
                <w:p w14:paraId="47A03C38">
                  <w:pPr>
                    <w:jc w:val="center"/>
                    <w:rPr>
                      <w:color w:val="auto"/>
                      <w:sz w:val="15"/>
                      <w:szCs w:val="15"/>
                    </w:rPr>
                  </w:pPr>
                </w:p>
              </w:tc>
              <w:tc>
                <w:tcPr>
                  <w:tcW w:w="381" w:type="pct"/>
                  <w:vAlign w:val="center"/>
                </w:tcPr>
                <w:p w14:paraId="2D552827">
                  <w:pPr>
                    <w:jc w:val="center"/>
                    <w:rPr>
                      <w:rFonts w:hint="default" w:eastAsia="宋体"/>
                      <w:color w:val="auto"/>
                      <w:sz w:val="15"/>
                      <w:szCs w:val="15"/>
                      <w:lang w:val="en-US" w:eastAsia="zh-CN"/>
                    </w:rPr>
                  </w:pPr>
                  <w:r>
                    <w:rPr>
                      <w:rFonts w:hint="eastAsia"/>
                      <w:color w:val="auto"/>
                      <w:sz w:val="15"/>
                      <w:szCs w:val="15"/>
                      <w:lang w:val="en-US" w:eastAsia="zh-CN"/>
                    </w:rPr>
                    <w:t>0.57</w:t>
                  </w:r>
                </w:p>
              </w:tc>
              <w:tc>
                <w:tcPr>
                  <w:tcW w:w="437" w:type="pct"/>
                  <w:vAlign w:val="center"/>
                </w:tcPr>
                <w:p w14:paraId="210C845D">
                  <w:pPr>
                    <w:jc w:val="center"/>
                    <w:rPr>
                      <w:rFonts w:hint="default" w:eastAsia="宋体"/>
                      <w:color w:val="auto"/>
                      <w:sz w:val="15"/>
                      <w:szCs w:val="15"/>
                      <w:lang w:val="en-US" w:eastAsia="zh-CN"/>
                    </w:rPr>
                  </w:pPr>
                  <w:r>
                    <w:rPr>
                      <w:rFonts w:hint="eastAsia"/>
                      <w:color w:val="auto"/>
                      <w:sz w:val="15"/>
                      <w:szCs w:val="15"/>
                      <w:lang w:val="en-US" w:eastAsia="zh-CN"/>
                    </w:rPr>
                    <w:t>0.006</w:t>
                  </w:r>
                </w:p>
              </w:tc>
              <w:tc>
                <w:tcPr>
                  <w:tcW w:w="437" w:type="pct"/>
                  <w:vAlign w:val="center"/>
                </w:tcPr>
                <w:p w14:paraId="3CD48488">
                  <w:pPr>
                    <w:jc w:val="center"/>
                    <w:rPr>
                      <w:rFonts w:hint="default" w:eastAsia="宋体"/>
                      <w:color w:val="auto"/>
                      <w:sz w:val="15"/>
                      <w:szCs w:val="15"/>
                      <w:lang w:val="en-US" w:eastAsia="zh-CN"/>
                    </w:rPr>
                  </w:pPr>
                  <w:r>
                    <w:rPr>
                      <w:rFonts w:hint="eastAsia"/>
                      <w:color w:val="auto"/>
                      <w:sz w:val="15"/>
                      <w:szCs w:val="15"/>
                      <w:lang w:val="en-US" w:eastAsia="zh-CN"/>
                    </w:rPr>
                    <w:t>0.007</w:t>
                  </w:r>
                </w:p>
              </w:tc>
            </w:tr>
            <w:tr w14:paraId="4A050D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82" w:type="pct"/>
                  <w:gridSpan w:val="2"/>
                  <w:vAlign w:val="center"/>
                </w:tcPr>
                <w:p w14:paraId="10F60EA6">
                  <w:pPr>
                    <w:jc w:val="center"/>
                    <w:rPr>
                      <w:rFonts w:hint="default" w:eastAsia="宋体"/>
                      <w:color w:val="auto"/>
                      <w:sz w:val="15"/>
                      <w:szCs w:val="15"/>
                      <w:lang w:val="en-US" w:eastAsia="zh-CN"/>
                    </w:rPr>
                  </w:pPr>
                  <w:r>
                    <w:rPr>
                      <w:rFonts w:hint="eastAsia"/>
                      <w:color w:val="auto"/>
                      <w:sz w:val="15"/>
                      <w:szCs w:val="15"/>
                      <w:lang w:val="en-US" w:eastAsia="zh-CN"/>
                    </w:rPr>
                    <w:t>混凝土搅拌</w:t>
                  </w:r>
                </w:p>
              </w:tc>
              <w:tc>
                <w:tcPr>
                  <w:tcW w:w="576" w:type="pct"/>
                  <w:vAlign w:val="center"/>
                </w:tcPr>
                <w:p w14:paraId="76F74C7A">
                  <w:pPr>
                    <w:jc w:val="center"/>
                    <w:rPr>
                      <w:rFonts w:hint="eastAsia" w:eastAsia="宋体"/>
                      <w:color w:val="auto"/>
                      <w:sz w:val="15"/>
                      <w:szCs w:val="15"/>
                      <w:lang w:val="en-US" w:eastAsia="zh-CN"/>
                    </w:rPr>
                  </w:pPr>
                  <w:r>
                    <w:rPr>
                      <w:rFonts w:hint="eastAsia"/>
                      <w:color w:val="auto"/>
                      <w:sz w:val="15"/>
                      <w:szCs w:val="15"/>
                      <w:lang w:val="en-US" w:eastAsia="zh-CN"/>
                    </w:rPr>
                    <w:t>颗粒物</w:t>
                  </w:r>
                </w:p>
              </w:tc>
              <w:tc>
                <w:tcPr>
                  <w:tcW w:w="410" w:type="pct"/>
                  <w:vAlign w:val="center"/>
                </w:tcPr>
                <w:p w14:paraId="697484C4">
                  <w:pPr>
                    <w:jc w:val="center"/>
                    <w:rPr>
                      <w:rFonts w:hint="default" w:eastAsia="宋体"/>
                      <w:color w:val="auto"/>
                      <w:sz w:val="15"/>
                      <w:szCs w:val="15"/>
                      <w:lang w:val="en-US" w:eastAsia="zh-CN"/>
                    </w:rPr>
                  </w:pPr>
                  <w:r>
                    <w:rPr>
                      <w:rFonts w:hint="eastAsia"/>
                      <w:color w:val="auto"/>
                      <w:sz w:val="15"/>
                      <w:szCs w:val="15"/>
                      <w:lang w:val="en-US" w:eastAsia="zh-CN"/>
                    </w:rPr>
                    <w:t>50000</w:t>
                  </w:r>
                </w:p>
              </w:tc>
              <w:tc>
                <w:tcPr>
                  <w:tcW w:w="469" w:type="pct"/>
                  <w:vAlign w:val="center"/>
                </w:tcPr>
                <w:p w14:paraId="7D3F00E0">
                  <w:pPr>
                    <w:jc w:val="center"/>
                    <w:rPr>
                      <w:rFonts w:hint="default" w:eastAsia="宋体"/>
                      <w:color w:val="auto"/>
                      <w:sz w:val="15"/>
                      <w:szCs w:val="15"/>
                      <w:lang w:val="en-US" w:eastAsia="zh-CN"/>
                    </w:rPr>
                  </w:pPr>
                  <w:r>
                    <w:rPr>
                      <w:rFonts w:hint="eastAsia"/>
                      <w:color w:val="auto"/>
                      <w:sz w:val="15"/>
                      <w:szCs w:val="15"/>
                      <w:lang w:val="en-US" w:eastAsia="zh-CN"/>
                    </w:rPr>
                    <w:t>62.4</w:t>
                  </w:r>
                </w:p>
              </w:tc>
              <w:tc>
                <w:tcPr>
                  <w:tcW w:w="850" w:type="pct"/>
                  <w:vAlign w:val="center"/>
                </w:tcPr>
                <w:p w14:paraId="5F7BDD2C">
                  <w:pPr>
                    <w:jc w:val="center"/>
                    <w:rPr>
                      <w:rFonts w:hint="default" w:eastAsia="宋体"/>
                      <w:color w:val="auto"/>
                      <w:sz w:val="15"/>
                      <w:szCs w:val="15"/>
                      <w:lang w:val="en-US" w:eastAsia="zh-CN"/>
                    </w:rPr>
                  </w:pPr>
                  <w:r>
                    <w:rPr>
                      <w:rFonts w:hint="eastAsia"/>
                      <w:color w:val="auto"/>
                      <w:sz w:val="15"/>
                      <w:szCs w:val="15"/>
                      <w:lang w:val="en-US" w:eastAsia="zh-CN"/>
                    </w:rPr>
                    <w:t>封闭搅拌机组，将废气引入1套布袋除尘器，集气效率95%，除尘效率99%</w:t>
                  </w:r>
                </w:p>
              </w:tc>
              <w:tc>
                <w:tcPr>
                  <w:tcW w:w="553" w:type="pct"/>
                  <w:vAlign w:val="center"/>
                </w:tcPr>
                <w:p w14:paraId="1966DB30">
                  <w:pPr>
                    <w:jc w:val="center"/>
                    <w:rPr>
                      <w:color w:val="auto"/>
                      <w:sz w:val="15"/>
                      <w:szCs w:val="15"/>
                    </w:rPr>
                  </w:pPr>
                  <w:r>
                    <w:rPr>
                      <w:rFonts w:hint="eastAsia"/>
                      <w:color w:val="auto"/>
                      <w:sz w:val="15"/>
                      <w:szCs w:val="15"/>
                      <w:lang w:val="en-US" w:eastAsia="zh-CN"/>
                    </w:rPr>
                    <w:t>DA004（H15m，φ0.5m</w:t>
                  </w:r>
                </w:p>
              </w:tc>
              <w:tc>
                <w:tcPr>
                  <w:tcW w:w="381" w:type="pct"/>
                  <w:vAlign w:val="center"/>
                </w:tcPr>
                <w:p w14:paraId="3B28ECE7">
                  <w:pPr>
                    <w:jc w:val="center"/>
                    <w:rPr>
                      <w:rFonts w:hint="default" w:eastAsia="宋体"/>
                      <w:color w:val="auto"/>
                      <w:sz w:val="15"/>
                      <w:szCs w:val="15"/>
                      <w:lang w:val="en-US" w:eastAsia="zh-CN"/>
                    </w:rPr>
                  </w:pPr>
                  <w:r>
                    <w:rPr>
                      <w:rFonts w:hint="eastAsia"/>
                      <w:color w:val="auto"/>
                      <w:sz w:val="15"/>
                      <w:szCs w:val="15"/>
                      <w:lang w:val="en-US" w:eastAsia="zh-CN"/>
                    </w:rPr>
                    <w:t>9.88</w:t>
                  </w:r>
                </w:p>
              </w:tc>
              <w:tc>
                <w:tcPr>
                  <w:tcW w:w="437" w:type="pct"/>
                  <w:vAlign w:val="center"/>
                </w:tcPr>
                <w:p w14:paraId="1B357DB0">
                  <w:pPr>
                    <w:jc w:val="center"/>
                    <w:rPr>
                      <w:rFonts w:hint="default" w:eastAsia="宋体"/>
                      <w:color w:val="auto"/>
                      <w:sz w:val="15"/>
                      <w:szCs w:val="15"/>
                      <w:lang w:val="en-US" w:eastAsia="zh-CN"/>
                    </w:rPr>
                  </w:pPr>
                  <w:r>
                    <w:rPr>
                      <w:rFonts w:hint="eastAsia"/>
                      <w:color w:val="auto"/>
                      <w:sz w:val="15"/>
                      <w:szCs w:val="15"/>
                      <w:lang w:val="en-US" w:eastAsia="zh-CN"/>
                    </w:rPr>
                    <w:t>0.49</w:t>
                  </w:r>
                </w:p>
              </w:tc>
              <w:tc>
                <w:tcPr>
                  <w:tcW w:w="437" w:type="pct"/>
                  <w:vAlign w:val="center"/>
                </w:tcPr>
                <w:p w14:paraId="665F2835">
                  <w:pPr>
                    <w:jc w:val="center"/>
                    <w:rPr>
                      <w:rFonts w:hint="default" w:eastAsia="宋体"/>
                      <w:color w:val="auto"/>
                      <w:sz w:val="15"/>
                      <w:szCs w:val="15"/>
                      <w:lang w:val="en-US" w:eastAsia="zh-CN"/>
                    </w:rPr>
                  </w:pPr>
                  <w:r>
                    <w:rPr>
                      <w:rFonts w:hint="eastAsia"/>
                      <w:color w:val="auto"/>
                      <w:sz w:val="15"/>
                      <w:szCs w:val="15"/>
                      <w:lang w:val="en-US" w:eastAsia="zh-CN"/>
                    </w:rPr>
                    <w:t>0.5928</w:t>
                  </w:r>
                </w:p>
              </w:tc>
            </w:tr>
            <w:tr w14:paraId="665646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82" w:type="pct"/>
                  <w:gridSpan w:val="2"/>
                  <w:shd w:val="clear" w:color="auto" w:fill="auto"/>
                  <w:vAlign w:val="center"/>
                </w:tcPr>
                <w:p w14:paraId="78DA430B">
                  <w:pPr>
                    <w:jc w:val="center"/>
                    <w:rPr>
                      <w:rFonts w:hint="eastAsia" w:ascii="Times New Roman" w:hAnsi="Times New Roman" w:eastAsia="宋体" w:cs="Times New Roman"/>
                      <w:color w:val="auto"/>
                      <w:kern w:val="2"/>
                      <w:sz w:val="15"/>
                      <w:szCs w:val="15"/>
                      <w:lang w:val="en-US" w:eastAsia="zh-CN" w:bidi="ar-SA"/>
                    </w:rPr>
                  </w:pPr>
                  <w:r>
                    <w:rPr>
                      <w:rFonts w:hint="eastAsia"/>
                      <w:color w:val="auto"/>
                      <w:sz w:val="15"/>
                      <w:szCs w:val="15"/>
                      <w:lang w:val="en-US" w:eastAsia="zh-CN"/>
                    </w:rPr>
                    <w:t>水稳土搅拌</w:t>
                  </w:r>
                </w:p>
              </w:tc>
              <w:tc>
                <w:tcPr>
                  <w:tcW w:w="576" w:type="pct"/>
                  <w:shd w:val="clear" w:color="auto" w:fill="auto"/>
                  <w:vAlign w:val="center"/>
                </w:tcPr>
                <w:p w14:paraId="0003825A">
                  <w:pPr>
                    <w:jc w:val="center"/>
                    <w:rPr>
                      <w:rFonts w:hint="eastAsia" w:ascii="Times New Roman" w:hAnsi="Times New Roman" w:eastAsia="宋体" w:cs="Times New Roman"/>
                      <w:color w:val="auto"/>
                      <w:kern w:val="2"/>
                      <w:sz w:val="15"/>
                      <w:szCs w:val="15"/>
                      <w:lang w:val="en-US" w:eastAsia="zh-CN" w:bidi="ar-SA"/>
                    </w:rPr>
                  </w:pPr>
                  <w:r>
                    <w:rPr>
                      <w:rFonts w:hint="eastAsia"/>
                      <w:color w:val="auto"/>
                      <w:sz w:val="15"/>
                      <w:szCs w:val="15"/>
                      <w:lang w:val="en-US" w:eastAsia="zh-CN"/>
                    </w:rPr>
                    <w:t>颗粒物</w:t>
                  </w:r>
                </w:p>
              </w:tc>
              <w:tc>
                <w:tcPr>
                  <w:tcW w:w="410" w:type="pct"/>
                  <w:shd w:val="clear" w:color="auto" w:fill="auto"/>
                  <w:vAlign w:val="center"/>
                </w:tcPr>
                <w:p w14:paraId="3CB756B7">
                  <w:pPr>
                    <w:jc w:val="center"/>
                    <w:rPr>
                      <w:rFonts w:hint="eastAsia" w:ascii="Times New Roman" w:hAnsi="Times New Roman" w:eastAsia="宋体" w:cs="Times New Roman"/>
                      <w:color w:val="auto"/>
                      <w:kern w:val="2"/>
                      <w:sz w:val="15"/>
                      <w:szCs w:val="15"/>
                      <w:lang w:val="en-US" w:eastAsia="zh-CN" w:bidi="ar-SA"/>
                    </w:rPr>
                  </w:pPr>
                  <w:r>
                    <w:rPr>
                      <w:rFonts w:hint="eastAsia"/>
                      <w:color w:val="auto"/>
                      <w:sz w:val="15"/>
                      <w:szCs w:val="15"/>
                      <w:lang w:val="en-US" w:eastAsia="zh-CN"/>
                    </w:rPr>
                    <w:t>12000</w:t>
                  </w:r>
                </w:p>
              </w:tc>
              <w:tc>
                <w:tcPr>
                  <w:tcW w:w="469" w:type="pct"/>
                  <w:shd w:val="clear" w:color="auto" w:fill="auto"/>
                  <w:vAlign w:val="center"/>
                </w:tcPr>
                <w:p w14:paraId="162816D8">
                  <w:pPr>
                    <w:jc w:val="center"/>
                    <w:rPr>
                      <w:rFonts w:hint="default" w:ascii="Times New Roman" w:hAnsi="Times New Roman" w:eastAsia="宋体" w:cs="Times New Roman"/>
                      <w:color w:val="auto"/>
                      <w:kern w:val="2"/>
                      <w:sz w:val="15"/>
                      <w:szCs w:val="15"/>
                      <w:lang w:val="en-US" w:eastAsia="zh-CN" w:bidi="ar-SA"/>
                    </w:rPr>
                  </w:pPr>
                  <w:r>
                    <w:rPr>
                      <w:rFonts w:hint="eastAsia"/>
                      <w:color w:val="auto"/>
                      <w:sz w:val="15"/>
                      <w:szCs w:val="15"/>
                      <w:lang w:val="en-US" w:eastAsia="zh-CN"/>
                    </w:rPr>
                    <w:t>14.3</w:t>
                  </w:r>
                </w:p>
              </w:tc>
              <w:tc>
                <w:tcPr>
                  <w:tcW w:w="850" w:type="pct"/>
                  <w:shd w:val="clear" w:color="auto" w:fill="auto"/>
                  <w:vAlign w:val="center"/>
                </w:tcPr>
                <w:p w14:paraId="6D6E7A74">
                  <w:pPr>
                    <w:jc w:val="center"/>
                    <w:rPr>
                      <w:rFonts w:hint="eastAsia" w:ascii="Times New Roman" w:hAnsi="Times New Roman" w:eastAsia="宋体" w:cs="Times New Roman"/>
                      <w:color w:val="auto"/>
                      <w:kern w:val="2"/>
                      <w:sz w:val="15"/>
                      <w:szCs w:val="15"/>
                      <w:lang w:val="en-US" w:eastAsia="zh-CN" w:bidi="ar-SA"/>
                    </w:rPr>
                  </w:pPr>
                  <w:r>
                    <w:rPr>
                      <w:rFonts w:hint="eastAsia"/>
                      <w:color w:val="auto"/>
                      <w:sz w:val="15"/>
                      <w:szCs w:val="15"/>
                      <w:lang w:val="en-US" w:eastAsia="zh-CN"/>
                    </w:rPr>
                    <w:t>封闭搅拌机组，将废气引入1套布袋除尘器，集气效率95%，除尘效率99%</w:t>
                  </w:r>
                </w:p>
              </w:tc>
              <w:tc>
                <w:tcPr>
                  <w:tcW w:w="553" w:type="pct"/>
                  <w:shd w:val="clear" w:color="auto" w:fill="auto"/>
                  <w:vAlign w:val="center"/>
                </w:tcPr>
                <w:p w14:paraId="66366D2A">
                  <w:pPr>
                    <w:jc w:val="center"/>
                    <w:rPr>
                      <w:rFonts w:hint="eastAsia" w:ascii="Times New Roman" w:hAnsi="Times New Roman" w:eastAsia="宋体" w:cs="Times New Roman"/>
                      <w:color w:val="auto"/>
                      <w:kern w:val="2"/>
                      <w:sz w:val="15"/>
                      <w:szCs w:val="15"/>
                      <w:lang w:val="en-US" w:eastAsia="zh-CN" w:bidi="ar-SA"/>
                    </w:rPr>
                  </w:pPr>
                  <w:r>
                    <w:rPr>
                      <w:rFonts w:hint="eastAsia"/>
                      <w:color w:val="auto"/>
                      <w:sz w:val="15"/>
                      <w:szCs w:val="15"/>
                      <w:lang w:val="en-US" w:eastAsia="zh-CN"/>
                    </w:rPr>
                    <w:t>DA005（H15m，φ0.5m</w:t>
                  </w:r>
                </w:p>
              </w:tc>
              <w:tc>
                <w:tcPr>
                  <w:tcW w:w="381" w:type="pct"/>
                  <w:shd w:val="clear" w:color="auto" w:fill="auto"/>
                  <w:vAlign w:val="center"/>
                </w:tcPr>
                <w:p w14:paraId="289AC4D8">
                  <w:pPr>
                    <w:jc w:val="center"/>
                    <w:rPr>
                      <w:rFonts w:hint="default" w:ascii="Times New Roman" w:hAnsi="Times New Roman" w:eastAsia="宋体" w:cs="Times New Roman"/>
                      <w:color w:val="auto"/>
                      <w:kern w:val="2"/>
                      <w:sz w:val="15"/>
                      <w:szCs w:val="15"/>
                      <w:lang w:val="en-US" w:eastAsia="zh-CN" w:bidi="ar-SA"/>
                    </w:rPr>
                  </w:pPr>
                  <w:r>
                    <w:rPr>
                      <w:rFonts w:hint="eastAsia"/>
                      <w:color w:val="auto"/>
                      <w:sz w:val="15"/>
                      <w:szCs w:val="15"/>
                      <w:lang w:val="en-US" w:eastAsia="zh-CN"/>
                    </w:rPr>
                    <w:t>9.43</w:t>
                  </w:r>
                </w:p>
              </w:tc>
              <w:tc>
                <w:tcPr>
                  <w:tcW w:w="437" w:type="pct"/>
                  <w:shd w:val="clear" w:color="auto" w:fill="auto"/>
                  <w:vAlign w:val="center"/>
                </w:tcPr>
                <w:p w14:paraId="06AAE6EF">
                  <w:pPr>
                    <w:jc w:val="center"/>
                    <w:rPr>
                      <w:rFonts w:hint="eastAsia" w:ascii="Times New Roman" w:hAnsi="Times New Roman" w:eastAsia="宋体" w:cs="Times New Roman"/>
                      <w:color w:val="auto"/>
                      <w:kern w:val="2"/>
                      <w:sz w:val="15"/>
                      <w:szCs w:val="15"/>
                      <w:lang w:val="en-US" w:eastAsia="zh-CN" w:bidi="ar-SA"/>
                    </w:rPr>
                  </w:pPr>
                  <w:r>
                    <w:rPr>
                      <w:rFonts w:hint="eastAsia"/>
                      <w:color w:val="auto"/>
                      <w:sz w:val="15"/>
                      <w:szCs w:val="15"/>
                      <w:lang w:val="en-US" w:eastAsia="zh-CN"/>
                    </w:rPr>
                    <w:t>0.11</w:t>
                  </w:r>
                </w:p>
              </w:tc>
              <w:tc>
                <w:tcPr>
                  <w:tcW w:w="437" w:type="pct"/>
                  <w:shd w:val="clear" w:color="auto" w:fill="auto"/>
                  <w:vAlign w:val="center"/>
                </w:tcPr>
                <w:p w14:paraId="2CEA3C5D">
                  <w:pPr>
                    <w:jc w:val="center"/>
                    <w:rPr>
                      <w:rFonts w:hint="default" w:ascii="Times New Roman" w:hAnsi="Times New Roman" w:eastAsia="宋体" w:cs="Times New Roman"/>
                      <w:color w:val="auto"/>
                      <w:kern w:val="2"/>
                      <w:sz w:val="15"/>
                      <w:szCs w:val="15"/>
                      <w:lang w:val="en-US" w:eastAsia="zh-CN" w:bidi="ar-SA"/>
                    </w:rPr>
                  </w:pPr>
                  <w:r>
                    <w:rPr>
                      <w:rFonts w:hint="eastAsia"/>
                      <w:color w:val="auto"/>
                      <w:sz w:val="15"/>
                      <w:szCs w:val="15"/>
                      <w:lang w:val="en-US" w:eastAsia="zh-CN"/>
                    </w:rPr>
                    <w:t>0.1359</w:t>
                  </w:r>
                </w:p>
              </w:tc>
            </w:tr>
            <w:tr w14:paraId="4C07CA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0" w:type="pct"/>
                  <w:vMerge w:val="restart"/>
                  <w:vAlign w:val="center"/>
                </w:tcPr>
                <w:p w14:paraId="30514BBC">
                  <w:pPr>
                    <w:jc w:val="center"/>
                    <w:rPr>
                      <w:rFonts w:hint="default" w:eastAsia="宋体"/>
                      <w:color w:val="auto"/>
                      <w:sz w:val="15"/>
                      <w:szCs w:val="15"/>
                      <w:lang w:val="en-US" w:eastAsia="zh-CN"/>
                    </w:rPr>
                  </w:pPr>
                  <w:r>
                    <w:rPr>
                      <w:rFonts w:hint="eastAsia"/>
                      <w:color w:val="auto"/>
                      <w:sz w:val="15"/>
                      <w:szCs w:val="15"/>
                      <w:lang w:val="en-US" w:eastAsia="zh-CN"/>
                    </w:rPr>
                    <w:t>粉料暂存（筒仓）</w:t>
                  </w:r>
                </w:p>
              </w:tc>
              <w:tc>
                <w:tcPr>
                  <w:tcW w:w="561" w:type="pct"/>
                  <w:shd w:val="clear" w:color="auto" w:fill="auto"/>
                  <w:vAlign w:val="center"/>
                </w:tcPr>
                <w:p w14:paraId="4F290F38">
                  <w:pPr>
                    <w:jc w:val="center"/>
                    <w:rPr>
                      <w:rFonts w:hint="eastAsia"/>
                      <w:color w:val="auto"/>
                      <w:sz w:val="15"/>
                      <w:szCs w:val="15"/>
                      <w:lang w:val="en-US" w:eastAsia="zh-CN"/>
                    </w:rPr>
                  </w:pPr>
                  <w:r>
                    <w:rPr>
                      <w:rFonts w:hint="eastAsia"/>
                      <w:color w:val="auto"/>
                      <w:sz w:val="15"/>
                      <w:szCs w:val="15"/>
                      <w:lang w:val="en-US" w:eastAsia="zh-CN"/>
                    </w:rPr>
                    <w:t>矿粉</w:t>
                  </w:r>
                </w:p>
                <w:p w14:paraId="61A14B76">
                  <w:pPr>
                    <w:jc w:val="center"/>
                    <w:rPr>
                      <w:rFonts w:hint="eastAsia" w:ascii="Times New Roman" w:hAnsi="Times New Roman" w:eastAsia="宋体" w:cs="Times New Roman"/>
                      <w:color w:val="auto"/>
                      <w:kern w:val="2"/>
                      <w:sz w:val="15"/>
                      <w:szCs w:val="15"/>
                      <w:lang w:val="en-US" w:eastAsia="zh-CN" w:bidi="ar-SA"/>
                    </w:rPr>
                  </w:pPr>
                  <w:r>
                    <w:rPr>
                      <w:rFonts w:hint="eastAsia"/>
                      <w:color w:val="auto"/>
                      <w:sz w:val="15"/>
                      <w:szCs w:val="15"/>
                      <w:lang w:val="en-US" w:eastAsia="zh-CN"/>
                    </w:rPr>
                    <w:t>（沥青）</w:t>
                  </w:r>
                </w:p>
              </w:tc>
              <w:tc>
                <w:tcPr>
                  <w:tcW w:w="576" w:type="pct"/>
                  <w:vAlign w:val="center"/>
                </w:tcPr>
                <w:p w14:paraId="44B55C0A">
                  <w:pPr>
                    <w:jc w:val="center"/>
                    <w:rPr>
                      <w:rFonts w:hint="default" w:eastAsia="宋体"/>
                      <w:color w:val="auto"/>
                      <w:sz w:val="15"/>
                      <w:szCs w:val="15"/>
                      <w:lang w:val="en-US" w:eastAsia="zh-CN"/>
                    </w:rPr>
                  </w:pPr>
                  <w:r>
                    <w:rPr>
                      <w:rFonts w:hint="eastAsia"/>
                      <w:color w:val="auto"/>
                      <w:sz w:val="15"/>
                      <w:szCs w:val="15"/>
                      <w:lang w:val="en-US" w:eastAsia="zh-CN"/>
                    </w:rPr>
                    <w:t>颗粒物</w:t>
                  </w:r>
                </w:p>
              </w:tc>
              <w:tc>
                <w:tcPr>
                  <w:tcW w:w="410" w:type="pct"/>
                  <w:vAlign w:val="center"/>
                </w:tcPr>
                <w:p w14:paraId="44774AA4">
                  <w:pPr>
                    <w:jc w:val="center"/>
                    <w:rPr>
                      <w:rFonts w:hint="default" w:eastAsia="宋体"/>
                      <w:color w:val="auto"/>
                      <w:sz w:val="15"/>
                      <w:szCs w:val="15"/>
                      <w:lang w:val="en-US" w:eastAsia="zh-CN"/>
                    </w:rPr>
                  </w:pPr>
                  <w:r>
                    <w:rPr>
                      <w:rFonts w:hint="eastAsia"/>
                      <w:color w:val="auto"/>
                      <w:sz w:val="15"/>
                      <w:szCs w:val="15"/>
                      <w:lang w:val="en-US" w:eastAsia="zh-CN"/>
                    </w:rPr>
                    <w:t>3000</w:t>
                  </w:r>
                </w:p>
              </w:tc>
              <w:tc>
                <w:tcPr>
                  <w:tcW w:w="469" w:type="pct"/>
                  <w:vAlign w:val="center"/>
                </w:tcPr>
                <w:p w14:paraId="0E070EFE">
                  <w:pPr>
                    <w:jc w:val="center"/>
                    <w:rPr>
                      <w:rFonts w:hint="default" w:eastAsia="宋体"/>
                      <w:color w:val="auto"/>
                      <w:sz w:val="15"/>
                      <w:szCs w:val="15"/>
                      <w:lang w:val="en-US" w:eastAsia="zh-CN"/>
                    </w:rPr>
                  </w:pPr>
                  <w:r>
                    <w:rPr>
                      <w:rFonts w:hint="eastAsia"/>
                      <w:color w:val="auto"/>
                      <w:sz w:val="15"/>
                      <w:szCs w:val="15"/>
                      <w:lang w:val="en-US" w:eastAsia="zh-CN"/>
                    </w:rPr>
                    <w:t>0.24</w:t>
                  </w:r>
                </w:p>
              </w:tc>
              <w:tc>
                <w:tcPr>
                  <w:tcW w:w="850" w:type="pct"/>
                  <w:vAlign w:val="center"/>
                </w:tcPr>
                <w:p w14:paraId="4BF5296F">
                  <w:pPr>
                    <w:jc w:val="center"/>
                    <w:rPr>
                      <w:rFonts w:hint="default" w:eastAsia="宋体"/>
                      <w:color w:val="auto"/>
                      <w:sz w:val="15"/>
                      <w:szCs w:val="15"/>
                      <w:lang w:val="en-US" w:eastAsia="zh-CN"/>
                    </w:rPr>
                  </w:pPr>
                  <w:r>
                    <w:rPr>
                      <w:rFonts w:hint="eastAsia"/>
                      <w:color w:val="auto"/>
                      <w:sz w:val="15"/>
                      <w:szCs w:val="15"/>
                      <w:lang w:val="en-US" w:eastAsia="zh-CN"/>
                    </w:rPr>
                    <w:t>仓顶除尘器，除尘效率99.7%</w:t>
                  </w:r>
                </w:p>
              </w:tc>
              <w:tc>
                <w:tcPr>
                  <w:tcW w:w="553" w:type="pct"/>
                  <w:vAlign w:val="center"/>
                </w:tcPr>
                <w:p w14:paraId="32CD9B2D">
                  <w:pPr>
                    <w:jc w:val="center"/>
                    <w:rPr>
                      <w:color w:val="auto"/>
                      <w:sz w:val="15"/>
                      <w:szCs w:val="15"/>
                    </w:rPr>
                  </w:pPr>
                  <w:r>
                    <w:rPr>
                      <w:rFonts w:hint="eastAsia"/>
                      <w:color w:val="auto"/>
                      <w:sz w:val="15"/>
                      <w:szCs w:val="15"/>
                      <w:lang w:val="en-US" w:eastAsia="zh-CN"/>
                    </w:rPr>
                    <w:t>DA006（H15m，φ0.15m</w:t>
                  </w:r>
                </w:p>
              </w:tc>
              <w:tc>
                <w:tcPr>
                  <w:tcW w:w="381" w:type="pct"/>
                  <w:vAlign w:val="center"/>
                </w:tcPr>
                <w:p w14:paraId="00C73C51">
                  <w:pPr>
                    <w:jc w:val="center"/>
                    <w:rPr>
                      <w:rFonts w:hint="default" w:eastAsia="宋体"/>
                      <w:color w:val="auto"/>
                      <w:sz w:val="15"/>
                      <w:szCs w:val="15"/>
                      <w:lang w:val="en-US" w:eastAsia="zh-CN"/>
                    </w:rPr>
                  </w:pPr>
                  <w:r>
                    <w:rPr>
                      <w:rFonts w:hint="eastAsia"/>
                      <w:color w:val="auto"/>
                      <w:sz w:val="15"/>
                      <w:szCs w:val="15"/>
                      <w:lang w:val="en-US" w:eastAsia="zh-CN"/>
                    </w:rPr>
                    <w:t>10.0</w:t>
                  </w:r>
                </w:p>
              </w:tc>
              <w:tc>
                <w:tcPr>
                  <w:tcW w:w="437" w:type="pct"/>
                  <w:vAlign w:val="center"/>
                </w:tcPr>
                <w:p w14:paraId="4A0B59EF">
                  <w:pPr>
                    <w:jc w:val="center"/>
                    <w:rPr>
                      <w:rFonts w:hint="default" w:eastAsia="宋体"/>
                      <w:color w:val="auto"/>
                      <w:sz w:val="15"/>
                      <w:szCs w:val="15"/>
                      <w:lang w:val="en-US" w:eastAsia="zh-CN"/>
                    </w:rPr>
                  </w:pPr>
                  <w:r>
                    <w:rPr>
                      <w:rFonts w:hint="eastAsia"/>
                      <w:color w:val="auto"/>
                      <w:sz w:val="15"/>
                      <w:szCs w:val="15"/>
                      <w:lang w:val="en-US" w:eastAsia="zh-CN"/>
                    </w:rPr>
                    <w:t>0.116</w:t>
                  </w:r>
                </w:p>
              </w:tc>
              <w:tc>
                <w:tcPr>
                  <w:tcW w:w="437" w:type="pct"/>
                  <w:vAlign w:val="center"/>
                </w:tcPr>
                <w:p w14:paraId="027B687C">
                  <w:pPr>
                    <w:jc w:val="center"/>
                    <w:rPr>
                      <w:rFonts w:hint="default" w:eastAsia="宋体"/>
                      <w:color w:val="auto"/>
                      <w:sz w:val="15"/>
                      <w:szCs w:val="15"/>
                      <w:lang w:val="en-US" w:eastAsia="zh-CN"/>
                    </w:rPr>
                  </w:pPr>
                  <w:r>
                    <w:rPr>
                      <w:rFonts w:hint="eastAsia"/>
                      <w:color w:val="auto"/>
                      <w:sz w:val="15"/>
                      <w:szCs w:val="15"/>
                      <w:lang w:val="en-US" w:eastAsia="zh-CN"/>
                    </w:rPr>
                    <w:t>0.0008</w:t>
                  </w:r>
                </w:p>
              </w:tc>
            </w:tr>
            <w:tr w14:paraId="232183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0" w:type="pct"/>
                  <w:vMerge w:val="continue"/>
                  <w:vAlign w:val="center"/>
                </w:tcPr>
                <w:p w14:paraId="634D05EF">
                  <w:pPr>
                    <w:jc w:val="center"/>
                    <w:rPr>
                      <w:color w:val="auto"/>
                      <w:sz w:val="15"/>
                      <w:szCs w:val="15"/>
                    </w:rPr>
                  </w:pPr>
                </w:p>
              </w:tc>
              <w:tc>
                <w:tcPr>
                  <w:tcW w:w="561" w:type="pct"/>
                  <w:shd w:val="clear" w:color="auto" w:fill="auto"/>
                  <w:vAlign w:val="center"/>
                </w:tcPr>
                <w:p w14:paraId="14A7D3ED">
                  <w:pPr>
                    <w:jc w:val="center"/>
                    <w:rPr>
                      <w:rFonts w:hint="eastAsia"/>
                      <w:color w:val="auto"/>
                      <w:sz w:val="15"/>
                      <w:szCs w:val="15"/>
                      <w:lang w:val="en-US" w:eastAsia="zh-CN"/>
                    </w:rPr>
                  </w:pPr>
                  <w:r>
                    <w:rPr>
                      <w:rFonts w:hint="eastAsia"/>
                      <w:color w:val="auto"/>
                      <w:sz w:val="15"/>
                      <w:szCs w:val="15"/>
                      <w:lang w:val="en-US" w:eastAsia="zh-CN"/>
                    </w:rPr>
                    <w:t>水泥</w:t>
                  </w:r>
                </w:p>
                <w:p w14:paraId="332F720F">
                  <w:pPr>
                    <w:jc w:val="center"/>
                    <w:rPr>
                      <w:rFonts w:hint="default" w:ascii="Times New Roman" w:hAnsi="Times New Roman" w:eastAsia="宋体" w:cs="Times New Roman"/>
                      <w:color w:val="auto"/>
                      <w:kern w:val="2"/>
                      <w:sz w:val="15"/>
                      <w:szCs w:val="15"/>
                      <w:lang w:val="en-US" w:eastAsia="zh-CN" w:bidi="ar-SA"/>
                    </w:rPr>
                  </w:pPr>
                  <w:r>
                    <w:rPr>
                      <w:rFonts w:hint="eastAsia"/>
                      <w:color w:val="auto"/>
                      <w:sz w:val="15"/>
                      <w:szCs w:val="15"/>
                      <w:lang w:val="en-US" w:eastAsia="zh-CN"/>
                    </w:rPr>
                    <w:t>（混凝土）</w:t>
                  </w:r>
                </w:p>
              </w:tc>
              <w:tc>
                <w:tcPr>
                  <w:tcW w:w="576" w:type="pct"/>
                  <w:vAlign w:val="center"/>
                </w:tcPr>
                <w:p w14:paraId="7258E0C4">
                  <w:pPr>
                    <w:jc w:val="center"/>
                    <w:rPr>
                      <w:color w:val="auto"/>
                      <w:sz w:val="15"/>
                      <w:szCs w:val="15"/>
                    </w:rPr>
                  </w:pPr>
                  <w:r>
                    <w:rPr>
                      <w:rFonts w:hint="eastAsia"/>
                      <w:color w:val="auto"/>
                      <w:sz w:val="15"/>
                      <w:szCs w:val="15"/>
                      <w:lang w:val="en-US" w:eastAsia="zh-CN"/>
                    </w:rPr>
                    <w:t>颗粒物</w:t>
                  </w:r>
                </w:p>
              </w:tc>
              <w:tc>
                <w:tcPr>
                  <w:tcW w:w="410" w:type="pct"/>
                  <w:vAlign w:val="center"/>
                </w:tcPr>
                <w:p w14:paraId="2AC804A9">
                  <w:pPr>
                    <w:jc w:val="center"/>
                    <w:rPr>
                      <w:rFonts w:hint="default" w:eastAsia="宋体"/>
                      <w:color w:val="auto"/>
                      <w:sz w:val="15"/>
                      <w:szCs w:val="15"/>
                      <w:lang w:val="en-US" w:eastAsia="zh-CN"/>
                    </w:rPr>
                  </w:pPr>
                  <w:r>
                    <w:rPr>
                      <w:rFonts w:hint="eastAsia"/>
                      <w:color w:val="auto"/>
                      <w:sz w:val="15"/>
                      <w:szCs w:val="15"/>
                      <w:lang w:val="en-US" w:eastAsia="zh-CN"/>
                    </w:rPr>
                    <w:t>3000</w:t>
                  </w:r>
                </w:p>
              </w:tc>
              <w:tc>
                <w:tcPr>
                  <w:tcW w:w="469" w:type="pct"/>
                  <w:vAlign w:val="center"/>
                </w:tcPr>
                <w:p w14:paraId="27161D28">
                  <w:pPr>
                    <w:jc w:val="center"/>
                    <w:rPr>
                      <w:rFonts w:hint="default" w:eastAsia="宋体"/>
                      <w:color w:val="auto"/>
                      <w:sz w:val="15"/>
                      <w:szCs w:val="15"/>
                      <w:lang w:val="en-US" w:eastAsia="zh-CN"/>
                    </w:rPr>
                  </w:pPr>
                  <w:r>
                    <w:rPr>
                      <w:rFonts w:hint="eastAsia"/>
                      <w:color w:val="auto"/>
                      <w:sz w:val="15"/>
                      <w:szCs w:val="15"/>
                      <w:lang w:val="en-US" w:eastAsia="zh-CN"/>
                    </w:rPr>
                    <w:t>10.2</w:t>
                  </w:r>
                </w:p>
              </w:tc>
              <w:tc>
                <w:tcPr>
                  <w:tcW w:w="850" w:type="pct"/>
                  <w:vAlign w:val="center"/>
                </w:tcPr>
                <w:p w14:paraId="0FF47778">
                  <w:pPr>
                    <w:jc w:val="center"/>
                    <w:rPr>
                      <w:color w:val="auto"/>
                      <w:sz w:val="15"/>
                      <w:szCs w:val="15"/>
                    </w:rPr>
                  </w:pPr>
                  <w:r>
                    <w:rPr>
                      <w:rFonts w:hint="eastAsia"/>
                      <w:color w:val="auto"/>
                      <w:sz w:val="15"/>
                      <w:szCs w:val="15"/>
                      <w:lang w:val="en-US" w:eastAsia="zh-CN"/>
                    </w:rPr>
                    <w:t>仓顶除尘器，除尘效率99.7%</w:t>
                  </w:r>
                </w:p>
              </w:tc>
              <w:tc>
                <w:tcPr>
                  <w:tcW w:w="553" w:type="pct"/>
                  <w:vAlign w:val="center"/>
                </w:tcPr>
                <w:p w14:paraId="05D6AC80">
                  <w:pPr>
                    <w:jc w:val="center"/>
                    <w:rPr>
                      <w:color w:val="auto"/>
                      <w:sz w:val="15"/>
                      <w:szCs w:val="15"/>
                    </w:rPr>
                  </w:pPr>
                  <w:r>
                    <w:rPr>
                      <w:rFonts w:hint="eastAsia"/>
                      <w:color w:val="auto"/>
                      <w:sz w:val="15"/>
                      <w:szCs w:val="15"/>
                      <w:lang w:val="en-US" w:eastAsia="zh-CN"/>
                    </w:rPr>
                    <w:t>DA007（H15m，φ0.15m</w:t>
                  </w:r>
                </w:p>
              </w:tc>
              <w:tc>
                <w:tcPr>
                  <w:tcW w:w="381" w:type="pct"/>
                  <w:vAlign w:val="center"/>
                </w:tcPr>
                <w:p w14:paraId="4B0B77D6">
                  <w:pPr>
                    <w:jc w:val="center"/>
                    <w:rPr>
                      <w:rFonts w:hint="default" w:eastAsia="宋体"/>
                      <w:color w:val="auto"/>
                      <w:sz w:val="15"/>
                      <w:szCs w:val="15"/>
                      <w:lang w:val="en-US" w:eastAsia="zh-CN"/>
                    </w:rPr>
                  </w:pPr>
                  <w:r>
                    <w:rPr>
                      <w:rFonts w:hint="eastAsia"/>
                      <w:color w:val="auto"/>
                      <w:sz w:val="15"/>
                      <w:szCs w:val="15"/>
                      <w:lang w:val="en-US" w:eastAsia="zh-CN"/>
                    </w:rPr>
                    <w:t>10.0</w:t>
                  </w:r>
                </w:p>
              </w:tc>
              <w:tc>
                <w:tcPr>
                  <w:tcW w:w="437" w:type="pct"/>
                  <w:vAlign w:val="center"/>
                </w:tcPr>
                <w:p w14:paraId="053EB432">
                  <w:pPr>
                    <w:jc w:val="center"/>
                    <w:rPr>
                      <w:rFonts w:hint="default" w:eastAsia="宋体"/>
                      <w:color w:val="auto"/>
                      <w:sz w:val="15"/>
                      <w:szCs w:val="15"/>
                      <w:lang w:val="en-US" w:eastAsia="zh-CN"/>
                    </w:rPr>
                  </w:pPr>
                  <w:r>
                    <w:rPr>
                      <w:rFonts w:hint="eastAsia"/>
                      <w:color w:val="auto"/>
                      <w:sz w:val="15"/>
                      <w:szCs w:val="15"/>
                      <w:lang w:val="en-US" w:eastAsia="zh-CN"/>
                    </w:rPr>
                    <w:t>0.015</w:t>
                  </w:r>
                </w:p>
              </w:tc>
              <w:tc>
                <w:tcPr>
                  <w:tcW w:w="437" w:type="pct"/>
                  <w:vAlign w:val="center"/>
                </w:tcPr>
                <w:p w14:paraId="54978E10">
                  <w:pPr>
                    <w:jc w:val="center"/>
                    <w:rPr>
                      <w:rFonts w:hint="default" w:eastAsia="宋体"/>
                      <w:color w:val="auto"/>
                      <w:sz w:val="15"/>
                      <w:szCs w:val="15"/>
                      <w:lang w:val="en-US" w:eastAsia="zh-CN"/>
                    </w:rPr>
                  </w:pPr>
                  <w:r>
                    <w:rPr>
                      <w:rFonts w:hint="eastAsia"/>
                      <w:color w:val="auto"/>
                      <w:sz w:val="15"/>
                      <w:szCs w:val="15"/>
                      <w:lang w:val="en-US" w:eastAsia="zh-CN"/>
                    </w:rPr>
                    <w:t>0.034</w:t>
                  </w:r>
                </w:p>
              </w:tc>
            </w:tr>
            <w:tr w14:paraId="71DB61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0" w:type="pct"/>
                  <w:vMerge w:val="continue"/>
                  <w:vAlign w:val="center"/>
                </w:tcPr>
                <w:p w14:paraId="0780797B">
                  <w:pPr>
                    <w:jc w:val="center"/>
                    <w:rPr>
                      <w:color w:val="auto"/>
                      <w:sz w:val="15"/>
                      <w:szCs w:val="15"/>
                    </w:rPr>
                  </w:pPr>
                </w:p>
              </w:tc>
              <w:tc>
                <w:tcPr>
                  <w:tcW w:w="561" w:type="pct"/>
                  <w:shd w:val="clear" w:color="auto" w:fill="auto"/>
                  <w:vAlign w:val="center"/>
                </w:tcPr>
                <w:p w14:paraId="027E7F29">
                  <w:pPr>
                    <w:jc w:val="center"/>
                    <w:rPr>
                      <w:rFonts w:hint="eastAsia"/>
                      <w:color w:val="auto"/>
                      <w:sz w:val="15"/>
                      <w:szCs w:val="15"/>
                      <w:lang w:val="en-US" w:eastAsia="zh-CN"/>
                    </w:rPr>
                  </w:pPr>
                  <w:r>
                    <w:rPr>
                      <w:rFonts w:hint="eastAsia"/>
                      <w:color w:val="auto"/>
                      <w:sz w:val="15"/>
                      <w:szCs w:val="15"/>
                      <w:lang w:val="en-US" w:eastAsia="zh-CN"/>
                    </w:rPr>
                    <w:t>粉煤灰</w:t>
                  </w:r>
                </w:p>
                <w:p w14:paraId="7F4A1313">
                  <w:pPr>
                    <w:jc w:val="center"/>
                    <w:rPr>
                      <w:rFonts w:hint="default"/>
                      <w:color w:val="auto"/>
                      <w:sz w:val="15"/>
                      <w:szCs w:val="15"/>
                      <w:lang w:val="en-US" w:eastAsia="zh-CN"/>
                    </w:rPr>
                  </w:pPr>
                  <w:r>
                    <w:rPr>
                      <w:rFonts w:hint="eastAsia"/>
                      <w:color w:val="auto"/>
                      <w:sz w:val="15"/>
                      <w:szCs w:val="15"/>
                      <w:lang w:val="en-US" w:eastAsia="zh-CN"/>
                    </w:rPr>
                    <w:t>（混凝土）</w:t>
                  </w:r>
                </w:p>
              </w:tc>
              <w:tc>
                <w:tcPr>
                  <w:tcW w:w="576" w:type="pct"/>
                  <w:vAlign w:val="center"/>
                </w:tcPr>
                <w:p w14:paraId="7B41843D">
                  <w:pPr>
                    <w:jc w:val="center"/>
                    <w:rPr>
                      <w:rFonts w:hint="eastAsia"/>
                      <w:color w:val="auto"/>
                      <w:sz w:val="15"/>
                      <w:szCs w:val="15"/>
                      <w:lang w:val="en-US" w:eastAsia="zh-CN"/>
                    </w:rPr>
                  </w:pPr>
                  <w:r>
                    <w:rPr>
                      <w:rFonts w:hint="eastAsia"/>
                      <w:color w:val="auto"/>
                      <w:sz w:val="15"/>
                      <w:szCs w:val="15"/>
                      <w:lang w:val="en-US" w:eastAsia="zh-CN"/>
                    </w:rPr>
                    <w:t>颗粒物</w:t>
                  </w:r>
                </w:p>
              </w:tc>
              <w:tc>
                <w:tcPr>
                  <w:tcW w:w="410" w:type="pct"/>
                  <w:vAlign w:val="center"/>
                </w:tcPr>
                <w:p w14:paraId="504A2EAB">
                  <w:pPr>
                    <w:jc w:val="center"/>
                    <w:rPr>
                      <w:rFonts w:hint="default"/>
                      <w:color w:val="auto"/>
                      <w:sz w:val="15"/>
                      <w:szCs w:val="15"/>
                      <w:lang w:val="en-US" w:eastAsia="zh-CN"/>
                    </w:rPr>
                  </w:pPr>
                  <w:r>
                    <w:rPr>
                      <w:rFonts w:hint="eastAsia"/>
                      <w:color w:val="auto"/>
                      <w:sz w:val="15"/>
                      <w:szCs w:val="15"/>
                      <w:lang w:val="en-US" w:eastAsia="zh-CN"/>
                    </w:rPr>
                    <w:t>1500</w:t>
                  </w:r>
                </w:p>
              </w:tc>
              <w:tc>
                <w:tcPr>
                  <w:tcW w:w="469" w:type="pct"/>
                  <w:vAlign w:val="center"/>
                </w:tcPr>
                <w:p w14:paraId="0B8F95B9">
                  <w:pPr>
                    <w:jc w:val="center"/>
                    <w:rPr>
                      <w:rFonts w:hint="default"/>
                      <w:color w:val="auto"/>
                      <w:sz w:val="15"/>
                      <w:szCs w:val="15"/>
                      <w:lang w:val="en-US" w:eastAsia="zh-CN"/>
                    </w:rPr>
                  </w:pPr>
                  <w:r>
                    <w:rPr>
                      <w:rFonts w:hint="eastAsia"/>
                      <w:color w:val="auto"/>
                      <w:sz w:val="15"/>
                      <w:szCs w:val="15"/>
                      <w:lang w:val="en-US" w:eastAsia="zh-CN"/>
                    </w:rPr>
                    <w:t>0.96</w:t>
                  </w:r>
                </w:p>
              </w:tc>
              <w:tc>
                <w:tcPr>
                  <w:tcW w:w="850" w:type="pct"/>
                  <w:vAlign w:val="center"/>
                </w:tcPr>
                <w:p w14:paraId="3E67E2FD">
                  <w:pPr>
                    <w:jc w:val="center"/>
                    <w:rPr>
                      <w:rFonts w:hint="eastAsia"/>
                      <w:color w:val="auto"/>
                      <w:sz w:val="15"/>
                      <w:szCs w:val="15"/>
                      <w:lang w:val="en-US" w:eastAsia="zh-CN"/>
                    </w:rPr>
                  </w:pPr>
                  <w:r>
                    <w:rPr>
                      <w:rFonts w:hint="eastAsia"/>
                      <w:color w:val="auto"/>
                      <w:sz w:val="15"/>
                      <w:szCs w:val="15"/>
                      <w:lang w:val="en-US" w:eastAsia="zh-CN"/>
                    </w:rPr>
                    <w:t>仓顶除尘器，除尘效率99.7%</w:t>
                  </w:r>
                </w:p>
              </w:tc>
              <w:tc>
                <w:tcPr>
                  <w:tcW w:w="553" w:type="pct"/>
                  <w:vAlign w:val="center"/>
                </w:tcPr>
                <w:p w14:paraId="18D02A67">
                  <w:pPr>
                    <w:jc w:val="center"/>
                    <w:rPr>
                      <w:rFonts w:hint="eastAsia"/>
                      <w:color w:val="auto"/>
                      <w:sz w:val="15"/>
                      <w:szCs w:val="15"/>
                      <w:lang w:val="en-US" w:eastAsia="zh-CN"/>
                    </w:rPr>
                  </w:pPr>
                  <w:r>
                    <w:rPr>
                      <w:rFonts w:hint="eastAsia"/>
                      <w:color w:val="auto"/>
                      <w:sz w:val="15"/>
                      <w:szCs w:val="15"/>
                      <w:lang w:val="en-US" w:eastAsia="zh-CN"/>
                    </w:rPr>
                    <w:t>DA008（H15m，φ0.15m</w:t>
                  </w:r>
                </w:p>
              </w:tc>
              <w:tc>
                <w:tcPr>
                  <w:tcW w:w="381" w:type="pct"/>
                  <w:vAlign w:val="center"/>
                </w:tcPr>
                <w:p w14:paraId="0C4D5773">
                  <w:pPr>
                    <w:jc w:val="center"/>
                    <w:rPr>
                      <w:rFonts w:hint="default"/>
                      <w:color w:val="auto"/>
                      <w:sz w:val="15"/>
                      <w:szCs w:val="15"/>
                      <w:lang w:val="en-US" w:eastAsia="zh-CN"/>
                    </w:rPr>
                  </w:pPr>
                  <w:r>
                    <w:rPr>
                      <w:rFonts w:hint="eastAsia"/>
                      <w:color w:val="auto"/>
                      <w:sz w:val="15"/>
                      <w:szCs w:val="15"/>
                      <w:lang w:val="en-US" w:eastAsia="zh-CN"/>
                    </w:rPr>
                    <w:t>10.0</w:t>
                  </w:r>
                </w:p>
              </w:tc>
              <w:tc>
                <w:tcPr>
                  <w:tcW w:w="437" w:type="pct"/>
                  <w:vAlign w:val="center"/>
                </w:tcPr>
                <w:p w14:paraId="4C682EA5">
                  <w:pPr>
                    <w:jc w:val="center"/>
                    <w:rPr>
                      <w:rFonts w:hint="default"/>
                      <w:color w:val="auto"/>
                      <w:sz w:val="15"/>
                      <w:szCs w:val="15"/>
                      <w:lang w:val="en-US" w:eastAsia="zh-CN"/>
                    </w:rPr>
                  </w:pPr>
                  <w:r>
                    <w:rPr>
                      <w:rFonts w:hint="eastAsia"/>
                      <w:color w:val="auto"/>
                      <w:sz w:val="15"/>
                      <w:szCs w:val="15"/>
                      <w:lang w:val="en-US" w:eastAsia="zh-CN"/>
                    </w:rPr>
                    <w:t>0.015</w:t>
                  </w:r>
                </w:p>
              </w:tc>
              <w:tc>
                <w:tcPr>
                  <w:tcW w:w="437" w:type="pct"/>
                  <w:vAlign w:val="center"/>
                </w:tcPr>
                <w:p w14:paraId="24380D09">
                  <w:pPr>
                    <w:jc w:val="center"/>
                    <w:rPr>
                      <w:rFonts w:hint="default"/>
                      <w:color w:val="auto"/>
                      <w:sz w:val="15"/>
                      <w:szCs w:val="15"/>
                      <w:lang w:val="en-US" w:eastAsia="zh-CN"/>
                    </w:rPr>
                  </w:pPr>
                  <w:r>
                    <w:rPr>
                      <w:rFonts w:hint="eastAsia"/>
                      <w:color w:val="auto"/>
                      <w:sz w:val="15"/>
                      <w:szCs w:val="15"/>
                      <w:lang w:val="en-US" w:eastAsia="zh-CN"/>
                    </w:rPr>
                    <w:t>0.0032</w:t>
                  </w:r>
                </w:p>
              </w:tc>
            </w:tr>
            <w:tr w14:paraId="4E2C64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0" w:type="pct"/>
                  <w:vMerge w:val="continue"/>
                  <w:vAlign w:val="center"/>
                </w:tcPr>
                <w:p w14:paraId="23EB014C">
                  <w:pPr>
                    <w:jc w:val="center"/>
                    <w:rPr>
                      <w:color w:val="auto"/>
                      <w:sz w:val="15"/>
                      <w:szCs w:val="15"/>
                    </w:rPr>
                  </w:pPr>
                </w:p>
              </w:tc>
              <w:tc>
                <w:tcPr>
                  <w:tcW w:w="561" w:type="pct"/>
                  <w:shd w:val="clear" w:color="auto" w:fill="auto"/>
                  <w:vAlign w:val="center"/>
                </w:tcPr>
                <w:p w14:paraId="6D2BF4F8">
                  <w:pPr>
                    <w:jc w:val="center"/>
                    <w:rPr>
                      <w:rFonts w:hint="eastAsia"/>
                      <w:color w:val="auto"/>
                      <w:sz w:val="15"/>
                      <w:szCs w:val="15"/>
                      <w:lang w:val="en-US" w:eastAsia="zh-CN"/>
                    </w:rPr>
                  </w:pPr>
                  <w:r>
                    <w:rPr>
                      <w:rFonts w:hint="eastAsia"/>
                      <w:color w:val="auto"/>
                      <w:sz w:val="15"/>
                      <w:szCs w:val="15"/>
                      <w:lang w:val="en-US" w:eastAsia="zh-CN"/>
                    </w:rPr>
                    <w:t>矿粉</w:t>
                  </w:r>
                </w:p>
                <w:p w14:paraId="5AA5A238">
                  <w:pPr>
                    <w:jc w:val="center"/>
                    <w:rPr>
                      <w:rFonts w:hint="eastAsia" w:ascii="Times New Roman" w:hAnsi="Times New Roman" w:eastAsia="宋体" w:cs="Times New Roman"/>
                      <w:color w:val="auto"/>
                      <w:kern w:val="2"/>
                      <w:sz w:val="15"/>
                      <w:szCs w:val="15"/>
                      <w:lang w:val="en-US" w:eastAsia="zh-CN" w:bidi="ar-SA"/>
                    </w:rPr>
                  </w:pPr>
                  <w:r>
                    <w:rPr>
                      <w:rFonts w:hint="eastAsia"/>
                      <w:color w:val="auto"/>
                      <w:sz w:val="15"/>
                      <w:szCs w:val="15"/>
                      <w:lang w:val="en-US" w:eastAsia="zh-CN"/>
                    </w:rPr>
                    <w:t>（混凝土）</w:t>
                  </w:r>
                </w:p>
              </w:tc>
              <w:tc>
                <w:tcPr>
                  <w:tcW w:w="576" w:type="pct"/>
                  <w:shd w:val="clear" w:color="auto" w:fill="auto"/>
                  <w:vAlign w:val="center"/>
                </w:tcPr>
                <w:p w14:paraId="6697B680">
                  <w:pPr>
                    <w:jc w:val="center"/>
                    <w:rPr>
                      <w:rFonts w:hint="eastAsia" w:ascii="Times New Roman" w:hAnsi="Times New Roman" w:eastAsia="宋体" w:cs="Times New Roman"/>
                      <w:color w:val="auto"/>
                      <w:kern w:val="2"/>
                      <w:sz w:val="15"/>
                      <w:szCs w:val="15"/>
                      <w:lang w:val="en-US" w:eastAsia="zh-CN" w:bidi="ar-SA"/>
                    </w:rPr>
                  </w:pPr>
                  <w:r>
                    <w:rPr>
                      <w:rFonts w:hint="eastAsia"/>
                      <w:color w:val="auto"/>
                      <w:sz w:val="15"/>
                      <w:szCs w:val="15"/>
                      <w:lang w:val="en-US" w:eastAsia="zh-CN"/>
                    </w:rPr>
                    <w:t>颗粒物</w:t>
                  </w:r>
                </w:p>
              </w:tc>
              <w:tc>
                <w:tcPr>
                  <w:tcW w:w="410" w:type="pct"/>
                  <w:shd w:val="clear" w:color="auto" w:fill="auto"/>
                  <w:vAlign w:val="center"/>
                </w:tcPr>
                <w:p w14:paraId="73DEC6F8">
                  <w:pPr>
                    <w:jc w:val="center"/>
                    <w:rPr>
                      <w:rFonts w:hint="eastAsia" w:ascii="Times New Roman" w:hAnsi="Times New Roman" w:eastAsia="宋体" w:cs="Times New Roman"/>
                      <w:color w:val="auto"/>
                      <w:kern w:val="2"/>
                      <w:sz w:val="15"/>
                      <w:szCs w:val="15"/>
                      <w:lang w:val="en-US" w:eastAsia="zh-CN" w:bidi="ar-SA"/>
                    </w:rPr>
                  </w:pPr>
                  <w:r>
                    <w:rPr>
                      <w:rFonts w:hint="eastAsia"/>
                      <w:color w:val="auto"/>
                      <w:sz w:val="15"/>
                      <w:szCs w:val="15"/>
                      <w:lang w:val="en-US" w:eastAsia="zh-CN"/>
                    </w:rPr>
                    <w:t>1500</w:t>
                  </w:r>
                </w:p>
              </w:tc>
              <w:tc>
                <w:tcPr>
                  <w:tcW w:w="469" w:type="pct"/>
                  <w:shd w:val="clear" w:color="auto" w:fill="auto"/>
                  <w:vAlign w:val="center"/>
                </w:tcPr>
                <w:p w14:paraId="74F4EA34">
                  <w:pPr>
                    <w:jc w:val="center"/>
                    <w:rPr>
                      <w:rFonts w:hint="eastAsia" w:ascii="Times New Roman" w:hAnsi="Times New Roman" w:eastAsia="宋体" w:cs="Times New Roman"/>
                      <w:color w:val="auto"/>
                      <w:kern w:val="2"/>
                      <w:sz w:val="15"/>
                      <w:szCs w:val="15"/>
                      <w:lang w:val="en-US" w:eastAsia="zh-CN" w:bidi="ar-SA"/>
                    </w:rPr>
                  </w:pPr>
                  <w:r>
                    <w:rPr>
                      <w:rFonts w:hint="eastAsia"/>
                      <w:color w:val="auto"/>
                      <w:sz w:val="15"/>
                      <w:szCs w:val="15"/>
                      <w:lang w:val="en-US" w:eastAsia="zh-CN"/>
                    </w:rPr>
                    <w:t>0.48</w:t>
                  </w:r>
                </w:p>
              </w:tc>
              <w:tc>
                <w:tcPr>
                  <w:tcW w:w="850" w:type="pct"/>
                  <w:shd w:val="clear" w:color="auto" w:fill="auto"/>
                  <w:vAlign w:val="center"/>
                </w:tcPr>
                <w:p w14:paraId="683D13A4">
                  <w:pPr>
                    <w:jc w:val="center"/>
                    <w:rPr>
                      <w:rFonts w:hint="eastAsia" w:ascii="Times New Roman" w:hAnsi="Times New Roman" w:eastAsia="宋体" w:cs="Times New Roman"/>
                      <w:color w:val="auto"/>
                      <w:kern w:val="2"/>
                      <w:sz w:val="15"/>
                      <w:szCs w:val="15"/>
                      <w:lang w:val="en-US" w:eastAsia="zh-CN" w:bidi="ar-SA"/>
                    </w:rPr>
                  </w:pPr>
                  <w:r>
                    <w:rPr>
                      <w:rFonts w:hint="eastAsia"/>
                      <w:color w:val="auto"/>
                      <w:sz w:val="15"/>
                      <w:szCs w:val="15"/>
                      <w:lang w:val="en-US" w:eastAsia="zh-CN"/>
                    </w:rPr>
                    <w:t>仓顶除尘器，除尘效率99.7%</w:t>
                  </w:r>
                </w:p>
              </w:tc>
              <w:tc>
                <w:tcPr>
                  <w:tcW w:w="553" w:type="pct"/>
                  <w:shd w:val="clear" w:color="auto" w:fill="auto"/>
                  <w:vAlign w:val="center"/>
                </w:tcPr>
                <w:p w14:paraId="06E5A0F0">
                  <w:pPr>
                    <w:jc w:val="center"/>
                    <w:rPr>
                      <w:rFonts w:hint="eastAsia" w:ascii="Times New Roman" w:hAnsi="Times New Roman" w:eastAsia="宋体" w:cs="Times New Roman"/>
                      <w:color w:val="auto"/>
                      <w:kern w:val="2"/>
                      <w:sz w:val="15"/>
                      <w:szCs w:val="15"/>
                      <w:lang w:val="en-US" w:eastAsia="zh-CN" w:bidi="ar-SA"/>
                    </w:rPr>
                  </w:pPr>
                  <w:r>
                    <w:rPr>
                      <w:rFonts w:hint="eastAsia"/>
                      <w:color w:val="auto"/>
                      <w:sz w:val="15"/>
                      <w:szCs w:val="15"/>
                      <w:lang w:val="en-US" w:eastAsia="zh-CN"/>
                    </w:rPr>
                    <w:t>DA009（H15m，φ0.15m</w:t>
                  </w:r>
                </w:p>
              </w:tc>
              <w:tc>
                <w:tcPr>
                  <w:tcW w:w="381" w:type="pct"/>
                  <w:shd w:val="clear" w:color="auto" w:fill="auto"/>
                  <w:vAlign w:val="center"/>
                </w:tcPr>
                <w:p w14:paraId="5B511BA2">
                  <w:pPr>
                    <w:jc w:val="center"/>
                    <w:rPr>
                      <w:rFonts w:hint="eastAsia" w:ascii="Times New Roman" w:hAnsi="Times New Roman" w:eastAsia="宋体" w:cs="Times New Roman"/>
                      <w:color w:val="auto"/>
                      <w:kern w:val="2"/>
                      <w:sz w:val="15"/>
                      <w:szCs w:val="15"/>
                      <w:lang w:val="en-US" w:eastAsia="zh-CN" w:bidi="ar-SA"/>
                    </w:rPr>
                  </w:pPr>
                  <w:r>
                    <w:rPr>
                      <w:rFonts w:hint="eastAsia"/>
                      <w:color w:val="auto"/>
                      <w:sz w:val="15"/>
                      <w:szCs w:val="15"/>
                      <w:lang w:val="en-US" w:eastAsia="zh-CN"/>
                    </w:rPr>
                    <w:t>10.0</w:t>
                  </w:r>
                </w:p>
              </w:tc>
              <w:tc>
                <w:tcPr>
                  <w:tcW w:w="437" w:type="pct"/>
                  <w:shd w:val="clear" w:color="auto" w:fill="auto"/>
                  <w:vAlign w:val="center"/>
                </w:tcPr>
                <w:p w14:paraId="4889DBC5">
                  <w:pPr>
                    <w:jc w:val="center"/>
                    <w:rPr>
                      <w:rFonts w:hint="default" w:ascii="Times New Roman" w:hAnsi="Times New Roman" w:eastAsia="宋体" w:cs="Times New Roman"/>
                      <w:color w:val="auto"/>
                      <w:kern w:val="2"/>
                      <w:sz w:val="15"/>
                      <w:szCs w:val="15"/>
                      <w:lang w:val="en-US" w:eastAsia="zh-CN" w:bidi="ar-SA"/>
                    </w:rPr>
                  </w:pPr>
                  <w:r>
                    <w:rPr>
                      <w:rFonts w:hint="eastAsia"/>
                      <w:color w:val="auto"/>
                      <w:sz w:val="15"/>
                      <w:szCs w:val="15"/>
                      <w:lang w:val="en-US" w:eastAsia="zh-CN"/>
                    </w:rPr>
                    <w:t>0.015</w:t>
                  </w:r>
                </w:p>
              </w:tc>
              <w:tc>
                <w:tcPr>
                  <w:tcW w:w="437" w:type="pct"/>
                  <w:shd w:val="clear" w:color="auto" w:fill="auto"/>
                  <w:vAlign w:val="center"/>
                </w:tcPr>
                <w:p w14:paraId="06CA337F">
                  <w:pPr>
                    <w:jc w:val="center"/>
                    <w:rPr>
                      <w:rFonts w:hint="eastAsia" w:ascii="Times New Roman" w:hAnsi="Times New Roman" w:eastAsia="宋体" w:cs="Times New Roman"/>
                      <w:color w:val="auto"/>
                      <w:kern w:val="2"/>
                      <w:sz w:val="15"/>
                      <w:szCs w:val="15"/>
                      <w:lang w:val="en-US" w:eastAsia="zh-CN" w:bidi="ar-SA"/>
                    </w:rPr>
                  </w:pPr>
                  <w:r>
                    <w:rPr>
                      <w:rFonts w:hint="eastAsia"/>
                      <w:color w:val="auto"/>
                      <w:sz w:val="15"/>
                      <w:szCs w:val="15"/>
                      <w:lang w:val="en-US" w:eastAsia="zh-CN"/>
                    </w:rPr>
                    <w:t>0.0016</w:t>
                  </w:r>
                </w:p>
              </w:tc>
            </w:tr>
            <w:tr w14:paraId="735512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20" w:type="pct"/>
                  <w:vMerge w:val="continue"/>
                  <w:vAlign w:val="center"/>
                </w:tcPr>
                <w:p w14:paraId="620EF88C">
                  <w:pPr>
                    <w:jc w:val="center"/>
                    <w:rPr>
                      <w:color w:val="auto"/>
                      <w:sz w:val="15"/>
                      <w:szCs w:val="15"/>
                    </w:rPr>
                  </w:pPr>
                </w:p>
              </w:tc>
              <w:tc>
                <w:tcPr>
                  <w:tcW w:w="561" w:type="pct"/>
                  <w:shd w:val="clear" w:color="auto" w:fill="auto"/>
                  <w:vAlign w:val="center"/>
                </w:tcPr>
                <w:p w14:paraId="2D1107D0">
                  <w:pPr>
                    <w:jc w:val="center"/>
                    <w:rPr>
                      <w:rFonts w:hint="eastAsia"/>
                      <w:color w:val="auto"/>
                      <w:sz w:val="15"/>
                      <w:szCs w:val="15"/>
                      <w:lang w:val="en-US" w:eastAsia="zh-CN"/>
                    </w:rPr>
                  </w:pPr>
                  <w:r>
                    <w:rPr>
                      <w:rFonts w:hint="eastAsia"/>
                      <w:color w:val="auto"/>
                      <w:sz w:val="15"/>
                      <w:szCs w:val="15"/>
                      <w:lang w:val="en-US" w:eastAsia="zh-CN"/>
                    </w:rPr>
                    <w:t>水泥</w:t>
                  </w:r>
                </w:p>
                <w:p w14:paraId="657D497B">
                  <w:pPr>
                    <w:jc w:val="center"/>
                    <w:rPr>
                      <w:rFonts w:hint="eastAsia"/>
                      <w:color w:val="auto"/>
                      <w:sz w:val="15"/>
                      <w:szCs w:val="15"/>
                      <w:lang w:val="en-US" w:eastAsia="zh-CN"/>
                    </w:rPr>
                  </w:pPr>
                  <w:r>
                    <w:rPr>
                      <w:rFonts w:hint="eastAsia"/>
                      <w:color w:val="auto"/>
                      <w:sz w:val="15"/>
                      <w:szCs w:val="15"/>
                      <w:lang w:val="en-US" w:eastAsia="zh-CN"/>
                    </w:rPr>
                    <w:t>（水稳土）</w:t>
                  </w:r>
                </w:p>
              </w:tc>
              <w:tc>
                <w:tcPr>
                  <w:tcW w:w="576" w:type="pct"/>
                  <w:vAlign w:val="center"/>
                </w:tcPr>
                <w:p w14:paraId="22721476">
                  <w:pPr>
                    <w:jc w:val="center"/>
                    <w:rPr>
                      <w:rFonts w:hint="eastAsia"/>
                      <w:color w:val="auto"/>
                      <w:sz w:val="15"/>
                      <w:szCs w:val="15"/>
                      <w:lang w:val="en-US" w:eastAsia="zh-CN"/>
                    </w:rPr>
                  </w:pPr>
                  <w:r>
                    <w:rPr>
                      <w:rFonts w:hint="eastAsia"/>
                      <w:color w:val="auto"/>
                      <w:sz w:val="15"/>
                      <w:szCs w:val="15"/>
                      <w:lang w:val="en-US" w:eastAsia="zh-CN"/>
                    </w:rPr>
                    <w:t>颗粒物</w:t>
                  </w:r>
                </w:p>
              </w:tc>
              <w:tc>
                <w:tcPr>
                  <w:tcW w:w="410" w:type="pct"/>
                  <w:vAlign w:val="center"/>
                </w:tcPr>
                <w:p w14:paraId="7F28A8C1">
                  <w:pPr>
                    <w:jc w:val="center"/>
                    <w:rPr>
                      <w:rFonts w:hint="default"/>
                      <w:color w:val="auto"/>
                      <w:sz w:val="15"/>
                      <w:szCs w:val="15"/>
                      <w:lang w:val="en-US" w:eastAsia="zh-CN"/>
                    </w:rPr>
                  </w:pPr>
                  <w:r>
                    <w:rPr>
                      <w:rFonts w:hint="eastAsia"/>
                      <w:color w:val="auto"/>
                      <w:sz w:val="15"/>
                      <w:szCs w:val="15"/>
                      <w:lang w:val="en-US" w:eastAsia="zh-CN"/>
                    </w:rPr>
                    <w:t>1500</w:t>
                  </w:r>
                </w:p>
              </w:tc>
              <w:tc>
                <w:tcPr>
                  <w:tcW w:w="469" w:type="pct"/>
                  <w:vAlign w:val="center"/>
                </w:tcPr>
                <w:p w14:paraId="521D15D6">
                  <w:pPr>
                    <w:jc w:val="center"/>
                    <w:rPr>
                      <w:rFonts w:hint="default"/>
                      <w:color w:val="auto"/>
                      <w:sz w:val="15"/>
                      <w:szCs w:val="15"/>
                      <w:lang w:val="en-US" w:eastAsia="zh-CN"/>
                    </w:rPr>
                  </w:pPr>
                  <w:r>
                    <w:rPr>
                      <w:rFonts w:hint="eastAsia"/>
                      <w:color w:val="auto"/>
                      <w:sz w:val="15"/>
                      <w:szCs w:val="15"/>
                      <w:lang w:val="en-US" w:eastAsia="zh-CN"/>
                    </w:rPr>
                    <w:t>0.74</w:t>
                  </w:r>
                </w:p>
              </w:tc>
              <w:tc>
                <w:tcPr>
                  <w:tcW w:w="850" w:type="pct"/>
                  <w:vAlign w:val="center"/>
                </w:tcPr>
                <w:p w14:paraId="2302D9BF">
                  <w:pPr>
                    <w:jc w:val="center"/>
                    <w:rPr>
                      <w:rFonts w:hint="eastAsia"/>
                      <w:color w:val="auto"/>
                      <w:sz w:val="15"/>
                      <w:szCs w:val="15"/>
                      <w:lang w:val="en-US" w:eastAsia="zh-CN"/>
                    </w:rPr>
                  </w:pPr>
                  <w:r>
                    <w:rPr>
                      <w:rFonts w:hint="eastAsia"/>
                      <w:color w:val="auto"/>
                      <w:sz w:val="15"/>
                      <w:szCs w:val="15"/>
                      <w:lang w:val="en-US" w:eastAsia="zh-CN"/>
                    </w:rPr>
                    <w:t>仓顶除尘器，除尘效率99.8%</w:t>
                  </w:r>
                </w:p>
              </w:tc>
              <w:tc>
                <w:tcPr>
                  <w:tcW w:w="553" w:type="pct"/>
                  <w:vAlign w:val="center"/>
                </w:tcPr>
                <w:p w14:paraId="0939EDD1">
                  <w:pPr>
                    <w:jc w:val="center"/>
                    <w:rPr>
                      <w:rFonts w:hint="eastAsia"/>
                      <w:color w:val="auto"/>
                      <w:sz w:val="15"/>
                      <w:szCs w:val="15"/>
                      <w:lang w:val="en-US" w:eastAsia="zh-CN"/>
                    </w:rPr>
                  </w:pPr>
                  <w:r>
                    <w:rPr>
                      <w:rFonts w:hint="eastAsia"/>
                      <w:color w:val="auto"/>
                      <w:sz w:val="15"/>
                      <w:szCs w:val="15"/>
                      <w:lang w:val="en-US" w:eastAsia="zh-CN"/>
                    </w:rPr>
                    <w:t>DA010（H15m，φ0.15m</w:t>
                  </w:r>
                </w:p>
              </w:tc>
              <w:tc>
                <w:tcPr>
                  <w:tcW w:w="381" w:type="pct"/>
                  <w:vAlign w:val="center"/>
                </w:tcPr>
                <w:p w14:paraId="69E22C36">
                  <w:pPr>
                    <w:jc w:val="center"/>
                    <w:rPr>
                      <w:rFonts w:hint="default"/>
                      <w:color w:val="auto"/>
                      <w:sz w:val="15"/>
                      <w:szCs w:val="15"/>
                      <w:lang w:val="en-US" w:eastAsia="zh-CN"/>
                    </w:rPr>
                  </w:pPr>
                  <w:r>
                    <w:rPr>
                      <w:rFonts w:hint="eastAsia"/>
                      <w:color w:val="auto"/>
                      <w:sz w:val="15"/>
                      <w:szCs w:val="15"/>
                      <w:lang w:val="en-US" w:eastAsia="zh-CN"/>
                    </w:rPr>
                    <w:t>10.0</w:t>
                  </w:r>
                </w:p>
              </w:tc>
              <w:tc>
                <w:tcPr>
                  <w:tcW w:w="437" w:type="pct"/>
                  <w:vAlign w:val="center"/>
                </w:tcPr>
                <w:p w14:paraId="2F98856B">
                  <w:pPr>
                    <w:jc w:val="center"/>
                    <w:rPr>
                      <w:rFonts w:hint="default"/>
                      <w:color w:val="auto"/>
                      <w:sz w:val="15"/>
                      <w:szCs w:val="15"/>
                      <w:lang w:val="en-US" w:eastAsia="zh-CN"/>
                    </w:rPr>
                  </w:pPr>
                  <w:r>
                    <w:rPr>
                      <w:rFonts w:hint="eastAsia"/>
                      <w:color w:val="auto"/>
                      <w:sz w:val="15"/>
                      <w:szCs w:val="15"/>
                      <w:lang w:val="en-US" w:eastAsia="zh-CN"/>
                    </w:rPr>
                    <w:t>0.039</w:t>
                  </w:r>
                </w:p>
              </w:tc>
              <w:tc>
                <w:tcPr>
                  <w:tcW w:w="437" w:type="pct"/>
                  <w:vAlign w:val="center"/>
                </w:tcPr>
                <w:p w14:paraId="0B5F8A04">
                  <w:pPr>
                    <w:jc w:val="center"/>
                    <w:rPr>
                      <w:rFonts w:hint="default"/>
                      <w:color w:val="auto"/>
                      <w:sz w:val="15"/>
                      <w:szCs w:val="15"/>
                      <w:lang w:val="en-US" w:eastAsia="zh-CN"/>
                    </w:rPr>
                  </w:pPr>
                  <w:r>
                    <w:rPr>
                      <w:rFonts w:hint="eastAsia"/>
                      <w:color w:val="auto"/>
                      <w:sz w:val="15"/>
                      <w:szCs w:val="15"/>
                      <w:lang w:val="en-US" w:eastAsia="zh-CN"/>
                    </w:rPr>
                    <w:t>0.0016</w:t>
                  </w:r>
                </w:p>
              </w:tc>
            </w:tr>
            <w:tr w14:paraId="49095F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82" w:type="pct"/>
                  <w:gridSpan w:val="2"/>
                  <w:vAlign w:val="center"/>
                </w:tcPr>
                <w:p w14:paraId="3DF585C4">
                  <w:pPr>
                    <w:jc w:val="center"/>
                    <w:rPr>
                      <w:rFonts w:hint="default"/>
                      <w:color w:val="auto"/>
                      <w:sz w:val="15"/>
                      <w:szCs w:val="15"/>
                      <w:lang w:val="en-US" w:eastAsia="zh-CN"/>
                    </w:rPr>
                  </w:pPr>
                  <w:r>
                    <w:rPr>
                      <w:rFonts w:hint="eastAsia"/>
                      <w:color w:val="auto"/>
                      <w:sz w:val="15"/>
                      <w:szCs w:val="15"/>
                      <w:lang w:val="en-US" w:eastAsia="zh-CN"/>
                    </w:rPr>
                    <w:t>柴油储罐呼吸</w:t>
                  </w:r>
                </w:p>
              </w:tc>
              <w:tc>
                <w:tcPr>
                  <w:tcW w:w="576" w:type="pct"/>
                  <w:vAlign w:val="center"/>
                </w:tcPr>
                <w:p w14:paraId="67F3A4AA">
                  <w:pPr>
                    <w:jc w:val="center"/>
                    <w:rPr>
                      <w:rFonts w:hint="eastAsia" w:eastAsia="宋体"/>
                      <w:color w:val="auto"/>
                      <w:sz w:val="15"/>
                      <w:szCs w:val="15"/>
                      <w:lang w:val="en-US" w:eastAsia="zh-CN"/>
                    </w:rPr>
                  </w:pPr>
                  <w:r>
                    <w:rPr>
                      <w:rFonts w:hint="eastAsia"/>
                      <w:color w:val="auto"/>
                      <w:sz w:val="15"/>
                      <w:szCs w:val="15"/>
                      <w:lang w:val="en-US" w:eastAsia="zh-CN"/>
                    </w:rPr>
                    <w:t>非甲烷总烃</w:t>
                  </w:r>
                </w:p>
              </w:tc>
              <w:tc>
                <w:tcPr>
                  <w:tcW w:w="410" w:type="pct"/>
                  <w:vAlign w:val="center"/>
                </w:tcPr>
                <w:p w14:paraId="5786D28F">
                  <w:pPr>
                    <w:jc w:val="center"/>
                    <w:rPr>
                      <w:rFonts w:hint="default"/>
                      <w:color w:val="auto"/>
                      <w:sz w:val="15"/>
                      <w:szCs w:val="15"/>
                      <w:lang w:val="en-US" w:eastAsia="zh-CN"/>
                    </w:rPr>
                  </w:pPr>
                  <w:r>
                    <w:rPr>
                      <w:rFonts w:hint="eastAsia"/>
                      <w:color w:val="auto"/>
                      <w:sz w:val="15"/>
                      <w:szCs w:val="15"/>
                      <w:lang w:val="en-US" w:eastAsia="zh-CN"/>
                    </w:rPr>
                    <w:t>无组织</w:t>
                  </w:r>
                </w:p>
              </w:tc>
              <w:tc>
                <w:tcPr>
                  <w:tcW w:w="469" w:type="pct"/>
                  <w:vAlign w:val="center"/>
                </w:tcPr>
                <w:p w14:paraId="45F04602">
                  <w:pPr>
                    <w:jc w:val="center"/>
                    <w:rPr>
                      <w:rFonts w:hint="default"/>
                      <w:color w:val="auto"/>
                      <w:sz w:val="15"/>
                      <w:szCs w:val="15"/>
                      <w:lang w:val="en-US" w:eastAsia="zh-CN"/>
                    </w:rPr>
                  </w:pPr>
                  <w:r>
                    <w:rPr>
                      <w:rFonts w:hint="eastAsia"/>
                      <w:color w:val="auto"/>
                      <w:sz w:val="15"/>
                      <w:szCs w:val="15"/>
                      <w:lang w:val="en-US" w:eastAsia="zh-CN"/>
                    </w:rPr>
                    <w:t>0.174</w:t>
                  </w:r>
                </w:p>
              </w:tc>
              <w:tc>
                <w:tcPr>
                  <w:tcW w:w="850" w:type="pct"/>
                  <w:vAlign w:val="center"/>
                </w:tcPr>
                <w:p w14:paraId="104F75A3">
                  <w:pPr>
                    <w:jc w:val="center"/>
                    <w:rPr>
                      <w:rFonts w:hint="default"/>
                      <w:color w:val="auto"/>
                      <w:sz w:val="15"/>
                      <w:szCs w:val="15"/>
                      <w:lang w:val="en-US" w:eastAsia="zh-CN"/>
                    </w:rPr>
                  </w:pPr>
                  <w:r>
                    <w:rPr>
                      <w:rFonts w:hint="eastAsia"/>
                      <w:color w:val="auto"/>
                      <w:sz w:val="15"/>
                      <w:szCs w:val="15"/>
                      <w:lang w:val="en-US" w:eastAsia="zh-CN"/>
                    </w:rPr>
                    <w:t>储罐设置于开阔场地，卸油采取浸没式卸油方式</w:t>
                  </w:r>
                </w:p>
              </w:tc>
              <w:tc>
                <w:tcPr>
                  <w:tcW w:w="553" w:type="pct"/>
                  <w:vAlign w:val="center"/>
                </w:tcPr>
                <w:p w14:paraId="0DDA0307">
                  <w:pPr>
                    <w:jc w:val="center"/>
                    <w:rPr>
                      <w:rFonts w:hint="default"/>
                      <w:color w:val="auto"/>
                      <w:sz w:val="15"/>
                      <w:szCs w:val="15"/>
                      <w:lang w:val="en-US" w:eastAsia="zh-CN"/>
                    </w:rPr>
                  </w:pPr>
                  <w:r>
                    <w:rPr>
                      <w:rFonts w:hint="eastAsia"/>
                      <w:color w:val="auto"/>
                      <w:sz w:val="15"/>
                      <w:szCs w:val="15"/>
                      <w:lang w:val="en-US" w:eastAsia="zh-CN"/>
                    </w:rPr>
                    <w:t>//</w:t>
                  </w:r>
                </w:p>
              </w:tc>
              <w:tc>
                <w:tcPr>
                  <w:tcW w:w="381" w:type="pct"/>
                  <w:vAlign w:val="center"/>
                </w:tcPr>
                <w:p w14:paraId="40FCEB09">
                  <w:pPr>
                    <w:jc w:val="center"/>
                    <w:rPr>
                      <w:rFonts w:hint="default"/>
                      <w:color w:val="auto"/>
                      <w:sz w:val="15"/>
                      <w:szCs w:val="15"/>
                      <w:lang w:val="en-US" w:eastAsia="zh-CN"/>
                    </w:rPr>
                  </w:pPr>
                  <w:r>
                    <w:rPr>
                      <w:rFonts w:hint="eastAsia"/>
                      <w:color w:val="auto"/>
                      <w:sz w:val="15"/>
                      <w:szCs w:val="15"/>
                      <w:lang w:val="en-US" w:eastAsia="zh-CN"/>
                    </w:rPr>
                    <w:t>//</w:t>
                  </w:r>
                </w:p>
              </w:tc>
              <w:tc>
                <w:tcPr>
                  <w:tcW w:w="437" w:type="pct"/>
                  <w:vAlign w:val="center"/>
                </w:tcPr>
                <w:p w14:paraId="2DF77343">
                  <w:pPr>
                    <w:jc w:val="center"/>
                    <w:rPr>
                      <w:rFonts w:hint="default"/>
                      <w:color w:val="auto"/>
                      <w:sz w:val="15"/>
                      <w:szCs w:val="15"/>
                      <w:lang w:val="en-US" w:eastAsia="zh-CN"/>
                    </w:rPr>
                  </w:pPr>
                  <w:r>
                    <w:rPr>
                      <w:rFonts w:hint="eastAsia"/>
                      <w:color w:val="auto"/>
                      <w:sz w:val="15"/>
                      <w:szCs w:val="15"/>
                      <w:lang w:val="en-US" w:eastAsia="zh-CN"/>
                    </w:rPr>
                    <w:t>//</w:t>
                  </w:r>
                </w:p>
              </w:tc>
              <w:tc>
                <w:tcPr>
                  <w:tcW w:w="437" w:type="pct"/>
                  <w:vAlign w:val="center"/>
                </w:tcPr>
                <w:p w14:paraId="7778FF52">
                  <w:pPr>
                    <w:jc w:val="center"/>
                    <w:rPr>
                      <w:rFonts w:hint="eastAsia"/>
                      <w:bCs/>
                      <w:color w:val="auto"/>
                      <w:sz w:val="15"/>
                      <w:szCs w:val="15"/>
                      <w:lang w:val="en-US" w:eastAsia="zh-CN"/>
                    </w:rPr>
                  </w:pPr>
                  <w:r>
                    <w:rPr>
                      <w:rFonts w:hint="eastAsia"/>
                      <w:bCs/>
                      <w:color w:val="auto"/>
                      <w:sz w:val="15"/>
                      <w:szCs w:val="15"/>
                      <w:lang w:val="en-US" w:eastAsia="zh-CN"/>
                    </w:rPr>
                    <w:t>忽略</w:t>
                  </w:r>
                </w:p>
                <w:p w14:paraId="5F2CB01E">
                  <w:pPr>
                    <w:jc w:val="center"/>
                    <w:rPr>
                      <w:rFonts w:hint="default"/>
                      <w:color w:val="auto"/>
                      <w:sz w:val="15"/>
                      <w:szCs w:val="15"/>
                      <w:lang w:val="en-US" w:eastAsia="zh-CN"/>
                    </w:rPr>
                  </w:pPr>
                  <w:r>
                    <w:rPr>
                      <w:rFonts w:hint="eastAsia"/>
                      <w:bCs/>
                      <w:color w:val="auto"/>
                      <w:sz w:val="15"/>
                      <w:szCs w:val="15"/>
                      <w:lang w:val="en-US" w:eastAsia="zh-CN"/>
                    </w:rPr>
                    <w:t>不计</w:t>
                  </w:r>
                </w:p>
              </w:tc>
            </w:tr>
            <w:tr w14:paraId="5FAC16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82" w:type="pct"/>
                  <w:gridSpan w:val="2"/>
                  <w:shd w:val="clear" w:color="auto" w:fill="auto"/>
                  <w:vAlign w:val="center"/>
                </w:tcPr>
                <w:p w14:paraId="4EE600C9">
                  <w:pPr>
                    <w:jc w:val="center"/>
                    <w:rPr>
                      <w:rFonts w:hint="default"/>
                      <w:color w:val="auto"/>
                      <w:sz w:val="15"/>
                      <w:szCs w:val="15"/>
                      <w:lang w:val="en-US" w:eastAsia="zh-CN"/>
                    </w:rPr>
                  </w:pPr>
                  <w:r>
                    <w:rPr>
                      <w:rFonts w:hint="eastAsia"/>
                      <w:color w:val="auto"/>
                      <w:sz w:val="15"/>
                      <w:szCs w:val="15"/>
                      <w:lang w:val="en-US" w:eastAsia="zh-CN"/>
                    </w:rPr>
                    <w:t>物料输送转载</w:t>
                  </w:r>
                </w:p>
              </w:tc>
              <w:tc>
                <w:tcPr>
                  <w:tcW w:w="576" w:type="pct"/>
                  <w:shd w:val="clear" w:color="auto" w:fill="auto"/>
                  <w:vAlign w:val="center"/>
                </w:tcPr>
                <w:p w14:paraId="20E7C6DE">
                  <w:pPr>
                    <w:jc w:val="center"/>
                    <w:rPr>
                      <w:rFonts w:hint="eastAsia"/>
                      <w:color w:val="auto"/>
                      <w:sz w:val="15"/>
                      <w:szCs w:val="15"/>
                      <w:lang w:val="en-US" w:eastAsia="zh-CN"/>
                    </w:rPr>
                  </w:pPr>
                  <w:r>
                    <w:rPr>
                      <w:rFonts w:hint="eastAsia"/>
                      <w:color w:val="auto"/>
                      <w:sz w:val="15"/>
                      <w:szCs w:val="15"/>
                      <w:lang w:val="en-US" w:eastAsia="zh-CN"/>
                    </w:rPr>
                    <w:t>颗粒物</w:t>
                  </w:r>
                </w:p>
              </w:tc>
              <w:tc>
                <w:tcPr>
                  <w:tcW w:w="410" w:type="pct"/>
                  <w:shd w:val="clear" w:color="auto" w:fill="auto"/>
                  <w:vAlign w:val="center"/>
                </w:tcPr>
                <w:p w14:paraId="756325CF">
                  <w:pPr>
                    <w:jc w:val="center"/>
                    <w:rPr>
                      <w:rFonts w:hint="default"/>
                      <w:bCs/>
                      <w:color w:val="auto"/>
                      <w:sz w:val="15"/>
                      <w:szCs w:val="15"/>
                      <w:lang w:val="en-US" w:eastAsia="zh-CN"/>
                    </w:rPr>
                  </w:pPr>
                  <w:r>
                    <w:rPr>
                      <w:rFonts w:hint="eastAsia"/>
                      <w:color w:val="auto"/>
                      <w:sz w:val="15"/>
                      <w:szCs w:val="15"/>
                      <w:lang w:val="en-US" w:eastAsia="zh-CN"/>
                    </w:rPr>
                    <w:t>无组织</w:t>
                  </w:r>
                </w:p>
              </w:tc>
              <w:tc>
                <w:tcPr>
                  <w:tcW w:w="469" w:type="pct"/>
                  <w:shd w:val="clear" w:color="auto" w:fill="auto"/>
                  <w:vAlign w:val="center"/>
                </w:tcPr>
                <w:p w14:paraId="6465A954">
                  <w:pPr>
                    <w:jc w:val="center"/>
                    <w:rPr>
                      <w:rFonts w:hint="default"/>
                      <w:color w:val="auto"/>
                      <w:sz w:val="15"/>
                      <w:szCs w:val="15"/>
                      <w:lang w:val="en-US" w:eastAsia="zh-CN"/>
                    </w:rPr>
                  </w:pPr>
                  <w:r>
                    <w:rPr>
                      <w:rFonts w:hint="eastAsia"/>
                      <w:color w:val="auto"/>
                      <w:sz w:val="15"/>
                      <w:szCs w:val="15"/>
                      <w:lang w:val="en-US" w:eastAsia="zh-CN"/>
                    </w:rPr>
                    <w:t>少量</w:t>
                  </w:r>
                </w:p>
              </w:tc>
              <w:tc>
                <w:tcPr>
                  <w:tcW w:w="850" w:type="pct"/>
                  <w:shd w:val="clear" w:color="auto" w:fill="auto"/>
                  <w:vAlign w:val="center"/>
                </w:tcPr>
                <w:p w14:paraId="21B52FC1">
                  <w:pPr>
                    <w:jc w:val="center"/>
                    <w:rPr>
                      <w:rFonts w:hint="default"/>
                      <w:bCs/>
                      <w:color w:val="auto"/>
                      <w:sz w:val="15"/>
                      <w:szCs w:val="15"/>
                      <w:lang w:val="en-US" w:eastAsia="zh-CN"/>
                    </w:rPr>
                  </w:pPr>
                  <w:r>
                    <w:rPr>
                      <w:rFonts w:hint="eastAsia"/>
                      <w:bCs/>
                      <w:color w:val="auto"/>
                      <w:sz w:val="15"/>
                      <w:szCs w:val="15"/>
                      <w:lang w:val="en-US" w:eastAsia="zh-CN"/>
                    </w:rPr>
                    <w:t>封闭输送皮带等设施，抑尘效果98%</w:t>
                  </w:r>
                </w:p>
              </w:tc>
              <w:tc>
                <w:tcPr>
                  <w:tcW w:w="553" w:type="pct"/>
                  <w:shd w:val="clear" w:color="auto" w:fill="auto"/>
                  <w:vAlign w:val="center"/>
                </w:tcPr>
                <w:p w14:paraId="1CF8189A">
                  <w:pPr>
                    <w:jc w:val="center"/>
                    <w:rPr>
                      <w:rFonts w:hint="default"/>
                      <w:bCs/>
                      <w:color w:val="auto"/>
                      <w:sz w:val="15"/>
                      <w:szCs w:val="15"/>
                      <w:lang w:val="en-US" w:eastAsia="zh-CN"/>
                    </w:rPr>
                  </w:pPr>
                  <w:r>
                    <w:rPr>
                      <w:rFonts w:hint="eastAsia"/>
                      <w:bCs/>
                      <w:color w:val="auto"/>
                      <w:sz w:val="15"/>
                      <w:szCs w:val="15"/>
                      <w:lang w:val="en-US" w:eastAsia="zh-CN"/>
                    </w:rPr>
                    <w:t>//</w:t>
                  </w:r>
                </w:p>
              </w:tc>
              <w:tc>
                <w:tcPr>
                  <w:tcW w:w="381" w:type="pct"/>
                  <w:shd w:val="clear" w:color="auto" w:fill="auto"/>
                  <w:vAlign w:val="center"/>
                </w:tcPr>
                <w:p w14:paraId="120EC8F0">
                  <w:pPr>
                    <w:jc w:val="center"/>
                    <w:rPr>
                      <w:rFonts w:hint="default"/>
                      <w:bCs/>
                      <w:color w:val="auto"/>
                      <w:sz w:val="15"/>
                      <w:szCs w:val="15"/>
                      <w:lang w:val="en-US" w:eastAsia="zh-CN"/>
                    </w:rPr>
                  </w:pPr>
                  <w:r>
                    <w:rPr>
                      <w:rFonts w:hint="eastAsia"/>
                      <w:bCs/>
                      <w:color w:val="auto"/>
                      <w:sz w:val="15"/>
                      <w:szCs w:val="15"/>
                      <w:lang w:val="en-US" w:eastAsia="zh-CN"/>
                    </w:rPr>
                    <w:t>//</w:t>
                  </w:r>
                </w:p>
              </w:tc>
              <w:tc>
                <w:tcPr>
                  <w:tcW w:w="437" w:type="pct"/>
                  <w:shd w:val="clear" w:color="auto" w:fill="auto"/>
                  <w:vAlign w:val="center"/>
                </w:tcPr>
                <w:p w14:paraId="74A4C3AC">
                  <w:pPr>
                    <w:tabs>
                      <w:tab w:val="left" w:pos="254"/>
                    </w:tabs>
                    <w:jc w:val="center"/>
                    <w:rPr>
                      <w:rFonts w:hint="default"/>
                      <w:bCs/>
                      <w:color w:val="auto"/>
                      <w:sz w:val="15"/>
                      <w:szCs w:val="15"/>
                      <w:lang w:val="en-US" w:eastAsia="zh-CN"/>
                    </w:rPr>
                  </w:pPr>
                  <w:r>
                    <w:rPr>
                      <w:rFonts w:hint="eastAsia"/>
                      <w:bCs/>
                      <w:color w:val="auto"/>
                      <w:sz w:val="15"/>
                      <w:szCs w:val="15"/>
                      <w:lang w:val="en-US" w:eastAsia="zh-CN"/>
                    </w:rPr>
                    <w:t>//</w:t>
                  </w:r>
                </w:p>
              </w:tc>
              <w:tc>
                <w:tcPr>
                  <w:tcW w:w="437" w:type="pct"/>
                  <w:shd w:val="clear" w:color="auto" w:fill="auto"/>
                  <w:vAlign w:val="center"/>
                </w:tcPr>
                <w:p w14:paraId="6699244E">
                  <w:pPr>
                    <w:jc w:val="center"/>
                    <w:rPr>
                      <w:rFonts w:hint="eastAsia"/>
                      <w:bCs/>
                      <w:color w:val="auto"/>
                      <w:sz w:val="15"/>
                      <w:szCs w:val="15"/>
                      <w:lang w:val="en-US" w:eastAsia="zh-CN"/>
                    </w:rPr>
                  </w:pPr>
                  <w:r>
                    <w:rPr>
                      <w:rFonts w:hint="eastAsia"/>
                      <w:bCs/>
                      <w:color w:val="auto"/>
                      <w:sz w:val="15"/>
                      <w:szCs w:val="15"/>
                      <w:lang w:val="en-US" w:eastAsia="zh-CN"/>
                    </w:rPr>
                    <w:t>忽略</w:t>
                  </w:r>
                </w:p>
                <w:p w14:paraId="30A03ECE">
                  <w:pPr>
                    <w:jc w:val="center"/>
                    <w:rPr>
                      <w:rFonts w:hint="default"/>
                      <w:bCs/>
                      <w:color w:val="auto"/>
                      <w:sz w:val="15"/>
                      <w:szCs w:val="15"/>
                      <w:lang w:val="en-US" w:eastAsia="zh-CN"/>
                    </w:rPr>
                  </w:pPr>
                  <w:r>
                    <w:rPr>
                      <w:rFonts w:hint="eastAsia"/>
                      <w:bCs/>
                      <w:color w:val="auto"/>
                      <w:sz w:val="15"/>
                      <w:szCs w:val="15"/>
                      <w:lang w:val="en-US" w:eastAsia="zh-CN"/>
                    </w:rPr>
                    <w:t>不计</w:t>
                  </w:r>
                </w:p>
              </w:tc>
            </w:tr>
            <w:tr w14:paraId="2DC38E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82" w:type="pct"/>
                  <w:gridSpan w:val="2"/>
                  <w:shd w:val="clear" w:color="auto" w:fill="auto"/>
                  <w:vAlign w:val="center"/>
                </w:tcPr>
                <w:p w14:paraId="2A1B4297">
                  <w:pPr>
                    <w:jc w:val="center"/>
                    <w:rPr>
                      <w:rFonts w:hint="default"/>
                      <w:color w:val="auto"/>
                      <w:sz w:val="15"/>
                      <w:szCs w:val="15"/>
                      <w:lang w:val="en-US" w:eastAsia="zh-CN"/>
                    </w:rPr>
                  </w:pPr>
                  <w:r>
                    <w:rPr>
                      <w:rFonts w:hint="eastAsia"/>
                      <w:color w:val="auto"/>
                      <w:sz w:val="15"/>
                      <w:szCs w:val="15"/>
                      <w:lang w:val="en-US" w:eastAsia="zh-CN"/>
                    </w:rPr>
                    <w:t>运输</w:t>
                  </w:r>
                </w:p>
              </w:tc>
              <w:tc>
                <w:tcPr>
                  <w:tcW w:w="576" w:type="pct"/>
                  <w:shd w:val="clear" w:color="auto" w:fill="auto"/>
                  <w:vAlign w:val="center"/>
                </w:tcPr>
                <w:p w14:paraId="04C41286">
                  <w:pPr>
                    <w:jc w:val="center"/>
                    <w:rPr>
                      <w:rFonts w:hint="eastAsia"/>
                      <w:color w:val="auto"/>
                      <w:sz w:val="15"/>
                      <w:szCs w:val="15"/>
                      <w:lang w:val="en-US" w:eastAsia="zh-CN"/>
                    </w:rPr>
                  </w:pPr>
                  <w:r>
                    <w:rPr>
                      <w:rFonts w:hint="eastAsia"/>
                      <w:color w:val="auto"/>
                      <w:sz w:val="15"/>
                      <w:szCs w:val="15"/>
                      <w:lang w:val="en-US" w:eastAsia="zh-CN"/>
                    </w:rPr>
                    <w:t>颗粒物</w:t>
                  </w:r>
                </w:p>
              </w:tc>
              <w:tc>
                <w:tcPr>
                  <w:tcW w:w="410" w:type="pct"/>
                  <w:shd w:val="clear" w:color="auto" w:fill="auto"/>
                  <w:vAlign w:val="center"/>
                </w:tcPr>
                <w:p w14:paraId="5C484FCC">
                  <w:pPr>
                    <w:jc w:val="center"/>
                    <w:rPr>
                      <w:rFonts w:hint="default"/>
                      <w:bCs/>
                      <w:color w:val="auto"/>
                      <w:sz w:val="15"/>
                      <w:szCs w:val="15"/>
                      <w:lang w:val="en-US" w:eastAsia="zh-CN"/>
                    </w:rPr>
                  </w:pPr>
                  <w:r>
                    <w:rPr>
                      <w:rFonts w:hint="eastAsia"/>
                      <w:color w:val="auto"/>
                      <w:sz w:val="15"/>
                      <w:szCs w:val="15"/>
                      <w:lang w:val="en-US" w:eastAsia="zh-CN"/>
                    </w:rPr>
                    <w:t>无组织</w:t>
                  </w:r>
                </w:p>
              </w:tc>
              <w:tc>
                <w:tcPr>
                  <w:tcW w:w="469" w:type="pct"/>
                  <w:shd w:val="clear" w:color="auto" w:fill="auto"/>
                  <w:vAlign w:val="center"/>
                </w:tcPr>
                <w:p w14:paraId="45F9531E">
                  <w:pPr>
                    <w:jc w:val="center"/>
                    <w:rPr>
                      <w:rFonts w:hint="default"/>
                      <w:color w:val="auto"/>
                      <w:sz w:val="15"/>
                      <w:szCs w:val="15"/>
                      <w:lang w:val="en-US" w:eastAsia="zh-CN"/>
                    </w:rPr>
                  </w:pPr>
                  <w:r>
                    <w:rPr>
                      <w:rFonts w:hint="eastAsia"/>
                      <w:color w:val="auto"/>
                      <w:sz w:val="15"/>
                      <w:szCs w:val="15"/>
                      <w:lang w:val="en-US" w:eastAsia="zh-CN"/>
                    </w:rPr>
                    <w:t>2.49</w:t>
                  </w:r>
                </w:p>
              </w:tc>
              <w:tc>
                <w:tcPr>
                  <w:tcW w:w="850" w:type="pct"/>
                  <w:shd w:val="clear" w:color="auto" w:fill="auto"/>
                  <w:vAlign w:val="center"/>
                </w:tcPr>
                <w:p w14:paraId="7C46C433">
                  <w:pPr>
                    <w:jc w:val="center"/>
                    <w:rPr>
                      <w:rFonts w:hint="default"/>
                      <w:bCs/>
                      <w:color w:val="auto"/>
                      <w:sz w:val="15"/>
                      <w:szCs w:val="15"/>
                      <w:lang w:val="en-US" w:eastAsia="zh-CN"/>
                    </w:rPr>
                  </w:pPr>
                  <w:r>
                    <w:rPr>
                      <w:rFonts w:hint="eastAsia"/>
                      <w:bCs/>
                      <w:color w:val="auto"/>
                      <w:sz w:val="15"/>
                      <w:szCs w:val="15"/>
                      <w:lang w:val="en-US" w:eastAsia="zh-CN"/>
                    </w:rPr>
                    <w:t>场地及道路硬化，加强洒水降尘、绿化等措施</w:t>
                  </w:r>
                </w:p>
              </w:tc>
              <w:tc>
                <w:tcPr>
                  <w:tcW w:w="553" w:type="pct"/>
                  <w:shd w:val="clear" w:color="auto" w:fill="auto"/>
                  <w:vAlign w:val="center"/>
                </w:tcPr>
                <w:p w14:paraId="23AEE090">
                  <w:pPr>
                    <w:jc w:val="center"/>
                    <w:rPr>
                      <w:rFonts w:hint="default"/>
                      <w:bCs/>
                      <w:color w:val="auto"/>
                      <w:sz w:val="15"/>
                      <w:szCs w:val="15"/>
                      <w:lang w:val="en-US" w:eastAsia="zh-CN"/>
                    </w:rPr>
                  </w:pPr>
                  <w:r>
                    <w:rPr>
                      <w:rFonts w:hint="eastAsia"/>
                      <w:bCs/>
                      <w:color w:val="auto"/>
                      <w:sz w:val="15"/>
                      <w:szCs w:val="15"/>
                      <w:lang w:val="en-US" w:eastAsia="zh-CN"/>
                    </w:rPr>
                    <w:t>//</w:t>
                  </w:r>
                </w:p>
              </w:tc>
              <w:tc>
                <w:tcPr>
                  <w:tcW w:w="381" w:type="pct"/>
                  <w:shd w:val="clear" w:color="auto" w:fill="auto"/>
                  <w:vAlign w:val="center"/>
                </w:tcPr>
                <w:p w14:paraId="7ED24280">
                  <w:pPr>
                    <w:jc w:val="center"/>
                    <w:rPr>
                      <w:rFonts w:hint="default"/>
                      <w:bCs/>
                      <w:color w:val="auto"/>
                      <w:sz w:val="15"/>
                      <w:szCs w:val="15"/>
                      <w:lang w:val="en-US" w:eastAsia="zh-CN"/>
                    </w:rPr>
                  </w:pPr>
                  <w:r>
                    <w:rPr>
                      <w:rFonts w:hint="eastAsia"/>
                      <w:bCs/>
                      <w:color w:val="auto"/>
                      <w:sz w:val="15"/>
                      <w:szCs w:val="15"/>
                      <w:lang w:val="en-US" w:eastAsia="zh-CN"/>
                    </w:rPr>
                    <w:t>//</w:t>
                  </w:r>
                </w:p>
              </w:tc>
              <w:tc>
                <w:tcPr>
                  <w:tcW w:w="437" w:type="pct"/>
                  <w:shd w:val="clear" w:color="auto" w:fill="auto"/>
                  <w:vAlign w:val="center"/>
                </w:tcPr>
                <w:p w14:paraId="0DAB84C0">
                  <w:pPr>
                    <w:jc w:val="center"/>
                    <w:rPr>
                      <w:rFonts w:hint="default"/>
                      <w:bCs/>
                      <w:color w:val="auto"/>
                      <w:sz w:val="15"/>
                      <w:szCs w:val="15"/>
                      <w:lang w:val="en-US" w:eastAsia="zh-CN"/>
                    </w:rPr>
                  </w:pPr>
                  <w:r>
                    <w:rPr>
                      <w:rFonts w:hint="eastAsia"/>
                      <w:bCs/>
                      <w:color w:val="auto"/>
                      <w:sz w:val="15"/>
                      <w:szCs w:val="15"/>
                      <w:lang w:val="en-US" w:eastAsia="zh-CN"/>
                    </w:rPr>
                    <w:t>//</w:t>
                  </w:r>
                </w:p>
              </w:tc>
              <w:tc>
                <w:tcPr>
                  <w:tcW w:w="437" w:type="pct"/>
                  <w:shd w:val="clear" w:color="auto" w:fill="auto"/>
                  <w:vAlign w:val="center"/>
                </w:tcPr>
                <w:p w14:paraId="15F0C790">
                  <w:pPr>
                    <w:jc w:val="center"/>
                    <w:rPr>
                      <w:rFonts w:hint="eastAsia"/>
                      <w:bCs/>
                      <w:color w:val="auto"/>
                      <w:sz w:val="15"/>
                      <w:szCs w:val="15"/>
                      <w:lang w:val="en-US" w:eastAsia="zh-CN"/>
                    </w:rPr>
                  </w:pPr>
                  <w:r>
                    <w:rPr>
                      <w:rFonts w:hint="eastAsia"/>
                      <w:bCs/>
                      <w:color w:val="auto"/>
                      <w:sz w:val="15"/>
                      <w:szCs w:val="15"/>
                      <w:lang w:val="en-US" w:eastAsia="zh-CN"/>
                    </w:rPr>
                    <w:t>忽略</w:t>
                  </w:r>
                </w:p>
                <w:p w14:paraId="4B45FD36">
                  <w:pPr>
                    <w:jc w:val="center"/>
                    <w:rPr>
                      <w:rFonts w:hint="default"/>
                      <w:bCs/>
                      <w:color w:val="auto"/>
                      <w:sz w:val="15"/>
                      <w:szCs w:val="15"/>
                      <w:lang w:val="en-US" w:eastAsia="zh-CN"/>
                    </w:rPr>
                  </w:pPr>
                  <w:r>
                    <w:rPr>
                      <w:rFonts w:hint="eastAsia"/>
                      <w:bCs/>
                      <w:color w:val="auto"/>
                      <w:sz w:val="15"/>
                      <w:szCs w:val="15"/>
                      <w:lang w:val="en-US" w:eastAsia="zh-CN"/>
                    </w:rPr>
                    <w:t>不计</w:t>
                  </w:r>
                </w:p>
              </w:tc>
            </w:tr>
            <w:tr w14:paraId="3D7C0C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82" w:type="pct"/>
                  <w:gridSpan w:val="2"/>
                  <w:vMerge w:val="restart"/>
                  <w:shd w:val="clear" w:color="auto" w:fill="auto"/>
                  <w:vAlign w:val="center"/>
                </w:tcPr>
                <w:p w14:paraId="77E14DB5">
                  <w:pPr>
                    <w:jc w:val="center"/>
                    <w:rPr>
                      <w:rFonts w:hint="eastAsia"/>
                      <w:color w:val="auto"/>
                      <w:sz w:val="15"/>
                      <w:szCs w:val="15"/>
                      <w:lang w:val="en-US" w:eastAsia="zh-CN"/>
                    </w:rPr>
                  </w:pPr>
                  <w:r>
                    <w:rPr>
                      <w:rFonts w:hint="eastAsia"/>
                      <w:color w:val="auto"/>
                      <w:sz w:val="15"/>
                      <w:szCs w:val="15"/>
                      <w:lang w:val="en-US" w:eastAsia="zh-CN"/>
                    </w:rPr>
                    <w:t>合计</w:t>
                  </w:r>
                </w:p>
              </w:tc>
              <w:tc>
                <w:tcPr>
                  <w:tcW w:w="576" w:type="pct"/>
                  <w:shd w:val="clear" w:color="auto" w:fill="auto"/>
                  <w:vAlign w:val="center"/>
                </w:tcPr>
                <w:p w14:paraId="0BF72F25">
                  <w:pPr>
                    <w:jc w:val="center"/>
                    <w:rPr>
                      <w:rFonts w:hint="eastAsia"/>
                      <w:color w:val="auto"/>
                      <w:sz w:val="15"/>
                      <w:szCs w:val="15"/>
                      <w:lang w:val="en-US" w:eastAsia="zh-CN"/>
                    </w:rPr>
                  </w:pPr>
                  <w:r>
                    <w:rPr>
                      <w:rFonts w:hint="eastAsia"/>
                      <w:color w:val="auto"/>
                      <w:sz w:val="15"/>
                      <w:szCs w:val="15"/>
                      <w:lang w:val="en-US" w:eastAsia="zh-CN"/>
                    </w:rPr>
                    <w:t>颗粒物</w:t>
                  </w:r>
                </w:p>
              </w:tc>
              <w:tc>
                <w:tcPr>
                  <w:tcW w:w="410" w:type="pct"/>
                  <w:vMerge w:val="restart"/>
                  <w:shd w:val="clear" w:color="auto" w:fill="auto"/>
                  <w:vAlign w:val="center"/>
                </w:tcPr>
                <w:p w14:paraId="22EBAA00">
                  <w:pPr>
                    <w:jc w:val="center"/>
                    <w:rPr>
                      <w:rFonts w:hint="eastAsia"/>
                      <w:color w:val="auto"/>
                      <w:sz w:val="15"/>
                      <w:szCs w:val="15"/>
                      <w:lang w:val="en-US" w:eastAsia="zh-CN"/>
                    </w:rPr>
                  </w:pPr>
                  <w:r>
                    <w:rPr>
                      <w:rFonts w:hint="eastAsia"/>
                      <w:color w:val="auto"/>
                      <w:sz w:val="15"/>
                      <w:szCs w:val="15"/>
                      <w:lang w:val="en-US" w:eastAsia="zh-CN"/>
                    </w:rPr>
                    <w:t>有组织</w:t>
                  </w:r>
                </w:p>
              </w:tc>
              <w:tc>
                <w:tcPr>
                  <w:tcW w:w="469" w:type="pct"/>
                  <w:shd w:val="clear" w:color="auto" w:fill="auto"/>
                  <w:vAlign w:val="center"/>
                </w:tcPr>
                <w:p w14:paraId="780D40A2">
                  <w:pPr>
                    <w:jc w:val="center"/>
                    <w:rPr>
                      <w:rFonts w:hint="default"/>
                      <w:color w:val="auto"/>
                      <w:sz w:val="15"/>
                      <w:szCs w:val="15"/>
                      <w:lang w:val="en-US" w:eastAsia="zh-CN"/>
                    </w:rPr>
                  </w:pPr>
                  <w:r>
                    <w:rPr>
                      <w:rFonts w:hint="eastAsia"/>
                      <w:color w:val="auto"/>
                      <w:sz w:val="15"/>
                      <w:szCs w:val="15"/>
                      <w:lang w:val="en-US" w:eastAsia="zh-CN"/>
                    </w:rPr>
                    <w:t>//</w:t>
                  </w:r>
                </w:p>
              </w:tc>
              <w:tc>
                <w:tcPr>
                  <w:tcW w:w="850" w:type="pct"/>
                  <w:shd w:val="clear" w:color="auto" w:fill="auto"/>
                  <w:vAlign w:val="center"/>
                </w:tcPr>
                <w:p w14:paraId="45BA4027">
                  <w:pPr>
                    <w:jc w:val="center"/>
                    <w:rPr>
                      <w:rFonts w:hint="default"/>
                      <w:bCs/>
                      <w:color w:val="auto"/>
                      <w:sz w:val="15"/>
                      <w:szCs w:val="15"/>
                      <w:lang w:val="en-US" w:eastAsia="zh-CN"/>
                    </w:rPr>
                  </w:pPr>
                  <w:r>
                    <w:rPr>
                      <w:rFonts w:hint="eastAsia"/>
                      <w:bCs/>
                      <w:color w:val="auto"/>
                      <w:sz w:val="15"/>
                      <w:szCs w:val="15"/>
                      <w:lang w:val="en-US" w:eastAsia="zh-CN"/>
                    </w:rPr>
                    <w:t>//</w:t>
                  </w:r>
                </w:p>
              </w:tc>
              <w:tc>
                <w:tcPr>
                  <w:tcW w:w="553" w:type="pct"/>
                  <w:shd w:val="clear" w:color="auto" w:fill="auto"/>
                  <w:vAlign w:val="center"/>
                </w:tcPr>
                <w:p w14:paraId="0E738D2D">
                  <w:pPr>
                    <w:jc w:val="center"/>
                    <w:rPr>
                      <w:rFonts w:hint="default"/>
                      <w:bCs/>
                      <w:color w:val="auto"/>
                      <w:sz w:val="15"/>
                      <w:szCs w:val="15"/>
                      <w:lang w:val="en-US" w:eastAsia="zh-CN"/>
                    </w:rPr>
                  </w:pPr>
                  <w:r>
                    <w:rPr>
                      <w:rFonts w:hint="eastAsia"/>
                      <w:bCs/>
                      <w:color w:val="auto"/>
                      <w:sz w:val="15"/>
                      <w:szCs w:val="15"/>
                      <w:lang w:val="en-US" w:eastAsia="zh-CN"/>
                    </w:rPr>
                    <w:t>//</w:t>
                  </w:r>
                </w:p>
              </w:tc>
              <w:tc>
                <w:tcPr>
                  <w:tcW w:w="381" w:type="pct"/>
                  <w:shd w:val="clear" w:color="auto" w:fill="auto"/>
                  <w:vAlign w:val="center"/>
                </w:tcPr>
                <w:p w14:paraId="01C97FDC">
                  <w:pPr>
                    <w:jc w:val="center"/>
                    <w:rPr>
                      <w:rFonts w:hint="default"/>
                      <w:bCs/>
                      <w:color w:val="auto"/>
                      <w:sz w:val="15"/>
                      <w:szCs w:val="15"/>
                      <w:lang w:val="en-US" w:eastAsia="zh-CN"/>
                    </w:rPr>
                  </w:pPr>
                  <w:r>
                    <w:rPr>
                      <w:rFonts w:hint="eastAsia"/>
                      <w:bCs/>
                      <w:color w:val="auto"/>
                      <w:sz w:val="15"/>
                      <w:szCs w:val="15"/>
                      <w:lang w:val="en-US" w:eastAsia="zh-CN"/>
                    </w:rPr>
                    <w:t>//</w:t>
                  </w:r>
                </w:p>
              </w:tc>
              <w:tc>
                <w:tcPr>
                  <w:tcW w:w="437" w:type="pct"/>
                  <w:shd w:val="clear" w:color="auto" w:fill="auto"/>
                  <w:vAlign w:val="center"/>
                </w:tcPr>
                <w:p w14:paraId="11A3B87D">
                  <w:pPr>
                    <w:jc w:val="center"/>
                    <w:rPr>
                      <w:rFonts w:hint="default"/>
                      <w:bCs/>
                      <w:color w:val="auto"/>
                      <w:sz w:val="15"/>
                      <w:szCs w:val="15"/>
                      <w:lang w:val="en-US" w:eastAsia="zh-CN"/>
                    </w:rPr>
                  </w:pPr>
                  <w:r>
                    <w:rPr>
                      <w:rFonts w:hint="eastAsia"/>
                      <w:bCs/>
                      <w:color w:val="auto"/>
                      <w:sz w:val="15"/>
                      <w:szCs w:val="15"/>
                      <w:lang w:val="en-US" w:eastAsia="zh-CN"/>
                    </w:rPr>
                    <w:t>//</w:t>
                  </w:r>
                </w:p>
              </w:tc>
              <w:tc>
                <w:tcPr>
                  <w:tcW w:w="437" w:type="pct"/>
                  <w:shd w:val="clear" w:color="auto" w:fill="auto"/>
                  <w:vAlign w:val="center"/>
                </w:tcPr>
                <w:p w14:paraId="3E4C1F85">
                  <w:pPr>
                    <w:jc w:val="center"/>
                    <w:rPr>
                      <w:rFonts w:hint="default"/>
                      <w:bCs/>
                      <w:color w:val="auto"/>
                      <w:sz w:val="15"/>
                      <w:szCs w:val="15"/>
                      <w:lang w:val="en-US" w:eastAsia="zh-CN"/>
                    </w:rPr>
                  </w:pPr>
                  <w:r>
                    <w:rPr>
                      <w:rFonts w:hint="eastAsia"/>
                      <w:bCs/>
                      <w:color w:val="auto"/>
                      <w:sz w:val="15"/>
                      <w:szCs w:val="15"/>
                      <w:lang w:val="en-US" w:eastAsia="zh-CN"/>
                    </w:rPr>
                    <w:t>2.7149</w:t>
                  </w:r>
                </w:p>
              </w:tc>
            </w:tr>
            <w:tr w14:paraId="270F5D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82" w:type="pct"/>
                  <w:gridSpan w:val="2"/>
                  <w:vMerge w:val="continue"/>
                  <w:shd w:val="clear" w:color="auto" w:fill="auto"/>
                  <w:vAlign w:val="center"/>
                </w:tcPr>
                <w:p w14:paraId="23DE6841">
                  <w:pPr>
                    <w:jc w:val="center"/>
                    <w:rPr>
                      <w:rFonts w:hint="eastAsia"/>
                      <w:color w:val="auto"/>
                      <w:sz w:val="15"/>
                      <w:szCs w:val="15"/>
                      <w:lang w:val="en-US" w:eastAsia="zh-CN"/>
                    </w:rPr>
                  </w:pPr>
                </w:p>
              </w:tc>
              <w:tc>
                <w:tcPr>
                  <w:tcW w:w="576" w:type="pct"/>
                  <w:shd w:val="clear" w:color="auto" w:fill="auto"/>
                  <w:vAlign w:val="center"/>
                </w:tcPr>
                <w:p w14:paraId="0E1633FD">
                  <w:pPr>
                    <w:jc w:val="center"/>
                    <w:rPr>
                      <w:rFonts w:hint="eastAsia"/>
                      <w:color w:val="auto"/>
                      <w:sz w:val="15"/>
                      <w:szCs w:val="15"/>
                      <w:lang w:val="en-US" w:eastAsia="zh-CN"/>
                    </w:rPr>
                  </w:pPr>
                  <w:r>
                    <w:rPr>
                      <w:rFonts w:hint="eastAsia"/>
                      <w:color w:val="auto"/>
                      <w:sz w:val="15"/>
                      <w:szCs w:val="15"/>
                      <w:lang w:val="en-US" w:eastAsia="zh-CN"/>
                    </w:rPr>
                    <w:t>SO</w:t>
                  </w:r>
                  <w:r>
                    <w:rPr>
                      <w:rFonts w:hint="eastAsia"/>
                      <w:color w:val="auto"/>
                      <w:sz w:val="15"/>
                      <w:szCs w:val="15"/>
                      <w:vertAlign w:val="subscript"/>
                      <w:lang w:val="en-US" w:eastAsia="zh-CN"/>
                    </w:rPr>
                    <w:t>2</w:t>
                  </w:r>
                </w:p>
              </w:tc>
              <w:tc>
                <w:tcPr>
                  <w:tcW w:w="410" w:type="pct"/>
                  <w:vMerge w:val="continue"/>
                  <w:shd w:val="clear" w:color="auto" w:fill="auto"/>
                  <w:vAlign w:val="center"/>
                </w:tcPr>
                <w:p w14:paraId="173D8F86">
                  <w:pPr>
                    <w:jc w:val="center"/>
                    <w:rPr>
                      <w:rFonts w:hint="eastAsia"/>
                      <w:color w:val="auto"/>
                      <w:sz w:val="15"/>
                      <w:szCs w:val="15"/>
                      <w:lang w:val="en-US" w:eastAsia="zh-CN"/>
                    </w:rPr>
                  </w:pPr>
                </w:p>
              </w:tc>
              <w:tc>
                <w:tcPr>
                  <w:tcW w:w="469" w:type="pct"/>
                  <w:shd w:val="clear" w:color="auto" w:fill="auto"/>
                  <w:vAlign w:val="center"/>
                </w:tcPr>
                <w:p w14:paraId="394F0768">
                  <w:pPr>
                    <w:jc w:val="center"/>
                    <w:rPr>
                      <w:rFonts w:hint="eastAsia"/>
                      <w:color w:val="auto"/>
                      <w:sz w:val="15"/>
                      <w:szCs w:val="15"/>
                      <w:lang w:val="en-US" w:eastAsia="zh-CN"/>
                    </w:rPr>
                  </w:pPr>
                  <w:r>
                    <w:rPr>
                      <w:rFonts w:hint="eastAsia"/>
                      <w:color w:val="auto"/>
                      <w:sz w:val="15"/>
                      <w:szCs w:val="15"/>
                      <w:lang w:val="en-US" w:eastAsia="zh-CN"/>
                    </w:rPr>
                    <w:t>//</w:t>
                  </w:r>
                </w:p>
              </w:tc>
              <w:tc>
                <w:tcPr>
                  <w:tcW w:w="850" w:type="pct"/>
                  <w:shd w:val="clear" w:color="auto" w:fill="auto"/>
                  <w:vAlign w:val="center"/>
                </w:tcPr>
                <w:p w14:paraId="2859D452">
                  <w:pPr>
                    <w:jc w:val="center"/>
                    <w:rPr>
                      <w:rFonts w:hint="eastAsia"/>
                      <w:bCs/>
                      <w:color w:val="auto"/>
                      <w:sz w:val="15"/>
                      <w:szCs w:val="15"/>
                      <w:lang w:val="en-US" w:eastAsia="zh-CN"/>
                    </w:rPr>
                  </w:pPr>
                  <w:r>
                    <w:rPr>
                      <w:rFonts w:hint="eastAsia"/>
                      <w:bCs/>
                      <w:color w:val="auto"/>
                      <w:sz w:val="15"/>
                      <w:szCs w:val="15"/>
                      <w:lang w:val="en-US" w:eastAsia="zh-CN"/>
                    </w:rPr>
                    <w:t>//</w:t>
                  </w:r>
                </w:p>
              </w:tc>
              <w:tc>
                <w:tcPr>
                  <w:tcW w:w="553" w:type="pct"/>
                  <w:shd w:val="clear" w:color="auto" w:fill="auto"/>
                  <w:vAlign w:val="center"/>
                </w:tcPr>
                <w:p w14:paraId="54399E21">
                  <w:pPr>
                    <w:jc w:val="center"/>
                    <w:rPr>
                      <w:rFonts w:hint="eastAsia"/>
                      <w:bCs/>
                      <w:color w:val="auto"/>
                      <w:sz w:val="15"/>
                      <w:szCs w:val="15"/>
                      <w:lang w:val="en-US" w:eastAsia="zh-CN"/>
                    </w:rPr>
                  </w:pPr>
                  <w:r>
                    <w:rPr>
                      <w:rFonts w:hint="eastAsia"/>
                      <w:bCs/>
                      <w:color w:val="auto"/>
                      <w:sz w:val="15"/>
                      <w:szCs w:val="15"/>
                      <w:lang w:val="en-US" w:eastAsia="zh-CN"/>
                    </w:rPr>
                    <w:t>//</w:t>
                  </w:r>
                </w:p>
              </w:tc>
              <w:tc>
                <w:tcPr>
                  <w:tcW w:w="381" w:type="pct"/>
                  <w:shd w:val="clear" w:color="auto" w:fill="auto"/>
                  <w:vAlign w:val="center"/>
                </w:tcPr>
                <w:p w14:paraId="7072B55B">
                  <w:pPr>
                    <w:jc w:val="center"/>
                    <w:rPr>
                      <w:rFonts w:hint="eastAsia"/>
                      <w:bCs/>
                      <w:color w:val="auto"/>
                      <w:sz w:val="15"/>
                      <w:szCs w:val="15"/>
                      <w:lang w:val="en-US" w:eastAsia="zh-CN"/>
                    </w:rPr>
                  </w:pPr>
                  <w:r>
                    <w:rPr>
                      <w:rFonts w:hint="eastAsia"/>
                      <w:bCs/>
                      <w:color w:val="auto"/>
                      <w:sz w:val="15"/>
                      <w:szCs w:val="15"/>
                      <w:lang w:val="en-US" w:eastAsia="zh-CN"/>
                    </w:rPr>
                    <w:t>//</w:t>
                  </w:r>
                </w:p>
              </w:tc>
              <w:tc>
                <w:tcPr>
                  <w:tcW w:w="437" w:type="pct"/>
                  <w:shd w:val="clear" w:color="auto" w:fill="auto"/>
                  <w:vAlign w:val="center"/>
                </w:tcPr>
                <w:p w14:paraId="2E3C31E3">
                  <w:pPr>
                    <w:jc w:val="center"/>
                    <w:rPr>
                      <w:rFonts w:hint="eastAsia"/>
                      <w:bCs/>
                      <w:color w:val="auto"/>
                      <w:sz w:val="15"/>
                      <w:szCs w:val="15"/>
                      <w:lang w:val="en-US" w:eastAsia="zh-CN"/>
                    </w:rPr>
                  </w:pPr>
                  <w:r>
                    <w:rPr>
                      <w:rFonts w:hint="eastAsia"/>
                      <w:bCs/>
                      <w:color w:val="auto"/>
                      <w:sz w:val="15"/>
                      <w:szCs w:val="15"/>
                      <w:lang w:val="en-US" w:eastAsia="zh-CN"/>
                    </w:rPr>
                    <w:t>//</w:t>
                  </w:r>
                </w:p>
              </w:tc>
              <w:tc>
                <w:tcPr>
                  <w:tcW w:w="437" w:type="pct"/>
                  <w:shd w:val="clear" w:color="auto" w:fill="auto"/>
                  <w:vAlign w:val="center"/>
                </w:tcPr>
                <w:p w14:paraId="34CEC840">
                  <w:pPr>
                    <w:jc w:val="center"/>
                    <w:rPr>
                      <w:rFonts w:hint="default"/>
                      <w:bCs/>
                      <w:color w:val="auto"/>
                      <w:sz w:val="15"/>
                      <w:szCs w:val="15"/>
                      <w:lang w:val="en-US" w:eastAsia="zh-CN"/>
                    </w:rPr>
                  </w:pPr>
                  <w:r>
                    <w:rPr>
                      <w:rFonts w:hint="eastAsia"/>
                      <w:bCs/>
                      <w:color w:val="auto"/>
                      <w:sz w:val="15"/>
                      <w:szCs w:val="15"/>
                      <w:lang w:val="en-US" w:eastAsia="zh-CN"/>
                    </w:rPr>
                    <w:t>0.0046</w:t>
                  </w:r>
                </w:p>
              </w:tc>
            </w:tr>
            <w:tr w14:paraId="13108E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82" w:type="pct"/>
                  <w:gridSpan w:val="2"/>
                  <w:vMerge w:val="continue"/>
                  <w:shd w:val="clear" w:color="auto" w:fill="auto"/>
                  <w:vAlign w:val="center"/>
                </w:tcPr>
                <w:p w14:paraId="5D061955">
                  <w:pPr>
                    <w:jc w:val="center"/>
                    <w:rPr>
                      <w:rFonts w:hint="eastAsia"/>
                      <w:color w:val="auto"/>
                      <w:sz w:val="15"/>
                      <w:szCs w:val="15"/>
                      <w:lang w:val="en-US" w:eastAsia="zh-CN"/>
                    </w:rPr>
                  </w:pPr>
                </w:p>
              </w:tc>
              <w:tc>
                <w:tcPr>
                  <w:tcW w:w="576" w:type="pct"/>
                  <w:shd w:val="clear" w:color="auto" w:fill="auto"/>
                  <w:vAlign w:val="center"/>
                </w:tcPr>
                <w:p w14:paraId="18644C83">
                  <w:pPr>
                    <w:jc w:val="center"/>
                    <w:rPr>
                      <w:rFonts w:hint="eastAsia"/>
                      <w:color w:val="auto"/>
                      <w:sz w:val="15"/>
                      <w:szCs w:val="15"/>
                      <w:lang w:val="en-US" w:eastAsia="zh-CN"/>
                    </w:rPr>
                  </w:pPr>
                  <w:r>
                    <w:rPr>
                      <w:rFonts w:hint="eastAsia"/>
                      <w:color w:val="auto"/>
                      <w:sz w:val="15"/>
                      <w:szCs w:val="15"/>
                      <w:lang w:val="en-US" w:eastAsia="zh-CN"/>
                    </w:rPr>
                    <w:t>NO</w:t>
                  </w:r>
                  <w:r>
                    <w:rPr>
                      <w:rFonts w:hint="eastAsia"/>
                      <w:color w:val="auto"/>
                      <w:sz w:val="15"/>
                      <w:szCs w:val="15"/>
                      <w:vertAlign w:val="subscript"/>
                      <w:lang w:val="en-US" w:eastAsia="zh-CN"/>
                    </w:rPr>
                    <w:t>x</w:t>
                  </w:r>
                </w:p>
              </w:tc>
              <w:tc>
                <w:tcPr>
                  <w:tcW w:w="410" w:type="pct"/>
                  <w:vMerge w:val="continue"/>
                  <w:shd w:val="clear" w:color="auto" w:fill="auto"/>
                  <w:vAlign w:val="center"/>
                </w:tcPr>
                <w:p w14:paraId="54B652DA">
                  <w:pPr>
                    <w:jc w:val="center"/>
                    <w:rPr>
                      <w:rFonts w:hint="eastAsia"/>
                      <w:color w:val="auto"/>
                      <w:sz w:val="15"/>
                      <w:szCs w:val="15"/>
                      <w:lang w:val="en-US" w:eastAsia="zh-CN"/>
                    </w:rPr>
                  </w:pPr>
                </w:p>
              </w:tc>
              <w:tc>
                <w:tcPr>
                  <w:tcW w:w="469" w:type="pct"/>
                  <w:shd w:val="clear" w:color="auto" w:fill="auto"/>
                  <w:vAlign w:val="center"/>
                </w:tcPr>
                <w:p w14:paraId="791DC6C4">
                  <w:pPr>
                    <w:jc w:val="center"/>
                    <w:rPr>
                      <w:rFonts w:hint="eastAsia"/>
                      <w:color w:val="auto"/>
                      <w:sz w:val="15"/>
                      <w:szCs w:val="15"/>
                      <w:lang w:val="en-US" w:eastAsia="zh-CN"/>
                    </w:rPr>
                  </w:pPr>
                  <w:r>
                    <w:rPr>
                      <w:rFonts w:hint="eastAsia"/>
                      <w:color w:val="auto"/>
                      <w:sz w:val="15"/>
                      <w:szCs w:val="15"/>
                      <w:lang w:val="en-US" w:eastAsia="zh-CN"/>
                    </w:rPr>
                    <w:t>//</w:t>
                  </w:r>
                </w:p>
              </w:tc>
              <w:tc>
                <w:tcPr>
                  <w:tcW w:w="850" w:type="pct"/>
                  <w:shd w:val="clear" w:color="auto" w:fill="auto"/>
                  <w:vAlign w:val="center"/>
                </w:tcPr>
                <w:p w14:paraId="235CC06C">
                  <w:pPr>
                    <w:jc w:val="center"/>
                    <w:rPr>
                      <w:rFonts w:hint="eastAsia"/>
                      <w:bCs/>
                      <w:color w:val="auto"/>
                      <w:sz w:val="15"/>
                      <w:szCs w:val="15"/>
                      <w:lang w:val="en-US" w:eastAsia="zh-CN"/>
                    </w:rPr>
                  </w:pPr>
                  <w:r>
                    <w:rPr>
                      <w:rFonts w:hint="eastAsia"/>
                      <w:bCs/>
                      <w:color w:val="auto"/>
                      <w:sz w:val="15"/>
                      <w:szCs w:val="15"/>
                      <w:lang w:val="en-US" w:eastAsia="zh-CN"/>
                    </w:rPr>
                    <w:t>//</w:t>
                  </w:r>
                </w:p>
              </w:tc>
              <w:tc>
                <w:tcPr>
                  <w:tcW w:w="553" w:type="pct"/>
                  <w:shd w:val="clear" w:color="auto" w:fill="auto"/>
                  <w:vAlign w:val="center"/>
                </w:tcPr>
                <w:p w14:paraId="1481721F">
                  <w:pPr>
                    <w:jc w:val="center"/>
                    <w:rPr>
                      <w:rFonts w:hint="eastAsia"/>
                      <w:bCs/>
                      <w:color w:val="auto"/>
                      <w:sz w:val="15"/>
                      <w:szCs w:val="15"/>
                      <w:lang w:val="en-US" w:eastAsia="zh-CN"/>
                    </w:rPr>
                  </w:pPr>
                  <w:r>
                    <w:rPr>
                      <w:rFonts w:hint="eastAsia"/>
                      <w:bCs/>
                      <w:color w:val="auto"/>
                      <w:sz w:val="15"/>
                      <w:szCs w:val="15"/>
                      <w:lang w:val="en-US" w:eastAsia="zh-CN"/>
                    </w:rPr>
                    <w:t>//</w:t>
                  </w:r>
                </w:p>
              </w:tc>
              <w:tc>
                <w:tcPr>
                  <w:tcW w:w="381" w:type="pct"/>
                  <w:shd w:val="clear" w:color="auto" w:fill="auto"/>
                  <w:vAlign w:val="center"/>
                </w:tcPr>
                <w:p w14:paraId="6A58ADB4">
                  <w:pPr>
                    <w:jc w:val="center"/>
                    <w:rPr>
                      <w:rFonts w:hint="eastAsia"/>
                      <w:bCs/>
                      <w:color w:val="auto"/>
                      <w:sz w:val="15"/>
                      <w:szCs w:val="15"/>
                      <w:lang w:val="en-US" w:eastAsia="zh-CN"/>
                    </w:rPr>
                  </w:pPr>
                  <w:r>
                    <w:rPr>
                      <w:rFonts w:hint="eastAsia"/>
                      <w:bCs/>
                      <w:color w:val="auto"/>
                      <w:sz w:val="15"/>
                      <w:szCs w:val="15"/>
                      <w:lang w:val="en-US" w:eastAsia="zh-CN"/>
                    </w:rPr>
                    <w:t>//</w:t>
                  </w:r>
                </w:p>
              </w:tc>
              <w:tc>
                <w:tcPr>
                  <w:tcW w:w="437" w:type="pct"/>
                  <w:shd w:val="clear" w:color="auto" w:fill="auto"/>
                  <w:vAlign w:val="center"/>
                </w:tcPr>
                <w:p w14:paraId="3BAB58AB">
                  <w:pPr>
                    <w:jc w:val="center"/>
                    <w:rPr>
                      <w:rFonts w:hint="eastAsia"/>
                      <w:bCs/>
                      <w:color w:val="auto"/>
                      <w:sz w:val="15"/>
                      <w:szCs w:val="15"/>
                      <w:lang w:val="en-US" w:eastAsia="zh-CN"/>
                    </w:rPr>
                  </w:pPr>
                  <w:r>
                    <w:rPr>
                      <w:rFonts w:hint="eastAsia"/>
                      <w:bCs/>
                      <w:color w:val="auto"/>
                      <w:sz w:val="15"/>
                      <w:szCs w:val="15"/>
                      <w:lang w:val="en-US" w:eastAsia="zh-CN"/>
                    </w:rPr>
                    <w:t>//</w:t>
                  </w:r>
                </w:p>
              </w:tc>
              <w:tc>
                <w:tcPr>
                  <w:tcW w:w="437" w:type="pct"/>
                  <w:shd w:val="clear" w:color="auto" w:fill="auto"/>
                  <w:vAlign w:val="center"/>
                </w:tcPr>
                <w:p w14:paraId="12CE33D9">
                  <w:pPr>
                    <w:jc w:val="center"/>
                    <w:rPr>
                      <w:rFonts w:hint="default"/>
                      <w:bCs/>
                      <w:color w:val="auto"/>
                      <w:sz w:val="15"/>
                      <w:szCs w:val="15"/>
                      <w:lang w:val="en-US" w:eastAsia="zh-CN"/>
                    </w:rPr>
                  </w:pPr>
                  <w:r>
                    <w:rPr>
                      <w:rFonts w:hint="eastAsia"/>
                      <w:bCs/>
                      <w:color w:val="auto"/>
                      <w:sz w:val="15"/>
                      <w:szCs w:val="15"/>
                      <w:lang w:val="en-US" w:eastAsia="zh-CN"/>
                    </w:rPr>
                    <w:t>0.6388</w:t>
                  </w:r>
                </w:p>
              </w:tc>
            </w:tr>
            <w:tr w14:paraId="68C906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82" w:type="pct"/>
                  <w:gridSpan w:val="2"/>
                  <w:vMerge w:val="continue"/>
                  <w:shd w:val="clear" w:color="auto" w:fill="auto"/>
                  <w:vAlign w:val="center"/>
                </w:tcPr>
                <w:p w14:paraId="2FAF7EE0">
                  <w:pPr>
                    <w:jc w:val="center"/>
                    <w:rPr>
                      <w:rFonts w:hint="eastAsia"/>
                      <w:color w:val="auto"/>
                      <w:sz w:val="15"/>
                      <w:szCs w:val="15"/>
                      <w:lang w:val="en-US" w:eastAsia="zh-CN"/>
                    </w:rPr>
                  </w:pPr>
                </w:p>
              </w:tc>
              <w:tc>
                <w:tcPr>
                  <w:tcW w:w="576" w:type="pct"/>
                  <w:shd w:val="clear" w:color="auto" w:fill="auto"/>
                  <w:vAlign w:val="center"/>
                </w:tcPr>
                <w:p w14:paraId="37C1C890">
                  <w:pPr>
                    <w:jc w:val="center"/>
                    <w:rPr>
                      <w:rFonts w:hint="eastAsia"/>
                      <w:color w:val="auto"/>
                      <w:sz w:val="15"/>
                      <w:szCs w:val="15"/>
                      <w:lang w:val="en-US" w:eastAsia="zh-CN"/>
                    </w:rPr>
                  </w:pPr>
                  <w:r>
                    <w:rPr>
                      <w:rFonts w:hint="eastAsia"/>
                      <w:color w:val="auto"/>
                      <w:sz w:val="15"/>
                      <w:szCs w:val="15"/>
                      <w:lang w:val="en-US" w:eastAsia="zh-CN"/>
                    </w:rPr>
                    <w:t>沥青烟</w:t>
                  </w:r>
                </w:p>
              </w:tc>
              <w:tc>
                <w:tcPr>
                  <w:tcW w:w="410" w:type="pct"/>
                  <w:vMerge w:val="continue"/>
                  <w:shd w:val="clear" w:color="auto" w:fill="auto"/>
                  <w:vAlign w:val="center"/>
                </w:tcPr>
                <w:p w14:paraId="6FD2DBC8">
                  <w:pPr>
                    <w:jc w:val="center"/>
                    <w:rPr>
                      <w:rFonts w:hint="eastAsia"/>
                      <w:color w:val="auto"/>
                      <w:sz w:val="15"/>
                      <w:szCs w:val="15"/>
                      <w:lang w:val="en-US" w:eastAsia="zh-CN"/>
                    </w:rPr>
                  </w:pPr>
                </w:p>
              </w:tc>
              <w:tc>
                <w:tcPr>
                  <w:tcW w:w="469" w:type="pct"/>
                  <w:shd w:val="clear" w:color="auto" w:fill="auto"/>
                  <w:vAlign w:val="center"/>
                </w:tcPr>
                <w:p w14:paraId="7F102CAC">
                  <w:pPr>
                    <w:jc w:val="center"/>
                    <w:rPr>
                      <w:rFonts w:hint="eastAsia"/>
                      <w:color w:val="auto"/>
                      <w:sz w:val="15"/>
                      <w:szCs w:val="15"/>
                      <w:lang w:val="en-US" w:eastAsia="zh-CN"/>
                    </w:rPr>
                  </w:pPr>
                  <w:r>
                    <w:rPr>
                      <w:rFonts w:hint="eastAsia"/>
                      <w:color w:val="auto"/>
                      <w:sz w:val="15"/>
                      <w:szCs w:val="15"/>
                      <w:lang w:val="en-US" w:eastAsia="zh-CN"/>
                    </w:rPr>
                    <w:t>//</w:t>
                  </w:r>
                </w:p>
              </w:tc>
              <w:tc>
                <w:tcPr>
                  <w:tcW w:w="850" w:type="pct"/>
                  <w:shd w:val="clear" w:color="auto" w:fill="auto"/>
                  <w:vAlign w:val="center"/>
                </w:tcPr>
                <w:p w14:paraId="08906768">
                  <w:pPr>
                    <w:jc w:val="center"/>
                    <w:rPr>
                      <w:rFonts w:hint="eastAsia"/>
                      <w:bCs/>
                      <w:color w:val="auto"/>
                      <w:sz w:val="15"/>
                      <w:szCs w:val="15"/>
                      <w:lang w:val="en-US" w:eastAsia="zh-CN"/>
                    </w:rPr>
                  </w:pPr>
                  <w:r>
                    <w:rPr>
                      <w:rFonts w:hint="eastAsia"/>
                      <w:bCs/>
                      <w:color w:val="auto"/>
                      <w:sz w:val="15"/>
                      <w:szCs w:val="15"/>
                      <w:lang w:val="en-US" w:eastAsia="zh-CN"/>
                    </w:rPr>
                    <w:t>//</w:t>
                  </w:r>
                </w:p>
              </w:tc>
              <w:tc>
                <w:tcPr>
                  <w:tcW w:w="553" w:type="pct"/>
                  <w:shd w:val="clear" w:color="auto" w:fill="auto"/>
                  <w:vAlign w:val="center"/>
                </w:tcPr>
                <w:p w14:paraId="681F067A">
                  <w:pPr>
                    <w:jc w:val="center"/>
                    <w:rPr>
                      <w:rFonts w:hint="eastAsia"/>
                      <w:bCs/>
                      <w:color w:val="auto"/>
                      <w:sz w:val="15"/>
                      <w:szCs w:val="15"/>
                      <w:lang w:val="en-US" w:eastAsia="zh-CN"/>
                    </w:rPr>
                  </w:pPr>
                  <w:r>
                    <w:rPr>
                      <w:rFonts w:hint="eastAsia"/>
                      <w:bCs/>
                      <w:color w:val="auto"/>
                      <w:sz w:val="15"/>
                      <w:szCs w:val="15"/>
                      <w:lang w:val="en-US" w:eastAsia="zh-CN"/>
                    </w:rPr>
                    <w:t>//</w:t>
                  </w:r>
                </w:p>
              </w:tc>
              <w:tc>
                <w:tcPr>
                  <w:tcW w:w="381" w:type="pct"/>
                  <w:shd w:val="clear" w:color="auto" w:fill="auto"/>
                  <w:vAlign w:val="center"/>
                </w:tcPr>
                <w:p w14:paraId="76B30503">
                  <w:pPr>
                    <w:jc w:val="center"/>
                    <w:rPr>
                      <w:rFonts w:hint="eastAsia"/>
                      <w:bCs/>
                      <w:color w:val="auto"/>
                      <w:sz w:val="15"/>
                      <w:szCs w:val="15"/>
                      <w:lang w:val="en-US" w:eastAsia="zh-CN"/>
                    </w:rPr>
                  </w:pPr>
                  <w:r>
                    <w:rPr>
                      <w:rFonts w:hint="eastAsia"/>
                      <w:bCs/>
                      <w:color w:val="auto"/>
                      <w:sz w:val="15"/>
                      <w:szCs w:val="15"/>
                      <w:lang w:val="en-US" w:eastAsia="zh-CN"/>
                    </w:rPr>
                    <w:t>//</w:t>
                  </w:r>
                </w:p>
              </w:tc>
              <w:tc>
                <w:tcPr>
                  <w:tcW w:w="437" w:type="pct"/>
                  <w:shd w:val="clear" w:color="auto" w:fill="auto"/>
                  <w:vAlign w:val="center"/>
                </w:tcPr>
                <w:p w14:paraId="4F045404">
                  <w:pPr>
                    <w:jc w:val="center"/>
                    <w:rPr>
                      <w:rFonts w:hint="eastAsia"/>
                      <w:bCs/>
                      <w:color w:val="auto"/>
                      <w:sz w:val="15"/>
                      <w:szCs w:val="15"/>
                      <w:lang w:val="en-US" w:eastAsia="zh-CN"/>
                    </w:rPr>
                  </w:pPr>
                  <w:r>
                    <w:rPr>
                      <w:rFonts w:hint="eastAsia"/>
                      <w:bCs/>
                      <w:color w:val="auto"/>
                      <w:sz w:val="15"/>
                      <w:szCs w:val="15"/>
                      <w:lang w:val="en-US" w:eastAsia="zh-CN"/>
                    </w:rPr>
                    <w:t>//</w:t>
                  </w:r>
                </w:p>
              </w:tc>
              <w:tc>
                <w:tcPr>
                  <w:tcW w:w="437" w:type="pct"/>
                  <w:shd w:val="clear" w:color="auto" w:fill="auto"/>
                  <w:vAlign w:val="center"/>
                </w:tcPr>
                <w:p w14:paraId="0995EF6C">
                  <w:pPr>
                    <w:jc w:val="center"/>
                    <w:rPr>
                      <w:rFonts w:hint="eastAsia"/>
                      <w:bCs/>
                      <w:color w:val="auto"/>
                      <w:sz w:val="15"/>
                      <w:szCs w:val="15"/>
                      <w:lang w:val="en-US" w:eastAsia="zh-CN"/>
                    </w:rPr>
                  </w:pPr>
                  <w:r>
                    <w:rPr>
                      <w:rFonts w:hint="eastAsia"/>
                      <w:color w:val="auto"/>
                      <w:sz w:val="15"/>
                      <w:szCs w:val="15"/>
                      <w:lang w:val="en-US" w:eastAsia="zh-CN"/>
                    </w:rPr>
                    <w:t>0.011</w:t>
                  </w:r>
                </w:p>
              </w:tc>
            </w:tr>
            <w:tr w14:paraId="7201C5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82" w:type="pct"/>
                  <w:gridSpan w:val="2"/>
                  <w:vMerge w:val="continue"/>
                  <w:shd w:val="clear" w:color="auto" w:fill="auto"/>
                  <w:vAlign w:val="center"/>
                </w:tcPr>
                <w:p w14:paraId="483A305C">
                  <w:pPr>
                    <w:jc w:val="center"/>
                    <w:rPr>
                      <w:rFonts w:hint="eastAsia"/>
                      <w:color w:val="auto"/>
                      <w:sz w:val="15"/>
                      <w:szCs w:val="15"/>
                      <w:lang w:val="en-US" w:eastAsia="zh-CN"/>
                    </w:rPr>
                  </w:pPr>
                </w:p>
              </w:tc>
              <w:tc>
                <w:tcPr>
                  <w:tcW w:w="576" w:type="pct"/>
                  <w:shd w:val="clear" w:color="auto" w:fill="auto"/>
                  <w:vAlign w:val="center"/>
                </w:tcPr>
                <w:p w14:paraId="38816789">
                  <w:pPr>
                    <w:jc w:val="center"/>
                    <w:rPr>
                      <w:rFonts w:hint="eastAsia"/>
                      <w:color w:val="auto"/>
                      <w:sz w:val="15"/>
                      <w:szCs w:val="15"/>
                      <w:lang w:val="en-US" w:eastAsia="zh-CN"/>
                    </w:rPr>
                  </w:pPr>
                  <w:r>
                    <w:rPr>
                      <w:rFonts w:hint="eastAsia"/>
                      <w:color w:val="auto"/>
                      <w:sz w:val="15"/>
                      <w:szCs w:val="15"/>
                      <w:lang w:val="en-US" w:eastAsia="zh-CN"/>
                    </w:rPr>
                    <w:t>苯并[a]芘</w:t>
                  </w:r>
                </w:p>
              </w:tc>
              <w:tc>
                <w:tcPr>
                  <w:tcW w:w="410" w:type="pct"/>
                  <w:vMerge w:val="continue"/>
                  <w:shd w:val="clear" w:color="auto" w:fill="auto"/>
                  <w:vAlign w:val="center"/>
                </w:tcPr>
                <w:p w14:paraId="797815EE">
                  <w:pPr>
                    <w:jc w:val="center"/>
                    <w:rPr>
                      <w:rFonts w:hint="eastAsia"/>
                      <w:color w:val="auto"/>
                      <w:sz w:val="15"/>
                      <w:szCs w:val="15"/>
                      <w:lang w:val="en-US" w:eastAsia="zh-CN"/>
                    </w:rPr>
                  </w:pPr>
                </w:p>
              </w:tc>
              <w:tc>
                <w:tcPr>
                  <w:tcW w:w="469" w:type="pct"/>
                  <w:shd w:val="clear" w:color="auto" w:fill="auto"/>
                  <w:vAlign w:val="center"/>
                </w:tcPr>
                <w:p w14:paraId="62EBE1CC">
                  <w:pPr>
                    <w:jc w:val="center"/>
                    <w:rPr>
                      <w:rFonts w:hint="eastAsia"/>
                      <w:color w:val="auto"/>
                      <w:sz w:val="15"/>
                      <w:szCs w:val="15"/>
                      <w:lang w:val="en-US" w:eastAsia="zh-CN"/>
                    </w:rPr>
                  </w:pPr>
                  <w:r>
                    <w:rPr>
                      <w:rFonts w:hint="eastAsia"/>
                      <w:color w:val="auto"/>
                      <w:sz w:val="15"/>
                      <w:szCs w:val="15"/>
                      <w:lang w:val="en-US" w:eastAsia="zh-CN"/>
                    </w:rPr>
                    <w:t>//</w:t>
                  </w:r>
                </w:p>
              </w:tc>
              <w:tc>
                <w:tcPr>
                  <w:tcW w:w="850" w:type="pct"/>
                  <w:shd w:val="clear" w:color="auto" w:fill="auto"/>
                  <w:vAlign w:val="center"/>
                </w:tcPr>
                <w:p w14:paraId="0BB0F578">
                  <w:pPr>
                    <w:jc w:val="center"/>
                    <w:rPr>
                      <w:rFonts w:hint="eastAsia"/>
                      <w:bCs/>
                      <w:color w:val="auto"/>
                      <w:sz w:val="15"/>
                      <w:szCs w:val="15"/>
                      <w:lang w:val="en-US" w:eastAsia="zh-CN"/>
                    </w:rPr>
                  </w:pPr>
                  <w:r>
                    <w:rPr>
                      <w:rFonts w:hint="eastAsia"/>
                      <w:bCs/>
                      <w:color w:val="auto"/>
                      <w:sz w:val="15"/>
                      <w:szCs w:val="15"/>
                      <w:lang w:val="en-US" w:eastAsia="zh-CN"/>
                    </w:rPr>
                    <w:t>//</w:t>
                  </w:r>
                </w:p>
              </w:tc>
              <w:tc>
                <w:tcPr>
                  <w:tcW w:w="553" w:type="pct"/>
                  <w:shd w:val="clear" w:color="auto" w:fill="auto"/>
                  <w:vAlign w:val="center"/>
                </w:tcPr>
                <w:p w14:paraId="41450FBE">
                  <w:pPr>
                    <w:jc w:val="center"/>
                    <w:rPr>
                      <w:rFonts w:hint="eastAsia"/>
                      <w:bCs/>
                      <w:color w:val="auto"/>
                      <w:sz w:val="15"/>
                      <w:szCs w:val="15"/>
                      <w:lang w:val="en-US" w:eastAsia="zh-CN"/>
                    </w:rPr>
                  </w:pPr>
                  <w:r>
                    <w:rPr>
                      <w:rFonts w:hint="eastAsia"/>
                      <w:bCs/>
                      <w:color w:val="auto"/>
                      <w:sz w:val="15"/>
                      <w:szCs w:val="15"/>
                      <w:lang w:val="en-US" w:eastAsia="zh-CN"/>
                    </w:rPr>
                    <w:t>//</w:t>
                  </w:r>
                </w:p>
              </w:tc>
              <w:tc>
                <w:tcPr>
                  <w:tcW w:w="381" w:type="pct"/>
                  <w:shd w:val="clear" w:color="auto" w:fill="auto"/>
                  <w:vAlign w:val="center"/>
                </w:tcPr>
                <w:p w14:paraId="0277C0B3">
                  <w:pPr>
                    <w:jc w:val="center"/>
                    <w:rPr>
                      <w:rFonts w:hint="eastAsia"/>
                      <w:bCs/>
                      <w:color w:val="auto"/>
                      <w:sz w:val="15"/>
                      <w:szCs w:val="15"/>
                      <w:lang w:val="en-US" w:eastAsia="zh-CN"/>
                    </w:rPr>
                  </w:pPr>
                  <w:r>
                    <w:rPr>
                      <w:rFonts w:hint="eastAsia"/>
                      <w:bCs/>
                      <w:color w:val="auto"/>
                      <w:sz w:val="15"/>
                      <w:szCs w:val="15"/>
                      <w:lang w:val="en-US" w:eastAsia="zh-CN"/>
                    </w:rPr>
                    <w:t>//</w:t>
                  </w:r>
                </w:p>
              </w:tc>
              <w:tc>
                <w:tcPr>
                  <w:tcW w:w="437" w:type="pct"/>
                  <w:shd w:val="clear" w:color="auto" w:fill="auto"/>
                  <w:vAlign w:val="center"/>
                </w:tcPr>
                <w:p w14:paraId="23790AD2">
                  <w:pPr>
                    <w:jc w:val="center"/>
                    <w:rPr>
                      <w:rFonts w:hint="eastAsia"/>
                      <w:bCs/>
                      <w:color w:val="auto"/>
                      <w:sz w:val="15"/>
                      <w:szCs w:val="15"/>
                      <w:lang w:val="en-US" w:eastAsia="zh-CN"/>
                    </w:rPr>
                  </w:pPr>
                  <w:r>
                    <w:rPr>
                      <w:rFonts w:hint="eastAsia"/>
                      <w:bCs/>
                      <w:color w:val="auto"/>
                      <w:sz w:val="15"/>
                      <w:szCs w:val="15"/>
                      <w:lang w:val="en-US" w:eastAsia="zh-CN"/>
                    </w:rPr>
                    <w:t>//</w:t>
                  </w:r>
                </w:p>
              </w:tc>
              <w:tc>
                <w:tcPr>
                  <w:tcW w:w="437" w:type="pct"/>
                  <w:shd w:val="clear" w:color="auto" w:fill="auto"/>
                  <w:vAlign w:val="center"/>
                </w:tcPr>
                <w:p w14:paraId="6A472B88">
                  <w:pPr>
                    <w:jc w:val="center"/>
                    <w:rPr>
                      <w:rFonts w:hint="eastAsia"/>
                      <w:bCs/>
                      <w:color w:val="auto"/>
                      <w:sz w:val="15"/>
                      <w:szCs w:val="15"/>
                      <w:lang w:val="en-US" w:eastAsia="zh-CN"/>
                    </w:rPr>
                  </w:pPr>
                  <w:r>
                    <w:rPr>
                      <w:rFonts w:hint="eastAsia"/>
                      <w:color w:val="auto"/>
                      <w:sz w:val="15"/>
                      <w:szCs w:val="15"/>
                      <w:lang w:val="en-US" w:eastAsia="zh-CN"/>
                    </w:rPr>
                    <w:t>0.00003</w:t>
                  </w:r>
                </w:p>
              </w:tc>
            </w:tr>
            <w:tr w14:paraId="71F717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82" w:type="pct"/>
                  <w:gridSpan w:val="2"/>
                  <w:vMerge w:val="continue"/>
                  <w:shd w:val="clear" w:color="auto" w:fill="auto"/>
                  <w:vAlign w:val="center"/>
                </w:tcPr>
                <w:p w14:paraId="7176CA8A">
                  <w:pPr>
                    <w:jc w:val="center"/>
                    <w:rPr>
                      <w:rFonts w:hint="eastAsia"/>
                      <w:color w:val="auto"/>
                      <w:sz w:val="15"/>
                      <w:szCs w:val="15"/>
                      <w:lang w:val="en-US" w:eastAsia="zh-CN"/>
                    </w:rPr>
                  </w:pPr>
                </w:p>
              </w:tc>
              <w:tc>
                <w:tcPr>
                  <w:tcW w:w="576" w:type="pct"/>
                  <w:shd w:val="clear" w:color="auto" w:fill="auto"/>
                  <w:vAlign w:val="center"/>
                </w:tcPr>
                <w:p w14:paraId="224F2179">
                  <w:pPr>
                    <w:jc w:val="center"/>
                    <w:rPr>
                      <w:rFonts w:hint="eastAsia"/>
                      <w:color w:val="auto"/>
                      <w:sz w:val="15"/>
                      <w:szCs w:val="15"/>
                      <w:lang w:val="en-US" w:eastAsia="zh-CN"/>
                    </w:rPr>
                  </w:pPr>
                  <w:r>
                    <w:rPr>
                      <w:rFonts w:hint="eastAsia"/>
                      <w:color w:val="auto"/>
                      <w:sz w:val="15"/>
                      <w:szCs w:val="15"/>
                      <w:lang w:val="en-US" w:eastAsia="zh-CN"/>
                    </w:rPr>
                    <w:t>非甲烷总烃</w:t>
                  </w:r>
                </w:p>
              </w:tc>
              <w:tc>
                <w:tcPr>
                  <w:tcW w:w="410" w:type="pct"/>
                  <w:vMerge w:val="continue"/>
                  <w:shd w:val="clear" w:color="auto" w:fill="auto"/>
                  <w:vAlign w:val="center"/>
                </w:tcPr>
                <w:p w14:paraId="2A5E6960">
                  <w:pPr>
                    <w:jc w:val="center"/>
                    <w:rPr>
                      <w:rFonts w:hint="eastAsia"/>
                      <w:color w:val="auto"/>
                      <w:sz w:val="15"/>
                      <w:szCs w:val="15"/>
                      <w:lang w:val="en-US" w:eastAsia="zh-CN"/>
                    </w:rPr>
                  </w:pPr>
                </w:p>
              </w:tc>
              <w:tc>
                <w:tcPr>
                  <w:tcW w:w="469" w:type="pct"/>
                  <w:shd w:val="clear" w:color="auto" w:fill="auto"/>
                  <w:vAlign w:val="center"/>
                </w:tcPr>
                <w:p w14:paraId="3CA09AE3">
                  <w:pPr>
                    <w:jc w:val="center"/>
                    <w:rPr>
                      <w:rFonts w:hint="eastAsia"/>
                      <w:color w:val="auto"/>
                      <w:sz w:val="15"/>
                      <w:szCs w:val="15"/>
                      <w:lang w:val="en-US" w:eastAsia="zh-CN"/>
                    </w:rPr>
                  </w:pPr>
                  <w:r>
                    <w:rPr>
                      <w:rFonts w:hint="eastAsia"/>
                      <w:color w:val="auto"/>
                      <w:sz w:val="15"/>
                      <w:szCs w:val="15"/>
                      <w:lang w:val="en-US" w:eastAsia="zh-CN"/>
                    </w:rPr>
                    <w:t>//</w:t>
                  </w:r>
                </w:p>
              </w:tc>
              <w:tc>
                <w:tcPr>
                  <w:tcW w:w="850" w:type="pct"/>
                  <w:shd w:val="clear" w:color="auto" w:fill="auto"/>
                  <w:vAlign w:val="center"/>
                </w:tcPr>
                <w:p w14:paraId="21BB7B0C">
                  <w:pPr>
                    <w:jc w:val="center"/>
                    <w:rPr>
                      <w:rFonts w:hint="eastAsia"/>
                      <w:bCs/>
                      <w:color w:val="auto"/>
                      <w:sz w:val="15"/>
                      <w:szCs w:val="15"/>
                      <w:lang w:val="en-US" w:eastAsia="zh-CN"/>
                    </w:rPr>
                  </w:pPr>
                  <w:r>
                    <w:rPr>
                      <w:rFonts w:hint="eastAsia"/>
                      <w:bCs/>
                      <w:color w:val="auto"/>
                      <w:sz w:val="15"/>
                      <w:szCs w:val="15"/>
                      <w:lang w:val="en-US" w:eastAsia="zh-CN"/>
                    </w:rPr>
                    <w:t>//</w:t>
                  </w:r>
                </w:p>
              </w:tc>
              <w:tc>
                <w:tcPr>
                  <w:tcW w:w="553" w:type="pct"/>
                  <w:shd w:val="clear" w:color="auto" w:fill="auto"/>
                  <w:vAlign w:val="center"/>
                </w:tcPr>
                <w:p w14:paraId="4EE7A881">
                  <w:pPr>
                    <w:jc w:val="center"/>
                    <w:rPr>
                      <w:rFonts w:hint="eastAsia"/>
                      <w:bCs/>
                      <w:color w:val="auto"/>
                      <w:sz w:val="15"/>
                      <w:szCs w:val="15"/>
                      <w:lang w:val="en-US" w:eastAsia="zh-CN"/>
                    </w:rPr>
                  </w:pPr>
                  <w:r>
                    <w:rPr>
                      <w:rFonts w:hint="eastAsia"/>
                      <w:bCs/>
                      <w:color w:val="auto"/>
                      <w:sz w:val="15"/>
                      <w:szCs w:val="15"/>
                      <w:lang w:val="en-US" w:eastAsia="zh-CN"/>
                    </w:rPr>
                    <w:t>//</w:t>
                  </w:r>
                </w:p>
              </w:tc>
              <w:tc>
                <w:tcPr>
                  <w:tcW w:w="381" w:type="pct"/>
                  <w:shd w:val="clear" w:color="auto" w:fill="auto"/>
                  <w:vAlign w:val="center"/>
                </w:tcPr>
                <w:p w14:paraId="22D82D77">
                  <w:pPr>
                    <w:jc w:val="center"/>
                    <w:rPr>
                      <w:rFonts w:hint="eastAsia"/>
                      <w:bCs/>
                      <w:color w:val="auto"/>
                      <w:sz w:val="15"/>
                      <w:szCs w:val="15"/>
                      <w:lang w:val="en-US" w:eastAsia="zh-CN"/>
                    </w:rPr>
                  </w:pPr>
                  <w:r>
                    <w:rPr>
                      <w:rFonts w:hint="eastAsia"/>
                      <w:bCs/>
                      <w:color w:val="auto"/>
                      <w:sz w:val="15"/>
                      <w:szCs w:val="15"/>
                      <w:lang w:val="en-US" w:eastAsia="zh-CN"/>
                    </w:rPr>
                    <w:t>//</w:t>
                  </w:r>
                </w:p>
              </w:tc>
              <w:tc>
                <w:tcPr>
                  <w:tcW w:w="437" w:type="pct"/>
                  <w:shd w:val="clear" w:color="auto" w:fill="auto"/>
                  <w:vAlign w:val="center"/>
                </w:tcPr>
                <w:p w14:paraId="06501538">
                  <w:pPr>
                    <w:jc w:val="center"/>
                    <w:rPr>
                      <w:rFonts w:hint="eastAsia"/>
                      <w:bCs/>
                      <w:color w:val="auto"/>
                      <w:sz w:val="15"/>
                      <w:szCs w:val="15"/>
                      <w:lang w:val="en-US" w:eastAsia="zh-CN"/>
                    </w:rPr>
                  </w:pPr>
                  <w:r>
                    <w:rPr>
                      <w:rFonts w:hint="eastAsia"/>
                      <w:bCs/>
                      <w:color w:val="auto"/>
                      <w:sz w:val="15"/>
                      <w:szCs w:val="15"/>
                      <w:lang w:val="en-US" w:eastAsia="zh-CN"/>
                    </w:rPr>
                    <w:t>//</w:t>
                  </w:r>
                </w:p>
              </w:tc>
              <w:tc>
                <w:tcPr>
                  <w:tcW w:w="437" w:type="pct"/>
                  <w:shd w:val="clear" w:color="auto" w:fill="auto"/>
                  <w:vAlign w:val="center"/>
                </w:tcPr>
                <w:p w14:paraId="33BB6B3E">
                  <w:pPr>
                    <w:jc w:val="center"/>
                    <w:rPr>
                      <w:rFonts w:hint="eastAsia"/>
                      <w:bCs/>
                      <w:color w:val="auto"/>
                      <w:sz w:val="15"/>
                      <w:szCs w:val="15"/>
                      <w:lang w:val="en-US" w:eastAsia="zh-CN"/>
                    </w:rPr>
                  </w:pPr>
                  <w:r>
                    <w:rPr>
                      <w:rFonts w:hint="eastAsia"/>
                      <w:color w:val="auto"/>
                      <w:sz w:val="15"/>
                      <w:szCs w:val="15"/>
                      <w:lang w:val="en-US" w:eastAsia="zh-CN"/>
                    </w:rPr>
                    <w:t>0.007</w:t>
                  </w:r>
                </w:p>
              </w:tc>
            </w:tr>
            <w:tr w14:paraId="39714E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82" w:type="pct"/>
                  <w:gridSpan w:val="2"/>
                  <w:vMerge w:val="continue"/>
                  <w:shd w:val="clear" w:color="auto" w:fill="auto"/>
                  <w:vAlign w:val="center"/>
                </w:tcPr>
                <w:p w14:paraId="753DC883">
                  <w:pPr>
                    <w:jc w:val="center"/>
                    <w:rPr>
                      <w:rFonts w:hint="eastAsia"/>
                      <w:color w:val="auto"/>
                      <w:sz w:val="15"/>
                      <w:szCs w:val="15"/>
                      <w:lang w:val="en-US" w:eastAsia="zh-CN"/>
                    </w:rPr>
                  </w:pPr>
                </w:p>
              </w:tc>
              <w:tc>
                <w:tcPr>
                  <w:tcW w:w="576" w:type="pct"/>
                  <w:shd w:val="clear" w:color="auto" w:fill="auto"/>
                  <w:vAlign w:val="center"/>
                </w:tcPr>
                <w:p w14:paraId="5AFA2A13">
                  <w:pPr>
                    <w:jc w:val="center"/>
                    <w:rPr>
                      <w:rFonts w:hint="eastAsia"/>
                      <w:color w:val="auto"/>
                      <w:sz w:val="15"/>
                      <w:szCs w:val="15"/>
                      <w:lang w:val="en-US" w:eastAsia="zh-CN"/>
                    </w:rPr>
                  </w:pPr>
                  <w:r>
                    <w:rPr>
                      <w:rFonts w:hint="eastAsia"/>
                      <w:color w:val="auto"/>
                      <w:sz w:val="15"/>
                      <w:szCs w:val="15"/>
                      <w:lang w:val="en-US" w:eastAsia="zh-CN"/>
                    </w:rPr>
                    <w:t>颗粒物</w:t>
                  </w:r>
                </w:p>
              </w:tc>
              <w:tc>
                <w:tcPr>
                  <w:tcW w:w="410" w:type="pct"/>
                  <w:vMerge w:val="restart"/>
                  <w:shd w:val="clear" w:color="auto" w:fill="auto"/>
                  <w:vAlign w:val="center"/>
                </w:tcPr>
                <w:p w14:paraId="31C3D9F9">
                  <w:pPr>
                    <w:jc w:val="center"/>
                    <w:rPr>
                      <w:rFonts w:hint="eastAsia"/>
                      <w:color w:val="auto"/>
                      <w:sz w:val="15"/>
                      <w:szCs w:val="15"/>
                      <w:lang w:val="en-US" w:eastAsia="zh-CN"/>
                    </w:rPr>
                  </w:pPr>
                  <w:r>
                    <w:rPr>
                      <w:rFonts w:hint="eastAsia"/>
                      <w:color w:val="auto"/>
                      <w:sz w:val="15"/>
                      <w:szCs w:val="15"/>
                      <w:lang w:val="en-US" w:eastAsia="zh-CN"/>
                    </w:rPr>
                    <w:t>无组织</w:t>
                  </w:r>
                </w:p>
              </w:tc>
              <w:tc>
                <w:tcPr>
                  <w:tcW w:w="469" w:type="pct"/>
                  <w:shd w:val="clear" w:color="auto" w:fill="auto"/>
                  <w:vAlign w:val="center"/>
                </w:tcPr>
                <w:p w14:paraId="6A0759D1">
                  <w:pPr>
                    <w:jc w:val="center"/>
                    <w:rPr>
                      <w:rFonts w:hint="eastAsia"/>
                      <w:color w:val="auto"/>
                      <w:sz w:val="15"/>
                      <w:szCs w:val="15"/>
                      <w:lang w:val="en-US" w:eastAsia="zh-CN"/>
                    </w:rPr>
                  </w:pPr>
                  <w:r>
                    <w:rPr>
                      <w:rFonts w:hint="eastAsia"/>
                      <w:color w:val="auto"/>
                      <w:sz w:val="15"/>
                      <w:szCs w:val="15"/>
                      <w:lang w:val="en-US" w:eastAsia="zh-CN"/>
                    </w:rPr>
                    <w:t>//</w:t>
                  </w:r>
                </w:p>
              </w:tc>
              <w:tc>
                <w:tcPr>
                  <w:tcW w:w="850" w:type="pct"/>
                  <w:shd w:val="clear" w:color="auto" w:fill="auto"/>
                  <w:vAlign w:val="center"/>
                </w:tcPr>
                <w:p w14:paraId="5B9198F5">
                  <w:pPr>
                    <w:jc w:val="center"/>
                    <w:rPr>
                      <w:rFonts w:hint="eastAsia"/>
                      <w:bCs/>
                      <w:color w:val="auto"/>
                      <w:sz w:val="15"/>
                      <w:szCs w:val="15"/>
                      <w:lang w:val="en-US" w:eastAsia="zh-CN"/>
                    </w:rPr>
                  </w:pPr>
                  <w:r>
                    <w:rPr>
                      <w:rFonts w:hint="eastAsia"/>
                      <w:bCs/>
                      <w:color w:val="auto"/>
                      <w:sz w:val="15"/>
                      <w:szCs w:val="15"/>
                      <w:lang w:val="en-US" w:eastAsia="zh-CN"/>
                    </w:rPr>
                    <w:t>//</w:t>
                  </w:r>
                </w:p>
              </w:tc>
              <w:tc>
                <w:tcPr>
                  <w:tcW w:w="553" w:type="pct"/>
                  <w:shd w:val="clear" w:color="auto" w:fill="auto"/>
                  <w:vAlign w:val="center"/>
                </w:tcPr>
                <w:p w14:paraId="5BFC1E40">
                  <w:pPr>
                    <w:jc w:val="center"/>
                    <w:rPr>
                      <w:rFonts w:hint="eastAsia"/>
                      <w:bCs/>
                      <w:color w:val="auto"/>
                      <w:sz w:val="15"/>
                      <w:szCs w:val="15"/>
                      <w:lang w:val="en-US" w:eastAsia="zh-CN"/>
                    </w:rPr>
                  </w:pPr>
                  <w:r>
                    <w:rPr>
                      <w:rFonts w:hint="eastAsia"/>
                      <w:bCs/>
                      <w:color w:val="auto"/>
                      <w:sz w:val="15"/>
                      <w:szCs w:val="15"/>
                      <w:lang w:val="en-US" w:eastAsia="zh-CN"/>
                    </w:rPr>
                    <w:t>//</w:t>
                  </w:r>
                </w:p>
              </w:tc>
              <w:tc>
                <w:tcPr>
                  <w:tcW w:w="381" w:type="pct"/>
                  <w:shd w:val="clear" w:color="auto" w:fill="auto"/>
                  <w:vAlign w:val="center"/>
                </w:tcPr>
                <w:p w14:paraId="04170DDC">
                  <w:pPr>
                    <w:jc w:val="center"/>
                    <w:rPr>
                      <w:rFonts w:hint="eastAsia"/>
                      <w:bCs/>
                      <w:color w:val="auto"/>
                      <w:sz w:val="15"/>
                      <w:szCs w:val="15"/>
                      <w:lang w:val="en-US" w:eastAsia="zh-CN"/>
                    </w:rPr>
                  </w:pPr>
                  <w:r>
                    <w:rPr>
                      <w:rFonts w:hint="eastAsia"/>
                      <w:bCs/>
                      <w:color w:val="auto"/>
                      <w:sz w:val="15"/>
                      <w:szCs w:val="15"/>
                      <w:lang w:val="en-US" w:eastAsia="zh-CN"/>
                    </w:rPr>
                    <w:t>//</w:t>
                  </w:r>
                </w:p>
              </w:tc>
              <w:tc>
                <w:tcPr>
                  <w:tcW w:w="437" w:type="pct"/>
                  <w:shd w:val="clear" w:color="auto" w:fill="auto"/>
                  <w:vAlign w:val="center"/>
                </w:tcPr>
                <w:p w14:paraId="3BBEB0EF">
                  <w:pPr>
                    <w:jc w:val="center"/>
                    <w:rPr>
                      <w:rFonts w:hint="eastAsia"/>
                      <w:bCs/>
                      <w:color w:val="auto"/>
                      <w:sz w:val="15"/>
                      <w:szCs w:val="15"/>
                      <w:lang w:val="en-US" w:eastAsia="zh-CN"/>
                    </w:rPr>
                  </w:pPr>
                  <w:r>
                    <w:rPr>
                      <w:rFonts w:hint="eastAsia"/>
                      <w:bCs/>
                      <w:color w:val="auto"/>
                      <w:sz w:val="15"/>
                      <w:szCs w:val="15"/>
                      <w:lang w:val="en-US" w:eastAsia="zh-CN"/>
                    </w:rPr>
                    <w:t>//</w:t>
                  </w:r>
                </w:p>
              </w:tc>
              <w:tc>
                <w:tcPr>
                  <w:tcW w:w="437" w:type="pct"/>
                  <w:shd w:val="clear" w:color="auto" w:fill="auto"/>
                  <w:vAlign w:val="center"/>
                </w:tcPr>
                <w:p w14:paraId="5B2C9536">
                  <w:pPr>
                    <w:jc w:val="center"/>
                    <w:rPr>
                      <w:rFonts w:hint="default"/>
                      <w:bCs/>
                      <w:color w:val="auto"/>
                      <w:sz w:val="15"/>
                      <w:szCs w:val="15"/>
                      <w:lang w:val="en-US" w:eastAsia="zh-CN"/>
                    </w:rPr>
                  </w:pPr>
                  <w:r>
                    <w:rPr>
                      <w:rFonts w:hint="eastAsia"/>
                      <w:bCs/>
                      <w:color w:val="auto"/>
                      <w:sz w:val="15"/>
                      <w:szCs w:val="15"/>
                      <w:lang w:val="en-US" w:eastAsia="zh-CN"/>
                    </w:rPr>
                    <w:t>0.01</w:t>
                  </w:r>
                </w:p>
              </w:tc>
            </w:tr>
            <w:tr w14:paraId="02D4CA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82" w:type="pct"/>
                  <w:gridSpan w:val="2"/>
                  <w:vMerge w:val="continue"/>
                  <w:shd w:val="clear" w:color="auto" w:fill="auto"/>
                  <w:vAlign w:val="center"/>
                </w:tcPr>
                <w:p w14:paraId="41A9B892">
                  <w:pPr>
                    <w:jc w:val="center"/>
                    <w:rPr>
                      <w:rFonts w:hint="eastAsia"/>
                      <w:color w:val="auto"/>
                      <w:sz w:val="15"/>
                      <w:szCs w:val="15"/>
                      <w:lang w:val="en-US" w:eastAsia="zh-CN"/>
                    </w:rPr>
                  </w:pPr>
                </w:p>
              </w:tc>
              <w:tc>
                <w:tcPr>
                  <w:tcW w:w="576" w:type="pct"/>
                  <w:shd w:val="clear" w:color="auto" w:fill="auto"/>
                  <w:vAlign w:val="center"/>
                </w:tcPr>
                <w:p w14:paraId="7C310A3C">
                  <w:pPr>
                    <w:jc w:val="center"/>
                    <w:rPr>
                      <w:rFonts w:hint="eastAsia"/>
                      <w:color w:val="auto"/>
                      <w:sz w:val="15"/>
                      <w:szCs w:val="15"/>
                      <w:lang w:val="en-US" w:eastAsia="zh-CN"/>
                    </w:rPr>
                  </w:pPr>
                  <w:r>
                    <w:rPr>
                      <w:rFonts w:hint="eastAsia"/>
                      <w:color w:val="auto"/>
                      <w:sz w:val="15"/>
                      <w:szCs w:val="15"/>
                      <w:lang w:val="en-US" w:eastAsia="zh-CN"/>
                    </w:rPr>
                    <w:t>非甲烷总烃</w:t>
                  </w:r>
                </w:p>
              </w:tc>
              <w:tc>
                <w:tcPr>
                  <w:tcW w:w="410" w:type="pct"/>
                  <w:vMerge w:val="continue"/>
                  <w:shd w:val="clear" w:color="auto" w:fill="auto"/>
                  <w:vAlign w:val="center"/>
                </w:tcPr>
                <w:p w14:paraId="33DBB1AF">
                  <w:pPr>
                    <w:jc w:val="center"/>
                    <w:rPr>
                      <w:rFonts w:hint="eastAsia"/>
                      <w:color w:val="auto"/>
                      <w:sz w:val="15"/>
                      <w:szCs w:val="15"/>
                      <w:lang w:val="en-US" w:eastAsia="zh-CN"/>
                    </w:rPr>
                  </w:pPr>
                </w:p>
              </w:tc>
              <w:tc>
                <w:tcPr>
                  <w:tcW w:w="469" w:type="pct"/>
                  <w:shd w:val="clear" w:color="auto" w:fill="auto"/>
                  <w:vAlign w:val="center"/>
                </w:tcPr>
                <w:p w14:paraId="757A9225">
                  <w:pPr>
                    <w:jc w:val="center"/>
                    <w:rPr>
                      <w:rFonts w:hint="eastAsia"/>
                      <w:color w:val="auto"/>
                      <w:sz w:val="15"/>
                      <w:szCs w:val="15"/>
                      <w:lang w:val="en-US" w:eastAsia="zh-CN"/>
                    </w:rPr>
                  </w:pPr>
                  <w:r>
                    <w:rPr>
                      <w:rFonts w:hint="eastAsia"/>
                      <w:color w:val="auto"/>
                      <w:sz w:val="15"/>
                      <w:szCs w:val="15"/>
                      <w:lang w:val="en-US" w:eastAsia="zh-CN"/>
                    </w:rPr>
                    <w:t>//</w:t>
                  </w:r>
                </w:p>
              </w:tc>
              <w:tc>
                <w:tcPr>
                  <w:tcW w:w="850" w:type="pct"/>
                  <w:shd w:val="clear" w:color="auto" w:fill="auto"/>
                  <w:vAlign w:val="center"/>
                </w:tcPr>
                <w:p w14:paraId="10536FD7">
                  <w:pPr>
                    <w:jc w:val="center"/>
                    <w:rPr>
                      <w:rFonts w:hint="eastAsia"/>
                      <w:bCs/>
                      <w:color w:val="auto"/>
                      <w:sz w:val="15"/>
                      <w:szCs w:val="15"/>
                      <w:lang w:val="en-US" w:eastAsia="zh-CN"/>
                    </w:rPr>
                  </w:pPr>
                  <w:r>
                    <w:rPr>
                      <w:rFonts w:hint="eastAsia"/>
                      <w:bCs/>
                      <w:color w:val="auto"/>
                      <w:sz w:val="15"/>
                      <w:szCs w:val="15"/>
                      <w:lang w:val="en-US" w:eastAsia="zh-CN"/>
                    </w:rPr>
                    <w:t>//</w:t>
                  </w:r>
                </w:p>
              </w:tc>
              <w:tc>
                <w:tcPr>
                  <w:tcW w:w="553" w:type="pct"/>
                  <w:shd w:val="clear" w:color="auto" w:fill="auto"/>
                  <w:vAlign w:val="center"/>
                </w:tcPr>
                <w:p w14:paraId="668F11D7">
                  <w:pPr>
                    <w:jc w:val="center"/>
                    <w:rPr>
                      <w:rFonts w:hint="eastAsia"/>
                      <w:bCs/>
                      <w:color w:val="auto"/>
                      <w:sz w:val="15"/>
                      <w:szCs w:val="15"/>
                      <w:lang w:val="en-US" w:eastAsia="zh-CN"/>
                    </w:rPr>
                  </w:pPr>
                  <w:r>
                    <w:rPr>
                      <w:rFonts w:hint="eastAsia"/>
                      <w:bCs/>
                      <w:color w:val="auto"/>
                      <w:sz w:val="15"/>
                      <w:szCs w:val="15"/>
                      <w:lang w:val="en-US" w:eastAsia="zh-CN"/>
                    </w:rPr>
                    <w:t>//</w:t>
                  </w:r>
                </w:p>
              </w:tc>
              <w:tc>
                <w:tcPr>
                  <w:tcW w:w="381" w:type="pct"/>
                  <w:shd w:val="clear" w:color="auto" w:fill="auto"/>
                  <w:vAlign w:val="center"/>
                </w:tcPr>
                <w:p w14:paraId="6396E81E">
                  <w:pPr>
                    <w:jc w:val="center"/>
                    <w:rPr>
                      <w:rFonts w:hint="eastAsia"/>
                      <w:bCs/>
                      <w:color w:val="auto"/>
                      <w:sz w:val="15"/>
                      <w:szCs w:val="15"/>
                      <w:lang w:val="en-US" w:eastAsia="zh-CN"/>
                    </w:rPr>
                  </w:pPr>
                  <w:r>
                    <w:rPr>
                      <w:rFonts w:hint="eastAsia"/>
                      <w:bCs/>
                      <w:color w:val="auto"/>
                      <w:sz w:val="15"/>
                      <w:szCs w:val="15"/>
                      <w:lang w:val="en-US" w:eastAsia="zh-CN"/>
                    </w:rPr>
                    <w:t>//</w:t>
                  </w:r>
                </w:p>
              </w:tc>
              <w:tc>
                <w:tcPr>
                  <w:tcW w:w="437" w:type="pct"/>
                  <w:shd w:val="clear" w:color="auto" w:fill="auto"/>
                  <w:vAlign w:val="center"/>
                </w:tcPr>
                <w:p w14:paraId="1F9C37C4">
                  <w:pPr>
                    <w:jc w:val="center"/>
                    <w:rPr>
                      <w:rFonts w:hint="eastAsia"/>
                      <w:bCs/>
                      <w:color w:val="auto"/>
                      <w:sz w:val="15"/>
                      <w:szCs w:val="15"/>
                      <w:lang w:val="en-US" w:eastAsia="zh-CN"/>
                    </w:rPr>
                  </w:pPr>
                  <w:r>
                    <w:rPr>
                      <w:rFonts w:hint="eastAsia"/>
                      <w:bCs/>
                      <w:color w:val="auto"/>
                      <w:sz w:val="15"/>
                      <w:szCs w:val="15"/>
                      <w:lang w:val="en-US" w:eastAsia="zh-CN"/>
                    </w:rPr>
                    <w:t>//</w:t>
                  </w:r>
                </w:p>
              </w:tc>
              <w:tc>
                <w:tcPr>
                  <w:tcW w:w="437" w:type="pct"/>
                  <w:shd w:val="clear" w:color="auto" w:fill="auto"/>
                  <w:vAlign w:val="center"/>
                </w:tcPr>
                <w:p w14:paraId="533412A1">
                  <w:pPr>
                    <w:jc w:val="center"/>
                    <w:rPr>
                      <w:rFonts w:hint="eastAsia"/>
                      <w:bCs/>
                      <w:color w:val="auto"/>
                      <w:sz w:val="15"/>
                      <w:szCs w:val="15"/>
                      <w:lang w:val="en-US" w:eastAsia="zh-CN"/>
                    </w:rPr>
                  </w:pPr>
                  <w:r>
                    <w:rPr>
                      <w:rFonts w:hint="eastAsia"/>
                      <w:bCs/>
                      <w:color w:val="auto"/>
                      <w:sz w:val="15"/>
                      <w:szCs w:val="15"/>
                      <w:lang w:val="en-US" w:eastAsia="zh-CN"/>
                    </w:rPr>
                    <w:t>忽略</w:t>
                  </w:r>
                </w:p>
                <w:p w14:paraId="1D9BCE8B">
                  <w:pPr>
                    <w:jc w:val="center"/>
                    <w:rPr>
                      <w:rFonts w:hint="default"/>
                      <w:bCs/>
                      <w:color w:val="auto"/>
                      <w:sz w:val="15"/>
                      <w:szCs w:val="15"/>
                      <w:lang w:val="en-US" w:eastAsia="zh-CN"/>
                    </w:rPr>
                  </w:pPr>
                  <w:r>
                    <w:rPr>
                      <w:rFonts w:hint="eastAsia"/>
                      <w:bCs/>
                      <w:color w:val="auto"/>
                      <w:sz w:val="15"/>
                      <w:szCs w:val="15"/>
                      <w:lang w:val="en-US" w:eastAsia="zh-CN"/>
                    </w:rPr>
                    <w:t>不计</w:t>
                  </w:r>
                </w:p>
              </w:tc>
            </w:tr>
          </w:tbl>
          <w:p w14:paraId="0DBCA5F4">
            <w:pPr>
              <w:widowControl/>
              <w:snapToGrid w:val="0"/>
              <w:spacing w:line="360" w:lineRule="auto"/>
              <w:ind w:firstLine="422" w:firstLineChars="200"/>
              <w:rPr>
                <w:rFonts w:hint="default" w:eastAsia="宋体"/>
                <w:b/>
                <w:color w:val="auto"/>
                <w:szCs w:val="21"/>
                <w:lang w:val="en-US" w:eastAsia="zh-CN"/>
              </w:rPr>
            </w:pPr>
            <w:r>
              <w:rPr>
                <w:rFonts w:hint="eastAsia"/>
                <w:b/>
                <w:color w:val="auto"/>
                <w:szCs w:val="21"/>
                <w:lang w:val="en-US" w:eastAsia="zh-CN"/>
              </w:rPr>
              <w:t>4.1.4大气防护距离</w:t>
            </w:r>
          </w:p>
          <w:p w14:paraId="26F8CC13">
            <w:pPr>
              <w:spacing w:line="360" w:lineRule="auto"/>
              <w:ind w:firstLine="420" w:firstLineChars="200"/>
              <w:rPr>
                <w:rFonts w:hint="eastAsia"/>
                <w:color w:val="auto"/>
                <w:szCs w:val="21"/>
                <w:lang w:val="en-US" w:eastAsia="zh-CN"/>
              </w:rPr>
            </w:pPr>
            <w:r>
              <w:rPr>
                <w:rFonts w:hint="eastAsia"/>
                <w:color w:val="auto"/>
                <w:szCs w:val="21"/>
                <w:lang w:val="en-US" w:eastAsia="zh-CN"/>
              </w:rPr>
              <w:t>本项目涉及沥青烟、苯并[a]芘等有毒有害污染物，本文针对其排放情况，根据《环境影响评价技术导则  大气环境》（HJ2.2-2018）中的规定，对于项目厂界浓度满足大气污染物厂界浓度限值，但厂界外大气污染物短期贡献浓度超过环境质量浓度限值的，可以自厂界外设定一定范围的大气环境防护区域，以确保大气环境防护区域外的污染物贡献浓度满足环境质量标准。根据导则推荐的估算模式，本项目有这种排放级无组织排放下风向最大落地浓度不足10%，厂界外不存在电气贡献浓度超标点。</w:t>
            </w:r>
          </w:p>
          <w:p w14:paraId="02A06B7D">
            <w:pPr>
              <w:spacing w:line="360" w:lineRule="auto"/>
              <w:ind w:firstLine="420" w:firstLineChars="200"/>
              <w:rPr>
                <w:rFonts w:hint="default"/>
                <w:color w:val="auto"/>
                <w:szCs w:val="21"/>
                <w:lang w:val="en-US" w:eastAsia="zh-CN"/>
              </w:rPr>
            </w:pPr>
            <w:r>
              <w:rPr>
                <w:rFonts w:hint="eastAsia"/>
                <w:color w:val="auto"/>
                <w:szCs w:val="21"/>
                <w:lang w:val="en-US" w:eastAsia="zh-CN"/>
              </w:rPr>
              <w:t>因此本项目无需设置大气防护距离。</w:t>
            </w:r>
          </w:p>
          <w:p w14:paraId="4F44B841">
            <w:pPr>
              <w:spacing w:line="360" w:lineRule="auto"/>
              <w:ind w:firstLine="420" w:firstLineChars="200"/>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根据《大气有害物质无组织排放卫生防护距离推导技术导则》（GB/T 3949-2020），对本项目运营期大气有害污染物苯并[a]芘进行分析计算。</w:t>
            </w:r>
          </w:p>
          <w:p w14:paraId="0E1CE4E3">
            <w:pPr>
              <w:spacing w:line="360" w:lineRule="auto"/>
              <w:ind w:firstLine="420" w:firstLineChars="200"/>
              <w:rPr>
                <w:rFonts w:hint="eastAsia" w:ascii="Times New Roman" w:hAnsi="Times New Roman" w:eastAsia="宋体" w:cs="Times New Roman"/>
                <w:color w:val="auto"/>
                <w:szCs w:val="21"/>
                <w:lang w:val="en-US" w:eastAsia="zh-CN"/>
              </w:rPr>
            </w:pPr>
            <w:r>
              <w:rPr>
                <w:color w:val="auto"/>
                <w:sz w:val="21"/>
              </w:rPr>
              <w:pict>
                <v:group id="_x0000_s3049" o:spid="_x0000_s3049" o:spt="203" style="position:absolute;left:0pt;margin-left:65.85pt;margin-top:16.4pt;height:36.55pt;width:63.95pt;z-index:251670528;mso-width-relative:page;mso-height-relative:page;" coordorigin="3853,745856" coordsize="1279,731">
                  <o:lock v:ext="edit" aspectratio="f"/>
                  <v:line id="_x0000_s3050" o:spid="_x0000_s3050" o:spt="20" style="position:absolute;left:3975;top:746138;height:1;width:256;" fillcolor="#FFFFFF" filled="t" stroked="t" coordsize="21600,21600">
                    <v:path arrowok="t"/>
                    <v:fill on="t" color2="#FFFFFF" focussize="0,0"/>
                    <v:stroke color="#000000" joinstyle="miter"/>
                    <v:imagedata o:title=""/>
                    <o:lock v:ext="edit" aspectratio="f"/>
                  </v:line>
                  <v:shape id="_x0000_s3051" o:spid="_x0000_s3051" o:spt="202" type="#_x0000_t202" style="position:absolute;left:3853;top:745856;height:721;width:683;" filled="f" stroked="f" coordsize="21600,21600">
                    <v:path/>
                    <v:fill on="f" focussize="0,0"/>
                    <v:stroke on="f" joinstyle="miter"/>
                    <v:imagedata o:title=""/>
                    <o:lock v:ext="edit" aspectratio="f"/>
                    <v:textbox>
                      <w:txbxContent>
                        <w:p w14:paraId="22EB1150">
                          <w:pPr>
                            <w:keepNext w:val="0"/>
                            <w:keepLines w:val="0"/>
                            <w:pageBreakBefore w:val="0"/>
                            <w:widowControl w:val="0"/>
                            <w:kinsoku/>
                            <w:wordWrap/>
                            <w:overflowPunct/>
                            <w:topLinePunct w:val="0"/>
                            <w:bidi w:val="0"/>
                            <w:adjustRightInd/>
                            <w:snapToGrid/>
                            <w:spacing w:line="180" w:lineRule="exact"/>
                            <w:textAlignment w:val="auto"/>
                            <w:rPr>
                              <w:rFonts w:hint="eastAsia" w:ascii="Times New Roman" w:hAnsi="Times New Roman" w:eastAsia="宋体" w:cs="Times New Roman"/>
                              <w:color w:val="auto"/>
                              <w:szCs w:val="21"/>
                              <w:vertAlign w:val="subscript"/>
                              <w:lang w:val="en-US" w:eastAsia="zh-CN"/>
                            </w:rPr>
                          </w:pPr>
                          <w:r>
                            <w:rPr>
                              <w:rFonts w:hint="eastAsia" w:ascii="Times New Roman" w:hAnsi="Times New Roman" w:eastAsia="宋体" w:cs="Times New Roman"/>
                              <w:color w:val="auto"/>
                              <w:szCs w:val="21"/>
                              <w:lang w:val="en-US" w:eastAsia="zh-CN"/>
                            </w:rPr>
                            <w:t>Q</w:t>
                          </w:r>
                          <w:r>
                            <w:rPr>
                              <w:rFonts w:hint="eastAsia" w:ascii="Times New Roman" w:hAnsi="Times New Roman" w:eastAsia="宋体" w:cs="Times New Roman"/>
                              <w:color w:val="auto"/>
                              <w:szCs w:val="21"/>
                              <w:vertAlign w:val="subscript"/>
                              <w:lang w:val="en-US" w:eastAsia="zh-CN"/>
                            </w:rPr>
                            <w:t>c</w:t>
                          </w:r>
                        </w:p>
                        <w:p w14:paraId="171D3D1C">
                          <w:pPr>
                            <w:keepNext w:val="0"/>
                            <w:keepLines w:val="0"/>
                            <w:pageBreakBefore w:val="0"/>
                            <w:widowControl w:val="0"/>
                            <w:kinsoku/>
                            <w:wordWrap/>
                            <w:overflowPunct/>
                            <w:topLinePunct w:val="0"/>
                            <w:bidi w:val="0"/>
                            <w:adjustRightInd/>
                            <w:snapToGrid/>
                            <w:spacing w:line="180" w:lineRule="exact"/>
                            <w:textAlignment w:val="auto"/>
                            <w:rPr>
                              <w:rFonts w:hint="eastAsia" w:ascii="Times New Roman" w:hAnsi="Times New Roman" w:eastAsia="宋体" w:cs="Times New Roman"/>
                              <w:color w:val="auto"/>
                              <w:szCs w:val="21"/>
                              <w:vertAlign w:val="subscript"/>
                              <w:lang w:val="en-US" w:eastAsia="zh-CN"/>
                            </w:rPr>
                          </w:pPr>
                        </w:p>
                        <w:p w14:paraId="39B89320">
                          <w:pPr>
                            <w:keepNext w:val="0"/>
                            <w:keepLines w:val="0"/>
                            <w:pageBreakBefore w:val="0"/>
                            <w:widowControl w:val="0"/>
                            <w:kinsoku/>
                            <w:wordWrap/>
                            <w:overflowPunct/>
                            <w:topLinePunct w:val="0"/>
                            <w:bidi w:val="0"/>
                            <w:adjustRightInd/>
                            <w:snapToGrid/>
                            <w:spacing w:line="180" w:lineRule="exact"/>
                            <w:textAlignment w:val="auto"/>
                            <w:rPr>
                              <w:rFonts w:hint="eastAsia" w:ascii="Times New Roman" w:hAnsi="Times New Roman" w:eastAsia="宋体" w:cs="Times New Roman"/>
                              <w:color w:val="auto"/>
                              <w:szCs w:val="21"/>
                              <w:vertAlign w:val="subscript"/>
                              <w:lang w:val="en-US" w:eastAsia="zh-CN"/>
                            </w:rPr>
                          </w:pPr>
                          <w:r>
                            <w:rPr>
                              <w:rFonts w:hint="eastAsia"/>
                              <w:color w:val="auto"/>
                              <w:szCs w:val="21"/>
                              <w:lang w:val="en-US" w:eastAsia="zh-CN"/>
                            </w:rPr>
                            <w:t>c</w:t>
                          </w:r>
                          <w:r>
                            <w:rPr>
                              <w:rFonts w:hint="eastAsia"/>
                              <w:color w:val="auto"/>
                              <w:szCs w:val="21"/>
                              <w:vertAlign w:val="subscript"/>
                              <w:lang w:val="en-US" w:eastAsia="zh-CN"/>
                            </w:rPr>
                            <w:t>m</w:t>
                          </w:r>
                        </w:p>
                      </w:txbxContent>
                    </v:textbox>
                  </v:shape>
                  <v:line id="_x0000_s3052" o:spid="_x0000_s3052" o:spt="20" style="position:absolute;left:4706;top:746150;height:1;width:256;" filled="f" stroked="t" coordsize="21600,21600">
                    <v:path arrowok="t"/>
                    <v:fill on="f" focussize="0,0"/>
                    <v:stroke color="#000000" joinstyle="miter"/>
                    <v:imagedata o:title=""/>
                    <o:lock v:ext="edit" aspectratio="f"/>
                  </v:line>
                  <v:shape id="_x0000_s3053" o:spid="_x0000_s3053" o:spt="202" type="#_x0000_t202" style="position:absolute;left:4620;top:745867;height:720;width:513;" filled="f" stroked="f" coordsize="21600,21600">
                    <v:path/>
                    <v:fill on="f" focussize="0,0"/>
                    <v:stroke on="f"/>
                    <v:imagedata o:title=""/>
                    <o:lock v:ext="edit" aspectratio="f"/>
                    <v:textbox>
                      <w:txbxContent>
                        <w:p w14:paraId="0331FE05">
                          <w:pPr>
                            <w:keepNext w:val="0"/>
                            <w:keepLines w:val="0"/>
                            <w:pageBreakBefore w:val="0"/>
                            <w:widowControl w:val="0"/>
                            <w:kinsoku/>
                            <w:wordWrap/>
                            <w:overflowPunct/>
                            <w:topLinePunct w:val="0"/>
                            <w:bidi w:val="0"/>
                            <w:adjustRightInd/>
                            <w:snapToGrid/>
                            <w:spacing w:line="160" w:lineRule="exact"/>
                            <w:textAlignment w:val="auto"/>
                            <w:rPr>
                              <w:rFonts w:hint="eastAsia" w:ascii="Times New Roman" w:hAnsi="Times New Roman" w:eastAsia="宋体" w:cs="Times New Roman"/>
                              <w:color w:val="auto"/>
                              <w:szCs w:val="21"/>
                              <w:vertAlign w:val="baseline"/>
                              <w:lang w:val="en-US" w:eastAsia="zh-CN"/>
                            </w:rPr>
                          </w:pPr>
                          <w:r>
                            <w:rPr>
                              <w:rFonts w:hint="eastAsia" w:ascii="Times New Roman" w:hAnsi="Times New Roman" w:eastAsia="宋体" w:cs="Times New Roman"/>
                              <w:color w:val="auto"/>
                              <w:szCs w:val="21"/>
                              <w:vertAlign w:val="baseline"/>
                              <w:lang w:val="en-US" w:eastAsia="zh-CN"/>
                            </w:rPr>
                            <w:t>1</w:t>
                          </w:r>
                        </w:p>
                        <w:p w14:paraId="0BE16FBE">
                          <w:pPr>
                            <w:keepNext w:val="0"/>
                            <w:keepLines w:val="0"/>
                            <w:pageBreakBefore w:val="0"/>
                            <w:widowControl w:val="0"/>
                            <w:kinsoku/>
                            <w:wordWrap/>
                            <w:overflowPunct/>
                            <w:topLinePunct w:val="0"/>
                            <w:bidi w:val="0"/>
                            <w:adjustRightInd/>
                            <w:snapToGrid/>
                            <w:spacing w:line="160" w:lineRule="exact"/>
                            <w:textAlignment w:val="auto"/>
                            <w:rPr>
                              <w:rFonts w:hint="eastAsia" w:ascii="Times New Roman" w:hAnsi="Times New Roman" w:eastAsia="宋体" w:cs="Times New Roman"/>
                              <w:color w:val="auto"/>
                              <w:szCs w:val="21"/>
                              <w:vertAlign w:val="baseline"/>
                              <w:lang w:val="en-US" w:eastAsia="zh-CN"/>
                            </w:rPr>
                          </w:pPr>
                        </w:p>
                        <w:p w14:paraId="1A5E13F2">
                          <w:pPr>
                            <w:keepNext w:val="0"/>
                            <w:keepLines w:val="0"/>
                            <w:pageBreakBefore w:val="0"/>
                            <w:widowControl w:val="0"/>
                            <w:kinsoku/>
                            <w:wordWrap/>
                            <w:overflowPunct/>
                            <w:topLinePunct w:val="0"/>
                            <w:bidi w:val="0"/>
                            <w:adjustRightInd/>
                            <w:snapToGrid/>
                            <w:spacing w:line="160" w:lineRule="exact"/>
                            <w:textAlignment w:val="auto"/>
                            <w:rPr>
                              <w:rFonts w:hint="default" w:ascii="Times New Roman" w:hAnsi="Times New Roman" w:eastAsia="宋体" w:cs="Times New Roman"/>
                              <w:color w:val="auto"/>
                              <w:szCs w:val="21"/>
                              <w:vertAlign w:val="baseline"/>
                              <w:lang w:val="en-US" w:eastAsia="zh-CN"/>
                            </w:rPr>
                          </w:pPr>
                          <w:r>
                            <w:rPr>
                              <w:rFonts w:hint="eastAsia" w:ascii="Times New Roman" w:hAnsi="Times New Roman" w:eastAsia="宋体" w:cs="Times New Roman"/>
                              <w:color w:val="auto"/>
                              <w:szCs w:val="21"/>
                              <w:vertAlign w:val="baseline"/>
                              <w:lang w:val="en-US" w:eastAsia="zh-CN"/>
                            </w:rPr>
                            <w:t>A</w:t>
                          </w:r>
                        </w:p>
                      </w:txbxContent>
                    </v:textbox>
                  </v:shape>
                </v:group>
              </w:pict>
            </w:r>
            <w:r>
              <w:rPr>
                <w:rFonts w:hint="eastAsia" w:ascii="Times New Roman" w:hAnsi="Times New Roman" w:eastAsia="宋体" w:cs="Times New Roman"/>
                <w:color w:val="auto"/>
                <w:szCs w:val="21"/>
                <w:lang w:val="en-US" w:eastAsia="zh-CN"/>
              </w:rPr>
              <w:t>（1）为生防护距离初值计算</w:t>
            </w:r>
          </w:p>
          <w:p w14:paraId="36E46BFD">
            <w:pPr>
              <w:spacing w:line="360" w:lineRule="auto"/>
              <w:ind w:firstLine="420" w:firstLineChars="200"/>
              <w:rPr>
                <w:rFonts w:hint="eastAsia" w:ascii="Times New Roman" w:hAnsi="Times New Roman" w:eastAsia="宋体" w:cs="Times New Roman"/>
                <w:color w:val="auto"/>
                <w:szCs w:val="21"/>
                <w:vertAlign w:val="superscript"/>
                <w:lang w:val="en-US" w:eastAsia="zh-CN"/>
              </w:rPr>
            </w:pPr>
            <w:r>
              <w:rPr>
                <w:rFonts w:hint="eastAsia" w:ascii="Times New Roman" w:hAnsi="Times New Roman" w:eastAsia="宋体" w:cs="Times New Roman"/>
                <w:color w:val="auto"/>
                <w:szCs w:val="21"/>
                <w:lang w:val="en-US" w:eastAsia="zh-CN"/>
              </w:rPr>
              <w:t xml:space="preserve">利用公式：    </w:t>
            </w:r>
            <w:r>
              <w:rPr>
                <w:rFonts w:hint="eastAsia" w:ascii="Times New Roman" w:hAnsi="Times New Roman" w:eastAsia="宋体" w:cs="Times New Roman"/>
                <w:color w:val="auto"/>
                <w:szCs w:val="21"/>
                <w:vertAlign w:val="subscript"/>
                <w:lang w:val="en-US" w:eastAsia="zh-CN"/>
              </w:rPr>
              <w:t xml:space="preserve"> =      </w:t>
            </w:r>
            <w:r>
              <w:rPr>
                <w:rFonts w:hint="eastAsia" w:ascii="Times New Roman" w:hAnsi="Times New Roman" w:eastAsia="宋体" w:cs="Times New Roman"/>
                <w:color w:val="auto"/>
                <w:szCs w:val="21"/>
                <w:vertAlign w:val="baseline"/>
                <w:lang w:val="en-US" w:eastAsia="zh-CN"/>
              </w:rPr>
              <w:t>（BL</w:t>
            </w:r>
            <w:r>
              <w:rPr>
                <w:rFonts w:hint="eastAsia" w:ascii="Times New Roman" w:hAnsi="Times New Roman" w:eastAsia="宋体" w:cs="Times New Roman"/>
                <w:color w:val="auto"/>
                <w:szCs w:val="21"/>
                <w:vertAlign w:val="superscript"/>
                <w:lang w:val="en-US" w:eastAsia="zh-CN"/>
              </w:rPr>
              <w:t>C</w:t>
            </w:r>
            <w:r>
              <w:rPr>
                <w:rFonts w:hint="eastAsia" w:ascii="Times New Roman" w:hAnsi="Times New Roman" w:eastAsia="宋体" w:cs="Times New Roman"/>
                <w:color w:val="auto"/>
                <w:szCs w:val="21"/>
                <w:vertAlign w:val="baseline"/>
                <w:lang w:val="en-US" w:eastAsia="zh-CN"/>
              </w:rPr>
              <w:t>+0.25r</w:t>
            </w:r>
            <w:r>
              <w:rPr>
                <w:rFonts w:hint="eastAsia" w:ascii="Times New Roman" w:hAnsi="Times New Roman" w:eastAsia="宋体" w:cs="Times New Roman"/>
                <w:color w:val="auto"/>
                <w:szCs w:val="21"/>
                <w:vertAlign w:val="superscript"/>
                <w:lang w:val="en-US" w:eastAsia="zh-CN"/>
              </w:rPr>
              <w:t>2</w:t>
            </w:r>
            <w:r>
              <w:rPr>
                <w:rFonts w:hint="eastAsia" w:ascii="Times New Roman" w:hAnsi="Times New Roman" w:eastAsia="宋体" w:cs="Times New Roman"/>
                <w:color w:val="auto"/>
                <w:szCs w:val="21"/>
                <w:vertAlign w:val="baseline"/>
                <w:lang w:val="en-US" w:eastAsia="zh-CN"/>
              </w:rPr>
              <w:t>）</w:t>
            </w:r>
            <w:r>
              <w:rPr>
                <w:rFonts w:hint="eastAsia" w:ascii="Times New Roman" w:hAnsi="Times New Roman" w:eastAsia="宋体" w:cs="Times New Roman"/>
                <w:color w:val="auto"/>
                <w:szCs w:val="21"/>
                <w:vertAlign w:val="superscript"/>
                <w:lang w:val="en-US" w:eastAsia="zh-CN"/>
              </w:rPr>
              <w:t>0.50</w:t>
            </w:r>
            <w:r>
              <w:rPr>
                <w:rFonts w:hint="eastAsia" w:ascii="Times New Roman" w:hAnsi="Times New Roman" w:eastAsia="宋体" w:cs="Times New Roman"/>
                <w:color w:val="auto"/>
                <w:szCs w:val="21"/>
                <w:vertAlign w:val="baseline"/>
                <w:lang w:val="en-US" w:eastAsia="zh-CN"/>
              </w:rPr>
              <w:t>L</w:t>
            </w:r>
            <w:r>
              <w:rPr>
                <w:rFonts w:hint="eastAsia" w:ascii="Times New Roman" w:hAnsi="Times New Roman" w:eastAsia="宋体" w:cs="Times New Roman"/>
                <w:color w:val="auto"/>
                <w:szCs w:val="21"/>
                <w:vertAlign w:val="superscript"/>
                <w:lang w:val="en-US" w:eastAsia="zh-CN"/>
              </w:rPr>
              <w:t>D</w:t>
            </w:r>
          </w:p>
          <w:p w14:paraId="6CBCD6A8">
            <w:pPr>
              <w:spacing w:line="360" w:lineRule="auto"/>
              <w:ind w:firstLine="420" w:firstLineChars="200"/>
              <w:rPr>
                <w:rFonts w:hint="eastAsia" w:ascii="Times New Roman" w:hAnsi="Times New Roman" w:eastAsia="宋体" w:cs="Times New Roman"/>
                <w:color w:val="auto"/>
                <w:szCs w:val="21"/>
                <w:vertAlign w:val="superscript"/>
                <w:lang w:val="en-US" w:eastAsia="zh-CN"/>
              </w:rPr>
            </w:pPr>
          </w:p>
          <w:p w14:paraId="3FC67538">
            <w:pPr>
              <w:spacing w:line="360" w:lineRule="auto"/>
              <w:ind w:firstLine="420" w:firstLineChars="200"/>
              <w:rPr>
                <w:rFonts w:hint="eastAsia" w:ascii="Times New Roman" w:hAnsi="Times New Roman" w:eastAsia="宋体" w:cs="Times New Roman"/>
                <w:color w:val="auto"/>
                <w:szCs w:val="21"/>
                <w:vertAlign w:val="baseline"/>
                <w:lang w:val="en-US" w:eastAsia="zh-CN"/>
              </w:rPr>
            </w:pPr>
            <w:r>
              <w:rPr>
                <w:rFonts w:hint="eastAsia" w:ascii="Times New Roman" w:hAnsi="Times New Roman" w:eastAsia="宋体" w:cs="Times New Roman"/>
                <w:color w:val="auto"/>
                <w:szCs w:val="21"/>
                <w:vertAlign w:val="baseline"/>
                <w:lang w:val="en-US" w:eastAsia="zh-CN"/>
              </w:rPr>
              <w:t>式中：Q</w:t>
            </w:r>
            <w:r>
              <w:rPr>
                <w:rFonts w:hint="eastAsia" w:ascii="Times New Roman" w:hAnsi="Times New Roman" w:eastAsia="宋体" w:cs="Times New Roman"/>
                <w:color w:val="auto"/>
                <w:szCs w:val="21"/>
                <w:vertAlign w:val="subscript"/>
                <w:lang w:val="en-US" w:eastAsia="zh-CN"/>
              </w:rPr>
              <w:t>c</w:t>
            </w:r>
            <w:r>
              <w:rPr>
                <w:rFonts w:hint="eastAsia" w:ascii="Times New Roman" w:hAnsi="Times New Roman" w:eastAsia="宋体" w:cs="Times New Roman"/>
                <w:color w:val="auto"/>
                <w:szCs w:val="21"/>
                <w:vertAlign w:val="baseline"/>
                <w:lang w:val="en-US" w:eastAsia="zh-CN"/>
              </w:rPr>
              <w:t>—大气有害物质无组织排放量（kg/h）；</w:t>
            </w:r>
          </w:p>
          <w:p w14:paraId="1B12C791">
            <w:pPr>
              <w:spacing w:line="360" w:lineRule="auto"/>
              <w:ind w:firstLine="420" w:firstLineChars="200"/>
              <w:rPr>
                <w:rFonts w:hint="eastAsia" w:ascii="Times New Roman" w:hAnsi="Times New Roman" w:eastAsia="宋体" w:cs="Times New Roman"/>
                <w:color w:val="auto"/>
                <w:szCs w:val="21"/>
                <w:vertAlign w:val="baseline"/>
                <w:lang w:val="en-US" w:eastAsia="zh-CN"/>
              </w:rPr>
            </w:pPr>
            <w:r>
              <w:rPr>
                <w:rFonts w:hint="eastAsia" w:ascii="Times New Roman" w:hAnsi="Times New Roman" w:eastAsia="宋体" w:cs="Times New Roman"/>
                <w:color w:val="auto"/>
                <w:szCs w:val="21"/>
                <w:vertAlign w:val="baseline"/>
                <w:lang w:val="en-US" w:eastAsia="zh-CN"/>
              </w:rPr>
              <w:t xml:space="preserve">      C</w:t>
            </w:r>
            <w:r>
              <w:rPr>
                <w:rFonts w:hint="eastAsia" w:ascii="Times New Roman" w:hAnsi="Times New Roman" w:eastAsia="宋体" w:cs="Times New Roman"/>
                <w:color w:val="auto"/>
                <w:szCs w:val="21"/>
                <w:vertAlign w:val="subscript"/>
                <w:lang w:val="en-US" w:eastAsia="zh-CN"/>
              </w:rPr>
              <w:t>m</w:t>
            </w:r>
            <w:r>
              <w:rPr>
                <w:rFonts w:hint="eastAsia" w:ascii="Times New Roman" w:hAnsi="Times New Roman" w:eastAsia="宋体" w:cs="Times New Roman"/>
                <w:color w:val="auto"/>
                <w:szCs w:val="21"/>
                <w:vertAlign w:val="baseline"/>
                <w:lang w:val="en-US" w:eastAsia="zh-CN"/>
              </w:rPr>
              <w:t>—大气有害物质环境空气质量的标准限值（mg/m</w:t>
            </w:r>
            <w:r>
              <w:rPr>
                <w:rFonts w:hint="eastAsia" w:ascii="Times New Roman" w:hAnsi="Times New Roman" w:eastAsia="宋体" w:cs="Times New Roman"/>
                <w:color w:val="auto"/>
                <w:szCs w:val="21"/>
                <w:vertAlign w:val="superscript"/>
                <w:lang w:val="en-US" w:eastAsia="zh-CN"/>
              </w:rPr>
              <w:t>3</w:t>
            </w:r>
            <w:r>
              <w:rPr>
                <w:rFonts w:hint="eastAsia" w:ascii="Times New Roman" w:hAnsi="Times New Roman" w:eastAsia="宋体" w:cs="Times New Roman"/>
                <w:color w:val="auto"/>
                <w:szCs w:val="21"/>
                <w:vertAlign w:val="baseline"/>
                <w:lang w:val="en-US" w:eastAsia="zh-CN"/>
              </w:rPr>
              <w:t>）；</w:t>
            </w:r>
          </w:p>
          <w:p w14:paraId="58A4D903">
            <w:pPr>
              <w:spacing w:line="360" w:lineRule="auto"/>
              <w:ind w:firstLine="420" w:firstLineChars="200"/>
              <w:rPr>
                <w:rFonts w:hint="eastAsia" w:ascii="Times New Roman" w:hAnsi="Times New Roman" w:eastAsia="宋体" w:cs="Times New Roman"/>
                <w:color w:val="auto"/>
                <w:szCs w:val="21"/>
                <w:vertAlign w:val="baseline"/>
                <w:lang w:val="en-US" w:eastAsia="zh-CN"/>
              </w:rPr>
            </w:pPr>
            <w:r>
              <w:rPr>
                <w:rFonts w:hint="eastAsia" w:ascii="Times New Roman" w:hAnsi="Times New Roman" w:eastAsia="宋体" w:cs="Times New Roman"/>
                <w:color w:val="auto"/>
                <w:szCs w:val="21"/>
                <w:vertAlign w:val="baseline"/>
                <w:lang w:val="en-US" w:eastAsia="zh-CN"/>
              </w:rPr>
              <w:t xml:space="preserve">      L —大气有害物质卫生防护距离初值（m）；</w:t>
            </w:r>
          </w:p>
          <w:p w14:paraId="3D80F3A5">
            <w:pPr>
              <w:spacing w:line="360" w:lineRule="auto"/>
              <w:ind w:firstLine="420" w:firstLineChars="200"/>
              <w:rPr>
                <w:rFonts w:hint="eastAsia" w:ascii="Times New Roman" w:hAnsi="Times New Roman" w:eastAsia="宋体" w:cs="Times New Roman"/>
                <w:color w:val="auto"/>
                <w:szCs w:val="21"/>
                <w:vertAlign w:val="baseline"/>
                <w:lang w:val="en-US" w:eastAsia="zh-CN"/>
              </w:rPr>
            </w:pPr>
            <w:r>
              <w:rPr>
                <w:rFonts w:hint="eastAsia" w:ascii="Times New Roman" w:hAnsi="Times New Roman" w:eastAsia="宋体" w:cs="Times New Roman"/>
                <w:color w:val="auto"/>
                <w:szCs w:val="21"/>
                <w:vertAlign w:val="baseline"/>
                <w:lang w:val="en-US" w:eastAsia="zh-CN"/>
              </w:rPr>
              <w:t xml:space="preserve">      r —大气有害物质无组织排放源所在生产单元的等效半径（m）；</w:t>
            </w:r>
          </w:p>
          <w:p w14:paraId="62A6A7B9">
            <w:pPr>
              <w:numPr>
                <w:ilvl w:val="0"/>
                <w:numId w:val="2"/>
              </w:numPr>
              <w:spacing w:line="360" w:lineRule="auto"/>
              <w:ind w:left="1038" w:leftChars="0" w:firstLine="0" w:firstLineChars="0"/>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vertAlign w:val="baseline"/>
                <w:lang w:val="en-US" w:eastAsia="zh-CN"/>
              </w:rPr>
              <w:t>B，C，D—卫生防护距离初值计算系数，无因次，根据工业企业所在地区近5年平均风速及大气污染源构成类别从</w:t>
            </w:r>
            <w:r>
              <w:rPr>
                <w:rFonts w:hint="eastAsia" w:ascii="Times New Roman" w:hAnsi="Times New Roman" w:eastAsia="宋体" w:cs="Times New Roman"/>
                <w:color w:val="auto"/>
                <w:szCs w:val="21"/>
                <w:lang w:val="en-US" w:eastAsia="zh-CN"/>
              </w:rPr>
              <w:t>GB/T 3949-2020表1中查取。</w:t>
            </w:r>
          </w:p>
          <w:p w14:paraId="48643B77">
            <w:pPr>
              <w:numPr>
                <w:ilvl w:val="0"/>
                <w:numId w:val="0"/>
              </w:numPr>
              <w:spacing w:line="360" w:lineRule="auto"/>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 xml:space="preserve">   （2）相关计算参数的确定：</w:t>
            </w:r>
          </w:p>
          <w:p w14:paraId="1E6683E2">
            <w:pPr>
              <w:numPr>
                <w:ilvl w:val="0"/>
                <w:numId w:val="0"/>
              </w:numPr>
              <w:spacing w:line="360" w:lineRule="auto"/>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 xml:space="preserve">    ①无组织排放量Qc</w:t>
            </w:r>
          </w:p>
          <w:p w14:paraId="1EF64013">
            <w:pPr>
              <w:numPr>
                <w:ilvl w:val="0"/>
                <w:numId w:val="0"/>
              </w:numPr>
              <w:spacing w:line="360" w:lineRule="auto"/>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 xml:space="preserve">       本项目涉及的大气有害物质为苯并[a]芘，Q</w:t>
            </w:r>
            <w:r>
              <w:rPr>
                <w:rFonts w:hint="eastAsia" w:ascii="Times New Roman" w:hAnsi="Times New Roman" w:eastAsia="宋体" w:cs="Times New Roman"/>
                <w:color w:val="auto"/>
                <w:szCs w:val="21"/>
                <w:vertAlign w:val="subscript"/>
                <w:lang w:val="en-US" w:eastAsia="zh-CN"/>
              </w:rPr>
              <w:t>c</w:t>
            </w:r>
            <w:r>
              <w:rPr>
                <w:rFonts w:hint="eastAsia" w:ascii="Times New Roman" w:hAnsi="Times New Roman" w:eastAsia="宋体" w:cs="Times New Roman"/>
                <w:color w:val="auto"/>
                <w:szCs w:val="21"/>
                <w:vertAlign w:val="baseline"/>
                <w:lang w:val="en-US" w:eastAsia="zh-CN"/>
              </w:rPr>
              <w:t>=</w:t>
            </w:r>
            <w:r>
              <w:rPr>
                <w:rFonts w:hint="eastAsia" w:ascii="Times New Roman" w:hAnsi="Times New Roman" w:eastAsia="宋体" w:cs="Times New Roman"/>
                <w:color w:val="auto"/>
                <w:szCs w:val="21"/>
                <w:lang w:val="en-US" w:eastAsia="zh-CN"/>
              </w:rPr>
              <w:t>0.0000125kg/h。</w:t>
            </w:r>
          </w:p>
          <w:p w14:paraId="1C7E6E9E">
            <w:pPr>
              <w:numPr>
                <w:ilvl w:val="0"/>
                <w:numId w:val="0"/>
              </w:numPr>
              <w:spacing w:line="360" w:lineRule="auto"/>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 xml:space="preserve">    ②标准限值c</w:t>
            </w:r>
            <w:r>
              <w:rPr>
                <w:rFonts w:hint="eastAsia" w:ascii="Times New Roman" w:hAnsi="Times New Roman" w:eastAsia="宋体" w:cs="Times New Roman"/>
                <w:color w:val="auto"/>
                <w:szCs w:val="21"/>
                <w:vertAlign w:val="subscript"/>
                <w:lang w:val="en-US" w:eastAsia="zh-CN"/>
              </w:rPr>
              <w:t>m</w:t>
            </w:r>
          </w:p>
          <w:p w14:paraId="4B81C597">
            <w:pPr>
              <w:tabs>
                <w:tab w:val="left" w:pos="1890"/>
              </w:tabs>
              <w:spacing w:line="360" w:lineRule="auto"/>
              <w:ind w:firstLine="420" w:firstLineChars="200"/>
              <w:rPr>
                <w:rFonts w:hint="default" w:ascii="Times New Roman" w:hAnsi="Times New Roman" w:eastAsia="宋体" w:cs="Times New Roman"/>
                <w:color w:val="auto"/>
                <w:szCs w:val="21"/>
                <w:vertAlign w:val="baseline"/>
                <w:lang w:val="en-US" w:eastAsia="zh-CN"/>
              </w:rPr>
            </w:pPr>
            <w:r>
              <w:rPr>
                <w:rFonts w:hint="eastAsia"/>
                <w:color w:val="auto"/>
                <w:szCs w:val="21"/>
                <w:lang w:val="en-US" w:eastAsia="zh-CN"/>
              </w:rPr>
              <w:t xml:space="preserve">  经查阅，</w:t>
            </w:r>
            <w:r>
              <w:rPr>
                <w:rFonts w:hint="eastAsia" w:ascii="Times New Roman" w:hAnsi="Times New Roman" w:eastAsia="宋体" w:cs="Times New Roman"/>
                <w:color w:val="auto"/>
                <w:szCs w:val="21"/>
                <w:lang w:val="en-US" w:eastAsia="zh-CN"/>
              </w:rPr>
              <w:t>苯并[a]芘日均二级标准浓度限值为0.0025</w:t>
            </w:r>
            <m:oMath>
              <m:r>
                <m:rPr/>
                <w:rPr>
                  <w:rFonts w:hint="default" w:ascii="Cambria Math" w:hAnsi="Cambria Math" w:cs="Cambria Math"/>
                  <w:color w:val="auto"/>
                  <w:szCs w:val="21"/>
                  <w:vertAlign w:val="baseline"/>
                  <w:lang w:val="en-US" w:eastAsia="zh-CN"/>
                </w:rPr>
                <m:t>ս</m:t>
              </m:r>
            </m:oMath>
            <w:r>
              <w:rPr>
                <w:rFonts w:hint="eastAsia" w:ascii="Times New Roman" w:hAnsi="Times New Roman" w:eastAsia="宋体" w:cs="Times New Roman"/>
                <w:color w:val="auto"/>
                <w:szCs w:val="21"/>
                <w:lang w:val="en-US" w:eastAsia="zh-CN"/>
              </w:rPr>
              <w:t>g/m</w:t>
            </w:r>
            <w:r>
              <w:rPr>
                <w:rFonts w:hint="eastAsia" w:ascii="Times New Roman" w:hAnsi="Times New Roman" w:eastAsia="宋体" w:cs="Times New Roman"/>
                <w:color w:val="auto"/>
                <w:szCs w:val="21"/>
                <w:vertAlign w:val="superscript"/>
                <w:lang w:val="en-US" w:eastAsia="zh-CN"/>
              </w:rPr>
              <w:t>3</w:t>
            </w:r>
            <w:r>
              <w:rPr>
                <w:rFonts w:hint="eastAsia" w:ascii="Times New Roman" w:hAnsi="Times New Roman" w:eastAsia="宋体" w:cs="Times New Roman"/>
                <w:color w:val="auto"/>
                <w:szCs w:val="21"/>
                <w:vertAlign w:val="baseline"/>
                <w:lang w:val="en-US" w:eastAsia="zh-CN"/>
              </w:rPr>
              <w:t>，取日均值三倍，c</w:t>
            </w:r>
            <w:r>
              <w:rPr>
                <w:rFonts w:hint="eastAsia" w:ascii="Times New Roman" w:hAnsi="Times New Roman" w:eastAsia="宋体" w:cs="Times New Roman"/>
                <w:color w:val="auto"/>
                <w:szCs w:val="21"/>
                <w:vertAlign w:val="subscript"/>
                <w:lang w:val="en-US" w:eastAsia="zh-CN"/>
              </w:rPr>
              <w:t>m</w:t>
            </w:r>
            <w:r>
              <w:rPr>
                <w:rFonts w:hint="eastAsia" w:ascii="Times New Roman" w:hAnsi="Times New Roman" w:eastAsia="宋体" w:cs="Times New Roman"/>
                <w:color w:val="auto"/>
                <w:szCs w:val="21"/>
                <w:vertAlign w:val="baseline"/>
                <w:lang w:val="en-US" w:eastAsia="zh-CN"/>
              </w:rPr>
              <w:t>=0.0000075mg/m</w:t>
            </w:r>
            <w:r>
              <w:rPr>
                <w:rFonts w:hint="eastAsia" w:ascii="Times New Roman" w:hAnsi="Times New Roman" w:eastAsia="宋体" w:cs="Times New Roman"/>
                <w:color w:val="auto"/>
                <w:szCs w:val="21"/>
                <w:vertAlign w:val="superscript"/>
                <w:lang w:val="en-US" w:eastAsia="zh-CN"/>
              </w:rPr>
              <w:t>3</w:t>
            </w:r>
            <w:r>
              <w:rPr>
                <w:rFonts w:hint="eastAsia" w:ascii="Times New Roman" w:hAnsi="Times New Roman" w:eastAsia="宋体" w:cs="Times New Roman"/>
                <w:color w:val="auto"/>
                <w:szCs w:val="21"/>
                <w:vertAlign w:val="baseline"/>
                <w:lang w:val="en-US" w:eastAsia="zh-CN"/>
              </w:rPr>
              <w:t>。</w:t>
            </w:r>
          </w:p>
          <w:p w14:paraId="70A6120D">
            <w:pPr>
              <w:tabs>
                <w:tab w:val="left" w:pos="1890"/>
              </w:tabs>
              <w:spacing w:line="360" w:lineRule="auto"/>
              <w:ind w:firstLine="420" w:firstLineChars="200"/>
              <w:rPr>
                <w:rFonts w:hint="eastAsia" w:ascii="Times New Roman" w:hAnsi="Times New Roman" w:eastAsia="宋体" w:cs="Times New Roman"/>
                <w:color w:val="auto"/>
                <w:szCs w:val="21"/>
                <w:vertAlign w:val="baseline"/>
                <w:lang w:val="en-US" w:eastAsia="zh-CN"/>
              </w:rPr>
            </w:pPr>
            <w:r>
              <w:rPr>
                <w:rFonts w:hint="eastAsia" w:ascii="Times New Roman" w:hAnsi="Times New Roman" w:eastAsia="宋体" w:cs="Times New Roman"/>
                <w:color w:val="auto"/>
                <w:szCs w:val="21"/>
                <w:vertAlign w:val="baseline"/>
                <w:lang w:val="en-US" w:eastAsia="zh-CN"/>
              </w:rPr>
              <w:t>③等效半径r</w:t>
            </w:r>
          </w:p>
          <w:p w14:paraId="77E7127C">
            <w:pPr>
              <w:tabs>
                <w:tab w:val="left" w:pos="1890"/>
              </w:tabs>
              <w:spacing w:line="360" w:lineRule="auto"/>
              <w:ind w:firstLine="1260" w:firstLineChars="600"/>
              <w:rPr>
                <w:rFonts w:hint="default" w:ascii="Times New Roman" w:hAnsi="Times New Roman" w:eastAsia="宋体" w:cs="Times New Roman"/>
                <w:color w:val="auto"/>
                <w:szCs w:val="21"/>
                <w:vertAlign w:val="baseline"/>
                <w:lang w:val="en-US" w:eastAsia="zh-CN"/>
              </w:rPr>
            </w:pPr>
            <m:oMathPara>
              <m:oMathParaPr>
                <m:jc m:val="center"/>
              </m:oMathParaPr>
              <m:oMath>
                <m:r>
                  <m:rPr>
                    <m:sty m:val="p"/>
                  </m:rPr>
                  <w:rPr>
                    <w:rFonts w:hint="eastAsia" w:ascii="Cambria Math" w:hAnsi="Cambria Math" w:cs="Times New Roman"/>
                    <w:color w:val="auto"/>
                    <w:szCs w:val="21"/>
                    <w:vertAlign w:val="baseline"/>
                    <w:lang w:val="en-US" w:eastAsia="zh-CN"/>
                  </w:rPr>
                  <m:t>r=</m:t>
                </m:r>
                <m:rad>
                  <m:radPr>
                    <m:degHide m:val="1"/>
                    <m:ctrlPr>
                      <w:rPr>
                        <w:rFonts w:ascii="Cambria Math" w:hAnsi="Cambria Math" w:cs="Times New Roman"/>
                        <w:i/>
                        <w:color w:val="auto"/>
                        <w:szCs w:val="21"/>
                        <w:vertAlign w:val="baseline"/>
                        <w:lang w:val="en-US"/>
                      </w:rPr>
                    </m:ctrlPr>
                  </m:radPr>
                  <m:deg>
                    <m:ctrlPr>
                      <w:rPr>
                        <w:rFonts w:ascii="Cambria Math" w:hAnsi="Cambria Math" w:cs="Times New Roman"/>
                        <w:i/>
                        <w:color w:val="auto"/>
                        <w:szCs w:val="21"/>
                        <w:vertAlign w:val="baseline"/>
                        <w:lang w:val="en-US"/>
                      </w:rPr>
                    </m:ctrlPr>
                  </m:deg>
                  <m:e>
                    <m:r>
                      <m:rPr/>
                      <w:rPr>
                        <w:rFonts w:hint="default" w:ascii="Cambria Math" w:hAnsi="Cambria Math" w:cs="Times New Roman"/>
                        <w:color w:val="auto"/>
                        <w:szCs w:val="21"/>
                        <w:vertAlign w:val="baseline"/>
                        <w:lang w:val="en-US" w:eastAsia="zh-CN"/>
                      </w:rPr>
                      <m:t>S/</m:t>
                    </m:r>
                    <m:r>
                      <m:rPr/>
                      <w:rPr>
                        <w:rFonts w:hint="default" w:ascii="Cambria Math" w:hAnsi="Cambria Math" w:cs="Cambria Math"/>
                        <w:color w:val="auto"/>
                        <w:szCs w:val="21"/>
                        <w:vertAlign w:val="baseline"/>
                        <w:lang w:val="en-US" w:eastAsia="zh-CN"/>
                      </w:rPr>
                      <m:t>л</m:t>
                    </m:r>
                    <m:ctrlPr>
                      <w:rPr>
                        <w:rFonts w:ascii="Cambria Math" w:hAnsi="Cambria Math" w:cs="Times New Roman"/>
                        <w:i/>
                        <w:color w:val="auto"/>
                        <w:szCs w:val="21"/>
                        <w:vertAlign w:val="baseline"/>
                        <w:lang w:val="en-US"/>
                      </w:rPr>
                    </m:ctrlPr>
                  </m:e>
                </m:rad>
              </m:oMath>
            </m:oMathPara>
          </w:p>
          <w:p w14:paraId="0E7377BE">
            <w:pPr>
              <w:tabs>
                <w:tab w:val="left" w:pos="1890"/>
              </w:tabs>
              <w:spacing w:line="360" w:lineRule="auto"/>
              <w:ind w:firstLine="420" w:firstLineChars="200"/>
              <w:rPr>
                <w:rFonts w:hint="eastAsia" w:ascii="Times New Roman" w:hAnsi="Times New Roman" w:eastAsia="宋体" w:cs="Times New Roman"/>
                <w:color w:val="auto"/>
                <w:szCs w:val="21"/>
                <w:vertAlign w:val="baseline"/>
                <w:lang w:val="en-US" w:eastAsia="zh-CN"/>
              </w:rPr>
            </w:pPr>
            <w:r>
              <w:rPr>
                <w:rFonts w:hint="eastAsia" w:ascii="Times New Roman" w:hAnsi="Times New Roman" w:eastAsia="宋体" w:cs="Times New Roman"/>
                <w:color w:val="auto"/>
                <w:szCs w:val="21"/>
                <w:vertAlign w:val="baseline"/>
                <w:lang w:val="en-US" w:eastAsia="zh-CN"/>
              </w:rPr>
              <w:t xml:space="preserve">  本项目占地面积约</w:t>
            </w:r>
            <w:r>
              <w:rPr>
                <w:rFonts w:hint="eastAsia" w:cs="Times New Roman"/>
                <w:color w:val="auto"/>
                <w:szCs w:val="21"/>
                <w:vertAlign w:val="baseline"/>
                <w:lang w:val="en-US" w:eastAsia="zh-CN"/>
              </w:rPr>
              <w:t>6933.37</w:t>
            </w:r>
            <w:r>
              <w:rPr>
                <w:rFonts w:hint="eastAsia" w:ascii="Times New Roman" w:hAnsi="Times New Roman" w:eastAsia="宋体" w:cs="Times New Roman"/>
                <w:color w:val="auto"/>
                <w:szCs w:val="21"/>
                <w:vertAlign w:val="baseline"/>
                <w:lang w:val="en-US" w:eastAsia="zh-CN"/>
              </w:rPr>
              <w:t>m</w:t>
            </w:r>
            <w:r>
              <w:rPr>
                <w:rFonts w:hint="eastAsia" w:ascii="Times New Roman" w:hAnsi="Times New Roman" w:eastAsia="宋体" w:cs="Times New Roman"/>
                <w:color w:val="auto"/>
                <w:szCs w:val="21"/>
                <w:vertAlign w:val="superscript"/>
                <w:lang w:val="en-US" w:eastAsia="zh-CN"/>
              </w:rPr>
              <w:t>2</w:t>
            </w:r>
            <w:r>
              <w:rPr>
                <w:rFonts w:hint="eastAsia" w:ascii="Times New Roman" w:hAnsi="Times New Roman" w:eastAsia="宋体" w:cs="Times New Roman"/>
                <w:color w:val="auto"/>
                <w:szCs w:val="21"/>
                <w:vertAlign w:val="baseline"/>
                <w:lang w:val="en-US" w:eastAsia="zh-CN"/>
              </w:rPr>
              <w:t>，则r=109.98m；</w:t>
            </w:r>
          </w:p>
          <w:p w14:paraId="6485ACF1">
            <w:pPr>
              <w:tabs>
                <w:tab w:val="left" w:pos="1890"/>
              </w:tabs>
              <w:spacing w:line="360" w:lineRule="auto"/>
              <w:ind w:firstLine="420" w:firstLineChars="200"/>
              <w:rPr>
                <w:rFonts w:hint="eastAsia" w:ascii="Times New Roman" w:hAnsi="Times New Roman" w:eastAsia="宋体" w:cs="Times New Roman"/>
                <w:color w:val="auto"/>
                <w:szCs w:val="21"/>
                <w:vertAlign w:val="baseline"/>
                <w:lang w:val="en-US" w:eastAsia="zh-CN"/>
              </w:rPr>
            </w:pPr>
            <w:r>
              <w:rPr>
                <w:rFonts w:hint="eastAsia" w:ascii="Times New Roman" w:hAnsi="Times New Roman" w:eastAsia="宋体" w:cs="Times New Roman"/>
                <w:color w:val="auto"/>
                <w:szCs w:val="21"/>
                <w:vertAlign w:val="baseline"/>
                <w:lang w:val="en-US" w:eastAsia="zh-CN"/>
              </w:rPr>
              <w:t>④卫生防护距离初值计算系数</w:t>
            </w:r>
          </w:p>
          <w:p w14:paraId="44DDEC8D">
            <w:pPr>
              <w:tabs>
                <w:tab w:val="left" w:pos="1890"/>
              </w:tabs>
              <w:spacing w:line="360" w:lineRule="auto"/>
              <w:ind w:firstLine="420" w:firstLineChars="200"/>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vertAlign w:val="baseline"/>
                <w:lang w:val="en-US" w:eastAsia="zh-CN"/>
              </w:rPr>
              <w:t>经收集企业所在地区近5年平均风速为2.5m/s，并查阅</w:t>
            </w:r>
            <w:r>
              <w:rPr>
                <w:rFonts w:hint="eastAsia" w:ascii="Times New Roman" w:hAnsi="Times New Roman" w:eastAsia="宋体" w:cs="Times New Roman"/>
                <w:color w:val="auto"/>
                <w:szCs w:val="21"/>
                <w:lang w:val="en-US" w:eastAsia="zh-CN"/>
              </w:rPr>
              <w:t>GB/T 3949-2020表1，确定本项目卫生防护距离初值计算系数A=470，B=0.021，C=1.85，D=0.84。</w:t>
            </w:r>
          </w:p>
          <w:p w14:paraId="03505941">
            <w:pPr>
              <w:tabs>
                <w:tab w:val="left" w:pos="1890"/>
              </w:tabs>
              <w:spacing w:line="360" w:lineRule="auto"/>
              <w:ind w:firstLine="420" w:firstLineChars="200"/>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根据以上参数，计算求得L=22.37m。</w:t>
            </w:r>
          </w:p>
          <w:p w14:paraId="2157EB0E">
            <w:pPr>
              <w:tabs>
                <w:tab w:val="left" w:pos="1890"/>
              </w:tabs>
              <w:spacing w:line="360" w:lineRule="auto"/>
              <w:ind w:firstLine="420" w:firstLineChars="200"/>
              <w:rPr>
                <w:rFonts w:hint="eastAsia"/>
                <w:color w:val="auto"/>
                <w:szCs w:val="21"/>
                <w:lang w:val="en-US" w:eastAsia="zh-CN"/>
              </w:rPr>
            </w:pPr>
            <w:r>
              <w:rPr>
                <w:rFonts w:hint="eastAsia"/>
                <w:color w:val="auto"/>
                <w:szCs w:val="21"/>
                <w:lang w:val="en-US" w:eastAsia="zh-CN"/>
              </w:rPr>
              <w:t>（3）卫生防护距离终值的确定</w:t>
            </w:r>
          </w:p>
          <w:p w14:paraId="012CAD9E">
            <w:pPr>
              <w:tabs>
                <w:tab w:val="left" w:pos="1890"/>
              </w:tabs>
              <w:spacing w:line="360" w:lineRule="auto"/>
              <w:ind w:firstLine="420" w:firstLineChars="200"/>
              <w:rPr>
                <w:rFonts w:hint="default"/>
                <w:color w:val="auto"/>
                <w:szCs w:val="21"/>
                <w:lang w:val="en-US" w:eastAsia="zh-CN"/>
              </w:rPr>
            </w:pPr>
            <w:r>
              <w:rPr>
                <w:rFonts w:hint="eastAsia"/>
                <w:color w:val="auto"/>
                <w:szCs w:val="21"/>
                <w:lang w:val="en-US" w:eastAsia="zh-CN"/>
              </w:rPr>
              <w:t>L=22.37m＜50m，级差为50m，初值计算小于50m，终值按50m取值。</w:t>
            </w:r>
          </w:p>
          <w:p w14:paraId="356D39EF">
            <w:pPr>
              <w:tabs>
                <w:tab w:val="left" w:pos="1890"/>
              </w:tabs>
              <w:spacing w:line="360" w:lineRule="auto"/>
              <w:ind w:firstLine="420" w:firstLineChars="200"/>
              <w:rPr>
                <w:rFonts w:hint="default"/>
                <w:color w:val="auto"/>
                <w:szCs w:val="21"/>
                <w:lang w:val="en-US" w:eastAsia="zh-CN"/>
              </w:rPr>
            </w:pPr>
            <w:r>
              <w:rPr>
                <w:rFonts w:hint="eastAsia"/>
                <w:color w:val="auto"/>
                <w:szCs w:val="21"/>
                <w:lang w:val="en-US" w:eastAsia="zh-CN"/>
              </w:rPr>
              <w:t>综上可知，本项目卫生防护距离终值取50m。</w:t>
            </w:r>
          </w:p>
          <w:p w14:paraId="50210FE5">
            <w:pPr>
              <w:spacing w:line="360" w:lineRule="auto"/>
              <w:ind w:firstLine="422" w:firstLineChars="200"/>
              <w:rPr>
                <w:b/>
                <w:color w:val="auto"/>
                <w:szCs w:val="21"/>
              </w:rPr>
            </w:pPr>
            <w:r>
              <w:rPr>
                <w:rFonts w:hint="eastAsia"/>
                <w:b/>
                <w:color w:val="auto"/>
                <w:szCs w:val="21"/>
                <w:lang w:val="en-US" w:eastAsia="zh-CN"/>
              </w:rPr>
              <w:t>4.</w:t>
            </w:r>
            <w:r>
              <w:rPr>
                <w:b/>
                <w:color w:val="auto"/>
                <w:szCs w:val="21"/>
              </w:rPr>
              <w:t>2、</w:t>
            </w:r>
            <w:r>
              <w:rPr>
                <w:rFonts w:hint="eastAsia"/>
                <w:b/>
                <w:color w:val="auto"/>
                <w:szCs w:val="21"/>
              </w:rPr>
              <w:t>废水</w:t>
            </w:r>
          </w:p>
          <w:p w14:paraId="36EDAE8B">
            <w:pPr>
              <w:spacing w:line="360" w:lineRule="auto"/>
              <w:ind w:firstLine="420" w:firstLineChars="200"/>
              <w:jc w:val="left"/>
              <w:rPr>
                <w:rFonts w:hint="default" w:eastAsia="宋体"/>
                <w:color w:val="auto"/>
                <w:szCs w:val="21"/>
                <w:lang w:val="en-US" w:eastAsia="zh-CN"/>
              </w:rPr>
            </w:pPr>
            <w:r>
              <w:rPr>
                <w:rFonts w:hint="eastAsia"/>
                <w:color w:val="auto"/>
                <w:szCs w:val="21"/>
                <w:lang w:val="en-US" w:eastAsia="zh-CN"/>
              </w:rPr>
              <w:t>项目运营期废水主要包括搅拌机组冲洗废水、搅拌机组场地冲洗废水和少量生活污水。另外还包括洗车废水以及初期雨水等。</w:t>
            </w:r>
          </w:p>
          <w:p w14:paraId="24BFA0FD">
            <w:pPr>
              <w:spacing w:line="360" w:lineRule="auto"/>
              <w:ind w:firstLine="420" w:firstLineChars="200"/>
              <w:rPr>
                <w:rFonts w:hint="default"/>
                <w:bCs/>
                <w:color w:val="auto"/>
                <w:szCs w:val="21"/>
                <w:lang w:val="en-US" w:eastAsia="zh-CN"/>
              </w:rPr>
            </w:pPr>
            <w:r>
              <w:rPr>
                <w:rFonts w:hint="eastAsia"/>
                <w:bCs/>
                <w:color w:val="auto"/>
                <w:szCs w:val="21"/>
                <w:lang w:val="en-US" w:eastAsia="zh-CN"/>
              </w:rPr>
              <w:t>生产废水：搅拌机组冲洗废水产生量为0.4m</w:t>
            </w:r>
            <w:r>
              <w:rPr>
                <w:rFonts w:hint="eastAsia"/>
                <w:bCs/>
                <w:color w:val="auto"/>
                <w:szCs w:val="21"/>
                <w:vertAlign w:val="superscript"/>
                <w:lang w:val="en-US" w:eastAsia="zh-CN"/>
              </w:rPr>
              <w:t>3</w:t>
            </w:r>
            <w:r>
              <w:rPr>
                <w:rFonts w:hint="eastAsia"/>
                <w:bCs/>
                <w:color w:val="auto"/>
                <w:szCs w:val="21"/>
                <w:lang w:val="en-US" w:eastAsia="zh-CN"/>
              </w:rPr>
              <w:t>/d（60m</w:t>
            </w:r>
            <w:r>
              <w:rPr>
                <w:rFonts w:hint="eastAsia"/>
                <w:bCs/>
                <w:color w:val="auto"/>
                <w:szCs w:val="21"/>
                <w:vertAlign w:val="superscript"/>
                <w:lang w:val="en-US" w:eastAsia="zh-CN"/>
              </w:rPr>
              <w:t>3</w:t>
            </w:r>
            <w:r>
              <w:rPr>
                <w:rFonts w:hint="eastAsia"/>
                <w:bCs/>
                <w:color w:val="auto"/>
                <w:szCs w:val="21"/>
                <w:lang w:val="en-US" w:eastAsia="zh-CN"/>
              </w:rPr>
              <w:t>/a）；搅拌机组场地冲洗废水产生量为0.32m</w:t>
            </w:r>
            <w:r>
              <w:rPr>
                <w:rFonts w:hint="eastAsia"/>
                <w:bCs/>
                <w:color w:val="auto"/>
                <w:szCs w:val="21"/>
                <w:vertAlign w:val="superscript"/>
                <w:lang w:val="en-US" w:eastAsia="zh-CN"/>
              </w:rPr>
              <w:t>3</w:t>
            </w:r>
            <w:r>
              <w:rPr>
                <w:rFonts w:hint="eastAsia"/>
                <w:bCs/>
                <w:color w:val="auto"/>
                <w:szCs w:val="21"/>
                <w:lang w:val="en-US" w:eastAsia="zh-CN"/>
              </w:rPr>
              <w:t>/d（48m</w:t>
            </w:r>
            <w:r>
              <w:rPr>
                <w:rFonts w:hint="eastAsia"/>
                <w:bCs/>
                <w:color w:val="auto"/>
                <w:szCs w:val="21"/>
                <w:vertAlign w:val="superscript"/>
                <w:lang w:val="en-US" w:eastAsia="zh-CN"/>
              </w:rPr>
              <w:t>3</w:t>
            </w:r>
            <w:r>
              <w:rPr>
                <w:rFonts w:hint="eastAsia"/>
                <w:bCs/>
                <w:color w:val="auto"/>
                <w:szCs w:val="21"/>
                <w:lang w:val="en-US" w:eastAsia="zh-CN"/>
              </w:rPr>
              <w:t>/a）；经收集后，通入1座沉淀池，经沉淀后回用于混凝土、水稳土生产线，不外排。</w:t>
            </w:r>
          </w:p>
          <w:p w14:paraId="4CE810B3">
            <w:pPr>
              <w:spacing w:line="360" w:lineRule="auto"/>
              <w:ind w:firstLine="420" w:firstLineChars="200"/>
              <w:rPr>
                <w:rFonts w:hint="default"/>
                <w:bCs/>
                <w:color w:val="auto"/>
                <w:szCs w:val="21"/>
                <w:lang w:val="en-US" w:eastAsia="zh-CN"/>
              </w:rPr>
            </w:pPr>
            <w:r>
              <w:rPr>
                <w:rFonts w:hint="eastAsia"/>
                <w:bCs/>
                <w:color w:val="auto"/>
                <w:szCs w:val="21"/>
                <w:lang w:val="en-US" w:eastAsia="zh-CN"/>
              </w:rPr>
              <w:t>生活污水：本项目劳动定员共计20人，生活污水产生量约为0.96</w:t>
            </w:r>
            <w:r>
              <w:rPr>
                <w:rFonts w:hint="default"/>
                <w:bCs/>
                <w:color w:val="auto"/>
                <w:szCs w:val="21"/>
                <w:lang w:val="en-US" w:eastAsia="zh-CN"/>
              </w:rPr>
              <w:t>m</w:t>
            </w:r>
            <w:r>
              <w:rPr>
                <w:rFonts w:hint="default"/>
                <w:bCs/>
                <w:color w:val="auto"/>
                <w:szCs w:val="21"/>
                <w:vertAlign w:val="superscript"/>
                <w:lang w:val="en-US" w:eastAsia="zh-CN"/>
              </w:rPr>
              <w:t>3</w:t>
            </w:r>
            <w:r>
              <w:rPr>
                <w:rFonts w:hint="default"/>
                <w:bCs/>
                <w:color w:val="auto"/>
                <w:szCs w:val="21"/>
                <w:lang w:val="en-US" w:eastAsia="zh-CN"/>
              </w:rPr>
              <w:t>/d</w:t>
            </w:r>
            <w:r>
              <w:rPr>
                <w:rFonts w:hint="eastAsia"/>
                <w:bCs/>
                <w:color w:val="auto"/>
                <w:szCs w:val="21"/>
                <w:lang w:val="en-US" w:eastAsia="zh-CN"/>
              </w:rPr>
              <w:t>（144</w:t>
            </w:r>
            <w:r>
              <w:rPr>
                <w:rFonts w:hint="default"/>
                <w:bCs/>
                <w:color w:val="auto"/>
                <w:szCs w:val="21"/>
                <w:lang w:val="en-US" w:eastAsia="zh-CN"/>
              </w:rPr>
              <w:t>m</w:t>
            </w:r>
            <w:r>
              <w:rPr>
                <w:rFonts w:hint="default"/>
                <w:bCs/>
                <w:color w:val="auto"/>
                <w:szCs w:val="21"/>
                <w:vertAlign w:val="superscript"/>
                <w:lang w:val="en-US" w:eastAsia="zh-CN"/>
              </w:rPr>
              <w:t>3</w:t>
            </w:r>
            <w:r>
              <w:rPr>
                <w:rFonts w:hint="default"/>
                <w:bCs/>
                <w:color w:val="auto"/>
                <w:szCs w:val="21"/>
                <w:lang w:val="en-US" w:eastAsia="zh-CN"/>
              </w:rPr>
              <w:t>/</w:t>
            </w:r>
            <w:r>
              <w:rPr>
                <w:rFonts w:hint="eastAsia"/>
                <w:bCs/>
                <w:color w:val="auto"/>
                <w:szCs w:val="21"/>
                <w:lang w:val="en-US" w:eastAsia="zh-CN"/>
              </w:rPr>
              <w:t>a）。经化粪池沉淀后，定期清掏由附近村民拉走施肥。</w:t>
            </w:r>
          </w:p>
          <w:p w14:paraId="2AFD5E81">
            <w:pPr>
              <w:spacing w:line="360" w:lineRule="auto"/>
              <w:ind w:left="108" w:firstLine="420" w:firstLineChars="200"/>
              <w:rPr>
                <w:rFonts w:hint="eastAsia"/>
                <w:bCs/>
                <w:color w:val="auto"/>
                <w:szCs w:val="21"/>
                <w:lang w:val="en-US" w:eastAsia="zh-CN"/>
              </w:rPr>
            </w:pPr>
            <w:r>
              <w:rPr>
                <w:rFonts w:hint="eastAsia"/>
                <w:bCs/>
                <w:color w:val="auto"/>
                <w:szCs w:val="21"/>
                <w:lang w:val="en-US" w:eastAsia="zh-CN"/>
              </w:rPr>
              <w:t>其他废水：</w:t>
            </w:r>
          </w:p>
          <w:p w14:paraId="2850FA4E">
            <w:pPr>
              <w:spacing w:line="360" w:lineRule="auto"/>
              <w:ind w:left="108" w:firstLine="420" w:firstLineChars="200"/>
              <w:rPr>
                <w:szCs w:val="21"/>
              </w:rPr>
            </w:pPr>
            <w:r>
              <w:rPr>
                <w:rFonts w:hint="eastAsia"/>
                <w:bCs/>
                <w:color w:val="auto"/>
                <w:szCs w:val="21"/>
                <w:lang w:val="en-US" w:eastAsia="zh-CN"/>
              </w:rPr>
              <w:t>①洗车废水：厂区设置1座洗车平台</w:t>
            </w:r>
            <w:r>
              <w:rPr>
                <w:rFonts w:hint="eastAsia"/>
                <w:szCs w:val="21"/>
              </w:rPr>
              <w:t>及</w:t>
            </w:r>
            <w:r>
              <w:rPr>
                <w:rFonts w:hint="eastAsia"/>
                <w:szCs w:val="21"/>
                <w:lang w:val="en-US" w:eastAsia="zh-CN"/>
              </w:rPr>
              <w:t>配套循环水</w:t>
            </w:r>
            <w:r>
              <w:rPr>
                <w:rFonts w:hint="eastAsia"/>
                <w:szCs w:val="21"/>
              </w:rPr>
              <w:t>池，冲洗平台设置</w:t>
            </w:r>
            <w:r>
              <w:rPr>
                <w:szCs w:val="21"/>
              </w:rPr>
              <w:t>2%</w:t>
            </w:r>
            <w:r>
              <w:rPr>
                <w:rFonts w:hint="eastAsia"/>
                <w:szCs w:val="21"/>
              </w:rPr>
              <w:t>的坡度，冲洗废水沿水沟自然流向沉淀池，循环利用。</w:t>
            </w:r>
          </w:p>
          <w:p w14:paraId="1BEBE720">
            <w:pPr>
              <w:spacing w:line="360" w:lineRule="auto"/>
              <w:ind w:left="108" w:firstLine="420" w:firstLineChars="200"/>
              <w:rPr>
                <w:szCs w:val="21"/>
              </w:rPr>
            </w:pPr>
            <w:r>
              <w:rPr>
                <w:szCs w:val="21"/>
              </w:rPr>
              <w:t>平台尺寸</w:t>
            </w:r>
            <w:r>
              <w:rPr>
                <w:rFonts w:hint="eastAsia"/>
                <w:szCs w:val="21"/>
              </w:rPr>
              <w:t>：</w:t>
            </w:r>
            <w:r>
              <w:rPr>
                <w:szCs w:val="21"/>
              </w:rPr>
              <w:t>8m×3.5m×0.3m</w:t>
            </w:r>
            <w:r>
              <w:rPr>
                <w:rFonts w:hint="eastAsia"/>
                <w:szCs w:val="21"/>
              </w:rPr>
              <w:t>，水沟、底板及外侧均为C35混凝土结构，底板厚200mm素砼，平台建设完成后比路面高出100mm，可拦截泥沙，避免四周流散；平台底部下沉，便于收集循环废水。车辆冲洗停留时间约为5-8min。</w:t>
            </w:r>
          </w:p>
          <w:p w14:paraId="7163DA8F">
            <w:pPr>
              <w:spacing w:line="360" w:lineRule="auto"/>
              <w:ind w:left="108" w:firstLine="420" w:firstLineChars="200"/>
              <w:rPr>
                <w:szCs w:val="21"/>
              </w:rPr>
            </w:pPr>
            <w:r>
              <w:rPr>
                <w:rFonts w:hint="eastAsia"/>
                <w:szCs w:val="21"/>
              </w:rPr>
              <w:t>配套设施及设备：安装数套自动高压水枪，安排专人负责操作和管理，确保全数运输车辆可清洁车辆全身及轮胎；</w:t>
            </w:r>
            <w:r>
              <w:rPr>
                <w:szCs w:val="21"/>
              </w:rPr>
              <w:t>配套</w:t>
            </w:r>
            <w:r>
              <w:rPr>
                <w:rFonts w:hint="eastAsia"/>
                <w:szCs w:val="21"/>
                <w:lang w:val="en-US" w:eastAsia="zh-CN"/>
              </w:rPr>
              <w:t>循环水池可依托沉淀池</w:t>
            </w:r>
            <w:r>
              <w:rPr>
                <w:szCs w:val="21"/>
              </w:rPr>
              <w:t>，沉淀后的废水循环使用，只需定时补充洗车水即可，不外排。避免废水下渗影响地下水环境。</w:t>
            </w:r>
          </w:p>
          <w:p w14:paraId="7985F640">
            <w:pPr>
              <w:spacing w:line="360" w:lineRule="auto"/>
              <w:ind w:left="108" w:firstLine="420" w:firstLineChars="200"/>
              <w:rPr>
                <w:szCs w:val="21"/>
              </w:rPr>
            </w:pPr>
            <w:r>
              <w:rPr>
                <w:rFonts w:hint="eastAsia"/>
                <w:bCs/>
                <w:color w:val="auto"/>
                <w:szCs w:val="21"/>
                <w:lang w:val="en-US" w:eastAsia="zh-CN"/>
              </w:rPr>
              <w:t>②初期雨水：</w:t>
            </w:r>
            <w:r>
              <w:rPr>
                <w:rFonts w:hint="eastAsia"/>
                <w:szCs w:val="21"/>
              </w:rPr>
              <w:t>结合本项目厂区布置、运输道路布置、储</w:t>
            </w:r>
            <w:r>
              <w:rPr>
                <w:rFonts w:hint="eastAsia"/>
                <w:szCs w:val="21"/>
                <w:lang w:val="en-US" w:eastAsia="zh-CN"/>
              </w:rPr>
              <w:t>料</w:t>
            </w:r>
            <w:r>
              <w:rPr>
                <w:rFonts w:hint="eastAsia"/>
                <w:szCs w:val="21"/>
              </w:rPr>
              <w:t>库建设位置，确定本项目汇水面积。暴雨强度计算公式采用大同市暴雨强度计算公式：</w:t>
            </w:r>
          </w:p>
          <w:p w14:paraId="0DBFF230">
            <w:pPr>
              <w:spacing w:line="480" w:lineRule="exact"/>
              <w:ind w:firstLine="420" w:firstLineChars="200"/>
              <w:jc w:val="center"/>
              <w:rPr>
                <w:sz w:val="24"/>
              </w:rPr>
            </w:pPr>
            <w:r>
              <w:drawing>
                <wp:anchor distT="0" distB="0" distL="114300" distR="114300" simplePos="0" relativeHeight="251660288" behindDoc="0" locked="0" layoutInCell="1" allowOverlap="1">
                  <wp:simplePos x="0" y="0"/>
                  <wp:positionH relativeFrom="column">
                    <wp:posOffset>336550</wp:posOffset>
                  </wp:positionH>
                  <wp:positionV relativeFrom="paragraph">
                    <wp:posOffset>-1270</wp:posOffset>
                  </wp:positionV>
                  <wp:extent cx="2225040" cy="525780"/>
                  <wp:effectExtent l="0" t="0" r="3810" b="7620"/>
                  <wp:wrapNone/>
                  <wp:docPr id="2479" name="图片 2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9" name="图片 2479"/>
                          <pic:cNvPicPr>
                            <a:picLocks noChangeAspect="1" noChangeArrowheads="1"/>
                          </pic:cNvPicPr>
                        </pic:nvPicPr>
                        <pic:blipFill>
                          <a:blip r:embed="rId24" cstate="print"/>
                          <a:srcRect/>
                          <a:stretch>
                            <a:fillRect/>
                          </a:stretch>
                        </pic:blipFill>
                        <pic:spPr>
                          <a:xfrm>
                            <a:off x="0" y="0"/>
                            <a:ext cx="2225040" cy="525780"/>
                          </a:xfrm>
                          <a:prstGeom prst="rect">
                            <a:avLst/>
                          </a:prstGeom>
                          <a:noFill/>
                          <a:ln w="9525">
                            <a:noFill/>
                            <a:miter lim="800000"/>
                            <a:headEnd/>
                            <a:tailEnd/>
                          </a:ln>
                        </pic:spPr>
                      </pic:pic>
                    </a:graphicData>
                  </a:graphic>
                </wp:anchor>
              </w:drawing>
            </w:r>
          </w:p>
          <w:p w14:paraId="1AD009EC">
            <w:pPr>
              <w:spacing w:line="360" w:lineRule="auto"/>
              <w:ind w:left="108" w:firstLine="420" w:firstLineChars="200"/>
              <w:rPr>
                <w:rFonts w:hint="eastAsia"/>
                <w:szCs w:val="21"/>
              </w:rPr>
            </w:pPr>
          </w:p>
          <w:p w14:paraId="327C8C63">
            <w:pPr>
              <w:spacing w:line="360" w:lineRule="auto"/>
              <w:ind w:left="108" w:firstLine="420" w:firstLineChars="200"/>
              <w:rPr>
                <w:szCs w:val="21"/>
              </w:rPr>
            </w:pPr>
            <w:r>
              <w:rPr>
                <w:rFonts w:hint="eastAsia"/>
                <w:szCs w:val="21"/>
              </w:rPr>
              <w:t>式中：</w:t>
            </w:r>
            <w:r>
              <w:rPr>
                <w:szCs w:val="21"/>
              </w:rPr>
              <w:t>P</w:t>
            </w:r>
            <w:r>
              <w:rPr>
                <w:rFonts w:hint="eastAsia"/>
                <w:szCs w:val="21"/>
              </w:rPr>
              <w:t>：设计重现期，取2年；</w:t>
            </w:r>
            <w:r>
              <w:rPr>
                <w:szCs w:val="21"/>
              </w:rPr>
              <w:t>t</w:t>
            </w:r>
            <w:r>
              <w:rPr>
                <w:rFonts w:hint="eastAsia"/>
                <w:szCs w:val="21"/>
              </w:rPr>
              <w:t>：降雨历时，</w:t>
            </w:r>
            <w:r>
              <w:rPr>
                <w:szCs w:val="21"/>
              </w:rPr>
              <w:t>15</w:t>
            </w:r>
            <w:r>
              <w:rPr>
                <w:rFonts w:hint="eastAsia"/>
                <w:szCs w:val="21"/>
              </w:rPr>
              <w:t>分钟；</w:t>
            </w:r>
            <w:r>
              <w:rPr>
                <w:szCs w:val="21"/>
              </w:rPr>
              <w:t>ψ</w:t>
            </w:r>
            <w:r>
              <w:rPr>
                <w:rFonts w:hint="eastAsia"/>
                <w:szCs w:val="21"/>
              </w:rPr>
              <w:t>：径流系数，取</w:t>
            </w:r>
            <w:r>
              <w:rPr>
                <w:szCs w:val="21"/>
              </w:rPr>
              <w:t>0.</w:t>
            </w:r>
            <w:r>
              <w:rPr>
                <w:rFonts w:hint="eastAsia"/>
                <w:szCs w:val="21"/>
              </w:rPr>
              <w:t>6</w:t>
            </w:r>
          </w:p>
          <w:p w14:paraId="09C77C2C">
            <w:pPr>
              <w:spacing w:line="360" w:lineRule="auto"/>
              <w:ind w:left="108" w:firstLine="420" w:firstLineChars="200"/>
              <w:rPr>
                <w:szCs w:val="21"/>
              </w:rPr>
            </w:pPr>
            <w:r>
              <w:rPr>
                <w:szCs w:val="21"/>
              </w:rPr>
              <w:t>T</w:t>
            </w:r>
            <w:r>
              <w:rPr>
                <w:rFonts w:hint="eastAsia"/>
                <w:szCs w:val="21"/>
              </w:rPr>
              <w:t>：收水时间，</w:t>
            </w:r>
            <w:r>
              <w:rPr>
                <w:szCs w:val="21"/>
              </w:rPr>
              <w:t>取15</w:t>
            </w:r>
            <w:r>
              <w:rPr>
                <w:rFonts w:hint="eastAsia"/>
                <w:szCs w:val="21"/>
              </w:rPr>
              <w:t>分钟；</w:t>
            </w:r>
            <w:r>
              <w:rPr>
                <w:szCs w:val="21"/>
              </w:rPr>
              <w:t>F</w:t>
            </w:r>
            <w:r>
              <w:rPr>
                <w:rFonts w:hint="eastAsia"/>
                <w:szCs w:val="21"/>
              </w:rPr>
              <w:t>：汇水面积，取</w:t>
            </w:r>
            <w:r>
              <w:rPr>
                <w:rFonts w:hint="eastAsia"/>
                <w:szCs w:val="21"/>
                <w:lang w:val="en-US" w:eastAsia="zh-CN"/>
              </w:rPr>
              <w:t>12</w:t>
            </w:r>
            <w:r>
              <w:rPr>
                <w:rFonts w:hint="eastAsia"/>
                <w:szCs w:val="21"/>
              </w:rPr>
              <w:t>0</w:t>
            </w:r>
            <w:r>
              <w:rPr>
                <w:szCs w:val="21"/>
              </w:rPr>
              <w:t>00m</w:t>
            </w:r>
            <w:r>
              <w:rPr>
                <w:szCs w:val="21"/>
                <w:vertAlign w:val="superscript"/>
              </w:rPr>
              <w:t>2</w:t>
            </w:r>
            <w:r>
              <w:rPr>
                <w:rFonts w:hint="eastAsia"/>
                <w:szCs w:val="21"/>
              </w:rPr>
              <w:t>（汇水面积根据厂区内</w:t>
            </w:r>
            <w:r>
              <w:rPr>
                <w:rFonts w:hint="eastAsia"/>
                <w:szCs w:val="21"/>
                <w:lang w:val="en-US" w:eastAsia="zh-CN"/>
              </w:rPr>
              <w:t>物料</w:t>
            </w:r>
            <w:r>
              <w:rPr>
                <w:rFonts w:hint="eastAsia"/>
                <w:szCs w:val="21"/>
              </w:rPr>
              <w:t>储存、运输工作面而定，厂区</w:t>
            </w:r>
            <w:r>
              <w:rPr>
                <w:rFonts w:hint="eastAsia"/>
                <w:szCs w:val="21"/>
                <w:lang w:val="en-US" w:eastAsia="zh-CN"/>
              </w:rPr>
              <w:t>硬化</w:t>
            </w:r>
            <w:r>
              <w:rPr>
                <w:rFonts w:hint="eastAsia"/>
                <w:szCs w:val="21"/>
              </w:rPr>
              <w:t>面积</w:t>
            </w:r>
            <w:r>
              <w:rPr>
                <w:rFonts w:hint="eastAsia"/>
                <w:szCs w:val="21"/>
                <w:lang w:val="en-US" w:eastAsia="zh-CN"/>
              </w:rPr>
              <w:t>约10</w:t>
            </w:r>
            <w:r>
              <w:rPr>
                <w:rFonts w:hint="eastAsia"/>
                <w:szCs w:val="21"/>
              </w:rPr>
              <w:t>000</w:t>
            </w:r>
            <w:r>
              <w:rPr>
                <w:szCs w:val="21"/>
              </w:rPr>
              <w:t>m</w:t>
            </w:r>
            <w:r>
              <w:rPr>
                <w:szCs w:val="21"/>
                <w:vertAlign w:val="superscript"/>
              </w:rPr>
              <w:t>2</w:t>
            </w:r>
            <w:r>
              <w:rPr>
                <w:rFonts w:hint="eastAsia"/>
                <w:szCs w:val="21"/>
              </w:rPr>
              <w:t>，</w:t>
            </w:r>
            <w:r>
              <w:rPr>
                <w:szCs w:val="21"/>
              </w:rPr>
              <w:t>绿化面积</w:t>
            </w:r>
            <w:r>
              <w:rPr>
                <w:rFonts w:hint="eastAsia"/>
                <w:szCs w:val="21"/>
                <w:lang w:val="en-US" w:eastAsia="zh-CN"/>
              </w:rPr>
              <w:t>2</w:t>
            </w:r>
            <w:r>
              <w:rPr>
                <w:rFonts w:hint="eastAsia"/>
                <w:szCs w:val="21"/>
              </w:rPr>
              <w:t>000</w:t>
            </w:r>
            <w:r>
              <w:rPr>
                <w:szCs w:val="21"/>
              </w:rPr>
              <w:t>m</w:t>
            </w:r>
            <w:r>
              <w:rPr>
                <w:szCs w:val="21"/>
                <w:vertAlign w:val="superscript"/>
              </w:rPr>
              <w:t>2</w:t>
            </w:r>
            <w:r>
              <w:rPr>
                <w:rFonts w:hint="eastAsia"/>
                <w:szCs w:val="21"/>
              </w:rPr>
              <w:t>）。</w:t>
            </w:r>
          </w:p>
          <w:p w14:paraId="39977DE6">
            <w:pPr>
              <w:spacing w:line="360" w:lineRule="auto"/>
              <w:ind w:left="108" w:firstLine="420" w:firstLineChars="200"/>
              <w:rPr>
                <w:rFonts w:hint="eastAsia"/>
                <w:szCs w:val="21"/>
              </w:rPr>
            </w:pPr>
            <w:r>
              <w:rPr>
                <w:rFonts w:hint="eastAsia"/>
                <w:szCs w:val="21"/>
              </w:rPr>
              <w:t>根据上式计算，</w:t>
            </w:r>
            <w:r>
              <w:rPr>
                <w:szCs w:val="21"/>
              </w:rPr>
              <w:t>q=</w:t>
            </w:r>
            <w:r>
              <w:rPr>
                <w:rFonts w:hint="eastAsia"/>
                <w:szCs w:val="21"/>
              </w:rPr>
              <w:t>138.52</w:t>
            </w:r>
            <w:r>
              <w:rPr>
                <w:szCs w:val="21"/>
              </w:rPr>
              <w:t>L/s</w:t>
            </w:r>
            <w:r>
              <w:rPr>
                <w:rFonts w:hint="eastAsia"/>
                <w:szCs w:val="21"/>
              </w:rPr>
              <w:t>·</w:t>
            </w:r>
            <w:r>
              <w:rPr>
                <w:szCs w:val="21"/>
              </w:rPr>
              <w:t>ha</w:t>
            </w:r>
            <w:r>
              <w:rPr>
                <w:rFonts w:hint="eastAsia"/>
                <w:szCs w:val="21"/>
              </w:rPr>
              <w:t>，厂区内</w:t>
            </w:r>
            <w:r>
              <w:rPr>
                <w:szCs w:val="21"/>
              </w:rPr>
              <w:t>15</w:t>
            </w:r>
            <w:r>
              <w:rPr>
                <w:rFonts w:hint="eastAsia"/>
                <w:szCs w:val="21"/>
              </w:rPr>
              <w:t>分钟的降水体积为</w:t>
            </w:r>
            <w:r>
              <w:rPr>
                <w:rFonts w:hint="eastAsia"/>
                <w:szCs w:val="21"/>
                <w:lang w:val="en-US" w:eastAsia="zh-CN"/>
              </w:rPr>
              <w:t>89.766</w:t>
            </w:r>
            <w:r>
              <w:rPr>
                <w:szCs w:val="21"/>
              </w:rPr>
              <w:t>m</w:t>
            </w:r>
            <w:r>
              <w:rPr>
                <w:szCs w:val="21"/>
                <w:vertAlign w:val="superscript"/>
              </w:rPr>
              <w:t>3</w:t>
            </w:r>
            <w:r>
              <w:rPr>
                <w:rFonts w:hint="eastAsia"/>
                <w:szCs w:val="21"/>
              </w:rPr>
              <w:t>。评价要求设置一座初期雨水收集池，雨水池位于厂区地势最低处，即厂区</w:t>
            </w:r>
            <w:r>
              <w:rPr>
                <w:rFonts w:hint="eastAsia"/>
                <w:szCs w:val="21"/>
                <w:lang w:val="en-US" w:eastAsia="zh-CN"/>
              </w:rPr>
              <w:t>东南角处</w:t>
            </w:r>
            <w:r>
              <w:rPr>
                <w:rFonts w:hint="eastAsia"/>
                <w:szCs w:val="21"/>
              </w:rPr>
              <w:t>，池体容积</w:t>
            </w:r>
            <w:r>
              <w:rPr>
                <w:rFonts w:hint="eastAsia"/>
                <w:szCs w:val="21"/>
                <w:lang w:eastAsia="zh-CN"/>
              </w:rPr>
              <w:t>为</w:t>
            </w:r>
            <w:r>
              <w:rPr>
                <w:rFonts w:hint="eastAsia"/>
                <w:szCs w:val="21"/>
                <w:lang w:val="en-US" w:eastAsia="zh-CN"/>
              </w:rPr>
              <w:t>100m</w:t>
            </w:r>
            <w:r>
              <w:rPr>
                <w:rFonts w:hint="eastAsia"/>
                <w:szCs w:val="21"/>
                <w:vertAlign w:val="superscript"/>
                <w:lang w:val="en-US" w:eastAsia="zh-CN"/>
              </w:rPr>
              <w:t>3</w:t>
            </w:r>
            <w:r>
              <w:rPr>
                <w:rFonts w:hint="eastAsia"/>
                <w:szCs w:val="21"/>
                <w:lang w:val="en-US" w:eastAsia="zh-CN"/>
              </w:rPr>
              <w:t>，</w:t>
            </w:r>
            <w:r>
              <w:rPr>
                <w:rFonts w:hint="eastAsia"/>
                <w:szCs w:val="21"/>
              </w:rPr>
              <w:t>可满足本项目初期雨水收集量，收集后的雨水经沉淀后，</w:t>
            </w:r>
            <w:r>
              <w:rPr>
                <w:rFonts w:hint="eastAsia"/>
                <w:szCs w:val="21"/>
                <w:lang w:val="en-US" w:eastAsia="zh-CN"/>
              </w:rPr>
              <w:t>可回用于混凝土生产线，不外排</w:t>
            </w:r>
            <w:r>
              <w:rPr>
                <w:rFonts w:hint="eastAsia"/>
                <w:szCs w:val="21"/>
              </w:rPr>
              <w:t>。</w:t>
            </w:r>
          </w:p>
          <w:p w14:paraId="614023AD">
            <w:pPr>
              <w:spacing w:line="360" w:lineRule="auto"/>
              <w:ind w:firstLine="420" w:firstLineChars="200"/>
              <w:rPr>
                <w:rFonts w:hint="default" w:eastAsia="宋体"/>
                <w:bCs/>
                <w:color w:val="auto"/>
                <w:szCs w:val="21"/>
                <w:lang w:val="en-US" w:eastAsia="zh-CN"/>
              </w:rPr>
            </w:pPr>
            <w:r>
              <w:rPr>
                <w:rFonts w:hint="eastAsia"/>
                <w:szCs w:val="21"/>
              </w:rPr>
              <w:t>取以上措施后，本项目产生的废水对周围的环境影响很小</w:t>
            </w:r>
            <w:r>
              <w:rPr>
                <w:rFonts w:hint="eastAsia"/>
                <w:sz w:val="24"/>
              </w:rPr>
              <w:t>。</w:t>
            </w:r>
          </w:p>
          <w:p w14:paraId="6948FB25">
            <w:pPr>
              <w:snapToGrid w:val="0"/>
              <w:spacing w:line="240" w:lineRule="exact"/>
              <w:ind w:firstLine="361" w:firstLineChars="200"/>
              <w:jc w:val="center"/>
              <w:rPr>
                <w:b/>
                <w:bCs/>
                <w:color w:val="auto"/>
                <w:sz w:val="18"/>
                <w:szCs w:val="18"/>
              </w:rPr>
            </w:pPr>
            <w:r>
              <w:rPr>
                <w:b/>
                <w:bCs/>
                <w:color w:val="auto"/>
                <w:sz w:val="18"/>
                <w:szCs w:val="18"/>
              </w:rPr>
              <w:t>表</w:t>
            </w:r>
            <w:r>
              <w:rPr>
                <w:rFonts w:hint="eastAsia"/>
                <w:b/>
                <w:bCs/>
                <w:color w:val="auto"/>
                <w:sz w:val="18"/>
                <w:szCs w:val="18"/>
              </w:rPr>
              <w:t>4</w:t>
            </w:r>
            <w:r>
              <w:rPr>
                <w:rFonts w:hint="eastAsia"/>
                <w:b/>
                <w:bCs/>
                <w:color w:val="auto"/>
                <w:sz w:val="18"/>
                <w:szCs w:val="18"/>
                <w:lang w:val="en-US" w:eastAsia="zh-CN"/>
              </w:rPr>
              <w:t>.2</w:t>
            </w:r>
            <w:r>
              <w:rPr>
                <w:rFonts w:hint="eastAsia"/>
                <w:b/>
                <w:bCs/>
                <w:color w:val="auto"/>
                <w:sz w:val="18"/>
                <w:szCs w:val="18"/>
              </w:rPr>
              <w:t>-</w:t>
            </w:r>
            <w:r>
              <w:rPr>
                <w:rFonts w:hint="eastAsia"/>
                <w:b/>
                <w:bCs/>
                <w:color w:val="auto"/>
                <w:sz w:val="18"/>
                <w:szCs w:val="18"/>
                <w:lang w:val="en-US" w:eastAsia="zh-CN"/>
              </w:rPr>
              <w:t>1</w:t>
            </w:r>
            <w:r>
              <w:rPr>
                <w:b/>
                <w:bCs/>
                <w:color w:val="auto"/>
                <w:sz w:val="18"/>
                <w:szCs w:val="18"/>
              </w:rPr>
              <w:t xml:space="preserve">    </w:t>
            </w:r>
            <w:r>
              <w:rPr>
                <w:rFonts w:hint="eastAsia"/>
                <w:b/>
                <w:bCs/>
                <w:color w:val="auto"/>
                <w:sz w:val="18"/>
                <w:szCs w:val="18"/>
                <w:lang w:val="en-US" w:eastAsia="zh-CN"/>
              </w:rPr>
              <w:t>废水污染源基本情况</w:t>
            </w:r>
            <w:r>
              <w:rPr>
                <w:b/>
                <w:bCs/>
                <w:color w:val="auto"/>
                <w:sz w:val="18"/>
                <w:szCs w:val="18"/>
              </w:rPr>
              <w:t>表</w:t>
            </w:r>
          </w:p>
          <w:tbl>
            <w:tblPr>
              <w:tblStyle w:val="4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83"/>
              <w:gridCol w:w="657"/>
              <w:gridCol w:w="1850"/>
              <w:gridCol w:w="1573"/>
              <w:gridCol w:w="1265"/>
              <w:gridCol w:w="2225"/>
            </w:tblGrid>
            <w:tr w14:paraId="3C1565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00" w:type="pct"/>
                  <w:tcBorders>
                    <w:tl2br w:val="nil"/>
                    <w:tr2bl w:val="nil"/>
                  </w:tcBorders>
                  <w:vAlign w:val="center"/>
                </w:tcPr>
                <w:p w14:paraId="3C1B149E">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序号</w:t>
                  </w:r>
                </w:p>
              </w:tc>
              <w:tc>
                <w:tcPr>
                  <w:tcW w:w="1556" w:type="pct"/>
                  <w:gridSpan w:val="2"/>
                  <w:tcBorders>
                    <w:tl2br w:val="nil"/>
                    <w:tr2bl w:val="nil"/>
                  </w:tcBorders>
                  <w:vAlign w:val="center"/>
                </w:tcPr>
                <w:p w14:paraId="6E434739">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废水类别</w:t>
                  </w:r>
                </w:p>
                <w:p w14:paraId="04865A3F">
                  <w:pPr>
                    <w:adjustRightInd w:val="0"/>
                    <w:snapToGrid w:val="0"/>
                    <w:spacing w:line="280" w:lineRule="exact"/>
                    <w:contextualSpacing/>
                    <w:jc w:val="center"/>
                    <w:textAlignment w:val="baseline"/>
                    <w:rPr>
                      <w:rFonts w:hint="default"/>
                      <w:color w:val="auto"/>
                      <w:sz w:val="18"/>
                      <w:szCs w:val="18"/>
                      <w:lang w:val="en-US" w:eastAsia="zh-CN"/>
                    </w:rPr>
                  </w:pPr>
                </w:p>
              </w:tc>
              <w:tc>
                <w:tcPr>
                  <w:tcW w:w="976" w:type="pct"/>
                  <w:tcBorders>
                    <w:tl2br w:val="nil"/>
                    <w:tr2bl w:val="nil"/>
                  </w:tcBorders>
                  <w:vAlign w:val="center"/>
                </w:tcPr>
                <w:p w14:paraId="1FF07B1E">
                  <w:pPr>
                    <w:adjustRightInd w:val="0"/>
                    <w:snapToGrid w:val="0"/>
                    <w:spacing w:line="280" w:lineRule="exact"/>
                    <w:contextualSpacing/>
                    <w:jc w:val="center"/>
                    <w:textAlignment w:val="baseline"/>
                    <w:rPr>
                      <w:rFonts w:hint="eastAsia"/>
                      <w:color w:val="auto"/>
                      <w:sz w:val="18"/>
                      <w:szCs w:val="18"/>
                      <w:lang w:val="en-US" w:eastAsia="zh-CN"/>
                    </w:rPr>
                  </w:pPr>
                  <w:r>
                    <w:rPr>
                      <w:rFonts w:hint="eastAsia"/>
                      <w:color w:val="auto"/>
                      <w:sz w:val="18"/>
                      <w:szCs w:val="18"/>
                      <w:lang w:val="en-US" w:eastAsia="zh-CN"/>
                    </w:rPr>
                    <w:t>污染物种类</w:t>
                  </w:r>
                </w:p>
              </w:tc>
              <w:tc>
                <w:tcPr>
                  <w:tcW w:w="785" w:type="pct"/>
                  <w:tcBorders>
                    <w:tl2br w:val="nil"/>
                    <w:tr2bl w:val="nil"/>
                  </w:tcBorders>
                  <w:vAlign w:val="center"/>
                </w:tcPr>
                <w:p w14:paraId="6B094BED">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污染治理措施</w:t>
                  </w:r>
                </w:p>
              </w:tc>
              <w:tc>
                <w:tcPr>
                  <w:tcW w:w="1381" w:type="pct"/>
                  <w:tcBorders>
                    <w:tl2br w:val="nil"/>
                    <w:tr2bl w:val="nil"/>
                  </w:tcBorders>
                  <w:vAlign w:val="center"/>
                </w:tcPr>
                <w:p w14:paraId="1A4BA62B">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去向</w:t>
                  </w:r>
                </w:p>
              </w:tc>
            </w:tr>
            <w:tr w14:paraId="212299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20" w:hRule="atLeast"/>
              </w:trPr>
              <w:tc>
                <w:tcPr>
                  <w:tcW w:w="300" w:type="pct"/>
                  <w:tcBorders>
                    <w:tl2br w:val="nil"/>
                    <w:tr2bl w:val="nil"/>
                  </w:tcBorders>
                  <w:vAlign w:val="center"/>
                </w:tcPr>
                <w:p w14:paraId="4D366594">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1</w:t>
                  </w:r>
                </w:p>
              </w:tc>
              <w:tc>
                <w:tcPr>
                  <w:tcW w:w="408" w:type="pct"/>
                  <w:vMerge w:val="restart"/>
                  <w:tcBorders>
                    <w:tl2br w:val="nil"/>
                    <w:tr2bl w:val="nil"/>
                  </w:tcBorders>
                  <w:vAlign w:val="center"/>
                </w:tcPr>
                <w:p w14:paraId="2B19968E">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生产废水</w:t>
                  </w:r>
                </w:p>
              </w:tc>
              <w:tc>
                <w:tcPr>
                  <w:tcW w:w="1147" w:type="pct"/>
                  <w:tcBorders>
                    <w:tl2br w:val="nil"/>
                    <w:tr2bl w:val="nil"/>
                  </w:tcBorders>
                  <w:vAlign w:val="center"/>
                </w:tcPr>
                <w:p w14:paraId="7047D7BB">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搅拌机组冲洗废水</w:t>
                  </w:r>
                  <w:r>
                    <w:rPr>
                      <w:rFonts w:hint="eastAsia"/>
                      <w:bCs/>
                      <w:color w:val="auto"/>
                      <w:sz w:val="18"/>
                      <w:szCs w:val="18"/>
                      <w:lang w:val="en-US" w:eastAsia="zh-CN"/>
                    </w:rPr>
                    <w:t>0.4m</w:t>
                  </w:r>
                  <w:r>
                    <w:rPr>
                      <w:rFonts w:hint="eastAsia"/>
                      <w:bCs/>
                      <w:color w:val="auto"/>
                      <w:sz w:val="18"/>
                      <w:szCs w:val="18"/>
                      <w:vertAlign w:val="superscript"/>
                      <w:lang w:val="en-US" w:eastAsia="zh-CN"/>
                    </w:rPr>
                    <w:t>3</w:t>
                  </w:r>
                  <w:r>
                    <w:rPr>
                      <w:rFonts w:hint="eastAsia"/>
                      <w:bCs/>
                      <w:color w:val="auto"/>
                      <w:sz w:val="18"/>
                      <w:szCs w:val="18"/>
                      <w:lang w:val="en-US" w:eastAsia="zh-CN"/>
                    </w:rPr>
                    <w:t>/d</w:t>
                  </w:r>
                </w:p>
              </w:tc>
              <w:tc>
                <w:tcPr>
                  <w:tcW w:w="976" w:type="pct"/>
                  <w:tcBorders>
                    <w:tl2br w:val="nil"/>
                    <w:tr2bl w:val="nil"/>
                  </w:tcBorders>
                  <w:vAlign w:val="center"/>
                </w:tcPr>
                <w:p w14:paraId="76C2AE25">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SS等</w:t>
                  </w:r>
                </w:p>
              </w:tc>
              <w:tc>
                <w:tcPr>
                  <w:tcW w:w="785" w:type="pct"/>
                  <w:vMerge w:val="restart"/>
                  <w:tcBorders>
                    <w:tl2br w:val="nil"/>
                    <w:tr2bl w:val="nil"/>
                  </w:tcBorders>
                  <w:shd w:val="clear" w:color="auto" w:fill="auto"/>
                  <w:vAlign w:val="center"/>
                </w:tcPr>
                <w:p w14:paraId="5844D78C">
                  <w:pPr>
                    <w:adjustRightInd w:val="0"/>
                    <w:snapToGrid w:val="0"/>
                    <w:spacing w:line="280" w:lineRule="exact"/>
                    <w:contextualSpacing/>
                    <w:jc w:val="center"/>
                    <w:textAlignment w:val="baseline"/>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沉淀水池</w:t>
                  </w:r>
                </w:p>
              </w:tc>
              <w:tc>
                <w:tcPr>
                  <w:tcW w:w="1381" w:type="pct"/>
                  <w:vMerge w:val="restart"/>
                  <w:tcBorders>
                    <w:tl2br w:val="nil"/>
                    <w:tr2bl w:val="nil"/>
                  </w:tcBorders>
                  <w:shd w:val="clear" w:color="auto" w:fill="auto"/>
                  <w:vAlign w:val="center"/>
                </w:tcPr>
                <w:p w14:paraId="648AD5A0">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经沉淀后回用于混凝土生产线，不外排</w:t>
                  </w:r>
                </w:p>
              </w:tc>
            </w:tr>
            <w:tr w14:paraId="3A50B3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20" w:hRule="atLeast"/>
              </w:trPr>
              <w:tc>
                <w:tcPr>
                  <w:tcW w:w="300" w:type="pct"/>
                  <w:tcBorders>
                    <w:tl2br w:val="nil"/>
                    <w:tr2bl w:val="nil"/>
                  </w:tcBorders>
                  <w:vAlign w:val="center"/>
                </w:tcPr>
                <w:p w14:paraId="0C178DFC">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2</w:t>
                  </w:r>
                </w:p>
              </w:tc>
              <w:tc>
                <w:tcPr>
                  <w:tcW w:w="408" w:type="pct"/>
                  <w:vMerge w:val="continue"/>
                  <w:tcBorders>
                    <w:tl2br w:val="nil"/>
                    <w:tr2bl w:val="nil"/>
                  </w:tcBorders>
                  <w:vAlign w:val="center"/>
                </w:tcPr>
                <w:p w14:paraId="5A03DBFD">
                  <w:pPr>
                    <w:adjustRightInd w:val="0"/>
                    <w:snapToGrid w:val="0"/>
                    <w:spacing w:line="280" w:lineRule="exact"/>
                    <w:contextualSpacing/>
                    <w:jc w:val="center"/>
                    <w:textAlignment w:val="baseline"/>
                    <w:rPr>
                      <w:rFonts w:hint="eastAsia"/>
                      <w:color w:val="auto"/>
                      <w:sz w:val="18"/>
                      <w:szCs w:val="18"/>
                      <w:lang w:val="en-US" w:eastAsia="zh-CN"/>
                    </w:rPr>
                  </w:pPr>
                </w:p>
              </w:tc>
              <w:tc>
                <w:tcPr>
                  <w:tcW w:w="1147" w:type="pct"/>
                  <w:tcBorders>
                    <w:tl2br w:val="nil"/>
                    <w:tr2bl w:val="nil"/>
                  </w:tcBorders>
                  <w:vAlign w:val="center"/>
                </w:tcPr>
                <w:p w14:paraId="3058AB21">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搅拌机组场地冲洗废水0.32m</w:t>
                  </w:r>
                  <w:r>
                    <w:rPr>
                      <w:rFonts w:hint="eastAsia"/>
                      <w:color w:val="auto"/>
                      <w:sz w:val="18"/>
                      <w:szCs w:val="18"/>
                      <w:vertAlign w:val="superscript"/>
                      <w:lang w:val="en-US" w:eastAsia="zh-CN"/>
                    </w:rPr>
                    <w:t>3</w:t>
                  </w:r>
                  <w:r>
                    <w:rPr>
                      <w:rFonts w:hint="eastAsia"/>
                      <w:color w:val="auto"/>
                      <w:sz w:val="18"/>
                      <w:szCs w:val="18"/>
                      <w:lang w:val="en-US" w:eastAsia="zh-CN"/>
                    </w:rPr>
                    <w:t>/d</w:t>
                  </w:r>
                </w:p>
              </w:tc>
              <w:tc>
                <w:tcPr>
                  <w:tcW w:w="976" w:type="pct"/>
                  <w:tcBorders>
                    <w:tl2br w:val="nil"/>
                    <w:tr2bl w:val="nil"/>
                  </w:tcBorders>
                  <w:vAlign w:val="center"/>
                </w:tcPr>
                <w:p w14:paraId="66CB5D5F">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SS等</w:t>
                  </w:r>
                </w:p>
              </w:tc>
              <w:tc>
                <w:tcPr>
                  <w:tcW w:w="785" w:type="pct"/>
                  <w:vMerge w:val="continue"/>
                  <w:tcBorders>
                    <w:tl2br w:val="nil"/>
                    <w:tr2bl w:val="nil"/>
                  </w:tcBorders>
                  <w:shd w:val="clear" w:color="auto" w:fill="auto"/>
                  <w:vAlign w:val="center"/>
                </w:tcPr>
                <w:p w14:paraId="4BAC2A3B">
                  <w:pPr>
                    <w:adjustRightInd w:val="0"/>
                    <w:snapToGrid w:val="0"/>
                    <w:spacing w:line="280" w:lineRule="exact"/>
                    <w:contextualSpacing/>
                    <w:jc w:val="center"/>
                    <w:textAlignment w:val="baseline"/>
                    <w:rPr>
                      <w:rFonts w:hint="eastAsia"/>
                      <w:color w:val="auto"/>
                      <w:sz w:val="18"/>
                      <w:szCs w:val="18"/>
                      <w:lang w:val="en-US" w:eastAsia="zh-CN"/>
                    </w:rPr>
                  </w:pPr>
                </w:p>
              </w:tc>
              <w:tc>
                <w:tcPr>
                  <w:tcW w:w="1381" w:type="pct"/>
                  <w:vMerge w:val="continue"/>
                  <w:tcBorders>
                    <w:tl2br w:val="nil"/>
                    <w:tr2bl w:val="nil"/>
                  </w:tcBorders>
                  <w:shd w:val="clear" w:color="auto" w:fill="auto"/>
                  <w:vAlign w:val="center"/>
                </w:tcPr>
                <w:p w14:paraId="212E5586">
                  <w:pPr>
                    <w:adjustRightInd w:val="0"/>
                    <w:snapToGrid w:val="0"/>
                    <w:spacing w:line="280" w:lineRule="exact"/>
                    <w:contextualSpacing/>
                    <w:jc w:val="center"/>
                    <w:textAlignment w:val="baseline"/>
                    <w:rPr>
                      <w:rFonts w:hint="eastAsia"/>
                      <w:color w:val="auto"/>
                      <w:sz w:val="18"/>
                      <w:szCs w:val="18"/>
                      <w:lang w:val="en-US" w:eastAsia="zh-CN"/>
                    </w:rPr>
                  </w:pPr>
                </w:p>
              </w:tc>
            </w:tr>
            <w:tr w14:paraId="642D7F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20" w:hRule="atLeast"/>
              </w:trPr>
              <w:tc>
                <w:tcPr>
                  <w:tcW w:w="300" w:type="pct"/>
                  <w:tcBorders>
                    <w:tl2br w:val="nil"/>
                    <w:tr2bl w:val="nil"/>
                  </w:tcBorders>
                  <w:vAlign w:val="center"/>
                </w:tcPr>
                <w:p w14:paraId="3726BBE3">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3</w:t>
                  </w:r>
                </w:p>
              </w:tc>
              <w:tc>
                <w:tcPr>
                  <w:tcW w:w="408" w:type="pct"/>
                  <w:vMerge w:val="restart"/>
                  <w:tcBorders>
                    <w:tl2br w:val="nil"/>
                    <w:tr2bl w:val="nil"/>
                  </w:tcBorders>
                  <w:vAlign w:val="center"/>
                </w:tcPr>
                <w:p w14:paraId="14153FD5">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其他废水</w:t>
                  </w:r>
                </w:p>
              </w:tc>
              <w:tc>
                <w:tcPr>
                  <w:tcW w:w="1147" w:type="pct"/>
                  <w:tcBorders>
                    <w:tl2br w:val="nil"/>
                    <w:tr2bl w:val="nil"/>
                  </w:tcBorders>
                  <w:vAlign w:val="center"/>
                </w:tcPr>
                <w:p w14:paraId="0138D892">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洗车废水</w:t>
                  </w:r>
                </w:p>
              </w:tc>
              <w:tc>
                <w:tcPr>
                  <w:tcW w:w="976" w:type="pct"/>
                  <w:tcBorders>
                    <w:tl2br w:val="nil"/>
                    <w:tr2bl w:val="nil"/>
                  </w:tcBorders>
                  <w:vAlign w:val="center"/>
                </w:tcPr>
                <w:p w14:paraId="786BB5DF">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SS等</w:t>
                  </w:r>
                </w:p>
              </w:tc>
              <w:tc>
                <w:tcPr>
                  <w:tcW w:w="785" w:type="pct"/>
                  <w:tcBorders>
                    <w:tl2br w:val="nil"/>
                    <w:tr2bl w:val="nil"/>
                  </w:tcBorders>
                  <w:shd w:val="clear" w:color="auto" w:fill="auto"/>
                  <w:vAlign w:val="center"/>
                </w:tcPr>
                <w:p w14:paraId="01AE1E23">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洗车平台及配套循环水池</w:t>
                  </w:r>
                </w:p>
              </w:tc>
              <w:tc>
                <w:tcPr>
                  <w:tcW w:w="1381" w:type="pct"/>
                  <w:tcBorders>
                    <w:tl2br w:val="nil"/>
                    <w:tr2bl w:val="nil"/>
                  </w:tcBorders>
                  <w:shd w:val="clear" w:color="auto" w:fill="auto"/>
                  <w:vAlign w:val="center"/>
                </w:tcPr>
                <w:p w14:paraId="77EDBCD0">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洗车废水经沉淀后循环使用，不外排</w:t>
                  </w:r>
                </w:p>
              </w:tc>
            </w:tr>
            <w:tr w14:paraId="69D7B8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20" w:hRule="atLeast"/>
              </w:trPr>
              <w:tc>
                <w:tcPr>
                  <w:tcW w:w="300" w:type="pct"/>
                  <w:tcBorders>
                    <w:tl2br w:val="nil"/>
                    <w:tr2bl w:val="nil"/>
                  </w:tcBorders>
                  <w:vAlign w:val="center"/>
                </w:tcPr>
                <w:p w14:paraId="01EB2F5B">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4</w:t>
                  </w:r>
                </w:p>
              </w:tc>
              <w:tc>
                <w:tcPr>
                  <w:tcW w:w="408" w:type="pct"/>
                  <w:vMerge w:val="continue"/>
                  <w:tcBorders>
                    <w:tl2br w:val="nil"/>
                    <w:tr2bl w:val="nil"/>
                  </w:tcBorders>
                  <w:vAlign w:val="center"/>
                </w:tcPr>
                <w:p w14:paraId="49F3F818">
                  <w:pPr>
                    <w:adjustRightInd w:val="0"/>
                    <w:snapToGrid w:val="0"/>
                    <w:spacing w:line="280" w:lineRule="exact"/>
                    <w:contextualSpacing/>
                    <w:jc w:val="center"/>
                    <w:textAlignment w:val="baseline"/>
                    <w:rPr>
                      <w:rFonts w:hint="eastAsia"/>
                      <w:color w:val="auto"/>
                      <w:sz w:val="18"/>
                      <w:szCs w:val="18"/>
                      <w:lang w:val="en-US" w:eastAsia="zh-CN"/>
                    </w:rPr>
                  </w:pPr>
                </w:p>
              </w:tc>
              <w:tc>
                <w:tcPr>
                  <w:tcW w:w="1147" w:type="pct"/>
                  <w:tcBorders>
                    <w:tl2br w:val="nil"/>
                    <w:tr2bl w:val="nil"/>
                  </w:tcBorders>
                  <w:vAlign w:val="center"/>
                </w:tcPr>
                <w:p w14:paraId="5DD77E47">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初期雨水</w:t>
                  </w:r>
                </w:p>
              </w:tc>
              <w:tc>
                <w:tcPr>
                  <w:tcW w:w="976" w:type="pct"/>
                  <w:tcBorders>
                    <w:tl2br w:val="nil"/>
                    <w:tr2bl w:val="nil"/>
                  </w:tcBorders>
                  <w:vAlign w:val="center"/>
                </w:tcPr>
                <w:p w14:paraId="499859C1">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SS等</w:t>
                  </w:r>
                </w:p>
              </w:tc>
              <w:tc>
                <w:tcPr>
                  <w:tcW w:w="785" w:type="pct"/>
                  <w:tcBorders>
                    <w:tl2br w:val="nil"/>
                    <w:tr2bl w:val="nil"/>
                  </w:tcBorders>
                  <w:shd w:val="clear" w:color="auto" w:fill="auto"/>
                  <w:vAlign w:val="center"/>
                </w:tcPr>
                <w:p w14:paraId="0632B1FA">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初期雨水收集池</w:t>
                  </w:r>
                </w:p>
              </w:tc>
              <w:tc>
                <w:tcPr>
                  <w:tcW w:w="1381" w:type="pct"/>
                  <w:tcBorders>
                    <w:tl2br w:val="nil"/>
                    <w:tr2bl w:val="nil"/>
                  </w:tcBorders>
                  <w:shd w:val="clear" w:color="auto" w:fill="auto"/>
                  <w:vAlign w:val="center"/>
                </w:tcPr>
                <w:p w14:paraId="16780060">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经沉淀后回用于混凝土生产线，不外排</w:t>
                  </w:r>
                </w:p>
              </w:tc>
            </w:tr>
            <w:tr w14:paraId="632F31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99" w:hRule="atLeast"/>
              </w:trPr>
              <w:tc>
                <w:tcPr>
                  <w:tcW w:w="300" w:type="pct"/>
                  <w:tcBorders>
                    <w:tl2br w:val="nil"/>
                    <w:tr2bl w:val="nil"/>
                  </w:tcBorders>
                  <w:vAlign w:val="center"/>
                </w:tcPr>
                <w:p w14:paraId="3C19D640">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5</w:t>
                  </w:r>
                </w:p>
              </w:tc>
              <w:tc>
                <w:tcPr>
                  <w:tcW w:w="408" w:type="pct"/>
                  <w:tcBorders>
                    <w:tl2br w:val="nil"/>
                    <w:tr2bl w:val="nil"/>
                  </w:tcBorders>
                  <w:shd w:val="clear" w:color="auto" w:fill="auto"/>
                  <w:vAlign w:val="center"/>
                </w:tcPr>
                <w:p w14:paraId="50DDBB4C">
                  <w:pPr>
                    <w:adjustRightInd w:val="0"/>
                    <w:snapToGrid w:val="0"/>
                    <w:spacing w:line="280" w:lineRule="exact"/>
                    <w:contextualSpacing/>
                    <w:jc w:val="center"/>
                    <w:textAlignment w:val="baseline"/>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生活污水</w:t>
                  </w:r>
                </w:p>
              </w:tc>
              <w:tc>
                <w:tcPr>
                  <w:tcW w:w="1147" w:type="pct"/>
                  <w:tcBorders>
                    <w:tl2br w:val="nil"/>
                    <w:tr2bl w:val="nil"/>
                  </w:tcBorders>
                  <w:shd w:val="clear" w:color="auto" w:fill="auto"/>
                  <w:vAlign w:val="center"/>
                </w:tcPr>
                <w:p w14:paraId="3D5FE572">
                  <w:pPr>
                    <w:adjustRightInd w:val="0"/>
                    <w:snapToGrid w:val="0"/>
                    <w:spacing w:line="280" w:lineRule="exact"/>
                    <w:contextualSpacing/>
                    <w:jc w:val="center"/>
                    <w:textAlignment w:val="baseline"/>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办公生活0.96m</w:t>
                  </w:r>
                  <w:r>
                    <w:rPr>
                      <w:rFonts w:hint="eastAsia"/>
                      <w:color w:val="auto"/>
                      <w:sz w:val="18"/>
                      <w:szCs w:val="18"/>
                      <w:vertAlign w:val="superscript"/>
                      <w:lang w:val="en-US" w:eastAsia="zh-CN"/>
                    </w:rPr>
                    <w:t>3</w:t>
                  </w:r>
                  <w:r>
                    <w:rPr>
                      <w:rFonts w:hint="eastAsia"/>
                      <w:color w:val="auto"/>
                      <w:sz w:val="18"/>
                      <w:szCs w:val="18"/>
                      <w:lang w:val="en-US" w:eastAsia="zh-CN"/>
                    </w:rPr>
                    <w:t>/d</w:t>
                  </w:r>
                </w:p>
              </w:tc>
              <w:tc>
                <w:tcPr>
                  <w:tcW w:w="976" w:type="pct"/>
                  <w:tcBorders>
                    <w:tl2br w:val="nil"/>
                    <w:tr2bl w:val="nil"/>
                  </w:tcBorders>
                  <w:shd w:val="clear" w:color="auto" w:fill="auto"/>
                  <w:vAlign w:val="center"/>
                </w:tcPr>
                <w:p w14:paraId="0DCBEEF4">
                  <w:pPr>
                    <w:adjustRightInd w:val="0"/>
                    <w:snapToGrid w:val="0"/>
                    <w:spacing w:line="280" w:lineRule="exact"/>
                    <w:contextualSpacing/>
                    <w:jc w:val="center"/>
                    <w:textAlignment w:val="baseline"/>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氨氮、COD、BOD</w:t>
                  </w:r>
                  <w:r>
                    <w:rPr>
                      <w:rFonts w:hint="eastAsia"/>
                      <w:color w:val="auto"/>
                      <w:sz w:val="18"/>
                      <w:szCs w:val="18"/>
                      <w:vertAlign w:val="subscript"/>
                      <w:lang w:val="en-US" w:eastAsia="zh-CN"/>
                    </w:rPr>
                    <w:t>5</w:t>
                  </w:r>
                  <w:r>
                    <w:rPr>
                      <w:rFonts w:hint="eastAsia"/>
                      <w:color w:val="auto"/>
                      <w:sz w:val="18"/>
                      <w:szCs w:val="18"/>
                      <w:lang w:val="en-US" w:eastAsia="zh-CN"/>
                    </w:rPr>
                    <w:t>、SS等</w:t>
                  </w:r>
                </w:p>
              </w:tc>
              <w:tc>
                <w:tcPr>
                  <w:tcW w:w="785" w:type="pct"/>
                  <w:tcBorders>
                    <w:tl2br w:val="nil"/>
                    <w:tr2bl w:val="nil"/>
                  </w:tcBorders>
                  <w:shd w:val="clear" w:color="auto" w:fill="auto"/>
                  <w:vAlign w:val="center"/>
                </w:tcPr>
                <w:p w14:paraId="5A311C10">
                  <w:pPr>
                    <w:adjustRightInd w:val="0"/>
                    <w:snapToGrid w:val="0"/>
                    <w:spacing w:line="280" w:lineRule="exact"/>
                    <w:contextualSpacing/>
                    <w:jc w:val="center"/>
                    <w:textAlignment w:val="baseline"/>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化粪池</w:t>
                  </w:r>
                </w:p>
              </w:tc>
              <w:tc>
                <w:tcPr>
                  <w:tcW w:w="1381" w:type="pct"/>
                  <w:tcBorders>
                    <w:tl2br w:val="nil"/>
                    <w:tr2bl w:val="nil"/>
                  </w:tcBorders>
                  <w:shd w:val="clear" w:color="auto" w:fill="auto"/>
                  <w:vAlign w:val="center"/>
                </w:tcPr>
                <w:p w14:paraId="6D5C0520">
                  <w:pPr>
                    <w:adjustRightInd w:val="0"/>
                    <w:snapToGrid w:val="0"/>
                    <w:spacing w:line="280" w:lineRule="exact"/>
                    <w:contextualSpacing/>
                    <w:jc w:val="center"/>
                    <w:textAlignment w:val="baseline"/>
                    <w:rPr>
                      <w:rFonts w:hint="default"/>
                      <w:color w:val="auto"/>
                      <w:sz w:val="18"/>
                      <w:szCs w:val="18"/>
                      <w:lang w:val="en-US" w:eastAsia="zh-CN"/>
                    </w:rPr>
                  </w:pPr>
                  <w:r>
                    <w:rPr>
                      <w:rFonts w:hint="eastAsia"/>
                      <w:color w:val="auto"/>
                      <w:sz w:val="18"/>
                      <w:szCs w:val="18"/>
                      <w:lang w:val="en-US" w:eastAsia="zh-CN"/>
                    </w:rPr>
                    <w:t>经化粪池沉淀后，定期清掏由附近村民拉走施肥</w:t>
                  </w:r>
                </w:p>
              </w:tc>
            </w:tr>
          </w:tbl>
          <w:p w14:paraId="2E38BE37">
            <w:pPr>
              <w:widowControl/>
              <w:spacing w:line="360" w:lineRule="auto"/>
              <w:ind w:firstLine="420" w:firstLineChars="200"/>
              <w:rPr>
                <w:rFonts w:hint="eastAsia"/>
                <w:color w:val="auto"/>
                <w:szCs w:val="21"/>
              </w:rPr>
            </w:pPr>
            <w:r>
              <w:rPr>
                <w:rFonts w:hint="eastAsia"/>
                <w:color w:val="auto"/>
                <w:szCs w:val="21"/>
              </w:rPr>
              <w:t>项目无废水直接外排</w:t>
            </w:r>
            <w:r>
              <w:rPr>
                <w:rFonts w:hint="eastAsia"/>
                <w:color w:val="auto"/>
                <w:szCs w:val="21"/>
                <w:lang w:val="en-US" w:eastAsia="zh-CN"/>
              </w:rPr>
              <w:t>地表水环境</w:t>
            </w:r>
            <w:r>
              <w:rPr>
                <w:rFonts w:hint="eastAsia"/>
                <w:color w:val="auto"/>
                <w:szCs w:val="21"/>
              </w:rPr>
              <w:t>，对地表水环境影响</w:t>
            </w:r>
            <w:r>
              <w:rPr>
                <w:rFonts w:hint="eastAsia"/>
                <w:color w:val="auto"/>
                <w:szCs w:val="21"/>
                <w:lang w:val="en-US" w:eastAsia="zh-CN"/>
              </w:rPr>
              <w:t>较</w:t>
            </w:r>
            <w:r>
              <w:rPr>
                <w:rFonts w:hint="eastAsia"/>
                <w:color w:val="auto"/>
                <w:szCs w:val="21"/>
              </w:rPr>
              <w:t>小。</w:t>
            </w:r>
          </w:p>
          <w:p w14:paraId="70CB0541">
            <w:pPr>
              <w:widowControl/>
              <w:spacing w:line="360" w:lineRule="auto"/>
              <w:ind w:firstLine="316" w:firstLineChars="150"/>
              <w:rPr>
                <w:rFonts w:hint="eastAsia" w:eastAsia="宋体"/>
                <w:color w:val="auto"/>
                <w:kern w:val="0"/>
                <w:szCs w:val="21"/>
                <w:lang w:val="en-US" w:eastAsia="zh-CN"/>
              </w:rPr>
            </w:pPr>
            <w:r>
              <w:rPr>
                <w:rFonts w:hint="eastAsia"/>
                <w:b/>
                <w:color w:val="auto"/>
                <w:szCs w:val="21"/>
                <w:lang w:val="en-US" w:eastAsia="zh-CN"/>
              </w:rPr>
              <w:t>4.</w:t>
            </w:r>
            <w:r>
              <w:rPr>
                <w:b/>
                <w:color w:val="auto"/>
                <w:szCs w:val="21"/>
              </w:rPr>
              <w:t>3</w:t>
            </w:r>
            <w:r>
              <w:rPr>
                <w:rFonts w:hint="eastAsia"/>
                <w:b/>
                <w:color w:val="auto"/>
                <w:szCs w:val="21"/>
                <w:lang w:val="en-US" w:eastAsia="zh-CN"/>
              </w:rPr>
              <w:t>噪声</w:t>
            </w:r>
          </w:p>
          <w:p w14:paraId="4FC7ABA2">
            <w:pPr>
              <w:spacing w:line="360" w:lineRule="auto"/>
              <w:ind w:firstLine="420" w:firstLineChars="200"/>
              <w:rPr>
                <w:bCs/>
                <w:color w:val="auto"/>
                <w:szCs w:val="21"/>
              </w:rPr>
            </w:pPr>
            <w:r>
              <w:rPr>
                <w:rFonts w:hint="eastAsia"/>
                <w:bCs/>
                <w:color w:val="auto"/>
                <w:szCs w:val="21"/>
              </w:rPr>
              <w:t>（1）噪声源强及防治措施</w:t>
            </w:r>
          </w:p>
          <w:p w14:paraId="1DC8DA1E">
            <w:pPr>
              <w:spacing w:line="360" w:lineRule="auto"/>
              <w:ind w:firstLine="420" w:firstLineChars="200"/>
              <w:rPr>
                <w:rFonts w:hint="eastAsia"/>
                <w:color w:val="auto"/>
                <w:szCs w:val="21"/>
              </w:rPr>
            </w:pPr>
            <w:r>
              <w:rPr>
                <w:rFonts w:hint="eastAsia"/>
                <w:color w:val="auto"/>
                <w:szCs w:val="21"/>
              </w:rPr>
              <w:t>本项目在运行中产生高噪声的设备主要有</w:t>
            </w:r>
            <w:r>
              <w:rPr>
                <w:rFonts w:hint="eastAsia"/>
                <w:color w:val="auto"/>
                <w:szCs w:val="21"/>
                <w:lang w:val="en-US" w:eastAsia="zh-CN"/>
              </w:rPr>
              <w:t>水泵、风机、搅拌机、空压机</w:t>
            </w:r>
            <w:r>
              <w:rPr>
                <w:rFonts w:hint="eastAsia"/>
                <w:color w:val="auto"/>
                <w:szCs w:val="21"/>
              </w:rPr>
              <w:t>等</w:t>
            </w:r>
            <w:r>
              <w:rPr>
                <w:rFonts w:hint="eastAsia"/>
                <w:color w:val="auto"/>
                <w:szCs w:val="21"/>
                <w:lang w:val="en-US" w:eastAsia="zh-CN"/>
              </w:rPr>
              <w:t>产生的噪声、汽车噪声等，声压级在8</w:t>
            </w:r>
            <w:r>
              <w:rPr>
                <w:rFonts w:hint="default"/>
                <w:color w:val="auto"/>
                <w:szCs w:val="21"/>
                <w:lang w:val="en-US" w:eastAsia="zh-CN"/>
              </w:rPr>
              <w:t>0-</w:t>
            </w:r>
            <w:r>
              <w:rPr>
                <w:rFonts w:hint="eastAsia"/>
                <w:color w:val="auto"/>
                <w:szCs w:val="21"/>
                <w:lang w:val="en-US" w:eastAsia="zh-CN"/>
              </w:rPr>
              <w:t>95</w:t>
            </w:r>
            <w:r>
              <w:rPr>
                <w:rFonts w:hint="default"/>
                <w:color w:val="auto"/>
                <w:szCs w:val="21"/>
                <w:lang w:val="en-US" w:eastAsia="zh-CN"/>
              </w:rPr>
              <w:t>dB(A)</w:t>
            </w:r>
            <w:r>
              <w:rPr>
                <w:rFonts w:hint="eastAsia"/>
                <w:color w:val="auto"/>
                <w:szCs w:val="21"/>
                <w:lang w:val="en-US" w:eastAsia="zh-CN"/>
              </w:rPr>
              <w:t xml:space="preserve">之间。其中固定声源主要为水泵、风机、搅拌机、空压机等。 </w:t>
            </w:r>
          </w:p>
          <w:p w14:paraId="3F92C4B9">
            <w:pPr>
              <w:spacing w:line="360" w:lineRule="auto"/>
              <w:ind w:firstLine="420" w:firstLineChars="200"/>
              <w:rPr>
                <w:rFonts w:hint="eastAsia"/>
                <w:color w:val="auto"/>
                <w:szCs w:val="21"/>
              </w:rPr>
            </w:pPr>
            <w:r>
              <w:rPr>
                <w:rFonts w:hint="eastAsia"/>
                <w:color w:val="auto"/>
                <w:szCs w:val="21"/>
                <w:lang w:val="en-US" w:eastAsia="zh-CN"/>
              </w:rPr>
              <w:t xml:space="preserve">为减少营运期噪声对周围环境的影响，环评提出以下噪声污染防治措施： </w:t>
            </w:r>
          </w:p>
          <w:p w14:paraId="65DEB279">
            <w:pPr>
              <w:spacing w:line="360" w:lineRule="auto"/>
              <w:ind w:firstLine="420" w:firstLineChars="200"/>
              <w:rPr>
                <w:rFonts w:hint="eastAsia"/>
                <w:color w:val="auto"/>
                <w:szCs w:val="21"/>
              </w:rPr>
            </w:pPr>
            <w:r>
              <w:rPr>
                <w:rFonts w:hint="default"/>
                <w:color w:val="auto"/>
                <w:szCs w:val="21"/>
                <w:lang w:val="en-US" w:eastAsia="zh-CN"/>
              </w:rPr>
              <w:t>1</w:t>
            </w:r>
            <w:r>
              <w:rPr>
                <w:rFonts w:hint="eastAsia"/>
                <w:color w:val="auto"/>
                <w:szCs w:val="21"/>
                <w:lang w:val="en-US" w:eastAsia="zh-CN"/>
              </w:rPr>
              <w:t xml:space="preserve">）选用低噪声设备及生产工艺，产噪设备尽量设置在厂房内部，室外布置的振动型产噪设备，如水泵、风机等采取基础减振、加设隔音罩等措施； </w:t>
            </w:r>
          </w:p>
          <w:p w14:paraId="2EA39C0C">
            <w:pPr>
              <w:spacing w:line="360" w:lineRule="auto"/>
              <w:ind w:firstLine="420" w:firstLineChars="200"/>
              <w:rPr>
                <w:rFonts w:hint="eastAsia"/>
                <w:color w:val="auto"/>
                <w:szCs w:val="21"/>
                <w:lang w:val="en-US" w:eastAsia="zh-CN"/>
              </w:rPr>
            </w:pPr>
            <w:r>
              <w:rPr>
                <w:rFonts w:hint="default"/>
                <w:color w:val="auto"/>
                <w:szCs w:val="21"/>
                <w:lang w:val="en-US" w:eastAsia="zh-CN"/>
              </w:rPr>
              <w:t>2</w:t>
            </w:r>
            <w:r>
              <w:rPr>
                <w:rFonts w:hint="eastAsia"/>
                <w:color w:val="auto"/>
                <w:szCs w:val="21"/>
                <w:lang w:val="en-US" w:eastAsia="zh-CN"/>
              </w:rPr>
              <w:t xml:space="preserve">）加强生产及设备管理，经常对产噪设备性能进行检查，保持设备平衡，以减少振动产生，平时要对防噪设施经常维护，确保其发挥正常功能。 </w:t>
            </w:r>
          </w:p>
          <w:p w14:paraId="248864BA">
            <w:pPr>
              <w:spacing w:line="360" w:lineRule="auto"/>
              <w:ind w:firstLine="420" w:firstLineChars="200"/>
              <w:rPr>
                <w:rFonts w:hint="eastAsia"/>
                <w:color w:val="auto"/>
                <w:szCs w:val="21"/>
              </w:rPr>
            </w:pPr>
            <w:r>
              <w:rPr>
                <w:rFonts w:hint="default"/>
                <w:color w:val="auto"/>
                <w:szCs w:val="21"/>
                <w:lang w:val="en-US" w:eastAsia="zh-CN"/>
              </w:rPr>
              <w:t>3</w:t>
            </w:r>
            <w:r>
              <w:rPr>
                <w:rFonts w:hint="eastAsia"/>
                <w:color w:val="auto"/>
                <w:szCs w:val="21"/>
                <w:lang w:val="en-US" w:eastAsia="zh-CN"/>
              </w:rPr>
              <w:t xml:space="preserve">）加强对进入项目区车辆管理，要求进入项目区车辆禁鸣喇叭，并设立明显禁鸣牌；建立良好的停车秩序，保持交通通畅，避免由于人流、车流滞留量过大引起交通噪声和喧哗噪声。 </w:t>
            </w:r>
          </w:p>
          <w:p w14:paraId="35F12779">
            <w:pPr>
              <w:widowControl/>
              <w:snapToGrid w:val="0"/>
              <w:spacing w:line="360" w:lineRule="auto"/>
              <w:ind w:firstLine="420" w:firstLineChars="200"/>
              <w:rPr>
                <w:bCs/>
                <w:color w:val="auto"/>
                <w:szCs w:val="21"/>
              </w:rPr>
            </w:pPr>
            <w:r>
              <w:rPr>
                <w:rFonts w:hint="default"/>
                <w:color w:val="auto"/>
                <w:szCs w:val="21"/>
                <w:lang w:val="en-US" w:eastAsia="zh-CN"/>
              </w:rPr>
              <w:t>4</w:t>
            </w:r>
            <w:r>
              <w:rPr>
                <w:rFonts w:hint="eastAsia"/>
                <w:color w:val="auto"/>
                <w:szCs w:val="21"/>
                <w:lang w:val="en-US" w:eastAsia="zh-CN"/>
              </w:rPr>
              <w:t>）</w:t>
            </w:r>
            <w:r>
              <w:rPr>
                <w:bCs/>
                <w:color w:val="auto"/>
                <w:szCs w:val="21"/>
              </w:rPr>
              <w:t>绿化</w:t>
            </w:r>
            <w:r>
              <w:rPr>
                <w:rFonts w:hint="eastAsia"/>
                <w:bCs/>
                <w:color w:val="auto"/>
                <w:szCs w:val="21"/>
              </w:rPr>
              <w:t>：</w:t>
            </w:r>
            <w:r>
              <w:rPr>
                <w:rFonts w:hint="eastAsia"/>
                <w:bCs/>
                <w:color w:val="auto"/>
                <w:szCs w:val="21"/>
                <w:lang w:val="en-US" w:eastAsia="zh-CN"/>
              </w:rPr>
              <w:t>厂区设置多处绿化带，处</w:t>
            </w:r>
            <w:r>
              <w:rPr>
                <w:bCs/>
                <w:color w:val="auto"/>
                <w:szCs w:val="21"/>
              </w:rPr>
              <w:t>种植</w:t>
            </w:r>
            <w:r>
              <w:rPr>
                <w:rFonts w:hint="eastAsia"/>
                <w:bCs/>
                <w:color w:val="auto"/>
                <w:szCs w:val="21"/>
                <w:lang w:val="en-US" w:eastAsia="zh-CN"/>
              </w:rPr>
              <w:t>树木及灌草</w:t>
            </w:r>
            <w:r>
              <w:rPr>
                <w:bCs/>
                <w:color w:val="auto"/>
                <w:szCs w:val="21"/>
              </w:rPr>
              <w:t>，降低噪声传播。</w:t>
            </w:r>
          </w:p>
          <w:p w14:paraId="4CB70731">
            <w:pPr>
              <w:spacing w:line="360" w:lineRule="auto"/>
              <w:ind w:firstLine="420" w:firstLineChars="200"/>
              <w:rPr>
                <w:bCs/>
                <w:color w:val="auto"/>
                <w:szCs w:val="21"/>
              </w:rPr>
            </w:pPr>
            <w:r>
              <w:rPr>
                <w:rFonts w:hint="eastAsia"/>
                <w:color w:val="auto"/>
                <w:szCs w:val="21"/>
              </w:rPr>
              <w:t>采取以上措施后，</w:t>
            </w:r>
            <w:r>
              <w:rPr>
                <w:rFonts w:hint="eastAsia"/>
                <w:bCs/>
                <w:color w:val="auto"/>
                <w:szCs w:val="21"/>
              </w:rPr>
              <w:t>项目主要噪声源及源强见表4</w:t>
            </w:r>
            <w:r>
              <w:rPr>
                <w:rFonts w:hint="eastAsia"/>
                <w:bCs/>
                <w:color w:val="auto"/>
                <w:szCs w:val="21"/>
                <w:lang w:val="en-US" w:eastAsia="zh-CN"/>
              </w:rPr>
              <w:t>.3</w:t>
            </w:r>
            <w:r>
              <w:rPr>
                <w:rFonts w:hint="eastAsia"/>
                <w:bCs/>
                <w:color w:val="auto"/>
                <w:szCs w:val="21"/>
              </w:rPr>
              <w:t>-</w:t>
            </w:r>
            <w:r>
              <w:rPr>
                <w:rFonts w:hint="eastAsia"/>
                <w:bCs/>
                <w:color w:val="auto"/>
                <w:szCs w:val="21"/>
                <w:lang w:val="en-US" w:eastAsia="zh-CN"/>
              </w:rPr>
              <w:t>1</w:t>
            </w:r>
            <w:r>
              <w:rPr>
                <w:rFonts w:hint="eastAsia"/>
                <w:bCs/>
                <w:color w:val="auto"/>
                <w:szCs w:val="21"/>
              </w:rPr>
              <w:t>。</w:t>
            </w:r>
          </w:p>
          <w:p w14:paraId="7B795F86">
            <w:pPr>
              <w:jc w:val="center"/>
              <w:rPr>
                <w:b/>
                <w:color w:val="auto"/>
                <w:spacing w:val="4"/>
                <w:szCs w:val="21"/>
              </w:rPr>
            </w:pPr>
            <w:r>
              <w:rPr>
                <w:b/>
                <w:color w:val="auto"/>
                <w:sz w:val="18"/>
                <w:szCs w:val="18"/>
              </w:rPr>
              <w:t>表</w:t>
            </w:r>
            <w:r>
              <w:rPr>
                <w:rFonts w:hint="eastAsia"/>
                <w:b/>
                <w:color w:val="auto"/>
                <w:sz w:val="18"/>
                <w:szCs w:val="18"/>
              </w:rPr>
              <w:t>4</w:t>
            </w:r>
            <w:r>
              <w:rPr>
                <w:rFonts w:hint="eastAsia"/>
                <w:b/>
                <w:color w:val="auto"/>
                <w:sz w:val="18"/>
                <w:szCs w:val="18"/>
                <w:lang w:val="en-US" w:eastAsia="zh-CN"/>
              </w:rPr>
              <w:t>.3</w:t>
            </w:r>
            <w:r>
              <w:rPr>
                <w:rFonts w:hint="eastAsia"/>
                <w:b/>
                <w:color w:val="auto"/>
                <w:sz w:val="18"/>
                <w:szCs w:val="18"/>
              </w:rPr>
              <w:t>-</w:t>
            </w:r>
            <w:r>
              <w:rPr>
                <w:rFonts w:hint="eastAsia"/>
                <w:b/>
                <w:color w:val="auto"/>
                <w:sz w:val="18"/>
                <w:szCs w:val="18"/>
                <w:lang w:val="en-US" w:eastAsia="zh-CN"/>
              </w:rPr>
              <w:t>1</w:t>
            </w:r>
            <w:r>
              <w:rPr>
                <w:rFonts w:hint="eastAsia"/>
                <w:b/>
                <w:color w:val="auto"/>
                <w:sz w:val="18"/>
                <w:szCs w:val="18"/>
              </w:rPr>
              <w:t xml:space="preserve"> </w:t>
            </w:r>
            <w:r>
              <w:rPr>
                <w:rFonts w:hint="eastAsia"/>
                <w:color w:val="auto"/>
                <w:sz w:val="18"/>
                <w:szCs w:val="18"/>
              </w:rPr>
              <w:t xml:space="preserve"> </w:t>
            </w:r>
            <w:r>
              <w:rPr>
                <w:color w:val="auto"/>
                <w:sz w:val="18"/>
                <w:szCs w:val="18"/>
              </w:rPr>
              <w:t xml:space="preserve">  </w:t>
            </w:r>
            <w:r>
              <w:rPr>
                <w:rFonts w:hint="eastAsia"/>
                <w:b/>
                <w:color w:val="auto"/>
                <w:sz w:val="18"/>
                <w:szCs w:val="18"/>
              </w:rPr>
              <w:t>项目</w:t>
            </w:r>
            <w:r>
              <w:rPr>
                <w:b/>
                <w:color w:val="auto"/>
                <w:sz w:val="18"/>
                <w:szCs w:val="18"/>
              </w:rPr>
              <w:t>噪声源</w:t>
            </w:r>
            <w:r>
              <w:rPr>
                <w:rFonts w:hint="eastAsia"/>
                <w:b/>
                <w:color w:val="auto"/>
                <w:sz w:val="18"/>
                <w:szCs w:val="18"/>
              </w:rPr>
              <w:t>源强调查清单（室外声源）      单位：dB(A)</w:t>
            </w:r>
          </w:p>
          <w:tbl>
            <w:tblPr>
              <w:tblStyle w:val="47"/>
              <w:tblW w:w="4998"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1933"/>
              <w:gridCol w:w="1736"/>
              <w:gridCol w:w="1163"/>
              <w:gridCol w:w="1047"/>
              <w:gridCol w:w="395"/>
              <w:gridCol w:w="380"/>
              <w:gridCol w:w="362"/>
              <w:gridCol w:w="1034"/>
            </w:tblGrid>
            <w:tr w14:paraId="5AAD3F5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c>
                <w:tcPr>
                  <w:tcW w:w="1200" w:type="pct"/>
                  <w:vMerge w:val="restart"/>
                  <w:vAlign w:val="center"/>
                </w:tcPr>
                <w:p w14:paraId="65274422">
                  <w:pPr>
                    <w:pStyle w:val="223"/>
                    <w:autoSpaceDE/>
                    <w:autoSpaceDN/>
                    <w:snapToGrid w:val="0"/>
                    <w:jc w:val="center"/>
                    <w:rPr>
                      <w:color w:val="auto"/>
                      <w:sz w:val="18"/>
                      <w:szCs w:val="18"/>
                    </w:rPr>
                  </w:pPr>
                  <w:r>
                    <w:rPr>
                      <w:color w:val="auto"/>
                      <w:sz w:val="18"/>
                      <w:szCs w:val="18"/>
                    </w:rPr>
                    <w:t>声源</w:t>
                  </w:r>
                </w:p>
                <w:p w14:paraId="36D5A549">
                  <w:pPr>
                    <w:pStyle w:val="223"/>
                    <w:autoSpaceDE/>
                    <w:autoSpaceDN/>
                    <w:snapToGrid w:val="0"/>
                    <w:jc w:val="center"/>
                    <w:rPr>
                      <w:color w:val="auto"/>
                      <w:sz w:val="18"/>
                      <w:szCs w:val="18"/>
                    </w:rPr>
                  </w:pPr>
                  <w:r>
                    <w:rPr>
                      <w:color w:val="auto"/>
                      <w:sz w:val="18"/>
                      <w:szCs w:val="18"/>
                    </w:rPr>
                    <w:t>名称</w:t>
                  </w:r>
                </w:p>
              </w:tc>
              <w:tc>
                <w:tcPr>
                  <w:tcW w:w="1078" w:type="pct"/>
                  <w:vMerge w:val="restart"/>
                  <w:vAlign w:val="center"/>
                </w:tcPr>
                <w:p w14:paraId="4747A402">
                  <w:pPr>
                    <w:pStyle w:val="223"/>
                    <w:autoSpaceDE/>
                    <w:autoSpaceDN/>
                    <w:snapToGrid w:val="0"/>
                    <w:jc w:val="center"/>
                    <w:rPr>
                      <w:color w:val="auto"/>
                      <w:sz w:val="18"/>
                      <w:szCs w:val="18"/>
                    </w:rPr>
                  </w:pPr>
                  <w:r>
                    <w:rPr>
                      <w:rFonts w:hint="eastAsia"/>
                      <w:color w:val="auto"/>
                      <w:sz w:val="18"/>
                      <w:szCs w:val="18"/>
                    </w:rPr>
                    <w:t>型号</w:t>
                  </w:r>
                </w:p>
              </w:tc>
              <w:tc>
                <w:tcPr>
                  <w:tcW w:w="722" w:type="pct"/>
                  <w:vAlign w:val="center"/>
                </w:tcPr>
                <w:p w14:paraId="1718B09C">
                  <w:pPr>
                    <w:pStyle w:val="223"/>
                    <w:autoSpaceDE/>
                    <w:autoSpaceDN/>
                    <w:snapToGrid w:val="0"/>
                    <w:jc w:val="center"/>
                    <w:rPr>
                      <w:color w:val="auto"/>
                      <w:sz w:val="18"/>
                      <w:szCs w:val="18"/>
                    </w:rPr>
                  </w:pPr>
                  <w:r>
                    <w:rPr>
                      <w:color w:val="auto"/>
                      <w:sz w:val="18"/>
                      <w:szCs w:val="18"/>
                    </w:rPr>
                    <w:t>声源源强</w:t>
                  </w:r>
                </w:p>
              </w:tc>
              <w:tc>
                <w:tcPr>
                  <w:tcW w:w="650" w:type="pct"/>
                  <w:vMerge w:val="restart"/>
                  <w:vAlign w:val="center"/>
                </w:tcPr>
                <w:p w14:paraId="1F166261">
                  <w:pPr>
                    <w:pStyle w:val="223"/>
                    <w:autoSpaceDE/>
                    <w:autoSpaceDN/>
                    <w:snapToGrid w:val="0"/>
                    <w:jc w:val="center"/>
                    <w:rPr>
                      <w:color w:val="auto"/>
                      <w:sz w:val="18"/>
                      <w:szCs w:val="18"/>
                    </w:rPr>
                  </w:pPr>
                  <w:r>
                    <w:rPr>
                      <w:color w:val="auto"/>
                      <w:sz w:val="18"/>
                      <w:szCs w:val="18"/>
                    </w:rPr>
                    <w:t>声源控制</w:t>
                  </w:r>
                </w:p>
                <w:p w14:paraId="773BFAD3">
                  <w:pPr>
                    <w:pStyle w:val="223"/>
                    <w:autoSpaceDE/>
                    <w:autoSpaceDN/>
                    <w:snapToGrid w:val="0"/>
                    <w:jc w:val="center"/>
                    <w:rPr>
                      <w:color w:val="auto"/>
                      <w:sz w:val="18"/>
                      <w:szCs w:val="18"/>
                    </w:rPr>
                  </w:pPr>
                  <w:r>
                    <w:rPr>
                      <w:color w:val="auto"/>
                      <w:sz w:val="18"/>
                      <w:szCs w:val="18"/>
                    </w:rPr>
                    <w:t>措施</w:t>
                  </w:r>
                </w:p>
              </w:tc>
              <w:tc>
                <w:tcPr>
                  <w:tcW w:w="706" w:type="pct"/>
                  <w:gridSpan w:val="3"/>
                  <w:vAlign w:val="center"/>
                </w:tcPr>
                <w:p w14:paraId="68ACE7A1">
                  <w:pPr>
                    <w:pStyle w:val="223"/>
                    <w:autoSpaceDE/>
                    <w:autoSpaceDN/>
                    <w:snapToGrid w:val="0"/>
                    <w:jc w:val="center"/>
                    <w:rPr>
                      <w:color w:val="auto"/>
                      <w:sz w:val="18"/>
                      <w:szCs w:val="18"/>
                    </w:rPr>
                  </w:pPr>
                  <w:r>
                    <w:rPr>
                      <w:color w:val="auto"/>
                      <w:sz w:val="18"/>
                      <w:szCs w:val="18"/>
                    </w:rPr>
                    <w:t>空间相对位置/m</w:t>
                  </w:r>
                </w:p>
              </w:tc>
              <w:tc>
                <w:tcPr>
                  <w:tcW w:w="642" w:type="pct"/>
                  <w:vMerge w:val="restart"/>
                  <w:vAlign w:val="center"/>
                </w:tcPr>
                <w:p w14:paraId="6E1CA8DE">
                  <w:pPr>
                    <w:pStyle w:val="223"/>
                    <w:autoSpaceDE/>
                    <w:autoSpaceDN/>
                    <w:snapToGrid w:val="0"/>
                    <w:jc w:val="center"/>
                    <w:rPr>
                      <w:color w:val="auto"/>
                      <w:sz w:val="18"/>
                      <w:szCs w:val="18"/>
                    </w:rPr>
                  </w:pPr>
                  <w:r>
                    <w:rPr>
                      <w:color w:val="auto"/>
                      <w:sz w:val="18"/>
                      <w:szCs w:val="18"/>
                    </w:rPr>
                    <w:t>运行时段</w:t>
                  </w:r>
                </w:p>
              </w:tc>
            </w:tr>
            <w:tr w14:paraId="2863609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c>
                <w:tcPr>
                  <w:tcW w:w="1200" w:type="pct"/>
                  <w:vMerge w:val="continue"/>
                  <w:vAlign w:val="center"/>
                </w:tcPr>
                <w:p w14:paraId="55CF23B6">
                  <w:pPr>
                    <w:adjustRightInd w:val="0"/>
                    <w:snapToGrid w:val="0"/>
                    <w:jc w:val="center"/>
                    <w:rPr>
                      <w:color w:val="auto"/>
                      <w:sz w:val="18"/>
                      <w:szCs w:val="18"/>
                    </w:rPr>
                  </w:pPr>
                </w:p>
              </w:tc>
              <w:tc>
                <w:tcPr>
                  <w:tcW w:w="1078" w:type="pct"/>
                  <w:vMerge w:val="continue"/>
                  <w:vAlign w:val="center"/>
                </w:tcPr>
                <w:p w14:paraId="0893673F">
                  <w:pPr>
                    <w:pStyle w:val="223"/>
                    <w:autoSpaceDE/>
                    <w:autoSpaceDN/>
                    <w:snapToGrid w:val="0"/>
                    <w:jc w:val="center"/>
                    <w:rPr>
                      <w:color w:val="auto"/>
                      <w:sz w:val="18"/>
                      <w:szCs w:val="18"/>
                    </w:rPr>
                  </w:pPr>
                </w:p>
              </w:tc>
              <w:tc>
                <w:tcPr>
                  <w:tcW w:w="722" w:type="pct"/>
                  <w:vAlign w:val="center"/>
                </w:tcPr>
                <w:p w14:paraId="2FC2BEDE">
                  <w:pPr>
                    <w:pStyle w:val="223"/>
                    <w:autoSpaceDE/>
                    <w:autoSpaceDN/>
                    <w:snapToGrid w:val="0"/>
                    <w:jc w:val="center"/>
                    <w:rPr>
                      <w:color w:val="auto"/>
                      <w:sz w:val="18"/>
                      <w:szCs w:val="18"/>
                    </w:rPr>
                  </w:pPr>
                  <w:r>
                    <w:rPr>
                      <w:color w:val="auto"/>
                      <w:sz w:val="18"/>
                      <w:szCs w:val="18"/>
                    </w:rPr>
                    <w:t>（声压级/距声源距离）/（dB(A)/m）</w:t>
                  </w:r>
                </w:p>
              </w:tc>
              <w:tc>
                <w:tcPr>
                  <w:tcW w:w="650" w:type="pct"/>
                  <w:vMerge w:val="continue"/>
                  <w:vAlign w:val="center"/>
                </w:tcPr>
                <w:p w14:paraId="6226C03B">
                  <w:pPr>
                    <w:adjustRightInd w:val="0"/>
                    <w:snapToGrid w:val="0"/>
                    <w:jc w:val="center"/>
                    <w:rPr>
                      <w:color w:val="auto"/>
                      <w:sz w:val="18"/>
                      <w:szCs w:val="18"/>
                    </w:rPr>
                  </w:pPr>
                </w:p>
              </w:tc>
              <w:tc>
                <w:tcPr>
                  <w:tcW w:w="245" w:type="pct"/>
                  <w:vAlign w:val="center"/>
                </w:tcPr>
                <w:p w14:paraId="0BE0E458">
                  <w:pPr>
                    <w:pStyle w:val="223"/>
                    <w:autoSpaceDE/>
                    <w:autoSpaceDN/>
                    <w:snapToGrid w:val="0"/>
                    <w:jc w:val="center"/>
                    <w:rPr>
                      <w:color w:val="auto"/>
                      <w:sz w:val="18"/>
                      <w:szCs w:val="18"/>
                    </w:rPr>
                  </w:pPr>
                  <w:r>
                    <w:rPr>
                      <w:color w:val="auto"/>
                      <w:sz w:val="18"/>
                      <w:szCs w:val="18"/>
                    </w:rPr>
                    <w:t>X</w:t>
                  </w:r>
                </w:p>
              </w:tc>
              <w:tc>
                <w:tcPr>
                  <w:tcW w:w="236" w:type="pct"/>
                  <w:vAlign w:val="center"/>
                </w:tcPr>
                <w:p w14:paraId="2F8F3E10">
                  <w:pPr>
                    <w:pStyle w:val="223"/>
                    <w:autoSpaceDE/>
                    <w:autoSpaceDN/>
                    <w:snapToGrid w:val="0"/>
                    <w:jc w:val="center"/>
                    <w:rPr>
                      <w:color w:val="auto"/>
                      <w:sz w:val="18"/>
                      <w:szCs w:val="18"/>
                    </w:rPr>
                  </w:pPr>
                  <w:r>
                    <w:rPr>
                      <w:color w:val="auto"/>
                      <w:sz w:val="18"/>
                      <w:szCs w:val="18"/>
                    </w:rPr>
                    <w:t>Y</w:t>
                  </w:r>
                </w:p>
              </w:tc>
              <w:tc>
                <w:tcPr>
                  <w:tcW w:w="224" w:type="pct"/>
                  <w:vAlign w:val="center"/>
                </w:tcPr>
                <w:p w14:paraId="3DD5110A">
                  <w:pPr>
                    <w:pStyle w:val="223"/>
                    <w:autoSpaceDE/>
                    <w:autoSpaceDN/>
                    <w:snapToGrid w:val="0"/>
                    <w:jc w:val="center"/>
                    <w:rPr>
                      <w:color w:val="auto"/>
                      <w:sz w:val="18"/>
                      <w:szCs w:val="18"/>
                    </w:rPr>
                  </w:pPr>
                  <w:r>
                    <w:rPr>
                      <w:color w:val="auto"/>
                      <w:sz w:val="18"/>
                      <w:szCs w:val="18"/>
                    </w:rPr>
                    <w:t>Z</w:t>
                  </w:r>
                </w:p>
              </w:tc>
              <w:tc>
                <w:tcPr>
                  <w:tcW w:w="642" w:type="pct"/>
                  <w:vMerge w:val="continue"/>
                  <w:vAlign w:val="center"/>
                </w:tcPr>
                <w:p w14:paraId="2668B3A1">
                  <w:pPr>
                    <w:adjustRightInd w:val="0"/>
                    <w:snapToGrid w:val="0"/>
                    <w:jc w:val="center"/>
                    <w:rPr>
                      <w:color w:val="auto"/>
                      <w:sz w:val="18"/>
                      <w:szCs w:val="18"/>
                    </w:rPr>
                  </w:pPr>
                </w:p>
              </w:tc>
            </w:tr>
            <w:tr w14:paraId="67EFF75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c>
                <w:tcPr>
                  <w:tcW w:w="1200" w:type="pct"/>
                  <w:shd w:val="clear" w:color="auto" w:fill="auto"/>
                  <w:vAlign w:val="center"/>
                </w:tcPr>
                <w:p w14:paraId="7E9D3B6E">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干燥筒</w:t>
                  </w:r>
                </w:p>
              </w:tc>
              <w:tc>
                <w:tcPr>
                  <w:tcW w:w="1078" w:type="pct"/>
                  <w:vAlign w:val="center"/>
                </w:tcPr>
                <w:p w14:paraId="50CFB646">
                  <w:pPr>
                    <w:adjustRightInd w:val="0"/>
                    <w:snapToGrid w:val="0"/>
                    <w:jc w:val="center"/>
                    <w:rPr>
                      <w:rFonts w:hint="eastAsia" w:ascii="Times New Roman" w:hAnsi="Times New Roman" w:cs="Times New Roman"/>
                      <w:color w:val="auto"/>
                      <w:kern w:val="2"/>
                      <w:sz w:val="18"/>
                      <w:szCs w:val="18"/>
                      <w:lang w:val="en-US" w:eastAsia="zh-CN" w:bidi="ar-SA"/>
                    </w:rPr>
                  </w:pPr>
                  <w:r>
                    <w:rPr>
                      <w:rFonts w:hint="eastAsia" w:ascii="Times New Roman" w:hAnsi="Times New Roman" w:cs="Times New Roman"/>
                      <w:color w:val="auto"/>
                      <w:kern w:val="2"/>
                      <w:sz w:val="18"/>
                      <w:szCs w:val="18"/>
                      <w:lang w:val="en-US" w:eastAsia="zh-CN" w:bidi="ar-SA"/>
                    </w:rPr>
                    <w:t>GT100</w:t>
                  </w:r>
                </w:p>
              </w:tc>
              <w:tc>
                <w:tcPr>
                  <w:tcW w:w="722" w:type="pct"/>
                  <w:shd w:val="clear" w:color="auto" w:fill="auto"/>
                  <w:vAlign w:val="center"/>
                </w:tcPr>
                <w:p w14:paraId="658FD77F">
                  <w:pPr>
                    <w:adjustRightInd w:val="0"/>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75</w:t>
                  </w:r>
                  <w:r>
                    <w:rPr>
                      <w:rFonts w:hint="eastAsia"/>
                      <w:color w:val="auto"/>
                      <w:sz w:val="18"/>
                      <w:szCs w:val="18"/>
                    </w:rPr>
                    <w:t>/1</w:t>
                  </w:r>
                </w:p>
              </w:tc>
              <w:tc>
                <w:tcPr>
                  <w:tcW w:w="650" w:type="pct"/>
                  <w:vMerge w:val="restart"/>
                  <w:vAlign w:val="center"/>
                </w:tcPr>
                <w:p w14:paraId="32A47870">
                  <w:pPr>
                    <w:adjustRightInd w:val="0"/>
                    <w:snapToGrid w:val="0"/>
                    <w:jc w:val="center"/>
                    <w:rPr>
                      <w:color w:val="auto"/>
                      <w:sz w:val="18"/>
                      <w:szCs w:val="18"/>
                    </w:rPr>
                  </w:pPr>
                  <w:r>
                    <w:rPr>
                      <w:rFonts w:hint="eastAsia"/>
                      <w:color w:val="auto"/>
                      <w:sz w:val="18"/>
                      <w:szCs w:val="18"/>
                    </w:rPr>
                    <w:t>选用低噪设备、隔声罩、减振、消声</w:t>
                  </w:r>
                </w:p>
              </w:tc>
              <w:tc>
                <w:tcPr>
                  <w:tcW w:w="245" w:type="pct"/>
                  <w:vAlign w:val="center"/>
                </w:tcPr>
                <w:p w14:paraId="7362BD20">
                  <w:pPr>
                    <w:adjustRightInd w:val="0"/>
                    <w:snapToGrid w:val="0"/>
                    <w:jc w:val="center"/>
                    <w:rPr>
                      <w:rFonts w:hint="default" w:eastAsia="宋体"/>
                      <w:color w:val="auto"/>
                      <w:sz w:val="18"/>
                      <w:szCs w:val="18"/>
                      <w:lang w:val="en-US" w:eastAsia="zh-CN"/>
                    </w:rPr>
                  </w:pPr>
                  <w:r>
                    <w:rPr>
                      <w:rFonts w:hint="eastAsia"/>
                      <w:color w:val="auto"/>
                      <w:sz w:val="18"/>
                      <w:szCs w:val="18"/>
                      <w:lang w:val="en-US" w:eastAsia="zh-CN"/>
                    </w:rPr>
                    <w:t>15</w:t>
                  </w:r>
                </w:p>
              </w:tc>
              <w:tc>
                <w:tcPr>
                  <w:tcW w:w="236" w:type="pct"/>
                  <w:vAlign w:val="center"/>
                </w:tcPr>
                <w:p w14:paraId="7F46287C">
                  <w:pPr>
                    <w:adjustRightInd w:val="0"/>
                    <w:snapToGrid w:val="0"/>
                    <w:jc w:val="center"/>
                    <w:rPr>
                      <w:rFonts w:hint="default" w:eastAsia="宋体"/>
                      <w:color w:val="auto"/>
                      <w:sz w:val="18"/>
                      <w:szCs w:val="18"/>
                      <w:lang w:val="en-US" w:eastAsia="zh-CN"/>
                    </w:rPr>
                  </w:pPr>
                  <w:r>
                    <w:rPr>
                      <w:rFonts w:hint="eastAsia"/>
                      <w:color w:val="auto"/>
                      <w:sz w:val="18"/>
                      <w:szCs w:val="18"/>
                      <w:lang w:val="en-US" w:eastAsia="zh-CN"/>
                    </w:rPr>
                    <w:t>95</w:t>
                  </w:r>
                </w:p>
              </w:tc>
              <w:tc>
                <w:tcPr>
                  <w:tcW w:w="224" w:type="pct"/>
                  <w:vAlign w:val="center"/>
                </w:tcPr>
                <w:p w14:paraId="11458B48">
                  <w:pPr>
                    <w:adjustRightInd w:val="0"/>
                    <w:snapToGrid w:val="0"/>
                    <w:jc w:val="center"/>
                    <w:rPr>
                      <w:rFonts w:hint="default" w:eastAsia="宋体"/>
                      <w:color w:val="auto"/>
                      <w:sz w:val="18"/>
                      <w:szCs w:val="18"/>
                      <w:lang w:val="en-US" w:eastAsia="zh-CN"/>
                    </w:rPr>
                  </w:pPr>
                  <w:r>
                    <w:rPr>
                      <w:rFonts w:hint="eastAsia"/>
                      <w:color w:val="auto"/>
                      <w:sz w:val="18"/>
                      <w:szCs w:val="18"/>
                      <w:lang w:val="en-US" w:eastAsia="zh-CN"/>
                    </w:rPr>
                    <w:t>2.5</w:t>
                  </w:r>
                </w:p>
              </w:tc>
              <w:tc>
                <w:tcPr>
                  <w:tcW w:w="642" w:type="pct"/>
                  <w:vMerge w:val="restart"/>
                  <w:vAlign w:val="center"/>
                </w:tcPr>
                <w:p w14:paraId="5087693E">
                  <w:pPr>
                    <w:adjustRightInd w:val="0"/>
                    <w:snapToGrid w:val="0"/>
                    <w:jc w:val="center"/>
                    <w:rPr>
                      <w:rFonts w:hint="eastAsia"/>
                      <w:color w:val="auto"/>
                      <w:sz w:val="18"/>
                      <w:szCs w:val="18"/>
                      <w:lang w:val="en-US" w:eastAsia="zh-CN"/>
                    </w:rPr>
                  </w:pPr>
                  <w:r>
                    <w:rPr>
                      <w:rFonts w:hint="eastAsia"/>
                      <w:color w:val="auto"/>
                      <w:sz w:val="18"/>
                      <w:szCs w:val="18"/>
                      <w:lang w:val="en-US" w:eastAsia="zh-CN"/>
                    </w:rPr>
                    <w:t>8</w:t>
                  </w:r>
                  <w:r>
                    <w:rPr>
                      <w:rFonts w:hint="eastAsia"/>
                      <w:color w:val="auto"/>
                      <w:sz w:val="18"/>
                      <w:szCs w:val="18"/>
                    </w:rPr>
                    <w:t>:00~</w:t>
                  </w:r>
                  <w:r>
                    <w:rPr>
                      <w:rFonts w:hint="eastAsia"/>
                      <w:color w:val="auto"/>
                      <w:sz w:val="18"/>
                      <w:szCs w:val="18"/>
                      <w:lang w:val="en-US" w:eastAsia="zh-CN"/>
                    </w:rPr>
                    <w:t>12:00，</w:t>
                  </w:r>
                </w:p>
                <w:p w14:paraId="2A4CE7A9">
                  <w:pPr>
                    <w:adjustRightInd w:val="0"/>
                    <w:snapToGrid w:val="0"/>
                    <w:jc w:val="center"/>
                    <w:rPr>
                      <w:rFonts w:hint="default"/>
                      <w:color w:val="auto"/>
                      <w:sz w:val="18"/>
                      <w:szCs w:val="18"/>
                      <w:lang w:val="en-US" w:eastAsia="zh-CN"/>
                    </w:rPr>
                  </w:pPr>
                  <w:r>
                    <w:rPr>
                      <w:rFonts w:hint="eastAsia"/>
                      <w:color w:val="auto"/>
                      <w:sz w:val="18"/>
                      <w:szCs w:val="18"/>
                      <w:lang w:val="en-US" w:eastAsia="zh-CN"/>
                    </w:rPr>
                    <w:t>14:00~18:00（8h）</w:t>
                  </w:r>
                </w:p>
              </w:tc>
            </w:tr>
            <w:tr w14:paraId="77AB6F8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c>
                <w:tcPr>
                  <w:tcW w:w="1200" w:type="pct"/>
                  <w:shd w:val="clear" w:color="auto" w:fill="auto"/>
                  <w:vAlign w:val="center"/>
                </w:tcPr>
                <w:p w14:paraId="5A94D715">
                  <w:pPr>
                    <w:adjustRightInd w:val="0"/>
                    <w:snapToGrid w:val="0"/>
                    <w:jc w:val="center"/>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振动筛</w:t>
                  </w:r>
                </w:p>
              </w:tc>
              <w:tc>
                <w:tcPr>
                  <w:tcW w:w="1078" w:type="pct"/>
                  <w:vAlign w:val="center"/>
                </w:tcPr>
                <w:p w14:paraId="01286084">
                  <w:pPr>
                    <w:adjustRightInd w:val="0"/>
                    <w:snapToGrid w:val="0"/>
                    <w:jc w:val="center"/>
                    <w:rPr>
                      <w:rFonts w:hint="default" w:ascii="Times New Roman" w:hAnsi="Times New Roman" w:cs="Times New Roman"/>
                      <w:color w:val="auto"/>
                      <w:kern w:val="2"/>
                      <w:sz w:val="18"/>
                      <w:szCs w:val="18"/>
                      <w:lang w:val="en-US" w:eastAsia="zh-CN" w:bidi="ar-SA"/>
                    </w:rPr>
                  </w:pPr>
                  <w:r>
                    <w:rPr>
                      <w:rFonts w:hint="eastAsia" w:ascii="Times New Roman" w:hAnsi="Times New Roman" w:cs="Times New Roman"/>
                      <w:color w:val="auto"/>
                      <w:kern w:val="2"/>
                      <w:sz w:val="18"/>
                      <w:szCs w:val="18"/>
                      <w:lang w:val="en-US" w:eastAsia="zh-CN" w:bidi="ar-SA"/>
                    </w:rPr>
                    <w:t>//</w:t>
                  </w:r>
                </w:p>
              </w:tc>
              <w:tc>
                <w:tcPr>
                  <w:tcW w:w="722" w:type="pct"/>
                  <w:shd w:val="clear" w:color="auto" w:fill="auto"/>
                  <w:vAlign w:val="center"/>
                </w:tcPr>
                <w:p w14:paraId="6F3C57F5">
                  <w:pPr>
                    <w:adjustRightInd w:val="0"/>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85</w:t>
                  </w:r>
                  <w:r>
                    <w:rPr>
                      <w:rFonts w:hint="eastAsia"/>
                      <w:color w:val="auto"/>
                      <w:sz w:val="18"/>
                      <w:szCs w:val="18"/>
                    </w:rPr>
                    <w:t>/1</w:t>
                  </w:r>
                </w:p>
              </w:tc>
              <w:tc>
                <w:tcPr>
                  <w:tcW w:w="650" w:type="pct"/>
                  <w:vMerge w:val="continue"/>
                  <w:vAlign w:val="center"/>
                </w:tcPr>
                <w:p w14:paraId="7FA0E366">
                  <w:pPr>
                    <w:adjustRightInd w:val="0"/>
                    <w:snapToGrid w:val="0"/>
                    <w:jc w:val="center"/>
                    <w:rPr>
                      <w:rFonts w:hint="eastAsia"/>
                      <w:color w:val="auto"/>
                      <w:sz w:val="18"/>
                      <w:szCs w:val="18"/>
                    </w:rPr>
                  </w:pPr>
                </w:p>
              </w:tc>
              <w:tc>
                <w:tcPr>
                  <w:tcW w:w="245" w:type="pct"/>
                  <w:vAlign w:val="center"/>
                </w:tcPr>
                <w:p w14:paraId="58DD5893">
                  <w:pPr>
                    <w:adjustRightInd w:val="0"/>
                    <w:snapToGrid w:val="0"/>
                    <w:jc w:val="center"/>
                    <w:rPr>
                      <w:rFonts w:hint="default"/>
                      <w:color w:val="auto"/>
                      <w:sz w:val="18"/>
                      <w:szCs w:val="18"/>
                      <w:lang w:val="en-US" w:eastAsia="zh-CN"/>
                    </w:rPr>
                  </w:pPr>
                  <w:r>
                    <w:rPr>
                      <w:rFonts w:hint="eastAsia"/>
                      <w:color w:val="auto"/>
                      <w:sz w:val="18"/>
                      <w:szCs w:val="18"/>
                      <w:lang w:val="en-US" w:eastAsia="zh-CN"/>
                    </w:rPr>
                    <w:t>15</w:t>
                  </w:r>
                </w:p>
              </w:tc>
              <w:tc>
                <w:tcPr>
                  <w:tcW w:w="236" w:type="pct"/>
                  <w:vAlign w:val="center"/>
                </w:tcPr>
                <w:p w14:paraId="175420CC">
                  <w:pPr>
                    <w:adjustRightInd w:val="0"/>
                    <w:snapToGrid w:val="0"/>
                    <w:jc w:val="center"/>
                    <w:rPr>
                      <w:rFonts w:hint="default"/>
                      <w:color w:val="auto"/>
                      <w:sz w:val="18"/>
                      <w:szCs w:val="18"/>
                      <w:lang w:val="en-US" w:eastAsia="zh-CN"/>
                    </w:rPr>
                  </w:pPr>
                  <w:r>
                    <w:rPr>
                      <w:rFonts w:hint="eastAsia"/>
                      <w:color w:val="auto"/>
                      <w:sz w:val="18"/>
                      <w:szCs w:val="18"/>
                      <w:lang w:val="en-US" w:eastAsia="zh-CN"/>
                    </w:rPr>
                    <w:t>95</w:t>
                  </w:r>
                </w:p>
              </w:tc>
              <w:tc>
                <w:tcPr>
                  <w:tcW w:w="224" w:type="pct"/>
                  <w:vAlign w:val="center"/>
                </w:tcPr>
                <w:p w14:paraId="7C539BF0">
                  <w:pPr>
                    <w:adjustRightInd w:val="0"/>
                    <w:snapToGrid w:val="0"/>
                    <w:jc w:val="center"/>
                    <w:rPr>
                      <w:rFonts w:hint="eastAsia" w:eastAsia="宋体"/>
                      <w:color w:val="auto"/>
                      <w:sz w:val="18"/>
                      <w:szCs w:val="18"/>
                      <w:lang w:val="en-US" w:eastAsia="zh-CN"/>
                    </w:rPr>
                  </w:pPr>
                  <w:r>
                    <w:rPr>
                      <w:rFonts w:hint="eastAsia"/>
                      <w:color w:val="auto"/>
                      <w:sz w:val="18"/>
                      <w:szCs w:val="18"/>
                      <w:lang w:val="en-US" w:eastAsia="zh-CN"/>
                    </w:rPr>
                    <w:t>2</w:t>
                  </w:r>
                </w:p>
              </w:tc>
              <w:tc>
                <w:tcPr>
                  <w:tcW w:w="642" w:type="pct"/>
                  <w:vMerge w:val="continue"/>
                  <w:vAlign w:val="center"/>
                </w:tcPr>
                <w:p w14:paraId="2C471278">
                  <w:pPr>
                    <w:adjustRightInd w:val="0"/>
                    <w:snapToGrid w:val="0"/>
                    <w:jc w:val="center"/>
                    <w:rPr>
                      <w:rFonts w:hint="eastAsia"/>
                      <w:color w:val="auto"/>
                      <w:sz w:val="18"/>
                      <w:szCs w:val="18"/>
                      <w:lang w:val="en-US" w:eastAsia="zh-CN"/>
                    </w:rPr>
                  </w:pPr>
                </w:p>
              </w:tc>
            </w:tr>
            <w:tr w14:paraId="0D0538C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c>
                <w:tcPr>
                  <w:tcW w:w="1200" w:type="pct"/>
                  <w:shd w:val="clear" w:color="auto" w:fill="auto"/>
                  <w:vAlign w:val="center"/>
                </w:tcPr>
                <w:p w14:paraId="5B0AD594">
                  <w:pPr>
                    <w:adjustRightInd w:val="0"/>
                    <w:snapToGrid w:val="0"/>
                    <w:jc w:val="center"/>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空压机</w:t>
                  </w:r>
                </w:p>
              </w:tc>
              <w:tc>
                <w:tcPr>
                  <w:tcW w:w="1078" w:type="pct"/>
                  <w:vAlign w:val="center"/>
                </w:tcPr>
                <w:p w14:paraId="7B52F47C">
                  <w:pPr>
                    <w:adjustRightInd w:val="0"/>
                    <w:snapToGrid w:val="0"/>
                    <w:jc w:val="center"/>
                    <w:rPr>
                      <w:rFonts w:hint="default" w:ascii="Times New Roman" w:hAnsi="Times New Roman" w:cs="Times New Roman"/>
                      <w:color w:val="auto"/>
                      <w:kern w:val="2"/>
                      <w:sz w:val="18"/>
                      <w:szCs w:val="18"/>
                      <w:lang w:val="en-US" w:eastAsia="zh-CN" w:bidi="ar-SA"/>
                    </w:rPr>
                  </w:pPr>
                  <w:r>
                    <w:rPr>
                      <w:rFonts w:hint="eastAsia" w:ascii="Times New Roman" w:hAnsi="Times New Roman" w:cs="Times New Roman"/>
                      <w:color w:val="auto"/>
                      <w:kern w:val="2"/>
                      <w:sz w:val="18"/>
                      <w:szCs w:val="18"/>
                      <w:lang w:val="en-US" w:eastAsia="zh-CN" w:bidi="ar-SA"/>
                    </w:rPr>
                    <w:t>//</w:t>
                  </w:r>
                </w:p>
              </w:tc>
              <w:tc>
                <w:tcPr>
                  <w:tcW w:w="722" w:type="pct"/>
                  <w:shd w:val="clear" w:color="auto" w:fill="auto"/>
                  <w:vAlign w:val="center"/>
                </w:tcPr>
                <w:p w14:paraId="3A629C83">
                  <w:pPr>
                    <w:adjustRightInd w:val="0"/>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90</w:t>
                  </w:r>
                  <w:r>
                    <w:rPr>
                      <w:rFonts w:hint="eastAsia"/>
                      <w:color w:val="auto"/>
                      <w:sz w:val="18"/>
                      <w:szCs w:val="18"/>
                    </w:rPr>
                    <w:t>/1</w:t>
                  </w:r>
                </w:p>
              </w:tc>
              <w:tc>
                <w:tcPr>
                  <w:tcW w:w="650" w:type="pct"/>
                  <w:vMerge w:val="continue"/>
                  <w:vAlign w:val="center"/>
                </w:tcPr>
                <w:p w14:paraId="4EE2610D">
                  <w:pPr>
                    <w:adjustRightInd w:val="0"/>
                    <w:snapToGrid w:val="0"/>
                    <w:jc w:val="center"/>
                    <w:rPr>
                      <w:rFonts w:hint="eastAsia"/>
                      <w:color w:val="auto"/>
                      <w:sz w:val="18"/>
                      <w:szCs w:val="18"/>
                    </w:rPr>
                  </w:pPr>
                </w:p>
              </w:tc>
              <w:tc>
                <w:tcPr>
                  <w:tcW w:w="245" w:type="pct"/>
                  <w:vAlign w:val="center"/>
                </w:tcPr>
                <w:p w14:paraId="3935D7BF">
                  <w:pPr>
                    <w:adjustRightInd w:val="0"/>
                    <w:snapToGrid w:val="0"/>
                    <w:jc w:val="center"/>
                    <w:rPr>
                      <w:rFonts w:hint="default"/>
                      <w:color w:val="auto"/>
                      <w:sz w:val="18"/>
                      <w:szCs w:val="18"/>
                      <w:lang w:val="en-US" w:eastAsia="zh-CN"/>
                    </w:rPr>
                  </w:pPr>
                  <w:r>
                    <w:rPr>
                      <w:rFonts w:hint="eastAsia"/>
                      <w:color w:val="auto"/>
                      <w:sz w:val="18"/>
                      <w:szCs w:val="18"/>
                      <w:lang w:val="en-US" w:eastAsia="zh-CN"/>
                    </w:rPr>
                    <w:t>25</w:t>
                  </w:r>
                </w:p>
              </w:tc>
              <w:tc>
                <w:tcPr>
                  <w:tcW w:w="236" w:type="pct"/>
                  <w:vAlign w:val="center"/>
                </w:tcPr>
                <w:p w14:paraId="0306B0C7">
                  <w:pPr>
                    <w:adjustRightInd w:val="0"/>
                    <w:snapToGrid w:val="0"/>
                    <w:jc w:val="center"/>
                    <w:rPr>
                      <w:rFonts w:hint="default"/>
                      <w:color w:val="auto"/>
                      <w:sz w:val="18"/>
                      <w:szCs w:val="18"/>
                      <w:lang w:val="en-US" w:eastAsia="zh-CN"/>
                    </w:rPr>
                  </w:pPr>
                  <w:r>
                    <w:rPr>
                      <w:rFonts w:hint="eastAsia"/>
                      <w:color w:val="auto"/>
                      <w:sz w:val="18"/>
                      <w:szCs w:val="18"/>
                      <w:lang w:val="en-US" w:eastAsia="zh-CN"/>
                    </w:rPr>
                    <w:t>100</w:t>
                  </w:r>
                </w:p>
              </w:tc>
              <w:tc>
                <w:tcPr>
                  <w:tcW w:w="224" w:type="pct"/>
                  <w:vAlign w:val="center"/>
                </w:tcPr>
                <w:p w14:paraId="24F425A1">
                  <w:pPr>
                    <w:adjustRightInd w:val="0"/>
                    <w:snapToGrid w:val="0"/>
                    <w:jc w:val="center"/>
                    <w:rPr>
                      <w:rFonts w:hint="default" w:eastAsia="宋体"/>
                      <w:color w:val="auto"/>
                      <w:sz w:val="18"/>
                      <w:szCs w:val="18"/>
                      <w:lang w:val="en-US" w:eastAsia="zh-CN"/>
                    </w:rPr>
                  </w:pPr>
                  <w:r>
                    <w:rPr>
                      <w:rFonts w:hint="eastAsia"/>
                      <w:color w:val="auto"/>
                      <w:sz w:val="18"/>
                      <w:szCs w:val="18"/>
                      <w:lang w:val="en-US" w:eastAsia="zh-CN"/>
                    </w:rPr>
                    <w:t>1</w:t>
                  </w:r>
                </w:p>
              </w:tc>
              <w:tc>
                <w:tcPr>
                  <w:tcW w:w="642" w:type="pct"/>
                  <w:vMerge w:val="continue"/>
                  <w:vAlign w:val="center"/>
                </w:tcPr>
                <w:p w14:paraId="696E3CBF">
                  <w:pPr>
                    <w:adjustRightInd w:val="0"/>
                    <w:snapToGrid w:val="0"/>
                    <w:jc w:val="center"/>
                    <w:rPr>
                      <w:rFonts w:hint="eastAsia"/>
                      <w:color w:val="auto"/>
                      <w:sz w:val="18"/>
                      <w:szCs w:val="18"/>
                      <w:lang w:val="en-US" w:eastAsia="zh-CN"/>
                    </w:rPr>
                  </w:pPr>
                </w:p>
              </w:tc>
            </w:tr>
            <w:tr w14:paraId="6486BFB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c>
                <w:tcPr>
                  <w:tcW w:w="1200" w:type="pct"/>
                  <w:shd w:val="clear" w:color="auto" w:fill="auto"/>
                  <w:vAlign w:val="center"/>
                </w:tcPr>
                <w:p w14:paraId="59381190">
                  <w:pPr>
                    <w:adjustRightInd w:val="0"/>
                    <w:snapToGrid w:val="0"/>
                    <w:jc w:val="center"/>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沥青搅拌机</w:t>
                  </w:r>
                </w:p>
              </w:tc>
              <w:tc>
                <w:tcPr>
                  <w:tcW w:w="1078" w:type="pct"/>
                  <w:vAlign w:val="center"/>
                </w:tcPr>
                <w:p w14:paraId="0E374D0E">
                  <w:pPr>
                    <w:adjustRightInd w:val="0"/>
                    <w:snapToGrid w:val="0"/>
                    <w:jc w:val="center"/>
                    <w:rPr>
                      <w:rFonts w:hint="eastAsia" w:ascii="Times New Roman" w:hAnsi="Times New Roman" w:cs="Times New Roman"/>
                      <w:color w:val="auto"/>
                      <w:kern w:val="2"/>
                      <w:sz w:val="18"/>
                      <w:szCs w:val="18"/>
                      <w:lang w:val="en-US" w:eastAsia="zh-CN" w:bidi="ar-SA"/>
                    </w:rPr>
                  </w:pPr>
                  <w:r>
                    <w:rPr>
                      <w:rFonts w:hint="eastAsia" w:ascii="Times New Roman" w:hAnsi="Times New Roman" w:cs="Times New Roman"/>
                      <w:color w:val="auto"/>
                      <w:kern w:val="2"/>
                      <w:sz w:val="18"/>
                      <w:szCs w:val="18"/>
                      <w:lang w:val="en-US" w:eastAsia="zh-CN" w:bidi="ar-SA"/>
                    </w:rPr>
                    <w:t>LQC320A</w:t>
                  </w:r>
                </w:p>
              </w:tc>
              <w:tc>
                <w:tcPr>
                  <w:tcW w:w="722" w:type="pct"/>
                  <w:vAlign w:val="center"/>
                </w:tcPr>
                <w:p w14:paraId="191E4456">
                  <w:pPr>
                    <w:adjustRightInd w:val="0"/>
                    <w:snapToGrid w:val="0"/>
                    <w:jc w:val="center"/>
                    <w:rPr>
                      <w:rFonts w:hint="eastAsia"/>
                      <w:color w:val="auto"/>
                      <w:sz w:val="18"/>
                      <w:szCs w:val="18"/>
                      <w:lang w:val="en-US" w:eastAsia="zh-CN"/>
                    </w:rPr>
                  </w:pPr>
                  <w:r>
                    <w:rPr>
                      <w:rFonts w:hint="eastAsia"/>
                      <w:color w:val="auto"/>
                      <w:sz w:val="18"/>
                      <w:szCs w:val="18"/>
                      <w:lang w:val="en-US" w:eastAsia="zh-CN"/>
                    </w:rPr>
                    <w:t>80</w:t>
                  </w:r>
                  <w:r>
                    <w:rPr>
                      <w:rFonts w:hint="eastAsia"/>
                      <w:color w:val="auto"/>
                      <w:sz w:val="18"/>
                      <w:szCs w:val="18"/>
                    </w:rPr>
                    <w:t>/1</w:t>
                  </w:r>
                </w:p>
              </w:tc>
              <w:tc>
                <w:tcPr>
                  <w:tcW w:w="650" w:type="pct"/>
                  <w:vMerge w:val="continue"/>
                  <w:vAlign w:val="center"/>
                </w:tcPr>
                <w:p w14:paraId="3D9506AB">
                  <w:pPr>
                    <w:adjustRightInd w:val="0"/>
                    <w:snapToGrid w:val="0"/>
                    <w:jc w:val="center"/>
                    <w:rPr>
                      <w:rFonts w:hint="eastAsia"/>
                      <w:color w:val="auto"/>
                      <w:sz w:val="18"/>
                      <w:szCs w:val="18"/>
                    </w:rPr>
                  </w:pPr>
                </w:p>
              </w:tc>
              <w:tc>
                <w:tcPr>
                  <w:tcW w:w="245" w:type="pct"/>
                  <w:vAlign w:val="center"/>
                </w:tcPr>
                <w:p w14:paraId="43339B15">
                  <w:pPr>
                    <w:adjustRightInd w:val="0"/>
                    <w:snapToGrid w:val="0"/>
                    <w:jc w:val="center"/>
                    <w:rPr>
                      <w:rFonts w:hint="default"/>
                      <w:color w:val="auto"/>
                      <w:sz w:val="18"/>
                      <w:szCs w:val="18"/>
                      <w:lang w:val="en-US" w:eastAsia="zh-CN"/>
                    </w:rPr>
                  </w:pPr>
                  <w:r>
                    <w:rPr>
                      <w:rFonts w:hint="eastAsia"/>
                      <w:color w:val="auto"/>
                      <w:sz w:val="18"/>
                      <w:szCs w:val="18"/>
                      <w:lang w:val="en-US" w:eastAsia="zh-CN"/>
                    </w:rPr>
                    <w:t>10</w:t>
                  </w:r>
                </w:p>
              </w:tc>
              <w:tc>
                <w:tcPr>
                  <w:tcW w:w="236" w:type="pct"/>
                  <w:vAlign w:val="center"/>
                </w:tcPr>
                <w:p w14:paraId="63BF2350">
                  <w:pPr>
                    <w:adjustRightInd w:val="0"/>
                    <w:snapToGrid w:val="0"/>
                    <w:jc w:val="center"/>
                    <w:rPr>
                      <w:rFonts w:hint="default"/>
                      <w:color w:val="auto"/>
                      <w:sz w:val="18"/>
                      <w:szCs w:val="18"/>
                      <w:lang w:val="en-US" w:eastAsia="zh-CN"/>
                    </w:rPr>
                  </w:pPr>
                  <w:r>
                    <w:rPr>
                      <w:rFonts w:hint="eastAsia"/>
                      <w:color w:val="auto"/>
                      <w:sz w:val="18"/>
                      <w:szCs w:val="18"/>
                      <w:lang w:val="en-US" w:eastAsia="zh-CN"/>
                    </w:rPr>
                    <w:t>100</w:t>
                  </w:r>
                </w:p>
              </w:tc>
              <w:tc>
                <w:tcPr>
                  <w:tcW w:w="224" w:type="pct"/>
                  <w:vAlign w:val="center"/>
                </w:tcPr>
                <w:p w14:paraId="31DE49EE">
                  <w:pPr>
                    <w:adjustRightInd w:val="0"/>
                    <w:snapToGrid w:val="0"/>
                    <w:jc w:val="center"/>
                    <w:rPr>
                      <w:rFonts w:hint="default" w:eastAsia="宋体"/>
                      <w:color w:val="auto"/>
                      <w:sz w:val="18"/>
                      <w:szCs w:val="18"/>
                      <w:lang w:val="en-US" w:eastAsia="zh-CN"/>
                    </w:rPr>
                  </w:pPr>
                  <w:r>
                    <w:rPr>
                      <w:rFonts w:hint="eastAsia"/>
                      <w:color w:val="auto"/>
                      <w:sz w:val="18"/>
                      <w:szCs w:val="18"/>
                      <w:lang w:val="en-US" w:eastAsia="zh-CN"/>
                    </w:rPr>
                    <w:t>18</w:t>
                  </w:r>
                </w:p>
              </w:tc>
              <w:tc>
                <w:tcPr>
                  <w:tcW w:w="642" w:type="pct"/>
                  <w:vMerge w:val="continue"/>
                  <w:vAlign w:val="center"/>
                </w:tcPr>
                <w:p w14:paraId="69506ACF">
                  <w:pPr>
                    <w:adjustRightInd w:val="0"/>
                    <w:snapToGrid w:val="0"/>
                    <w:jc w:val="center"/>
                    <w:rPr>
                      <w:rFonts w:hint="eastAsia"/>
                      <w:color w:val="auto"/>
                      <w:sz w:val="18"/>
                      <w:szCs w:val="18"/>
                      <w:lang w:val="en-US" w:eastAsia="zh-CN"/>
                    </w:rPr>
                  </w:pPr>
                </w:p>
              </w:tc>
            </w:tr>
            <w:tr w14:paraId="5D5F281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c>
                <w:tcPr>
                  <w:tcW w:w="1200" w:type="pct"/>
                  <w:shd w:val="clear" w:color="auto" w:fill="auto"/>
                  <w:vAlign w:val="center"/>
                </w:tcPr>
                <w:p w14:paraId="318BFA70">
                  <w:pPr>
                    <w:adjustRightInd w:val="0"/>
                    <w:snapToGrid w:val="0"/>
                    <w:jc w:val="center"/>
                    <w:rPr>
                      <w:rFonts w:hint="eastAsia" w:ascii="Times New Roman" w:hAnsi="Times New Roman" w:cs="Times New Roman"/>
                      <w:color w:val="auto"/>
                      <w:kern w:val="2"/>
                      <w:sz w:val="18"/>
                      <w:szCs w:val="18"/>
                      <w:lang w:val="en-US" w:eastAsia="zh-CN" w:bidi="ar-SA"/>
                    </w:rPr>
                  </w:pPr>
                  <w:r>
                    <w:rPr>
                      <w:rFonts w:hint="eastAsia" w:ascii="Times New Roman" w:hAnsi="Times New Roman" w:cs="Times New Roman"/>
                      <w:color w:val="auto"/>
                      <w:kern w:val="2"/>
                      <w:sz w:val="18"/>
                      <w:szCs w:val="18"/>
                      <w:lang w:val="en-US" w:eastAsia="zh-CN" w:bidi="ar-SA"/>
                    </w:rPr>
                    <w:t>混凝土搅拌机</w:t>
                  </w:r>
                </w:p>
              </w:tc>
              <w:tc>
                <w:tcPr>
                  <w:tcW w:w="1078" w:type="pct"/>
                  <w:vAlign w:val="center"/>
                </w:tcPr>
                <w:p w14:paraId="77AC7246">
                  <w:pPr>
                    <w:adjustRightInd w:val="0"/>
                    <w:snapToGrid w:val="0"/>
                    <w:jc w:val="center"/>
                    <w:rPr>
                      <w:rFonts w:hint="eastAsia" w:ascii="Times New Roman" w:hAnsi="Times New Roman" w:cs="Times New Roman"/>
                      <w:color w:val="auto"/>
                      <w:kern w:val="2"/>
                      <w:sz w:val="18"/>
                      <w:szCs w:val="18"/>
                      <w:lang w:val="en-US" w:eastAsia="zh-CN" w:bidi="ar-SA"/>
                    </w:rPr>
                  </w:pPr>
                  <w:r>
                    <w:rPr>
                      <w:rFonts w:hint="eastAsia" w:ascii="Times New Roman" w:hAnsi="Times New Roman" w:cs="Times New Roman"/>
                      <w:color w:val="auto"/>
                      <w:kern w:val="2"/>
                      <w:sz w:val="18"/>
                      <w:szCs w:val="18"/>
                      <w:lang w:val="en-US" w:eastAsia="zh-CN" w:bidi="ar-SA"/>
                    </w:rPr>
                    <w:t>HZS</w:t>
                  </w:r>
                  <w:r>
                    <w:rPr>
                      <w:rFonts w:hint="eastAsia" w:cs="Times New Roman"/>
                      <w:color w:val="auto"/>
                      <w:kern w:val="2"/>
                      <w:sz w:val="18"/>
                      <w:szCs w:val="18"/>
                      <w:lang w:val="en-US" w:eastAsia="zh-CN" w:bidi="ar-SA"/>
                    </w:rPr>
                    <w:t>24</w:t>
                  </w:r>
                  <w:r>
                    <w:rPr>
                      <w:rFonts w:hint="eastAsia" w:ascii="Times New Roman" w:hAnsi="Times New Roman" w:cs="Times New Roman"/>
                      <w:color w:val="auto"/>
                      <w:kern w:val="2"/>
                      <w:sz w:val="18"/>
                      <w:szCs w:val="18"/>
                      <w:lang w:val="en-US" w:eastAsia="zh-CN" w:bidi="ar-SA"/>
                    </w:rPr>
                    <w:t>0</w:t>
                  </w:r>
                </w:p>
              </w:tc>
              <w:tc>
                <w:tcPr>
                  <w:tcW w:w="722" w:type="pct"/>
                  <w:vAlign w:val="center"/>
                </w:tcPr>
                <w:p w14:paraId="3F3EAE78">
                  <w:pPr>
                    <w:adjustRightInd w:val="0"/>
                    <w:snapToGrid w:val="0"/>
                    <w:jc w:val="center"/>
                    <w:rPr>
                      <w:rFonts w:hint="eastAsia"/>
                      <w:color w:val="auto"/>
                      <w:sz w:val="18"/>
                      <w:szCs w:val="18"/>
                      <w:lang w:val="en-US" w:eastAsia="zh-CN"/>
                    </w:rPr>
                  </w:pPr>
                  <w:r>
                    <w:rPr>
                      <w:rFonts w:hint="eastAsia"/>
                      <w:color w:val="auto"/>
                      <w:sz w:val="18"/>
                      <w:szCs w:val="18"/>
                      <w:lang w:val="en-US" w:eastAsia="zh-CN"/>
                    </w:rPr>
                    <w:t>80</w:t>
                  </w:r>
                  <w:r>
                    <w:rPr>
                      <w:rFonts w:hint="eastAsia"/>
                      <w:color w:val="auto"/>
                      <w:sz w:val="18"/>
                      <w:szCs w:val="18"/>
                    </w:rPr>
                    <w:t>/1</w:t>
                  </w:r>
                </w:p>
              </w:tc>
              <w:tc>
                <w:tcPr>
                  <w:tcW w:w="650" w:type="pct"/>
                  <w:vMerge w:val="continue"/>
                  <w:vAlign w:val="center"/>
                </w:tcPr>
                <w:p w14:paraId="1FDA3337">
                  <w:pPr>
                    <w:adjustRightInd w:val="0"/>
                    <w:snapToGrid w:val="0"/>
                    <w:jc w:val="center"/>
                    <w:rPr>
                      <w:rFonts w:hint="eastAsia"/>
                      <w:color w:val="auto"/>
                      <w:sz w:val="18"/>
                      <w:szCs w:val="18"/>
                    </w:rPr>
                  </w:pPr>
                </w:p>
              </w:tc>
              <w:tc>
                <w:tcPr>
                  <w:tcW w:w="245" w:type="pct"/>
                  <w:vAlign w:val="center"/>
                </w:tcPr>
                <w:p w14:paraId="7A0F6651">
                  <w:pPr>
                    <w:adjustRightInd w:val="0"/>
                    <w:snapToGrid w:val="0"/>
                    <w:jc w:val="center"/>
                    <w:rPr>
                      <w:rFonts w:hint="default"/>
                      <w:color w:val="auto"/>
                      <w:sz w:val="18"/>
                      <w:szCs w:val="18"/>
                      <w:lang w:val="en-US" w:eastAsia="zh-CN"/>
                    </w:rPr>
                  </w:pPr>
                  <w:r>
                    <w:rPr>
                      <w:rFonts w:hint="eastAsia"/>
                      <w:color w:val="auto"/>
                      <w:sz w:val="18"/>
                      <w:szCs w:val="18"/>
                      <w:lang w:val="en-US" w:eastAsia="zh-CN"/>
                    </w:rPr>
                    <w:t>30</w:t>
                  </w:r>
                </w:p>
              </w:tc>
              <w:tc>
                <w:tcPr>
                  <w:tcW w:w="236" w:type="pct"/>
                  <w:vAlign w:val="center"/>
                </w:tcPr>
                <w:p w14:paraId="27B153CC">
                  <w:pPr>
                    <w:adjustRightInd w:val="0"/>
                    <w:snapToGrid w:val="0"/>
                    <w:jc w:val="center"/>
                    <w:rPr>
                      <w:rFonts w:hint="default"/>
                      <w:color w:val="auto"/>
                      <w:sz w:val="18"/>
                      <w:szCs w:val="18"/>
                      <w:lang w:val="en-US" w:eastAsia="zh-CN"/>
                    </w:rPr>
                  </w:pPr>
                  <w:r>
                    <w:rPr>
                      <w:rFonts w:hint="eastAsia"/>
                      <w:color w:val="auto"/>
                      <w:sz w:val="18"/>
                      <w:szCs w:val="18"/>
                      <w:lang w:val="en-US" w:eastAsia="zh-CN"/>
                    </w:rPr>
                    <w:t>15</w:t>
                  </w:r>
                </w:p>
              </w:tc>
              <w:tc>
                <w:tcPr>
                  <w:tcW w:w="224" w:type="pct"/>
                  <w:vAlign w:val="center"/>
                </w:tcPr>
                <w:p w14:paraId="631BBCB7">
                  <w:pPr>
                    <w:adjustRightInd w:val="0"/>
                    <w:snapToGrid w:val="0"/>
                    <w:jc w:val="center"/>
                    <w:rPr>
                      <w:rFonts w:hint="eastAsia" w:eastAsia="宋体"/>
                      <w:color w:val="auto"/>
                      <w:sz w:val="18"/>
                      <w:szCs w:val="18"/>
                      <w:lang w:val="en-US" w:eastAsia="zh-CN"/>
                    </w:rPr>
                  </w:pPr>
                  <w:r>
                    <w:rPr>
                      <w:rFonts w:hint="eastAsia"/>
                      <w:color w:val="auto"/>
                      <w:sz w:val="18"/>
                      <w:szCs w:val="18"/>
                      <w:lang w:val="en-US" w:eastAsia="zh-CN"/>
                    </w:rPr>
                    <w:t>6</w:t>
                  </w:r>
                </w:p>
              </w:tc>
              <w:tc>
                <w:tcPr>
                  <w:tcW w:w="642" w:type="pct"/>
                  <w:vMerge w:val="continue"/>
                  <w:vAlign w:val="center"/>
                </w:tcPr>
                <w:p w14:paraId="2332E4A0">
                  <w:pPr>
                    <w:adjustRightInd w:val="0"/>
                    <w:snapToGrid w:val="0"/>
                    <w:jc w:val="center"/>
                    <w:rPr>
                      <w:rFonts w:hint="eastAsia"/>
                      <w:color w:val="auto"/>
                      <w:sz w:val="18"/>
                      <w:szCs w:val="18"/>
                      <w:lang w:val="en-US" w:eastAsia="zh-CN"/>
                    </w:rPr>
                  </w:pPr>
                </w:p>
              </w:tc>
            </w:tr>
            <w:tr w14:paraId="516BA58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c>
                <w:tcPr>
                  <w:tcW w:w="1200" w:type="pct"/>
                  <w:shd w:val="clear" w:color="auto" w:fill="auto"/>
                  <w:vAlign w:val="center"/>
                </w:tcPr>
                <w:p w14:paraId="221E8CF4">
                  <w:pPr>
                    <w:adjustRightInd w:val="0"/>
                    <w:snapToGrid w:val="0"/>
                    <w:jc w:val="center"/>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水稳</w:t>
                  </w:r>
                  <w:r>
                    <w:rPr>
                      <w:rFonts w:hint="eastAsia" w:ascii="Times New Roman" w:hAnsi="Times New Roman" w:cs="Times New Roman"/>
                      <w:color w:val="auto"/>
                      <w:kern w:val="2"/>
                      <w:sz w:val="18"/>
                      <w:szCs w:val="18"/>
                      <w:lang w:val="en-US" w:eastAsia="zh-CN" w:bidi="ar-SA"/>
                    </w:rPr>
                    <w:t>土搅拌机</w:t>
                  </w:r>
                </w:p>
              </w:tc>
              <w:tc>
                <w:tcPr>
                  <w:tcW w:w="1078" w:type="pct"/>
                  <w:shd w:val="clear" w:color="auto" w:fill="auto"/>
                  <w:vAlign w:val="center"/>
                </w:tcPr>
                <w:p w14:paraId="584E5315">
                  <w:pPr>
                    <w:adjustRightInd w:val="0"/>
                    <w:snapToGrid w:val="0"/>
                    <w:jc w:val="center"/>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sz w:val="18"/>
                      <w:szCs w:val="18"/>
                      <w:lang w:val="en-US" w:eastAsia="zh-CN"/>
                    </w:rPr>
                    <w:t>WBZ600</w:t>
                  </w:r>
                </w:p>
              </w:tc>
              <w:tc>
                <w:tcPr>
                  <w:tcW w:w="722" w:type="pct"/>
                  <w:shd w:val="clear" w:color="auto" w:fill="auto"/>
                  <w:vAlign w:val="center"/>
                </w:tcPr>
                <w:p w14:paraId="751A3D20">
                  <w:pPr>
                    <w:adjustRightInd w:val="0"/>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80</w:t>
                  </w:r>
                  <w:r>
                    <w:rPr>
                      <w:rFonts w:hint="eastAsia"/>
                      <w:color w:val="auto"/>
                      <w:sz w:val="18"/>
                      <w:szCs w:val="18"/>
                    </w:rPr>
                    <w:t>/1</w:t>
                  </w:r>
                </w:p>
              </w:tc>
              <w:tc>
                <w:tcPr>
                  <w:tcW w:w="650" w:type="pct"/>
                  <w:vMerge w:val="continue"/>
                  <w:shd w:val="clear" w:color="auto" w:fill="auto"/>
                  <w:vAlign w:val="center"/>
                </w:tcPr>
                <w:p w14:paraId="69F12A16">
                  <w:pPr>
                    <w:adjustRightInd w:val="0"/>
                    <w:snapToGrid w:val="0"/>
                    <w:jc w:val="center"/>
                    <w:rPr>
                      <w:rFonts w:hint="eastAsia" w:ascii="Times New Roman" w:hAnsi="Times New Roman" w:eastAsia="宋体" w:cs="Times New Roman"/>
                      <w:color w:val="auto"/>
                      <w:kern w:val="2"/>
                      <w:sz w:val="18"/>
                      <w:szCs w:val="18"/>
                      <w:lang w:val="en-US" w:eastAsia="zh-CN" w:bidi="ar-SA"/>
                    </w:rPr>
                  </w:pPr>
                </w:p>
              </w:tc>
              <w:tc>
                <w:tcPr>
                  <w:tcW w:w="245" w:type="pct"/>
                  <w:shd w:val="clear" w:color="auto" w:fill="auto"/>
                  <w:vAlign w:val="center"/>
                </w:tcPr>
                <w:p w14:paraId="4B1791BB">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65</w:t>
                  </w:r>
                </w:p>
              </w:tc>
              <w:tc>
                <w:tcPr>
                  <w:tcW w:w="236" w:type="pct"/>
                  <w:shd w:val="clear" w:color="auto" w:fill="auto"/>
                  <w:vAlign w:val="center"/>
                </w:tcPr>
                <w:p w14:paraId="387A50D1">
                  <w:pPr>
                    <w:adjustRightInd w:val="0"/>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95</w:t>
                  </w:r>
                </w:p>
              </w:tc>
              <w:tc>
                <w:tcPr>
                  <w:tcW w:w="224" w:type="pct"/>
                  <w:shd w:val="clear" w:color="auto" w:fill="auto"/>
                  <w:vAlign w:val="center"/>
                </w:tcPr>
                <w:p w14:paraId="65C6C991">
                  <w:pPr>
                    <w:adjustRightInd w:val="0"/>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5</w:t>
                  </w:r>
                </w:p>
              </w:tc>
              <w:tc>
                <w:tcPr>
                  <w:tcW w:w="642" w:type="pct"/>
                  <w:vMerge w:val="continue"/>
                  <w:vAlign w:val="center"/>
                </w:tcPr>
                <w:p w14:paraId="7A648B26">
                  <w:pPr>
                    <w:adjustRightInd w:val="0"/>
                    <w:snapToGrid w:val="0"/>
                    <w:jc w:val="center"/>
                    <w:rPr>
                      <w:rFonts w:hint="eastAsia"/>
                      <w:color w:val="auto"/>
                      <w:sz w:val="18"/>
                      <w:szCs w:val="18"/>
                      <w:lang w:val="en-US" w:eastAsia="zh-CN"/>
                    </w:rPr>
                  </w:pPr>
                </w:p>
              </w:tc>
            </w:tr>
            <w:tr w14:paraId="51D7894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c>
                <w:tcPr>
                  <w:tcW w:w="1200" w:type="pct"/>
                  <w:vAlign w:val="center"/>
                </w:tcPr>
                <w:p w14:paraId="7E649D19">
                  <w:pPr>
                    <w:adjustRightInd w:val="0"/>
                    <w:snapToGrid w:val="0"/>
                    <w:jc w:val="center"/>
                    <w:rPr>
                      <w:rFonts w:hint="default" w:eastAsia="宋体"/>
                      <w:color w:val="auto"/>
                      <w:sz w:val="18"/>
                      <w:szCs w:val="18"/>
                      <w:lang w:val="en-US" w:eastAsia="zh-CN"/>
                    </w:rPr>
                  </w:pPr>
                  <w:r>
                    <w:rPr>
                      <w:rFonts w:hint="eastAsia"/>
                      <w:color w:val="auto"/>
                      <w:sz w:val="18"/>
                      <w:szCs w:val="18"/>
                      <w:lang w:val="en-US" w:eastAsia="zh-CN"/>
                    </w:rPr>
                    <w:t>皮带输送机（沥青）</w:t>
                  </w:r>
                </w:p>
              </w:tc>
              <w:tc>
                <w:tcPr>
                  <w:tcW w:w="1078" w:type="pct"/>
                  <w:vAlign w:val="center"/>
                </w:tcPr>
                <w:p w14:paraId="0B4D1648">
                  <w:pPr>
                    <w:adjustRightInd w:val="0"/>
                    <w:snapToGrid w:val="0"/>
                    <w:jc w:val="center"/>
                    <w:rPr>
                      <w:rFonts w:hint="default" w:eastAsia="宋体"/>
                      <w:color w:val="auto"/>
                      <w:sz w:val="18"/>
                      <w:szCs w:val="18"/>
                      <w:lang w:val="en-US" w:eastAsia="zh-CN"/>
                    </w:rPr>
                  </w:pPr>
                  <w:r>
                    <w:rPr>
                      <w:rFonts w:hint="eastAsia"/>
                      <w:color w:val="auto"/>
                      <w:sz w:val="18"/>
                      <w:szCs w:val="18"/>
                      <w:lang w:val="en-US" w:eastAsia="zh-CN"/>
                    </w:rPr>
                    <w:t>//</w:t>
                  </w:r>
                </w:p>
              </w:tc>
              <w:tc>
                <w:tcPr>
                  <w:tcW w:w="722" w:type="pct"/>
                  <w:vAlign w:val="center"/>
                </w:tcPr>
                <w:p w14:paraId="4E05C7BF">
                  <w:pPr>
                    <w:adjustRightInd w:val="0"/>
                    <w:snapToGrid w:val="0"/>
                    <w:jc w:val="center"/>
                    <w:rPr>
                      <w:rFonts w:hint="eastAsia"/>
                      <w:color w:val="auto"/>
                      <w:sz w:val="18"/>
                      <w:szCs w:val="18"/>
                      <w:lang w:val="en-US" w:eastAsia="zh-CN"/>
                    </w:rPr>
                  </w:pPr>
                  <w:r>
                    <w:rPr>
                      <w:rFonts w:hint="eastAsia"/>
                      <w:color w:val="auto"/>
                      <w:sz w:val="18"/>
                      <w:szCs w:val="18"/>
                      <w:lang w:val="en-US" w:eastAsia="zh-CN"/>
                    </w:rPr>
                    <w:t>75</w:t>
                  </w:r>
                  <w:r>
                    <w:rPr>
                      <w:rFonts w:hint="eastAsia"/>
                      <w:color w:val="auto"/>
                      <w:sz w:val="18"/>
                      <w:szCs w:val="18"/>
                    </w:rPr>
                    <w:t>/1</w:t>
                  </w:r>
                </w:p>
              </w:tc>
              <w:tc>
                <w:tcPr>
                  <w:tcW w:w="650" w:type="pct"/>
                  <w:vMerge w:val="continue"/>
                  <w:vAlign w:val="center"/>
                </w:tcPr>
                <w:p w14:paraId="3F66A789">
                  <w:pPr>
                    <w:adjustRightInd w:val="0"/>
                    <w:snapToGrid w:val="0"/>
                    <w:jc w:val="center"/>
                    <w:rPr>
                      <w:rFonts w:hint="eastAsia"/>
                      <w:color w:val="auto"/>
                      <w:sz w:val="18"/>
                      <w:szCs w:val="18"/>
                    </w:rPr>
                  </w:pPr>
                </w:p>
              </w:tc>
              <w:tc>
                <w:tcPr>
                  <w:tcW w:w="245" w:type="pct"/>
                  <w:vAlign w:val="center"/>
                </w:tcPr>
                <w:p w14:paraId="53F604FC">
                  <w:pPr>
                    <w:adjustRightInd w:val="0"/>
                    <w:snapToGrid w:val="0"/>
                    <w:jc w:val="center"/>
                    <w:rPr>
                      <w:rFonts w:hint="default"/>
                      <w:color w:val="auto"/>
                      <w:sz w:val="18"/>
                      <w:szCs w:val="18"/>
                      <w:lang w:val="en-US" w:eastAsia="zh-CN"/>
                    </w:rPr>
                  </w:pPr>
                  <w:r>
                    <w:rPr>
                      <w:rFonts w:hint="eastAsia"/>
                      <w:color w:val="auto"/>
                      <w:sz w:val="18"/>
                      <w:szCs w:val="18"/>
                      <w:lang w:val="en-US" w:eastAsia="zh-CN"/>
                    </w:rPr>
                    <w:t>15</w:t>
                  </w:r>
                </w:p>
              </w:tc>
              <w:tc>
                <w:tcPr>
                  <w:tcW w:w="236" w:type="pct"/>
                  <w:vAlign w:val="center"/>
                </w:tcPr>
                <w:p w14:paraId="0CD40828">
                  <w:pPr>
                    <w:adjustRightInd w:val="0"/>
                    <w:snapToGrid w:val="0"/>
                    <w:jc w:val="center"/>
                    <w:rPr>
                      <w:rFonts w:hint="default"/>
                      <w:color w:val="auto"/>
                      <w:sz w:val="18"/>
                      <w:szCs w:val="18"/>
                      <w:lang w:val="en-US" w:eastAsia="zh-CN"/>
                    </w:rPr>
                  </w:pPr>
                  <w:r>
                    <w:rPr>
                      <w:rFonts w:hint="eastAsia"/>
                      <w:color w:val="auto"/>
                      <w:sz w:val="18"/>
                      <w:szCs w:val="18"/>
                      <w:lang w:val="en-US" w:eastAsia="zh-CN"/>
                    </w:rPr>
                    <w:t>90</w:t>
                  </w:r>
                </w:p>
              </w:tc>
              <w:tc>
                <w:tcPr>
                  <w:tcW w:w="224" w:type="pct"/>
                  <w:vAlign w:val="center"/>
                </w:tcPr>
                <w:p w14:paraId="4BB539C9">
                  <w:pPr>
                    <w:adjustRightInd w:val="0"/>
                    <w:snapToGrid w:val="0"/>
                    <w:jc w:val="center"/>
                    <w:rPr>
                      <w:rFonts w:hint="default" w:eastAsia="宋体"/>
                      <w:color w:val="auto"/>
                      <w:sz w:val="18"/>
                      <w:szCs w:val="18"/>
                      <w:lang w:val="en-US" w:eastAsia="zh-CN"/>
                    </w:rPr>
                  </w:pPr>
                  <w:r>
                    <w:rPr>
                      <w:rFonts w:hint="eastAsia"/>
                      <w:color w:val="auto"/>
                      <w:sz w:val="18"/>
                      <w:szCs w:val="18"/>
                      <w:lang w:val="en-US" w:eastAsia="zh-CN"/>
                    </w:rPr>
                    <w:t>1.5</w:t>
                  </w:r>
                </w:p>
              </w:tc>
              <w:tc>
                <w:tcPr>
                  <w:tcW w:w="642" w:type="pct"/>
                  <w:vMerge w:val="continue"/>
                  <w:vAlign w:val="center"/>
                </w:tcPr>
                <w:p w14:paraId="0472AB7E">
                  <w:pPr>
                    <w:adjustRightInd w:val="0"/>
                    <w:snapToGrid w:val="0"/>
                    <w:jc w:val="center"/>
                    <w:rPr>
                      <w:rFonts w:hint="eastAsia"/>
                      <w:color w:val="auto"/>
                      <w:sz w:val="18"/>
                      <w:szCs w:val="18"/>
                      <w:lang w:val="en-US" w:eastAsia="zh-CN"/>
                    </w:rPr>
                  </w:pPr>
                </w:p>
              </w:tc>
            </w:tr>
            <w:tr w14:paraId="6F969F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c>
                <w:tcPr>
                  <w:tcW w:w="1200" w:type="pct"/>
                  <w:shd w:val="clear" w:color="auto" w:fill="auto"/>
                  <w:vAlign w:val="center"/>
                </w:tcPr>
                <w:p w14:paraId="6A7BAD57">
                  <w:pPr>
                    <w:adjustRightInd w:val="0"/>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皮带输送机（混凝土）</w:t>
                  </w:r>
                </w:p>
              </w:tc>
              <w:tc>
                <w:tcPr>
                  <w:tcW w:w="1078" w:type="pct"/>
                  <w:shd w:val="clear" w:color="auto" w:fill="auto"/>
                  <w:vAlign w:val="center"/>
                </w:tcPr>
                <w:p w14:paraId="377F89F7">
                  <w:pPr>
                    <w:adjustRightInd w:val="0"/>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w:t>
                  </w:r>
                </w:p>
              </w:tc>
              <w:tc>
                <w:tcPr>
                  <w:tcW w:w="722" w:type="pct"/>
                  <w:shd w:val="clear" w:color="auto" w:fill="auto"/>
                  <w:vAlign w:val="center"/>
                </w:tcPr>
                <w:p w14:paraId="1D7D7546">
                  <w:pPr>
                    <w:adjustRightInd w:val="0"/>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75</w:t>
                  </w:r>
                  <w:r>
                    <w:rPr>
                      <w:rFonts w:hint="eastAsia"/>
                      <w:color w:val="auto"/>
                      <w:sz w:val="18"/>
                      <w:szCs w:val="18"/>
                    </w:rPr>
                    <w:t>/1</w:t>
                  </w:r>
                </w:p>
              </w:tc>
              <w:tc>
                <w:tcPr>
                  <w:tcW w:w="650" w:type="pct"/>
                  <w:vMerge w:val="continue"/>
                  <w:vAlign w:val="center"/>
                </w:tcPr>
                <w:p w14:paraId="55484647">
                  <w:pPr>
                    <w:adjustRightInd w:val="0"/>
                    <w:snapToGrid w:val="0"/>
                    <w:jc w:val="center"/>
                    <w:rPr>
                      <w:rFonts w:hint="eastAsia"/>
                      <w:color w:val="auto"/>
                      <w:sz w:val="18"/>
                      <w:szCs w:val="18"/>
                    </w:rPr>
                  </w:pPr>
                </w:p>
              </w:tc>
              <w:tc>
                <w:tcPr>
                  <w:tcW w:w="245" w:type="pct"/>
                  <w:vAlign w:val="center"/>
                </w:tcPr>
                <w:p w14:paraId="6055A81F">
                  <w:pPr>
                    <w:adjustRightInd w:val="0"/>
                    <w:snapToGrid w:val="0"/>
                    <w:jc w:val="center"/>
                    <w:rPr>
                      <w:rFonts w:hint="default"/>
                      <w:color w:val="auto"/>
                      <w:sz w:val="18"/>
                      <w:szCs w:val="18"/>
                      <w:lang w:val="en-US" w:eastAsia="zh-CN"/>
                    </w:rPr>
                  </w:pPr>
                  <w:r>
                    <w:rPr>
                      <w:rFonts w:hint="eastAsia"/>
                      <w:color w:val="auto"/>
                      <w:sz w:val="18"/>
                      <w:szCs w:val="18"/>
                      <w:lang w:val="en-US" w:eastAsia="zh-CN"/>
                    </w:rPr>
                    <w:t>20</w:t>
                  </w:r>
                </w:p>
              </w:tc>
              <w:tc>
                <w:tcPr>
                  <w:tcW w:w="236" w:type="pct"/>
                  <w:vAlign w:val="center"/>
                </w:tcPr>
                <w:p w14:paraId="4E308B11">
                  <w:pPr>
                    <w:adjustRightInd w:val="0"/>
                    <w:snapToGrid w:val="0"/>
                    <w:jc w:val="center"/>
                    <w:rPr>
                      <w:rFonts w:hint="default"/>
                      <w:color w:val="auto"/>
                      <w:sz w:val="18"/>
                      <w:szCs w:val="18"/>
                      <w:lang w:val="en-US" w:eastAsia="zh-CN"/>
                    </w:rPr>
                  </w:pPr>
                  <w:r>
                    <w:rPr>
                      <w:rFonts w:hint="eastAsia"/>
                      <w:color w:val="auto"/>
                      <w:sz w:val="18"/>
                      <w:szCs w:val="18"/>
                      <w:lang w:val="en-US" w:eastAsia="zh-CN"/>
                    </w:rPr>
                    <w:t>10</w:t>
                  </w:r>
                </w:p>
              </w:tc>
              <w:tc>
                <w:tcPr>
                  <w:tcW w:w="224" w:type="pct"/>
                  <w:vAlign w:val="center"/>
                </w:tcPr>
                <w:p w14:paraId="05768E24">
                  <w:pPr>
                    <w:adjustRightInd w:val="0"/>
                    <w:snapToGrid w:val="0"/>
                    <w:jc w:val="center"/>
                    <w:rPr>
                      <w:rFonts w:hint="default" w:eastAsia="宋体"/>
                      <w:color w:val="auto"/>
                      <w:sz w:val="18"/>
                      <w:szCs w:val="18"/>
                      <w:lang w:val="en-US" w:eastAsia="zh-CN"/>
                    </w:rPr>
                  </w:pPr>
                  <w:r>
                    <w:rPr>
                      <w:rFonts w:hint="eastAsia"/>
                      <w:color w:val="auto"/>
                      <w:sz w:val="18"/>
                      <w:szCs w:val="18"/>
                      <w:lang w:val="en-US" w:eastAsia="zh-CN"/>
                    </w:rPr>
                    <w:t>3</w:t>
                  </w:r>
                </w:p>
              </w:tc>
              <w:tc>
                <w:tcPr>
                  <w:tcW w:w="642" w:type="pct"/>
                  <w:vMerge w:val="continue"/>
                  <w:vAlign w:val="center"/>
                </w:tcPr>
                <w:p w14:paraId="00F520ED">
                  <w:pPr>
                    <w:adjustRightInd w:val="0"/>
                    <w:snapToGrid w:val="0"/>
                    <w:jc w:val="center"/>
                    <w:rPr>
                      <w:rFonts w:hint="eastAsia"/>
                      <w:color w:val="auto"/>
                      <w:sz w:val="18"/>
                      <w:szCs w:val="18"/>
                      <w:lang w:val="en-US" w:eastAsia="zh-CN"/>
                    </w:rPr>
                  </w:pPr>
                </w:p>
              </w:tc>
            </w:tr>
            <w:tr w14:paraId="69C3407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c>
                <w:tcPr>
                  <w:tcW w:w="1200" w:type="pct"/>
                  <w:vAlign w:val="center"/>
                </w:tcPr>
                <w:p w14:paraId="6C3DB245">
                  <w:pPr>
                    <w:adjustRightInd w:val="0"/>
                    <w:snapToGrid w:val="0"/>
                    <w:jc w:val="center"/>
                    <w:rPr>
                      <w:rFonts w:hint="eastAsia" w:eastAsia="宋体"/>
                      <w:color w:val="auto"/>
                      <w:sz w:val="18"/>
                      <w:szCs w:val="18"/>
                      <w:lang w:val="en-US" w:eastAsia="zh-CN"/>
                    </w:rPr>
                  </w:pPr>
                  <w:r>
                    <w:rPr>
                      <w:rFonts w:hint="eastAsia"/>
                      <w:color w:val="auto"/>
                      <w:sz w:val="18"/>
                      <w:szCs w:val="18"/>
                      <w:lang w:val="en-US" w:eastAsia="zh-CN"/>
                    </w:rPr>
                    <w:t>风机（1#除尘器）</w:t>
                  </w:r>
                </w:p>
              </w:tc>
              <w:tc>
                <w:tcPr>
                  <w:tcW w:w="1078" w:type="pct"/>
                  <w:vAlign w:val="center"/>
                </w:tcPr>
                <w:p w14:paraId="5479CDF5">
                  <w:pPr>
                    <w:adjustRightInd w:val="0"/>
                    <w:snapToGrid w:val="0"/>
                    <w:jc w:val="center"/>
                    <w:rPr>
                      <w:rFonts w:hint="default" w:eastAsia="宋体"/>
                      <w:color w:val="auto"/>
                      <w:sz w:val="18"/>
                      <w:szCs w:val="18"/>
                      <w:lang w:val="en-US" w:eastAsia="zh-CN"/>
                    </w:rPr>
                  </w:pPr>
                  <w:r>
                    <w:rPr>
                      <w:rFonts w:hint="eastAsia"/>
                      <w:color w:val="auto"/>
                      <w:sz w:val="18"/>
                      <w:szCs w:val="18"/>
                      <w:lang w:val="en-US" w:eastAsia="zh-CN"/>
                    </w:rPr>
                    <w:t>//</w:t>
                  </w:r>
                </w:p>
              </w:tc>
              <w:tc>
                <w:tcPr>
                  <w:tcW w:w="722" w:type="pct"/>
                  <w:vAlign w:val="center"/>
                </w:tcPr>
                <w:p w14:paraId="39C0D945">
                  <w:pPr>
                    <w:adjustRightInd w:val="0"/>
                    <w:snapToGrid w:val="0"/>
                    <w:jc w:val="center"/>
                    <w:rPr>
                      <w:rFonts w:hint="eastAsia"/>
                      <w:color w:val="auto"/>
                      <w:sz w:val="18"/>
                      <w:szCs w:val="18"/>
                      <w:lang w:val="en-US" w:eastAsia="zh-CN"/>
                    </w:rPr>
                  </w:pPr>
                  <w:r>
                    <w:rPr>
                      <w:rFonts w:hint="eastAsia"/>
                      <w:color w:val="auto"/>
                      <w:sz w:val="18"/>
                      <w:szCs w:val="18"/>
                      <w:lang w:val="en-US" w:eastAsia="zh-CN"/>
                    </w:rPr>
                    <w:t>90</w:t>
                  </w:r>
                  <w:r>
                    <w:rPr>
                      <w:rFonts w:hint="eastAsia"/>
                      <w:color w:val="auto"/>
                      <w:sz w:val="18"/>
                      <w:szCs w:val="18"/>
                    </w:rPr>
                    <w:t>/1</w:t>
                  </w:r>
                </w:p>
              </w:tc>
              <w:tc>
                <w:tcPr>
                  <w:tcW w:w="650" w:type="pct"/>
                  <w:vMerge w:val="continue"/>
                  <w:vAlign w:val="center"/>
                </w:tcPr>
                <w:p w14:paraId="44AE5386">
                  <w:pPr>
                    <w:adjustRightInd w:val="0"/>
                    <w:snapToGrid w:val="0"/>
                    <w:jc w:val="center"/>
                    <w:rPr>
                      <w:rFonts w:hint="eastAsia"/>
                      <w:color w:val="auto"/>
                      <w:sz w:val="18"/>
                      <w:szCs w:val="18"/>
                    </w:rPr>
                  </w:pPr>
                </w:p>
              </w:tc>
              <w:tc>
                <w:tcPr>
                  <w:tcW w:w="245" w:type="pct"/>
                  <w:vAlign w:val="center"/>
                </w:tcPr>
                <w:p w14:paraId="3392FF9B">
                  <w:pPr>
                    <w:adjustRightInd w:val="0"/>
                    <w:snapToGrid w:val="0"/>
                    <w:jc w:val="center"/>
                    <w:rPr>
                      <w:rFonts w:hint="default"/>
                      <w:color w:val="auto"/>
                      <w:sz w:val="18"/>
                      <w:szCs w:val="18"/>
                      <w:lang w:val="en-US" w:eastAsia="zh-CN"/>
                    </w:rPr>
                  </w:pPr>
                  <w:r>
                    <w:rPr>
                      <w:rFonts w:hint="eastAsia"/>
                      <w:color w:val="auto"/>
                      <w:sz w:val="18"/>
                      <w:szCs w:val="18"/>
                      <w:lang w:val="en-US" w:eastAsia="zh-CN"/>
                    </w:rPr>
                    <w:t>18</w:t>
                  </w:r>
                </w:p>
              </w:tc>
              <w:tc>
                <w:tcPr>
                  <w:tcW w:w="236" w:type="pct"/>
                  <w:vAlign w:val="center"/>
                </w:tcPr>
                <w:p w14:paraId="260768A1">
                  <w:pPr>
                    <w:adjustRightInd w:val="0"/>
                    <w:snapToGrid w:val="0"/>
                    <w:jc w:val="center"/>
                    <w:rPr>
                      <w:rFonts w:hint="default"/>
                      <w:color w:val="auto"/>
                      <w:sz w:val="18"/>
                      <w:szCs w:val="18"/>
                      <w:lang w:val="en-US" w:eastAsia="zh-CN"/>
                    </w:rPr>
                  </w:pPr>
                  <w:r>
                    <w:rPr>
                      <w:rFonts w:hint="eastAsia"/>
                      <w:color w:val="auto"/>
                      <w:sz w:val="18"/>
                      <w:szCs w:val="18"/>
                      <w:lang w:val="en-US" w:eastAsia="zh-CN"/>
                    </w:rPr>
                    <w:t>95</w:t>
                  </w:r>
                </w:p>
              </w:tc>
              <w:tc>
                <w:tcPr>
                  <w:tcW w:w="224" w:type="pct"/>
                  <w:vAlign w:val="center"/>
                </w:tcPr>
                <w:p w14:paraId="1643F062">
                  <w:pPr>
                    <w:adjustRightInd w:val="0"/>
                    <w:snapToGrid w:val="0"/>
                    <w:jc w:val="center"/>
                    <w:rPr>
                      <w:rFonts w:hint="eastAsia" w:eastAsia="宋体"/>
                      <w:color w:val="auto"/>
                      <w:sz w:val="18"/>
                      <w:szCs w:val="18"/>
                      <w:lang w:val="en-US" w:eastAsia="zh-CN"/>
                    </w:rPr>
                  </w:pPr>
                  <w:r>
                    <w:rPr>
                      <w:rFonts w:hint="eastAsia"/>
                      <w:color w:val="auto"/>
                      <w:sz w:val="18"/>
                      <w:szCs w:val="18"/>
                      <w:lang w:val="en-US" w:eastAsia="zh-CN"/>
                    </w:rPr>
                    <w:t>1</w:t>
                  </w:r>
                </w:p>
              </w:tc>
              <w:tc>
                <w:tcPr>
                  <w:tcW w:w="642" w:type="pct"/>
                  <w:vMerge w:val="continue"/>
                  <w:vAlign w:val="center"/>
                </w:tcPr>
                <w:p w14:paraId="5D1563E1">
                  <w:pPr>
                    <w:adjustRightInd w:val="0"/>
                    <w:snapToGrid w:val="0"/>
                    <w:jc w:val="center"/>
                    <w:rPr>
                      <w:rFonts w:hint="eastAsia"/>
                      <w:color w:val="auto"/>
                      <w:sz w:val="18"/>
                      <w:szCs w:val="18"/>
                      <w:lang w:val="en-US" w:eastAsia="zh-CN"/>
                    </w:rPr>
                  </w:pPr>
                </w:p>
              </w:tc>
            </w:tr>
            <w:tr w14:paraId="2FB4E8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c>
                <w:tcPr>
                  <w:tcW w:w="1200" w:type="pct"/>
                  <w:vAlign w:val="center"/>
                </w:tcPr>
                <w:p w14:paraId="36B945DE">
                  <w:pPr>
                    <w:adjustRightInd w:val="0"/>
                    <w:snapToGrid w:val="0"/>
                    <w:jc w:val="center"/>
                    <w:rPr>
                      <w:rFonts w:hint="eastAsia"/>
                      <w:color w:val="auto"/>
                      <w:sz w:val="18"/>
                      <w:szCs w:val="18"/>
                    </w:rPr>
                  </w:pPr>
                  <w:r>
                    <w:rPr>
                      <w:rFonts w:hint="eastAsia"/>
                      <w:color w:val="auto"/>
                      <w:sz w:val="18"/>
                      <w:szCs w:val="18"/>
                      <w:lang w:val="en-US" w:eastAsia="zh-CN"/>
                    </w:rPr>
                    <w:t>风机（2#除尘器）</w:t>
                  </w:r>
                </w:p>
              </w:tc>
              <w:tc>
                <w:tcPr>
                  <w:tcW w:w="1078" w:type="pct"/>
                  <w:vAlign w:val="center"/>
                </w:tcPr>
                <w:p w14:paraId="2F708F82">
                  <w:pPr>
                    <w:adjustRightInd w:val="0"/>
                    <w:snapToGrid w:val="0"/>
                    <w:jc w:val="center"/>
                    <w:rPr>
                      <w:rFonts w:hint="default" w:eastAsia="宋体"/>
                      <w:color w:val="auto"/>
                      <w:sz w:val="18"/>
                      <w:szCs w:val="18"/>
                      <w:lang w:val="en-US" w:eastAsia="zh-CN"/>
                    </w:rPr>
                  </w:pPr>
                  <w:r>
                    <w:rPr>
                      <w:rFonts w:hint="eastAsia"/>
                      <w:color w:val="auto"/>
                      <w:sz w:val="18"/>
                      <w:szCs w:val="18"/>
                      <w:lang w:val="en-US" w:eastAsia="zh-CN"/>
                    </w:rPr>
                    <w:t>//</w:t>
                  </w:r>
                </w:p>
              </w:tc>
              <w:tc>
                <w:tcPr>
                  <w:tcW w:w="722" w:type="pct"/>
                  <w:vAlign w:val="center"/>
                </w:tcPr>
                <w:p w14:paraId="0C42F054">
                  <w:pPr>
                    <w:adjustRightInd w:val="0"/>
                    <w:snapToGrid w:val="0"/>
                    <w:jc w:val="center"/>
                    <w:rPr>
                      <w:rFonts w:hint="eastAsia"/>
                      <w:color w:val="auto"/>
                      <w:sz w:val="18"/>
                      <w:szCs w:val="18"/>
                      <w:lang w:val="en-US" w:eastAsia="zh-CN"/>
                    </w:rPr>
                  </w:pPr>
                  <w:r>
                    <w:rPr>
                      <w:rFonts w:hint="eastAsia"/>
                      <w:color w:val="auto"/>
                      <w:sz w:val="18"/>
                      <w:szCs w:val="18"/>
                      <w:lang w:val="en-US" w:eastAsia="zh-CN"/>
                    </w:rPr>
                    <w:t>90</w:t>
                  </w:r>
                  <w:r>
                    <w:rPr>
                      <w:rFonts w:hint="eastAsia"/>
                      <w:color w:val="auto"/>
                      <w:sz w:val="18"/>
                      <w:szCs w:val="18"/>
                    </w:rPr>
                    <w:t>/1</w:t>
                  </w:r>
                </w:p>
              </w:tc>
              <w:tc>
                <w:tcPr>
                  <w:tcW w:w="650" w:type="pct"/>
                  <w:vMerge w:val="continue"/>
                  <w:vAlign w:val="center"/>
                </w:tcPr>
                <w:p w14:paraId="4CD3864A">
                  <w:pPr>
                    <w:adjustRightInd w:val="0"/>
                    <w:snapToGrid w:val="0"/>
                    <w:jc w:val="center"/>
                    <w:rPr>
                      <w:rFonts w:hint="eastAsia"/>
                      <w:color w:val="auto"/>
                      <w:sz w:val="18"/>
                      <w:szCs w:val="18"/>
                    </w:rPr>
                  </w:pPr>
                </w:p>
              </w:tc>
              <w:tc>
                <w:tcPr>
                  <w:tcW w:w="245" w:type="pct"/>
                  <w:vAlign w:val="center"/>
                </w:tcPr>
                <w:p w14:paraId="37D56A15">
                  <w:pPr>
                    <w:adjustRightInd w:val="0"/>
                    <w:snapToGrid w:val="0"/>
                    <w:jc w:val="center"/>
                    <w:rPr>
                      <w:rFonts w:hint="default"/>
                      <w:color w:val="auto"/>
                      <w:sz w:val="18"/>
                      <w:szCs w:val="18"/>
                      <w:lang w:val="en-US" w:eastAsia="zh-CN"/>
                    </w:rPr>
                  </w:pPr>
                  <w:r>
                    <w:rPr>
                      <w:rFonts w:hint="eastAsia"/>
                      <w:color w:val="auto"/>
                      <w:sz w:val="18"/>
                      <w:szCs w:val="18"/>
                      <w:lang w:val="en-US" w:eastAsia="zh-CN"/>
                    </w:rPr>
                    <w:t>45</w:t>
                  </w:r>
                </w:p>
              </w:tc>
              <w:tc>
                <w:tcPr>
                  <w:tcW w:w="236" w:type="pct"/>
                  <w:vAlign w:val="center"/>
                </w:tcPr>
                <w:p w14:paraId="628C95F0">
                  <w:pPr>
                    <w:adjustRightInd w:val="0"/>
                    <w:snapToGrid w:val="0"/>
                    <w:jc w:val="center"/>
                    <w:rPr>
                      <w:rFonts w:hint="default"/>
                      <w:color w:val="auto"/>
                      <w:sz w:val="18"/>
                      <w:szCs w:val="18"/>
                      <w:lang w:val="en-US" w:eastAsia="zh-CN"/>
                    </w:rPr>
                  </w:pPr>
                  <w:r>
                    <w:rPr>
                      <w:rFonts w:hint="eastAsia"/>
                      <w:color w:val="auto"/>
                      <w:sz w:val="18"/>
                      <w:szCs w:val="18"/>
                      <w:lang w:val="en-US" w:eastAsia="zh-CN"/>
                    </w:rPr>
                    <w:t>100</w:t>
                  </w:r>
                </w:p>
              </w:tc>
              <w:tc>
                <w:tcPr>
                  <w:tcW w:w="224" w:type="pct"/>
                  <w:vAlign w:val="center"/>
                </w:tcPr>
                <w:p w14:paraId="712F683A">
                  <w:pPr>
                    <w:adjustRightInd w:val="0"/>
                    <w:snapToGrid w:val="0"/>
                    <w:jc w:val="center"/>
                    <w:rPr>
                      <w:rFonts w:hint="default" w:eastAsia="宋体"/>
                      <w:color w:val="auto"/>
                      <w:sz w:val="18"/>
                      <w:szCs w:val="18"/>
                      <w:lang w:val="en-US" w:eastAsia="zh-CN"/>
                    </w:rPr>
                  </w:pPr>
                  <w:r>
                    <w:rPr>
                      <w:rFonts w:hint="eastAsia"/>
                      <w:color w:val="auto"/>
                      <w:sz w:val="18"/>
                      <w:szCs w:val="18"/>
                      <w:lang w:val="en-US" w:eastAsia="zh-CN"/>
                    </w:rPr>
                    <w:t>1</w:t>
                  </w:r>
                </w:p>
              </w:tc>
              <w:tc>
                <w:tcPr>
                  <w:tcW w:w="642" w:type="pct"/>
                  <w:vMerge w:val="continue"/>
                  <w:vAlign w:val="center"/>
                </w:tcPr>
                <w:p w14:paraId="515F187E">
                  <w:pPr>
                    <w:adjustRightInd w:val="0"/>
                    <w:snapToGrid w:val="0"/>
                    <w:jc w:val="center"/>
                    <w:rPr>
                      <w:rFonts w:hint="eastAsia"/>
                      <w:color w:val="auto"/>
                      <w:sz w:val="18"/>
                      <w:szCs w:val="18"/>
                      <w:lang w:val="en-US" w:eastAsia="zh-CN"/>
                    </w:rPr>
                  </w:pPr>
                </w:p>
              </w:tc>
            </w:tr>
            <w:tr w14:paraId="36E3C9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c>
                <w:tcPr>
                  <w:tcW w:w="1200" w:type="pct"/>
                  <w:vAlign w:val="center"/>
                </w:tcPr>
                <w:p w14:paraId="6DFCDD4A">
                  <w:pPr>
                    <w:adjustRightInd w:val="0"/>
                    <w:snapToGrid w:val="0"/>
                    <w:jc w:val="center"/>
                    <w:rPr>
                      <w:rFonts w:hint="eastAsia"/>
                      <w:color w:val="auto"/>
                      <w:sz w:val="18"/>
                      <w:szCs w:val="18"/>
                    </w:rPr>
                  </w:pPr>
                  <w:r>
                    <w:rPr>
                      <w:rFonts w:hint="eastAsia"/>
                      <w:color w:val="auto"/>
                      <w:sz w:val="18"/>
                      <w:szCs w:val="18"/>
                      <w:lang w:val="en-US" w:eastAsia="zh-CN"/>
                    </w:rPr>
                    <w:t>风机（3#除尘器）</w:t>
                  </w:r>
                </w:p>
              </w:tc>
              <w:tc>
                <w:tcPr>
                  <w:tcW w:w="1078" w:type="pct"/>
                  <w:vAlign w:val="center"/>
                </w:tcPr>
                <w:p w14:paraId="5EC834DD">
                  <w:pPr>
                    <w:adjustRightInd w:val="0"/>
                    <w:snapToGrid w:val="0"/>
                    <w:jc w:val="center"/>
                    <w:rPr>
                      <w:rFonts w:hint="default" w:eastAsia="宋体"/>
                      <w:color w:val="auto"/>
                      <w:sz w:val="18"/>
                      <w:szCs w:val="18"/>
                      <w:lang w:val="en-US" w:eastAsia="zh-CN"/>
                    </w:rPr>
                  </w:pPr>
                  <w:r>
                    <w:rPr>
                      <w:rFonts w:hint="eastAsia"/>
                      <w:color w:val="auto"/>
                      <w:sz w:val="18"/>
                      <w:szCs w:val="18"/>
                      <w:lang w:val="en-US" w:eastAsia="zh-CN"/>
                    </w:rPr>
                    <w:t>//</w:t>
                  </w:r>
                </w:p>
              </w:tc>
              <w:tc>
                <w:tcPr>
                  <w:tcW w:w="722" w:type="pct"/>
                  <w:vAlign w:val="center"/>
                </w:tcPr>
                <w:p w14:paraId="6C8503E3">
                  <w:pPr>
                    <w:adjustRightInd w:val="0"/>
                    <w:snapToGrid w:val="0"/>
                    <w:jc w:val="center"/>
                    <w:rPr>
                      <w:rFonts w:hint="eastAsia"/>
                      <w:color w:val="auto"/>
                      <w:sz w:val="18"/>
                      <w:szCs w:val="18"/>
                      <w:lang w:val="en-US" w:eastAsia="zh-CN"/>
                    </w:rPr>
                  </w:pPr>
                  <w:r>
                    <w:rPr>
                      <w:rFonts w:hint="eastAsia"/>
                      <w:color w:val="auto"/>
                      <w:sz w:val="18"/>
                      <w:szCs w:val="18"/>
                      <w:lang w:val="en-US" w:eastAsia="zh-CN"/>
                    </w:rPr>
                    <w:t>90</w:t>
                  </w:r>
                  <w:r>
                    <w:rPr>
                      <w:rFonts w:hint="eastAsia"/>
                      <w:color w:val="auto"/>
                      <w:sz w:val="18"/>
                      <w:szCs w:val="18"/>
                    </w:rPr>
                    <w:t>/1</w:t>
                  </w:r>
                </w:p>
              </w:tc>
              <w:tc>
                <w:tcPr>
                  <w:tcW w:w="650" w:type="pct"/>
                  <w:vMerge w:val="continue"/>
                  <w:vAlign w:val="center"/>
                </w:tcPr>
                <w:p w14:paraId="0B5C5520">
                  <w:pPr>
                    <w:adjustRightInd w:val="0"/>
                    <w:snapToGrid w:val="0"/>
                    <w:jc w:val="center"/>
                    <w:rPr>
                      <w:rFonts w:hint="eastAsia"/>
                      <w:color w:val="auto"/>
                      <w:sz w:val="18"/>
                      <w:szCs w:val="18"/>
                    </w:rPr>
                  </w:pPr>
                </w:p>
              </w:tc>
              <w:tc>
                <w:tcPr>
                  <w:tcW w:w="245" w:type="pct"/>
                  <w:shd w:val="clear" w:color="auto" w:fill="auto"/>
                  <w:vAlign w:val="center"/>
                </w:tcPr>
                <w:p w14:paraId="35024635">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45</w:t>
                  </w:r>
                </w:p>
              </w:tc>
              <w:tc>
                <w:tcPr>
                  <w:tcW w:w="236" w:type="pct"/>
                  <w:shd w:val="clear" w:color="auto" w:fill="auto"/>
                  <w:vAlign w:val="center"/>
                </w:tcPr>
                <w:p w14:paraId="697915BD">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105</w:t>
                  </w:r>
                </w:p>
              </w:tc>
              <w:tc>
                <w:tcPr>
                  <w:tcW w:w="224" w:type="pct"/>
                  <w:shd w:val="clear" w:color="auto" w:fill="auto"/>
                  <w:vAlign w:val="center"/>
                </w:tcPr>
                <w:p w14:paraId="4A38BD92">
                  <w:pPr>
                    <w:adjustRightInd w:val="0"/>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w:t>
                  </w:r>
                </w:p>
              </w:tc>
              <w:tc>
                <w:tcPr>
                  <w:tcW w:w="642" w:type="pct"/>
                  <w:vMerge w:val="continue"/>
                  <w:vAlign w:val="center"/>
                </w:tcPr>
                <w:p w14:paraId="4B04537D">
                  <w:pPr>
                    <w:adjustRightInd w:val="0"/>
                    <w:snapToGrid w:val="0"/>
                    <w:jc w:val="center"/>
                    <w:rPr>
                      <w:rFonts w:hint="eastAsia"/>
                      <w:color w:val="auto"/>
                      <w:sz w:val="18"/>
                      <w:szCs w:val="18"/>
                      <w:lang w:val="en-US" w:eastAsia="zh-CN"/>
                    </w:rPr>
                  </w:pPr>
                </w:p>
              </w:tc>
            </w:tr>
            <w:tr w14:paraId="0E8DA26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c>
                <w:tcPr>
                  <w:tcW w:w="1200" w:type="pct"/>
                  <w:vAlign w:val="center"/>
                </w:tcPr>
                <w:p w14:paraId="297BA61D">
                  <w:pPr>
                    <w:adjustRightInd w:val="0"/>
                    <w:snapToGrid w:val="0"/>
                    <w:jc w:val="center"/>
                    <w:rPr>
                      <w:rFonts w:hint="eastAsia"/>
                      <w:color w:val="auto"/>
                      <w:sz w:val="18"/>
                      <w:szCs w:val="18"/>
                    </w:rPr>
                  </w:pPr>
                  <w:r>
                    <w:rPr>
                      <w:rFonts w:hint="eastAsia"/>
                      <w:color w:val="auto"/>
                      <w:sz w:val="18"/>
                      <w:szCs w:val="18"/>
                      <w:lang w:val="en-US" w:eastAsia="zh-CN"/>
                    </w:rPr>
                    <w:t>风机（沥青烟气）</w:t>
                  </w:r>
                </w:p>
              </w:tc>
              <w:tc>
                <w:tcPr>
                  <w:tcW w:w="1078" w:type="pct"/>
                  <w:vAlign w:val="center"/>
                </w:tcPr>
                <w:p w14:paraId="31A2CD57">
                  <w:pPr>
                    <w:adjustRightInd w:val="0"/>
                    <w:snapToGrid w:val="0"/>
                    <w:jc w:val="center"/>
                    <w:rPr>
                      <w:rFonts w:hint="default" w:eastAsia="宋体"/>
                      <w:color w:val="auto"/>
                      <w:sz w:val="18"/>
                      <w:szCs w:val="18"/>
                      <w:lang w:val="en-US" w:eastAsia="zh-CN"/>
                    </w:rPr>
                  </w:pPr>
                  <w:r>
                    <w:rPr>
                      <w:rFonts w:hint="eastAsia"/>
                      <w:color w:val="auto"/>
                      <w:sz w:val="18"/>
                      <w:szCs w:val="18"/>
                      <w:lang w:val="en-US" w:eastAsia="zh-CN"/>
                    </w:rPr>
                    <w:t>//</w:t>
                  </w:r>
                </w:p>
              </w:tc>
              <w:tc>
                <w:tcPr>
                  <w:tcW w:w="722" w:type="pct"/>
                  <w:vAlign w:val="center"/>
                </w:tcPr>
                <w:p w14:paraId="39473949">
                  <w:pPr>
                    <w:adjustRightInd w:val="0"/>
                    <w:snapToGrid w:val="0"/>
                    <w:jc w:val="center"/>
                    <w:rPr>
                      <w:rFonts w:hint="eastAsia"/>
                      <w:color w:val="auto"/>
                      <w:sz w:val="18"/>
                      <w:szCs w:val="18"/>
                      <w:lang w:val="en-US" w:eastAsia="zh-CN"/>
                    </w:rPr>
                  </w:pPr>
                  <w:r>
                    <w:rPr>
                      <w:rFonts w:hint="eastAsia"/>
                      <w:color w:val="auto"/>
                      <w:sz w:val="18"/>
                      <w:szCs w:val="18"/>
                      <w:lang w:val="en-US" w:eastAsia="zh-CN"/>
                    </w:rPr>
                    <w:t>90</w:t>
                  </w:r>
                  <w:r>
                    <w:rPr>
                      <w:rFonts w:hint="eastAsia"/>
                      <w:color w:val="auto"/>
                      <w:sz w:val="18"/>
                      <w:szCs w:val="18"/>
                    </w:rPr>
                    <w:t>/1</w:t>
                  </w:r>
                </w:p>
              </w:tc>
              <w:tc>
                <w:tcPr>
                  <w:tcW w:w="650" w:type="pct"/>
                  <w:vMerge w:val="continue"/>
                  <w:vAlign w:val="center"/>
                </w:tcPr>
                <w:p w14:paraId="4F9CCE23">
                  <w:pPr>
                    <w:adjustRightInd w:val="0"/>
                    <w:snapToGrid w:val="0"/>
                    <w:jc w:val="center"/>
                    <w:rPr>
                      <w:rFonts w:hint="eastAsia"/>
                      <w:color w:val="auto"/>
                      <w:sz w:val="18"/>
                      <w:szCs w:val="18"/>
                    </w:rPr>
                  </w:pPr>
                </w:p>
              </w:tc>
              <w:tc>
                <w:tcPr>
                  <w:tcW w:w="245" w:type="pct"/>
                  <w:vAlign w:val="center"/>
                </w:tcPr>
                <w:p w14:paraId="4F669CCB">
                  <w:pPr>
                    <w:adjustRightInd w:val="0"/>
                    <w:snapToGrid w:val="0"/>
                    <w:jc w:val="center"/>
                    <w:rPr>
                      <w:rFonts w:hint="default"/>
                      <w:color w:val="auto"/>
                      <w:sz w:val="18"/>
                      <w:szCs w:val="18"/>
                      <w:lang w:val="en-US" w:eastAsia="zh-CN"/>
                    </w:rPr>
                  </w:pPr>
                  <w:r>
                    <w:rPr>
                      <w:rFonts w:hint="eastAsia"/>
                      <w:color w:val="auto"/>
                      <w:sz w:val="18"/>
                      <w:szCs w:val="18"/>
                      <w:lang w:val="en-US" w:eastAsia="zh-CN"/>
                    </w:rPr>
                    <w:t>40</w:t>
                  </w:r>
                </w:p>
              </w:tc>
              <w:tc>
                <w:tcPr>
                  <w:tcW w:w="236" w:type="pct"/>
                  <w:vAlign w:val="center"/>
                </w:tcPr>
                <w:p w14:paraId="61F51397">
                  <w:pPr>
                    <w:adjustRightInd w:val="0"/>
                    <w:snapToGrid w:val="0"/>
                    <w:jc w:val="center"/>
                    <w:rPr>
                      <w:rFonts w:hint="default"/>
                      <w:color w:val="auto"/>
                      <w:sz w:val="18"/>
                      <w:szCs w:val="18"/>
                      <w:lang w:val="en-US" w:eastAsia="zh-CN"/>
                    </w:rPr>
                  </w:pPr>
                  <w:r>
                    <w:rPr>
                      <w:rFonts w:hint="eastAsia"/>
                      <w:color w:val="auto"/>
                      <w:sz w:val="18"/>
                      <w:szCs w:val="18"/>
                      <w:lang w:val="en-US" w:eastAsia="zh-CN"/>
                    </w:rPr>
                    <w:t>105</w:t>
                  </w:r>
                </w:p>
              </w:tc>
              <w:tc>
                <w:tcPr>
                  <w:tcW w:w="224" w:type="pct"/>
                  <w:vAlign w:val="center"/>
                </w:tcPr>
                <w:p w14:paraId="0D3C4A59">
                  <w:pPr>
                    <w:adjustRightInd w:val="0"/>
                    <w:snapToGrid w:val="0"/>
                    <w:jc w:val="center"/>
                    <w:rPr>
                      <w:rFonts w:hint="eastAsia" w:eastAsia="宋体"/>
                      <w:color w:val="auto"/>
                      <w:sz w:val="18"/>
                      <w:szCs w:val="18"/>
                      <w:lang w:val="en-US" w:eastAsia="zh-CN"/>
                    </w:rPr>
                  </w:pPr>
                  <w:r>
                    <w:rPr>
                      <w:rFonts w:hint="eastAsia"/>
                      <w:color w:val="auto"/>
                      <w:sz w:val="18"/>
                      <w:szCs w:val="18"/>
                      <w:lang w:val="en-US" w:eastAsia="zh-CN"/>
                    </w:rPr>
                    <w:t>1</w:t>
                  </w:r>
                </w:p>
              </w:tc>
              <w:tc>
                <w:tcPr>
                  <w:tcW w:w="642" w:type="pct"/>
                  <w:vMerge w:val="continue"/>
                  <w:vAlign w:val="center"/>
                </w:tcPr>
                <w:p w14:paraId="734EF3E3">
                  <w:pPr>
                    <w:adjustRightInd w:val="0"/>
                    <w:snapToGrid w:val="0"/>
                    <w:jc w:val="center"/>
                    <w:rPr>
                      <w:rFonts w:hint="eastAsia"/>
                      <w:color w:val="auto"/>
                      <w:sz w:val="18"/>
                      <w:szCs w:val="18"/>
                      <w:lang w:val="en-US" w:eastAsia="zh-CN"/>
                    </w:rPr>
                  </w:pPr>
                </w:p>
              </w:tc>
            </w:tr>
            <w:tr w14:paraId="418F9B1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c>
                <w:tcPr>
                  <w:tcW w:w="1200" w:type="pct"/>
                  <w:shd w:val="clear" w:color="auto" w:fill="auto"/>
                  <w:vAlign w:val="center"/>
                </w:tcPr>
                <w:p w14:paraId="3336A72B">
                  <w:pPr>
                    <w:adjustRightInd w:val="0"/>
                    <w:snapToGrid w:val="0"/>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风机（4#除尘器）</w:t>
                  </w:r>
                </w:p>
              </w:tc>
              <w:tc>
                <w:tcPr>
                  <w:tcW w:w="1078" w:type="pct"/>
                  <w:shd w:val="clear" w:color="auto" w:fill="auto"/>
                  <w:vAlign w:val="center"/>
                </w:tcPr>
                <w:p w14:paraId="4BD53A1B">
                  <w:pPr>
                    <w:adjustRightInd w:val="0"/>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w:t>
                  </w:r>
                  <w:r>
                    <w:rPr>
                      <w:rFonts w:hint="eastAsia"/>
                      <w:color w:val="auto"/>
                      <w:sz w:val="18"/>
                      <w:szCs w:val="18"/>
                      <w:lang w:val="en-US" w:eastAsia="zh-CN"/>
                    </w:rPr>
                    <w:t>/</w:t>
                  </w:r>
                </w:p>
              </w:tc>
              <w:tc>
                <w:tcPr>
                  <w:tcW w:w="722" w:type="pct"/>
                  <w:shd w:val="clear" w:color="auto" w:fill="auto"/>
                  <w:vAlign w:val="center"/>
                </w:tcPr>
                <w:p w14:paraId="1DB7CA92">
                  <w:pPr>
                    <w:adjustRightInd w:val="0"/>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90</w:t>
                  </w:r>
                  <w:r>
                    <w:rPr>
                      <w:rFonts w:hint="eastAsia"/>
                      <w:color w:val="auto"/>
                      <w:sz w:val="18"/>
                      <w:szCs w:val="18"/>
                    </w:rPr>
                    <w:t>/1</w:t>
                  </w:r>
                </w:p>
              </w:tc>
              <w:tc>
                <w:tcPr>
                  <w:tcW w:w="650" w:type="pct"/>
                  <w:vMerge w:val="continue"/>
                  <w:vAlign w:val="center"/>
                </w:tcPr>
                <w:p w14:paraId="72A103BE">
                  <w:pPr>
                    <w:adjustRightInd w:val="0"/>
                    <w:snapToGrid w:val="0"/>
                    <w:jc w:val="center"/>
                    <w:rPr>
                      <w:rFonts w:hint="eastAsia"/>
                      <w:color w:val="auto"/>
                      <w:sz w:val="18"/>
                      <w:szCs w:val="18"/>
                    </w:rPr>
                  </w:pPr>
                </w:p>
              </w:tc>
              <w:tc>
                <w:tcPr>
                  <w:tcW w:w="245" w:type="pct"/>
                  <w:shd w:val="clear" w:color="auto" w:fill="auto"/>
                  <w:vAlign w:val="center"/>
                </w:tcPr>
                <w:p w14:paraId="2874FB15">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45</w:t>
                  </w:r>
                </w:p>
              </w:tc>
              <w:tc>
                <w:tcPr>
                  <w:tcW w:w="236" w:type="pct"/>
                  <w:shd w:val="clear" w:color="auto" w:fill="auto"/>
                  <w:vAlign w:val="center"/>
                </w:tcPr>
                <w:p w14:paraId="33225362">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12</w:t>
                  </w:r>
                </w:p>
              </w:tc>
              <w:tc>
                <w:tcPr>
                  <w:tcW w:w="224" w:type="pct"/>
                  <w:shd w:val="clear" w:color="auto" w:fill="auto"/>
                  <w:vAlign w:val="center"/>
                </w:tcPr>
                <w:p w14:paraId="786F623B">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1</w:t>
                  </w:r>
                </w:p>
              </w:tc>
              <w:tc>
                <w:tcPr>
                  <w:tcW w:w="642" w:type="pct"/>
                  <w:vMerge w:val="continue"/>
                  <w:vAlign w:val="center"/>
                </w:tcPr>
                <w:p w14:paraId="1A08C394">
                  <w:pPr>
                    <w:adjustRightInd w:val="0"/>
                    <w:snapToGrid w:val="0"/>
                    <w:jc w:val="center"/>
                    <w:rPr>
                      <w:rFonts w:hint="eastAsia"/>
                      <w:color w:val="auto"/>
                      <w:sz w:val="18"/>
                      <w:szCs w:val="18"/>
                      <w:lang w:val="en-US" w:eastAsia="zh-CN"/>
                    </w:rPr>
                  </w:pPr>
                </w:p>
              </w:tc>
            </w:tr>
            <w:tr w14:paraId="16BF3DE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c>
                <w:tcPr>
                  <w:tcW w:w="1200" w:type="pct"/>
                  <w:shd w:val="clear" w:color="auto" w:fill="auto"/>
                  <w:vAlign w:val="center"/>
                </w:tcPr>
                <w:p w14:paraId="40CF4FA4">
                  <w:pPr>
                    <w:adjustRightInd w:val="0"/>
                    <w:snapToGrid w:val="0"/>
                    <w:jc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风机（5#除尘器）</w:t>
                  </w:r>
                </w:p>
              </w:tc>
              <w:tc>
                <w:tcPr>
                  <w:tcW w:w="1078" w:type="pct"/>
                  <w:shd w:val="clear" w:color="auto" w:fill="auto"/>
                  <w:vAlign w:val="center"/>
                </w:tcPr>
                <w:p w14:paraId="22CD8463">
                  <w:pPr>
                    <w:adjustRightInd w:val="0"/>
                    <w:snapToGrid w:val="0"/>
                    <w:jc w:val="center"/>
                    <w:rPr>
                      <w:rFonts w:hint="default" w:eastAsia="宋体"/>
                      <w:color w:val="auto"/>
                      <w:sz w:val="18"/>
                      <w:szCs w:val="18"/>
                      <w:lang w:val="en-US" w:eastAsia="zh-CN"/>
                    </w:rPr>
                  </w:pPr>
                  <w:r>
                    <w:rPr>
                      <w:rFonts w:hint="eastAsia"/>
                      <w:color w:val="auto"/>
                      <w:sz w:val="18"/>
                      <w:szCs w:val="18"/>
                      <w:lang w:val="en-US" w:eastAsia="zh-CN"/>
                    </w:rPr>
                    <w:t>//</w:t>
                  </w:r>
                </w:p>
              </w:tc>
              <w:tc>
                <w:tcPr>
                  <w:tcW w:w="722" w:type="pct"/>
                  <w:shd w:val="clear" w:color="auto" w:fill="auto"/>
                  <w:vAlign w:val="center"/>
                </w:tcPr>
                <w:p w14:paraId="38F6C7DE">
                  <w:pPr>
                    <w:adjustRightInd w:val="0"/>
                    <w:snapToGrid w:val="0"/>
                    <w:jc w:val="center"/>
                    <w:rPr>
                      <w:rFonts w:hint="default"/>
                      <w:color w:val="auto"/>
                      <w:sz w:val="18"/>
                      <w:szCs w:val="18"/>
                      <w:lang w:val="en-US" w:eastAsia="zh-CN"/>
                    </w:rPr>
                  </w:pPr>
                  <w:r>
                    <w:rPr>
                      <w:rFonts w:hint="eastAsia"/>
                      <w:color w:val="auto"/>
                      <w:sz w:val="18"/>
                      <w:szCs w:val="18"/>
                      <w:lang w:val="en-US" w:eastAsia="zh-CN"/>
                    </w:rPr>
                    <w:t>90/1</w:t>
                  </w:r>
                </w:p>
              </w:tc>
              <w:tc>
                <w:tcPr>
                  <w:tcW w:w="650" w:type="pct"/>
                  <w:vMerge w:val="continue"/>
                  <w:vAlign w:val="center"/>
                </w:tcPr>
                <w:p w14:paraId="5FCBE5AB">
                  <w:pPr>
                    <w:adjustRightInd w:val="0"/>
                    <w:snapToGrid w:val="0"/>
                    <w:jc w:val="center"/>
                    <w:rPr>
                      <w:rFonts w:hint="eastAsia"/>
                      <w:color w:val="auto"/>
                      <w:sz w:val="18"/>
                      <w:szCs w:val="18"/>
                    </w:rPr>
                  </w:pPr>
                </w:p>
              </w:tc>
              <w:tc>
                <w:tcPr>
                  <w:tcW w:w="245" w:type="pct"/>
                  <w:shd w:val="clear" w:color="auto" w:fill="auto"/>
                  <w:vAlign w:val="center"/>
                </w:tcPr>
                <w:p w14:paraId="3348F45B">
                  <w:pPr>
                    <w:adjustRightInd w:val="0"/>
                    <w:snapToGrid w:val="0"/>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70</w:t>
                  </w:r>
                </w:p>
              </w:tc>
              <w:tc>
                <w:tcPr>
                  <w:tcW w:w="236" w:type="pct"/>
                  <w:shd w:val="clear" w:color="auto" w:fill="auto"/>
                  <w:vAlign w:val="center"/>
                </w:tcPr>
                <w:p w14:paraId="2AE3F76B">
                  <w:pPr>
                    <w:adjustRightInd w:val="0"/>
                    <w:snapToGrid w:val="0"/>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100</w:t>
                  </w:r>
                </w:p>
              </w:tc>
              <w:tc>
                <w:tcPr>
                  <w:tcW w:w="224" w:type="pct"/>
                  <w:shd w:val="clear" w:color="auto" w:fill="auto"/>
                  <w:vAlign w:val="center"/>
                </w:tcPr>
                <w:p w14:paraId="1CC971AF">
                  <w:pPr>
                    <w:adjustRightInd w:val="0"/>
                    <w:snapToGrid w:val="0"/>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1</w:t>
                  </w:r>
                </w:p>
              </w:tc>
              <w:tc>
                <w:tcPr>
                  <w:tcW w:w="642" w:type="pct"/>
                  <w:vMerge w:val="continue"/>
                  <w:vAlign w:val="center"/>
                </w:tcPr>
                <w:p w14:paraId="498721EE">
                  <w:pPr>
                    <w:adjustRightInd w:val="0"/>
                    <w:snapToGrid w:val="0"/>
                    <w:jc w:val="center"/>
                    <w:rPr>
                      <w:rFonts w:hint="eastAsia"/>
                      <w:color w:val="auto"/>
                      <w:sz w:val="18"/>
                      <w:szCs w:val="18"/>
                      <w:lang w:val="en-US" w:eastAsia="zh-CN"/>
                    </w:rPr>
                  </w:pPr>
                </w:p>
              </w:tc>
            </w:tr>
            <w:tr w14:paraId="4BCBC2F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c>
                <w:tcPr>
                  <w:tcW w:w="1200" w:type="pct"/>
                  <w:vAlign w:val="center"/>
                </w:tcPr>
                <w:p w14:paraId="4F6005AE">
                  <w:pPr>
                    <w:adjustRightInd w:val="0"/>
                    <w:snapToGrid w:val="0"/>
                    <w:jc w:val="center"/>
                    <w:rPr>
                      <w:rFonts w:hint="eastAsia"/>
                      <w:color w:val="auto"/>
                      <w:sz w:val="18"/>
                      <w:szCs w:val="18"/>
                      <w:lang w:val="en-US" w:eastAsia="zh-CN"/>
                    </w:rPr>
                  </w:pPr>
                  <w:r>
                    <w:rPr>
                      <w:rFonts w:hint="eastAsia"/>
                      <w:color w:val="auto"/>
                      <w:sz w:val="18"/>
                      <w:szCs w:val="18"/>
                      <w:lang w:val="en-US" w:eastAsia="zh-CN"/>
                    </w:rPr>
                    <w:t>风机（仓顶除尘器）</w:t>
                  </w:r>
                </w:p>
              </w:tc>
              <w:tc>
                <w:tcPr>
                  <w:tcW w:w="1078" w:type="pct"/>
                  <w:vAlign w:val="center"/>
                </w:tcPr>
                <w:p w14:paraId="006C5B1D">
                  <w:pPr>
                    <w:adjustRightInd w:val="0"/>
                    <w:snapToGrid w:val="0"/>
                    <w:jc w:val="center"/>
                    <w:rPr>
                      <w:rFonts w:hint="default" w:eastAsia="宋体"/>
                      <w:color w:val="auto"/>
                      <w:sz w:val="18"/>
                      <w:szCs w:val="18"/>
                      <w:lang w:val="en-US" w:eastAsia="zh-CN"/>
                    </w:rPr>
                  </w:pPr>
                  <w:r>
                    <w:rPr>
                      <w:rFonts w:hint="eastAsia"/>
                      <w:color w:val="auto"/>
                      <w:sz w:val="18"/>
                      <w:szCs w:val="18"/>
                      <w:lang w:val="en-US" w:eastAsia="zh-CN"/>
                    </w:rPr>
                    <w:t>BMC88</w:t>
                  </w:r>
                </w:p>
              </w:tc>
              <w:tc>
                <w:tcPr>
                  <w:tcW w:w="722" w:type="pct"/>
                  <w:vAlign w:val="center"/>
                </w:tcPr>
                <w:p w14:paraId="2B2676A4">
                  <w:pPr>
                    <w:adjustRightInd w:val="0"/>
                    <w:snapToGrid w:val="0"/>
                    <w:jc w:val="center"/>
                    <w:rPr>
                      <w:rFonts w:hint="default" w:eastAsia="宋体"/>
                      <w:color w:val="auto"/>
                      <w:sz w:val="18"/>
                      <w:szCs w:val="18"/>
                      <w:lang w:val="en-US" w:eastAsia="zh-CN"/>
                    </w:rPr>
                  </w:pPr>
                  <w:r>
                    <w:rPr>
                      <w:rFonts w:hint="eastAsia"/>
                      <w:color w:val="auto"/>
                      <w:sz w:val="18"/>
                      <w:szCs w:val="18"/>
                      <w:lang w:val="en-US" w:eastAsia="zh-CN"/>
                    </w:rPr>
                    <w:t>90</w:t>
                  </w:r>
                  <w:r>
                    <w:rPr>
                      <w:rFonts w:hint="eastAsia"/>
                      <w:color w:val="auto"/>
                      <w:sz w:val="18"/>
                      <w:szCs w:val="18"/>
                    </w:rPr>
                    <w:t>/1</w:t>
                  </w:r>
                </w:p>
              </w:tc>
              <w:tc>
                <w:tcPr>
                  <w:tcW w:w="650" w:type="pct"/>
                  <w:vMerge w:val="continue"/>
                  <w:vAlign w:val="center"/>
                </w:tcPr>
                <w:p w14:paraId="355F431D">
                  <w:pPr>
                    <w:adjustRightInd w:val="0"/>
                    <w:snapToGrid w:val="0"/>
                    <w:jc w:val="center"/>
                    <w:rPr>
                      <w:rFonts w:hint="eastAsia"/>
                      <w:color w:val="auto"/>
                      <w:sz w:val="18"/>
                      <w:szCs w:val="18"/>
                    </w:rPr>
                  </w:pPr>
                </w:p>
              </w:tc>
              <w:tc>
                <w:tcPr>
                  <w:tcW w:w="245" w:type="pct"/>
                  <w:vAlign w:val="center"/>
                </w:tcPr>
                <w:p w14:paraId="7766BC15">
                  <w:pPr>
                    <w:adjustRightInd w:val="0"/>
                    <w:snapToGrid w:val="0"/>
                    <w:jc w:val="center"/>
                    <w:rPr>
                      <w:rFonts w:hint="default" w:eastAsia="宋体"/>
                      <w:color w:val="auto"/>
                      <w:sz w:val="18"/>
                      <w:szCs w:val="18"/>
                      <w:lang w:val="en-US" w:eastAsia="zh-CN"/>
                    </w:rPr>
                  </w:pPr>
                  <w:r>
                    <w:rPr>
                      <w:rFonts w:hint="eastAsia"/>
                      <w:color w:val="auto"/>
                      <w:sz w:val="18"/>
                      <w:szCs w:val="18"/>
                      <w:lang w:val="en-US" w:eastAsia="zh-CN"/>
                    </w:rPr>
                    <w:t>10</w:t>
                  </w:r>
                </w:p>
              </w:tc>
              <w:tc>
                <w:tcPr>
                  <w:tcW w:w="236" w:type="pct"/>
                  <w:vAlign w:val="center"/>
                </w:tcPr>
                <w:p w14:paraId="17A2AC88">
                  <w:pPr>
                    <w:adjustRightInd w:val="0"/>
                    <w:snapToGrid w:val="0"/>
                    <w:jc w:val="center"/>
                    <w:rPr>
                      <w:rFonts w:hint="default" w:eastAsia="宋体"/>
                      <w:color w:val="auto"/>
                      <w:sz w:val="18"/>
                      <w:szCs w:val="18"/>
                      <w:lang w:val="en-US" w:eastAsia="zh-CN"/>
                    </w:rPr>
                  </w:pPr>
                  <w:r>
                    <w:rPr>
                      <w:rFonts w:hint="eastAsia"/>
                      <w:color w:val="auto"/>
                      <w:sz w:val="18"/>
                      <w:szCs w:val="18"/>
                      <w:lang w:val="en-US" w:eastAsia="zh-CN"/>
                    </w:rPr>
                    <w:t>95</w:t>
                  </w:r>
                </w:p>
              </w:tc>
              <w:tc>
                <w:tcPr>
                  <w:tcW w:w="224" w:type="pct"/>
                  <w:vAlign w:val="center"/>
                </w:tcPr>
                <w:p w14:paraId="7D6EB11B">
                  <w:pPr>
                    <w:adjustRightInd w:val="0"/>
                    <w:snapToGrid w:val="0"/>
                    <w:jc w:val="center"/>
                    <w:rPr>
                      <w:rFonts w:hint="default" w:eastAsia="宋体"/>
                      <w:color w:val="auto"/>
                      <w:sz w:val="18"/>
                      <w:szCs w:val="18"/>
                      <w:lang w:val="en-US" w:eastAsia="zh-CN"/>
                    </w:rPr>
                  </w:pPr>
                  <w:r>
                    <w:rPr>
                      <w:rFonts w:hint="eastAsia"/>
                      <w:color w:val="auto"/>
                      <w:sz w:val="18"/>
                      <w:szCs w:val="18"/>
                      <w:lang w:val="en-US" w:eastAsia="zh-CN"/>
                    </w:rPr>
                    <w:t>15</w:t>
                  </w:r>
                </w:p>
              </w:tc>
              <w:tc>
                <w:tcPr>
                  <w:tcW w:w="642" w:type="pct"/>
                  <w:vMerge w:val="continue"/>
                  <w:vAlign w:val="center"/>
                </w:tcPr>
                <w:p w14:paraId="5FEAFBE2">
                  <w:pPr>
                    <w:adjustRightInd w:val="0"/>
                    <w:snapToGrid w:val="0"/>
                    <w:jc w:val="center"/>
                    <w:rPr>
                      <w:rFonts w:hint="eastAsia"/>
                      <w:color w:val="auto"/>
                      <w:sz w:val="18"/>
                      <w:szCs w:val="18"/>
                    </w:rPr>
                  </w:pPr>
                </w:p>
              </w:tc>
            </w:tr>
            <w:tr w14:paraId="27D681C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c>
                <w:tcPr>
                  <w:tcW w:w="1200" w:type="pct"/>
                  <w:vAlign w:val="center"/>
                </w:tcPr>
                <w:p w14:paraId="459DD627">
                  <w:pPr>
                    <w:adjustRightInd w:val="0"/>
                    <w:snapToGrid w:val="0"/>
                    <w:jc w:val="center"/>
                    <w:rPr>
                      <w:color w:val="auto"/>
                      <w:sz w:val="18"/>
                      <w:szCs w:val="18"/>
                    </w:rPr>
                  </w:pPr>
                  <w:r>
                    <w:rPr>
                      <w:rFonts w:hint="eastAsia"/>
                      <w:color w:val="auto"/>
                      <w:sz w:val="18"/>
                      <w:szCs w:val="18"/>
                      <w:lang w:val="en-US" w:eastAsia="zh-CN"/>
                    </w:rPr>
                    <w:t>风机（仓顶除尘器）</w:t>
                  </w:r>
                </w:p>
              </w:tc>
              <w:tc>
                <w:tcPr>
                  <w:tcW w:w="1078" w:type="pct"/>
                  <w:vAlign w:val="center"/>
                </w:tcPr>
                <w:p w14:paraId="64F08BD8">
                  <w:pPr>
                    <w:adjustRightInd w:val="0"/>
                    <w:snapToGrid w:val="0"/>
                    <w:jc w:val="center"/>
                    <w:rPr>
                      <w:color w:val="auto"/>
                      <w:sz w:val="18"/>
                      <w:szCs w:val="18"/>
                    </w:rPr>
                  </w:pPr>
                  <w:r>
                    <w:rPr>
                      <w:rFonts w:hint="eastAsia"/>
                      <w:color w:val="auto"/>
                      <w:sz w:val="18"/>
                      <w:szCs w:val="18"/>
                      <w:lang w:val="en-US" w:eastAsia="zh-CN"/>
                    </w:rPr>
                    <w:t>BMC88</w:t>
                  </w:r>
                </w:p>
              </w:tc>
              <w:tc>
                <w:tcPr>
                  <w:tcW w:w="722" w:type="pct"/>
                  <w:vAlign w:val="center"/>
                </w:tcPr>
                <w:p w14:paraId="10158BF5">
                  <w:pPr>
                    <w:adjustRightInd w:val="0"/>
                    <w:snapToGrid w:val="0"/>
                    <w:jc w:val="center"/>
                    <w:rPr>
                      <w:color w:val="auto"/>
                      <w:sz w:val="18"/>
                      <w:szCs w:val="18"/>
                    </w:rPr>
                  </w:pPr>
                  <w:r>
                    <w:rPr>
                      <w:rFonts w:hint="eastAsia"/>
                      <w:color w:val="auto"/>
                      <w:sz w:val="18"/>
                      <w:szCs w:val="18"/>
                      <w:lang w:val="en-US" w:eastAsia="zh-CN"/>
                    </w:rPr>
                    <w:t>90</w:t>
                  </w:r>
                  <w:r>
                    <w:rPr>
                      <w:rFonts w:hint="eastAsia"/>
                      <w:color w:val="auto"/>
                      <w:sz w:val="18"/>
                      <w:szCs w:val="18"/>
                    </w:rPr>
                    <w:t>/1</w:t>
                  </w:r>
                </w:p>
              </w:tc>
              <w:tc>
                <w:tcPr>
                  <w:tcW w:w="650" w:type="pct"/>
                  <w:vMerge w:val="continue"/>
                  <w:vAlign w:val="center"/>
                </w:tcPr>
                <w:p w14:paraId="252E24D2">
                  <w:pPr>
                    <w:adjustRightInd w:val="0"/>
                    <w:snapToGrid w:val="0"/>
                    <w:jc w:val="center"/>
                    <w:rPr>
                      <w:color w:val="auto"/>
                      <w:sz w:val="18"/>
                      <w:szCs w:val="18"/>
                    </w:rPr>
                  </w:pPr>
                </w:p>
              </w:tc>
              <w:tc>
                <w:tcPr>
                  <w:tcW w:w="245" w:type="pct"/>
                  <w:vAlign w:val="center"/>
                </w:tcPr>
                <w:p w14:paraId="6DF33DF1">
                  <w:pPr>
                    <w:adjustRightInd w:val="0"/>
                    <w:snapToGrid w:val="0"/>
                    <w:jc w:val="center"/>
                    <w:rPr>
                      <w:rFonts w:hint="default" w:eastAsia="宋体"/>
                      <w:color w:val="auto"/>
                      <w:sz w:val="18"/>
                      <w:szCs w:val="18"/>
                      <w:lang w:val="en-US" w:eastAsia="zh-CN"/>
                    </w:rPr>
                  </w:pPr>
                  <w:r>
                    <w:rPr>
                      <w:rFonts w:hint="eastAsia"/>
                      <w:color w:val="auto"/>
                      <w:sz w:val="18"/>
                      <w:szCs w:val="18"/>
                      <w:lang w:val="en-US" w:eastAsia="zh-CN"/>
                    </w:rPr>
                    <w:t>40</w:t>
                  </w:r>
                </w:p>
              </w:tc>
              <w:tc>
                <w:tcPr>
                  <w:tcW w:w="236" w:type="pct"/>
                  <w:vAlign w:val="center"/>
                </w:tcPr>
                <w:p w14:paraId="4159C8A0">
                  <w:pPr>
                    <w:adjustRightInd w:val="0"/>
                    <w:snapToGrid w:val="0"/>
                    <w:jc w:val="center"/>
                    <w:rPr>
                      <w:rFonts w:hint="default" w:eastAsia="宋体"/>
                      <w:color w:val="auto"/>
                      <w:sz w:val="18"/>
                      <w:szCs w:val="18"/>
                      <w:lang w:val="en-US" w:eastAsia="zh-CN"/>
                    </w:rPr>
                  </w:pPr>
                  <w:r>
                    <w:rPr>
                      <w:rFonts w:hint="eastAsia"/>
                      <w:color w:val="auto"/>
                      <w:sz w:val="18"/>
                      <w:szCs w:val="18"/>
                      <w:lang w:val="en-US" w:eastAsia="zh-CN"/>
                    </w:rPr>
                    <w:t>15</w:t>
                  </w:r>
                </w:p>
              </w:tc>
              <w:tc>
                <w:tcPr>
                  <w:tcW w:w="224" w:type="pct"/>
                  <w:vAlign w:val="center"/>
                </w:tcPr>
                <w:p w14:paraId="0428A556">
                  <w:pPr>
                    <w:adjustRightInd w:val="0"/>
                    <w:snapToGrid w:val="0"/>
                    <w:jc w:val="center"/>
                    <w:rPr>
                      <w:rFonts w:hint="default" w:eastAsia="宋体"/>
                      <w:color w:val="auto"/>
                      <w:sz w:val="18"/>
                      <w:szCs w:val="18"/>
                      <w:lang w:val="en-US" w:eastAsia="zh-CN"/>
                    </w:rPr>
                  </w:pPr>
                  <w:r>
                    <w:rPr>
                      <w:rFonts w:hint="eastAsia"/>
                      <w:color w:val="auto"/>
                      <w:sz w:val="18"/>
                      <w:szCs w:val="18"/>
                      <w:lang w:val="en-US" w:eastAsia="zh-CN"/>
                    </w:rPr>
                    <w:t>15</w:t>
                  </w:r>
                </w:p>
              </w:tc>
              <w:tc>
                <w:tcPr>
                  <w:tcW w:w="642" w:type="pct"/>
                  <w:vMerge w:val="continue"/>
                  <w:vAlign w:val="center"/>
                </w:tcPr>
                <w:p w14:paraId="0990A372">
                  <w:pPr>
                    <w:adjustRightInd w:val="0"/>
                    <w:snapToGrid w:val="0"/>
                    <w:jc w:val="center"/>
                    <w:rPr>
                      <w:color w:val="auto"/>
                      <w:sz w:val="18"/>
                      <w:szCs w:val="18"/>
                    </w:rPr>
                  </w:pPr>
                </w:p>
              </w:tc>
            </w:tr>
            <w:tr w14:paraId="1692834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c>
                <w:tcPr>
                  <w:tcW w:w="1200" w:type="pct"/>
                  <w:vAlign w:val="center"/>
                </w:tcPr>
                <w:p w14:paraId="48792CDD">
                  <w:pPr>
                    <w:adjustRightInd w:val="0"/>
                    <w:snapToGrid w:val="0"/>
                    <w:jc w:val="center"/>
                    <w:rPr>
                      <w:color w:val="auto"/>
                      <w:sz w:val="18"/>
                      <w:szCs w:val="18"/>
                    </w:rPr>
                  </w:pPr>
                  <w:r>
                    <w:rPr>
                      <w:rFonts w:hint="eastAsia"/>
                      <w:color w:val="auto"/>
                      <w:sz w:val="18"/>
                      <w:szCs w:val="18"/>
                      <w:lang w:val="en-US" w:eastAsia="zh-CN"/>
                    </w:rPr>
                    <w:t>风机（仓顶除尘器）</w:t>
                  </w:r>
                </w:p>
              </w:tc>
              <w:tc>
                <w:tcPr>
                  <w:tcW w:w="1078" w:type="pct"/>
                  <w:vAlign w:val="center"/>
                </w:tcPr>
                <w:p w14:paraId="6D51577E">
                  <w:pPr>
                    <w:adjustRightInd w:val="0"/>
                    <w:snapToGrid w:val="0"/>
                    <w:jc w:val="center"/>
                    <w:rPr>
                      <w:color w:val="auto"/>
                      <w:sz w:val="18"/>
                      <w:szCs w:val="18"/>
                    </w:rPr>
                  </w:pPr>
                  <w:r>
                    <w:rPr>
                      <w:rFonts w:hint="eastAsia"/>
                      <w:color w:val="auto"/>
                      <w:sz w:val="18"/>
                      <w:szCs w:val="18"/>
                      <w:lang w:val="en-US" w:eastAsia="zh-CN"/>
                    </w:rPr>
                    <w:t>BMC88</w:t>
                  </w:r>
                </w:p>
              </w:tc>
              <w:tc>
                <w:tcPr>
                  <w:tcW w:w="722" w:type="pct"/>
                  <w:vAlign w:val="center"/>
                </w:tcPr>
                <w:p w14:paraId="0EF4F93A">
                  <w:pPr>
                    <w:adjustRightInd w:val="0"/>
                    <w:snapToGrid w:val="0"/>
                    <w:jc w:val="center"/>
                    <w:rPr>
                      <w:color w:val="auto"/>
                      <w:sz w:val="18"/>
                      <w:szCs w:val="18"/>
                    </w:rPr>
                  </w:pPr>
                  <w:r>
                    <w:rPr>
                      <w:rFonts w:hint="eastAsia"/>
                      <w:color w:val="auto"/>
                      <w:sz w:val="18"/>
                      <w:szCs w:val="18"/>
                      <w:lang w:val="en-US" w:eastAsia="zh-CN"/>
                    </w:rPr>
                    <w:t>90</w:t>
                  </w:r>
                  <w:r>
                    <w:rPr>
                      <w:rFonts w:hint="eastAsia"/>
                      <w:color w:val="auto"/>
                      <w:sz w:val="18"/>
                      <w:szCs w:val="18"/>
                    </w:rPr>
                    <w:t>/1</w:t>
                  </w:r>
                </w:p>
              </w:tc>
              <w:tc>
                <w:tcPr>
                  <w:tcW w:w="650" w:type="pct"/>
                  <w:vMerge w:val="continue"/>
                  <w:vAlign w:val="center"/>
                </w:tcPr>
                <w:p w14:paraId="7FF26602">
                  <w:pPr>
                    <w:adjustRightInd w:val="0"/>
                    <w:snapToGrid w:val="0"/>
                    <w:jc w:val="center"/>
                    <w:rPr>
                      <w:color w:val="auto"/>
                      <w:sz w:val="18"/>
                      <w:szCs w:val="18"/>
                    </w:rPr>
                  </w:pPr>
                </w:p>
              </w:tc>
              <w:tc>
                <w:tcPr>
                  <w:tcW w:w="245" w:type="pct"/>
                  <w:vAlign w:val="center"/>
                </w:tcPr>
                <w:p w14:paraId="403CE502">
                  <w:pPr>
                    <w:adjustRightInd w:val="0"/>
                    <w:snapToGrid w:val="0"/>
                    <w:jc w:val="center"/>
                    <w:rPr>
                      <w:rFonts w:hint="default" w:eastAsia="宋体"/>
                      <w:color w:val="auto"/>
                      <w:sz w:val="18"/>
                      <w:szCs w:val="18"/>
                      <w:lang w:val="en-US" w:eastAsia="zh-CN"/>
                    </w:rPr>
                  </w:pPr>
                  <w:r>
                    <w:rPr>
                      <w:rFonts w:hint="eastAsia"/>
                      <w:color w:val="auto"/>
                      <w:sz w:val="18"/>
                      <w:szCs w:val="18"/>
                      <w:lang w:val="en-US" w:eastAsia="zh-CN"/>
                    </w:rPr>
                    <w:t>40</w:t>
                  </w:r>
                </w:p>
              </w:tc>
              <w:tc>
                <w:tcPr>
                  <w:tcW w:w="236" w:type="pct"/>
                  <w:vAlign w:val="center"/>
                </w:tcPr>
                <w:p w14:paraId="279B4598">
                  <w:pPr>
                    <w:adjustRightInd w:val="0"/>
                    <w:snapToGrid w:val="0"/>
                    <w:jc w:val="center"/>
                    <w:rPr>
                      <w:rFonts w:hint="default" w:eastAsia="宋体"/>
                      <w:color w:val="auto"/>
                      <w:sz w:val="18"/>
                      <w:szCs w:val="18"/>
                      <w:lang w:val="en-US" w:eastAsia="zh-CN"/>
                    </w:rPr>
                  </w:pPr>
                  <w:r>
                    <w:rPr>
                      <w:rFonts w:hint="eastAsia"/>
                      <w:color w:val="auto"/>
                      <w:sz w:val="18"/>
                      <w:szCs w:val="18"/>
                      <w:lang w:val="en-US" w:eastAsia="zh-CN"/>
                    </w:rPr>
                    <w:t>15</w:t>
                  </w:r>
                </w:p>
              </w:tc>
              <w:tc>
                <w:tcPr>
                  <w:tcW w:w="224" w:type="pct"/>
                  <w:vAlign w:val="center"/>
                </w:tcPr>
                <w:p w14:paraId="23E621CA">
                  <w:pPr>
                    <w:adjustRightInd w:val="0"/>
                    <w:snapToGrid w:val="0"/>
                    <w:jc w:val="center"/>
                    <w:rPr>
                      <w:rFonts w:hint="default" w:eastAsia="宋体"/>
                      <w:color w:val="auto"/>
                      <w:sz w:val="18"/>
                      <w:szCs w:val="18"/>
                      <w:lang w:val="en-US" w:eastAsia="zh-CN"/>
                    </w:rPr>
                  </w:pPr>
                  <w:r>
                    <w:rPr>
                      <w:rFonts w:hint="eastAsia"/>
                      <w:color w:val="auto"/>
                      <w:sz w:val="18"/>
                      <w:szCs w:val="18"/>
                      <w:lang w:val="en-US" w:eastAsia="zh-CN"/>
                    </w:rPr>
                    <w:t>15</w:t>
                  </w:r>
                </w:p>
              </w:tc>
              <w:tc>
                <w:tcPr>
                  <w:tcW w:w="642" w:type="pct"/>
                  <w:vMerge w:val="continue"/>
                  <w:vAlign w:val="center"/>
                </w:tcPr>
                <w:p w14:paraId="2551701E">
                  <w:pPr>
                    <w:adjustRightInd w:val="0"/>
                    <w:snapToGrid w:val="0"/>
                    <w:jc w:val="center"/>
                    <w:rPr>
                      <w:color w:val="auto"/>
                      <w:sz w:val="18"/>
                      <w:szCs w:val="18"/>
                    </w:rPr>
                  </w:pPr>
                </w:p>
              </w:tc>
            </w:tr>
            <w:tr w14:paraId="0F8049E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c>
                <w:tcPr>
                  <w:tcW w:w="1200" w:type="pct"/>
                  <w:shd w:val="clear" w:color="auto" w:fill="auto"/>
                  <w:vAlign w:val="center"/>
                </w:tcPr>
                <w:p w14:paraId="5B29F99C">
                  <w:pPr>
                    <w:adjustRightInd w:val="0"/>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风机（仓顶除尘器）</w:t>
                  </w:r>
                </w:p>
              </w:tc>
              <w:tc>
                <w:tcPr>
                  <w:tcW w:w="1078" w:type="pct"/>
                  <w:shd w:val="clear" w:color="auto" w:fill="auto"/>
                  <w:vAlign w:val="center"/>
                </w:tcPr>
                <w:p w14:paraId="174446B3">
                  <w:pPr>
                    <w:adjustRightInd w:val="0"/>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BMC88</w:t>
                  </w:r>
                </w:p>
              </w:tc>
              <w:tc>
                <w:tcPr>
                  <w:tcW w:w="722" w:type="pct"/>
                  <w:shd w:val="clear" w:color="auto" w:fill="auto"/>
                  <w:vAlign w:val="center"/>
                </w:tcPr>
                <w:p w14:paraId="284DB913">
                  <w:pPr>
                    <w:adjustRightInd w:val="0"/>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90</w:t>
                  </w:r>
                  <w:r>
                    <w:rPr>
                      <w:rFonts w:hint="eastAsia"/>
                      <w:color w:val="auto"/>
                      <w:sz w:val="18"/>
                      <w:szCs w:val="18"/>
                    </w:rPr>
                    <w:t>/1</w:t>
                  </w:r>
                </w:p>
              </w:tc>
              <w:tc>
                <w:tcPr>
                  <w:tcW w:w="650" w:type="pct"/>
                  <w:vMerge w:val="continue"/>
                  <w:vAlign w:val="center"/>
                </w:tcPr>
                <w:p w14:paraId="17D3D740">
                  <w:pPr>
                    <w:adjustRightInd w:val="0"/>
                    <w:snapToGrid w:val="0"/>
                    <w:jc w:val="center"/>
                    <w:rPr>
                      <w:color w:val="auto"/>
                      <w:sz w:val="18"/>
                      <w:szCs w:val="18"/>
                    </w:rPr>
                  </w:pPr>
                </w:p>
              </w:tc>
              <w:tc>
                <w:tcPr>
                  <w:tcW w:w="245" w:type="pct"/>
                  <w:vAlign w:val="center"/>
                </w:tcPr>
                <w:p w14:paraId="1691C339">
                  <w:pPr>
                    <w:adjustRightInd w:val="0"/>
                    <w:snapToGrid w:val="0"/>
                    <w:jc w:val="center"/>
                    <w:rPr>
                      <w:rFonts w:hint="default" w:eastAsia="宋体"/>
                      <w:color w:val="auto"/>
                      <w:sz w:val="18"/>
                      <w:szCs w:val="18"/>
                      <w:lang w:val="en-US" w:eastAsia="zh-CN"/>
                    </w:rPr>
                  </w:pPr>
                  <w:r>
                    <w:rPr>
                      <w:rFonts w:hint="eastAsia"/>
                      <w:color w:val="auto"/>
                      <w:sz w:val="18"/>
                      <w:szCs w:val="18"/>
                      <w:lang w:val="en-US" w:eastAsia="zh-CN"/>
                    </w:rPr>
                    <w:t>40</w:t>
                  </w:r>
                </w:p>
              </w:tc>
              <w:tc>
                <w:tcPr>
                  <w:tcW w:w="236" w:type="pct"/>
                  <w:vAlign w:val="center"/>
                </w:tcPr>
                <w:p w14:paraId="4A44036E">
                  <w:pPr>
                    <w:adjustRightInd w:val="0"/>
                    <w:snapToGrid w:val="0"/>
                    <w:jc w:val="center"/>
                    <w:rPr>
                      <w:rFonts w:hint="default" w:eastAsia="宋体"/>
                      <w:color w:val="auto"/>
                      <w:sz w:val="18"/>
                      <w:szCs w:val="18"/>
                      <w:lang w:val="en-US" w:eastAsia="zh-CN"/>
                    </w:rPr>
                  </w:pPr>
                  <w:r>
                    <w:rPr>
                      <w:rFonts w:hint="eastAsia"/>
                      <w:color w:val="auto"/>
                      <w:sz w:val="18"/>
                      <w:szCs w:val="18"/>
                      <w:lang w:val="en-US" w:eastAsia="zh-CN"/>
                    </w:rPr>
                    <w:t>15</w:t>
                  </w:r>
                </w:p>
              </w:tc>
              <w:tc>
                <w:tcPr>
                  <w:tcW w:w="224" w:type="pct"/>
                  <w:vAlign w:val="center"/>
                </w:tcPr>
                <w:p w14:paraId="0130E083">
                  <w:pPr>
                    <w:adjustRightInd w:val="0"/>
                    <w:snapToGrid w:val="0"/>
                    <w:jc w:val="center"/>
                    <w:rPr>
                      <w:rFonts w:hint="default" w:eastAsia="宋体"/>
                      <w:color w:val="auto"/>
                      <w:sz w:val="18"/>
                      <w:szCs w:val="18"/>
                      <w:lang w:val="en-US" w:eastAsia="zh-CN"/>
                    </w:rPr>
                  </w:pPr>
                  <w:r>
                    <w:rPr>
                      <w:rFonts w:hint="eastAsia"/>
                      <w:color w:val="auto"/>
                      <w:sz w:val="18"/>
                      <w:szCs w:val="18"/>
                      <w:lang w:val="en-US" w:eastAsia="zh-CN"/>
                    </w:rPr>
                    <w:t>15</w:t>
                  </w:r>
                </w:p>
              </w:tc>
              <w:tc>
                <w:tcPr>
                  <w:tcW w:w="642" w:type="pct"/>
                  <w:vMerge w:val="continue"/>
                  <w:vAlign w:val="center"/>
                </w:tcPr>
                <w:p w14:paraId="42AF977F">
                  <w:pPr>
                    <w:adjustRightInd w:val="0"/>
                    <w:snapToGrid w:val="0"/>
                    <w:jc w:val="center"/>
                    <w:rPr>
                      <w:color w:val="auto"/>
                      <w:sz w:val="18"/>
                      <w:szCs w:val="18"/>
                    </w:rPr>
                  </w:pPr>
                </w:p>
              </w:tc>
            </w:tr>
            <w:tr w14:paraId="68AA128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c>
                <w:tcPr>
                  <w:tcW w:w="1200" w:type="pct"/>
                  <w:shd w:val="clear" w:color="auto" w:fill="auto"/>
                  <w:vAlign w:val="center"/>
                </w:tcPr>
                <w:p w14:paraId="2AF6A147">
                  <w:pPr>
                    <w:adjustRightInd w:val="0"/>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风机（仓顶除尘器）</w:t>
                  </w:r>
                </w:p>
              </w:tc>
              <w:tc>
                <w:tcPr>
                  <w:tcW w:w="1078" w:type="pct"/>
                  <w:shd w:val="clear" w:color="auto" w:fill="auto"/>
                  <w:vAlign w:val="center"/>
                </w:tcPr>
                <w:p w14:paraId="28DCC072">
                  <w:pPr>
                    <w:adjustRightInd w:val="0"/>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BMC88</w:t>
                  </w:r>
                </w:p>
              </w:tc>
              <w:tc>
                <w:tcPr>
                  <w:tcW w:w="722" w:type="pct"/>
                  <w:shd w:val="clear" w:color="auto" w:fill="auto"/>
                  <w:vAlign w:val="center"/>
                </w:tcPr>
                <w:p w14:paraId="025ACCA4">
                  <w:pPr>
                    <w:adjustRightInd w:val="0"/>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90</w:t>
                  </w:r>
                  <w:r>
                    <w:rPr>
                      <w:rFonts w:hint="eastAsia"/>
                      <w:color w:val="auto"/>
                      <w:sz w:val="18"/>
                      <w:szCs w:val="18"/>
                    </w:rPr>
                    <w:t>/1</w:t>
                  </w:r>
                </w:p>
              </w:tc>
              <w:tc>
                <w:tcPr>
                  <w:tcW w:w="650" w:type="pct"/>
                  <w:vMerge w:val="continue"/>
                  <w:shd w:val="clear" w:color="auto" w:fill="auto"/>
                  <w:vAlign w:val="center"/>
                </w:tcPr>
                <w:p w14:paraId="4D8EF50C">
                  <w:pPr>
                    <w:adjustRightInd w:val="0"/>
                    <w:snapToGrid w:val="0"/>
                    <w:jc w:val="center"/>
                    <w:rPr>
                      <w:rFonts w:ascii="Times New Roman" w:hAnsi="Times New Roman" w:eastAsia="宋体" w:cs="Times New Roman"/>
                      <w:color w:val="auto"/>
                      <w:kern w:val="2"/>
                      <w:sz w:val="18"/>
                      <w:szCs w:val="18"/>
                      <w:lang w:val="en-US" w:eastAsia="zh-CN" w:bidi="ar-SA"/>
                    </w:rPr>
                  </w:pPr>
                </w:p>
              </w:tc>
              <w:tc>
                <w:tcPr>
                  <w:tcW w:w="245" w:type="pct"/>
                  <w:shd w:val="clear" w:color="auto" w:fill="auto"/>
                  <w:vAlign w:val="center"/>
                </w:tcPr>
                <w:p w14:paraId="689D9AE9">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60</w:t>
                  </w:r>
                </w:p>
              </w:tc>
              <w:tc>
                <w:tcPr>
                  <w:tcW w:w="236" w:type="pct"/>
                  <w:shd w:val="clear" w:color="auto" w:fill="auto"/>
                  <w:vAlign w:val="center"/>
                </w:tcPr>
                <w:p w14:paraId="572DF92B">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95</w:t>
                  </w:r>
                </w:p>
              </w:tc>
              <w:tc>
                <w:tcPr>
                  <w:tcW w:w="224" w:type="pct"/>
                  <w:shd w:val="clear" w:color="auto" w:fill="auto"/>
                  <w:vAlign w:val="center"/>
                </w:tcPr>
                <w:p w14:paraId="334FD1A2">
                  <w:pPr>
                    <w:adjustRightInd w:val="0"/>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15</w:t>
                  </w:r>
                </w:p>
              </w:tc>
              <w:tc>
                <w:tcPr>
                  <w:tcW w:w="642" w:type="pct"/>
                  <w:vMerge w:val="continue"/>
                  <w:vAlign w:val="center"/>
                </w:tcPr>
                <w:p w14:paraId="32E8349A">
                  <w:pPr>
                    <w:adjustRightInd w:val="0"/>
                    <w:snapToGrid w:val="0"/>
                    <w:jc w:val="center"/>
                    <w:rPr>
                      <w:color w:val="auto"/>
                      <w:sz w:val="18"/>
                      <w:szCs w:val="18"/>
                    </w:rPr>
                  </w:pPr>
                </w:p>
              </w:tc>
            </w:tr>
            <w:tr w14:paraId="738789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c>
                <w:tcPr>
                  <w:tcW w:w="1200" w:type="pct"/>
                  <w:shd w:val="clear" w:color="auto" w:fill="auto"/>
                  <w:vAlign w:val="center"/>
                </w:tcPr>
                <w:p w14:paraId="146D3468">
                  <w:pPr>
                    <w:adjustRightInd w:val="0"/>
                    <w:snapToGrid w:val="0"/>
                    <w:jc w:val="center"/>
                    <w:rPr>
                      <w:rFonts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水</w:t>
                  </w:r>
                  <w:r>
                    <w:rPr>
                      <w:color w:val="auto"/>
                      <w:sz w:val="18"/>
                      <w:szCs w:val="18"/>
                    </w:rPr>
                    <w:t>泵</w:t>
                  </w:r>
                </w:p>
              </w:tc>
              <w:tc>
                <w:tcPr>
                  <w:tcW w:w="1078" w:type="pct"/>
                  <w:shd w:val="clear" w:color="auto" w:fill="auto"/>
                  <w:vAlign w:val="center"/>
                </w:tcPr>
                <w:p w14:paraId="2D69ADC1">
                  <w:pPr>
                    <w:adjustRightInd w:val="0"/>
                    <w:snapToGrid w:val="0"/>
                    <w:jc w:val="center"/>
                    <w:rPr>
                      <w:rFonts w:ascii="Times New Roman" w:hAnsi="Times New Roman" w:eastAsia="宋体" w:cs="Times New Roman"/>
                      <w:color w:val="auto"/>
                      <w:kern w:val="2"/>
                      <w:sz w:val="18"/>
                      <w:szCs w:val="18"/>
                      <w:lang w:val="en-US" w:eastAsia="zh-CN" w:bidi="ar-SA"/>
                    </w:rPr>
                  </w:pPr>
                  <w:r>
                    <w:rPr>
                      <w:rFonts w:hint="eastAsia"/>
                      <w:color w:val="auto"/>
                      <w:sz w:val="18"/>
                      <w:szCs w:val="18"/>
                    </w:rPr>
                    <w:t>/</w:t>
                  </w:r>
                </w:p>
              </w:tc>
              <w:tc>
                <w:tcPr>
                  <w:tcW w:w="722" w:type="pct"/>
                  <w:shd w:val="clear" w:color="auto" w:fill="auto"/>
                  <w:vAlign w:val="center"/>
                </w:tcPr>
                <w:p w14:paraId="33667637">
                  <w:pPr>
                    <w:adjustRightInd w:val="0"/>
                    <w:snapToGrid w:val="0"/>
                    <w:jc w:val="center"/>
                    <w:rPr>
                      <w:rFonts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95</w:t>
                  </w:r>
                  <w:r>
                    <w:rPr>
                      <w:rFonts w:hint="eastAsia"/>
                      <w:color w:val="auto"/>
                      <w:sz w:val="18"/>
                      <w:szCs w:val="18"/>
                    </w:rPr>
                    <w:t>/1</w:t>
                  </w:r>
                </w:p>
              </w:tc>
              <w:tc>
                <w:tcPr>
                  <w:tcW w:w="650" w:type="pct"/>
                  <w:vMerge w:val="continue"/>
                  <w:vAlign w:val="center"/>
                </w:tcPr>
                <w:p w14:paraId="3785041D">
                  <w:pPr>
                    <w:adjustRightInd w:val="0"/>
                    <w:snapToGrid w:val="0"/>
                    <w:jc w:val="center"/>
                    <w:rPr>
                      <w:color w:val="auto"/>
                      <w:sz w:val="18"/>
                      <w:szCs w:val="18"/>
                    </w:rPr>
                  </w:pPr>
                </w:p>
              </w:tc>
              <w:tc>
                <w:tcPr>
                  <w:tcW w:w="245" w:type="pct"/>
                  <w:shd w:val="clear" w:color="auto" w:fill="auto"/>
                  <w:vAlign w:val="center"/>
                </w:tcPr>
                <w:p w14:paraId="304200EF">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50</w:t>
                  </w:r>
                </w:p>
              </w:tc>
              <w:tc>
                <w:tcPr>
                  <w:tcW w:w="236" w:type="pct"/>
                  <w:shd w:val="clear" w:color="auto" w:fill="auto"/>
                  <w:vAlign w:val="center"/>
                </w:tcPr>
                <w:p w14:paraId="19F53AB0">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110</w:t>
                  </w:r>
                </w:p>
              </w:tc>
              <w:tc>
                <w:tcPr>
                  <w:tcW w:w="224" w:type="pct"/>
                  <w:shd w:val="clear" w:color="auto" w:fill="auto"/>
                  <w:vAlign w:val="center"/>
                </w:tcPr>
                <w:p w14:paraId="613A7D1F">
                  <w:pPr>
                    <w:adjustRightInd w:val="0"/>
                    <w:snapToGrid w:val="0"/>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0.5</w:t>
                  </w:r>
                </w:p>
              </w:tc>
              <w:tc>
                <w:tcPr>
                  <w:tcW w:w="642" w:type="pct"/>
                  <w:vMerge w:val="continue"/>
                  <w:vAlign w:val="center"/>
                </w:tcPr>
                <w:p w14:paraId="058AB8CE">
                  <w:pPr>
                    <w:adjustRightInd w:val="0"/>
                    <w:snapToGrid w:val="0"/>
                    <w:jc w:val="center"/>
                    <w:rPr>
                      <w:color w:val="auto"/>
                      <w:sz w:val="18"/>
                      <w:szCs w:val="18"/>
                    </w:rPr>
                  </w:pPr>
                </w:p>
              </w:tc>
            </w:tr>
          </w:tbl>
          <w:p w14:paraId="32459728">
            <w:pPr>
              <w:spacing w:line="360" w:lineRule="auto"/>
              <w:ind w:firstLine="436" w:firstLineChars="200"/>
              <w:rPr>
                <w:color w:val="auto"/>
                <w:spacing w:val="4"/>
                <w:szCs w:val="21"/>
              </w:rPr>
            </w:pPr>
            <w:r>
              <w:rPr>
                <w:rFonts w:hint="eastAsia"/>
                <w:color w:val="auto"/>
                <w:spacing w:val="4"/>
                <w:szCs w:val="21"/>
              </w:rPr>
              <w:t>（2）噪声影响及预测分析</w:t>
            </w:r>
          </w:p>
          <w:p w14:paraId="4C1A0D45">
            <w:pPr>
              <w:spacing w:line="360" w:lineRule="auto"/>
              <w:ind w:firstLine="420" w:firstLineChars="200"/>
              <w:rPr>
                <w:color w:val="auto"/>
              </w:rPr>
            </w:pPr>
            <w:r>
              <w:rPr>
                <w:color w:val="auto"/>
              </w:rPr>
              <w:t>采用《环境影响评价技术导则</w:t>
            </w:r>
            <w:r>
              <w:rPr>
                <w:rFonts w:hint="eastAsia"/>
                <w:color w:val="auto"/>
              </w:rPr>
              <w:t xml:space="preserve">   </w:t>
            </w:r>
            <w:r>
              <w:rPr>
                <w:color w:val="auto"/>
              </w:rPr>
              <w:t>声环境》（HJ2.4-20</w:t>
            </w:r>
            <w:r>
              <w:rPr>
                <w:rFonts w:hint="eastAsia"/>
                <w:color w:val="auto"/>
              </w:rPr>
              <w:t>21</w:t>
            </w:r>
            <w:r>
              <w:rPr>
                <w:color w:val="auto"/>
              </w:rPr>
              <w:t>）预测模式：</w:t>
            </w:r>
          </w:p>
          <w:p w14:paraId="6C45067F">
            <w:pPr>
              <w:spacing w:line="360" w:lineRule="auto"/>
              <w:ind w:firstLine="200"/>
              <w:jc w:val="center"/>
              <w:rPr>
                <w:color w:val="auto"/>
              </w:rPr>
            </w:pPr>
            <w:r>
              <w:rPr>
                <w:color w:val="auto"/>
              </w:rPr>
              <w:drawing>
                <wp:inline distT="0" distB="0" distL="0" distR="0">
                  <wp:extent cx="2182495" cy="172720"/>
                  <wp:effectExtent l="19050" t="0" r="8255" b="0"/>
                  <wp:docPr id="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9"/>
                          <pic:cNvPicPr>
                            <a:picLocks noChangeAspect="1" noChangeArrowheads="1"/>
                          </pic:cNvPicPr>
                        </pic:nvPicPr>
                        <pic:blipFill>
                          <a:blip r:embed="rId25" cstate="print"/>
                          <a:srcRect/>
                          <a:stretch>
                            <a:fillRect/>
                          </a:stretch>
                        </pic:blipFill>
                        <pic:spPr>
                          <a:xfrm>
                            <a:off x="0" y="0"/>
                            <a:ext cx="2182495" cy="172720"/>
                          </a:xfrm>
                          <a:prstGeom prst="rect">
                            <a:avLst/>
                          </a:prstGeom>
                          <a:noFill/>
                          <a:ln w="9525">
                            <a:noFill/>
                            <a:miter lim="800000"/>
                            <a:headEnd/>
                            <a:tailEnd/>
                          </a:ln>
                        </pic:spPr>
                      </pic:pic>
                    </a:graphicData>
                  </a:graphic>
                </wp:inline>
              </w:drawing>
            </w:r>
          </w:p>
          <w:p w14:paraId="7CACA387">
            <w:pPr>
              <w:spacing w:line="360" w:lineRule="auto"/>
              <w:ind w:firstLine="420" w:firstLineChars="200"/>
              <w:rPr>
                <w:color w:val="auto"/>
              </w:rPr>
            </w:pPr>
            <w:r>
              <w:rPr>
                <w:color w:val="auto"/>
              </w:rPr>
              <w:t>式中：L</w:t>
            </w:r>
            <w:r>
              <w:rPr>
                <w:rFonts w:hint="eastAsia"/>
                <w:color w:val="auto"/>
                <w:vertAlign w:val="subscript"/>
              </w:rPr>
              <w:t>p</w:t>
            </w:r>
            <w:r>
              <w:rPr>
                <w:color w:val="auto"/>
              </w:rPr>
              <w:t>（r）为距声源r处的A声级；</w:t>
            </w:r>
          </w:p>
          <w:p w14:paraId="40D6846F">
            <w:pPr>
              <w:spacing w:line="360" w:lineRule="auto"/>
              <w:ind w:left="1470" w:leftChars="450" w:hanging="525" w:hangingChars="250"/>
              <w:rPr>
                <w:color w:val="auto"/>
              </w:rPr>
            </w:pPr>
            <w:r>
              <w:rPr>
                <w:rFonts w:hint="eastAsia"/>
                <w:color w:val="auto"/>
              </w:rPr>
              <w:t>D</w:t>
            </w:r>
            <w:r>
              <w:rPr>
                <w:rFonts w:hint="eastAsia"/>
                <w:color w:val="auto"/>
                <w:vertAlign w:val="subscript"/>
              </w:rPr>
              <w:t>c</w:t>
            </w:r>
            <w:r>
              <w:rPr>
                <w:rFonts w:hint="eastAsia"/>
                <w:color w:val="auto"/>
              </w:rPr>
              <w:t>为指向性校正，它描述点声源的等效连续声压级与产生声功率级L w 的全向点声源在规定方向的声级的偏差程度，dB</w:t>
            </w:r>
          </w:p>
          <w:p w14:paraId="4E9E8B72">
            <w:pPr>
              <w:spacing w:line="360" w:lineRule="auto"/>
              <w:ind w:firstLine="991" w:firstLineChars="472"/>
              <w:rPr>
                <w:color w:val="auto"/>
              </w:rPr>
            </w:pPr>
            <w:r>
              <w:rPr>
                <w:color w:val="auto"/>
              </w:rPr>
              <w:t>L</w:t>
            </w:r>
            <w:r>
              <w:rPr>
                <w:color w:val="auto"/>
                <w:vertAlign w:val="subscript"/>
              </w:rPr>
              <w:t>A</w:t>
            </w:r>
            <w:r>
              <w:rPr>
                <w:color w:val="auto"/>
              </w:rPr>
              <w:t>（r</w:t>
            </w:r>
            <w:r>
              <w:rPr>
                <w:color w:val="auto"/>
                <w:vertAlign w:val="subscript"/>
              </w:rPr>
              <w:t>0</w:t>
            </w:r>
            <w:r>
              <w:rPr>
                <w:color w:val="auto"/>
              </w:rPr>
              <w:t>）为参考位置r</w:t>
            </w:r>
            <w:r>
              <w:rPr>
                <w:color w:val="auto"/>
                <w:vertAlign w:val="subscript"/>
              </w:rPr>
              <w:t>0</w:t>
            </w:r>
            <w:r>
              <w:rPr>
                <w:color w:val="auto"/>
              </w:rPr>
              <w:t>的A声级；</w:t>
            </w:r>
          </w:p>
          <w:p w14:paraId="275369CB">
            <w:pPr>
              <w:spacing w:line="360" w:lineRule="auto"/>
              <w:ind w:firstLine="991" w:firstLineChars="472"/>
              <w:rPr>
                <w:color w:val="auto"/>
              </w:rPr>
            </w:pPr>
            <w:r>
              <w:rPr>
                <w:color w:val="auto"/>
              </w:rPr>
              <w:t>A</w:t>
            </w:r>
            <w:r>
              <w:rPr>
                <w:color w:val="auto"/>
                <w:vertAlign w:val="subscript"/>
              </w:rPr>
              <w:t>div</w:t>
            </w:r>
            <w:r>
              <w:rPr>
                <w:color w:val="auto"/>
              </w:rPr>
              <w:t>为声波几何发散引起的A声级衰减量；</w:t>
            </w:r>
          </w:p>
          <w:p w14:paraId="1D25B65F">
            <w:pPr>
              <w:spacing w:line="360" w:lineRule="auto"/>
              <w:ind w:firstLine="991" w:firstLineChars="472"/>
              <w:rPr>
                <w:color w:val="auto"/>
              </w:rPr>
            </w:pPr>
            <w:r>
              <w:rPr>
                <w:color w:val="auto"/>
              </w:rPr>
              <w:t>A</w:t>
            </w:r>
            <w:r>
              <w:rPr>
                <w:color w:val="auto"/>
                <w:vertAlign w:val="subscript"/>
              </w:rPr>
              <w:t>atm</w:t>
            </w:r>
            <w:r>
              <w:rPr>
                <w:color w:val="auto"/>
              </w:rPr>
              <w:t>为大气吸收引起的A声级衰减量；</w:t>
            </w:r>
          </w:p>
          <w:p w14:paraId="2CAE44E8">
            <w:pPr>
              <w:spacing w:line="360" w:lineRule="auto"/>
              <w:ind w:firstLine="991" w:firstLineChars="472"/>
              <w:rPr>
                <w:color w:val="auto"/>
              </w:rPr>
            </w:pPr>
            <w:r>
              <w:rPr>
                <w:color w:val="auto"/>
              </w:rPr>
              <w:t>A</w:t>
            </w:r>
            <w:r>
              <w:rPr>
                <w:color w:val="auto"/>
                <w:vertAlign w:val="subscript"/>
              </w:rPr>
              <w:t>gr</w:t>
            </w:r>
            <w:r>
              <w:rPr>
                <w:color w:val="auto"/>
              </w:rPr>
              <w:t>为地面效应引起的A声级衰减量；</w:t>
            </w:r>
          </w:p>
          <w:p w14:paraId="6DB1625B">
            <w:pPr>
              <w:spacing w:line="360" w:lineRule="auto"/>
              <w:ind w:firstLine="991" w:firstLineChars="472"/>
              <w:rPr>
                <w:color w:val="auto"/>
              </w:rPr>
            </w:pPr>
            <w:r>
              <w:rPr>
                <w:color w:val="auto"/>
              </w:rPr>
              <w:t>A</w:t>
            </w:r>
            <w:r>
              <w:rPr>
                <w:color w:val="auto"/>
                <w:vertAlign w:val="subscript"/>
              </w:rPr>
              <w:t>bar</w:t>
            </w:r>
            <w:r>
              <w:rPr>
                <w:color w:val="auto"/>
              </w:rPr>
              <w:t>为声屏障引起的A声级衰减量；</w:t>
            </w:r>
          </w:p>
          <w:p w14:paraId="540BBBAD">
            <w:pPr>
              <w:spacing w:line="360" w:lineRule="auto"/>
              <w:ind w:firstLine="991" w:firstLineChars="472"/>
              <w:rPr>
                <w:color w:val="auto"/>
              </w:rPr>
            </w:pPr>
            <w:r>
              <w:rPr>
                <w:color w:val="auto"/>
              </w:rPr>
              <w:t>A</w:t>
            </w:r>
            <w:r>
              <w:rPr>
                <w:color w:val="auto"/>
                <w:vertAlign w:val="subscript"/>
              </w:rPr>
              <w:t>misc</w:t>
            </w:r>
            <w:r>
              <w:rPr>
                <w:color w:val="auto"/>
              </w:rPr>
              <w:t>为其他多方面效应引起的A声级衰减量。</w:t>
            </w:r>
          </w:p>
          <w:p w14:paraId="1F9C115B">
            <w:pPr>
              <w:spacing w:line="360" w:lineRule="auto"/>
              <w:ind w:firstLine="371" w:firstLineChars="177"/>
              <w:rPr>
                <w:color w:val="auto"/>
              </w:rPr>
            </w:pPr>
            <w:r>
              <w:rPr>
                <w:color w:val="auto"/>
              </w:rPr>
              <w:t>根据表</w:t>
            </w:r>
            <w:r>
              <w:rPr>
                <w:rFonts w:hint="eastAsia"/>
                <w:color w:val="auto"/>
              </w:rPr>
              <w:t>4-</w:t>
            </w:r>
            <w:r>
              <w:rPr>
                <w:rFonts w:hint="eastAsia"/>
                <w:color w:val="auto"/>
                <w:lang w:val="en-US" w:eastAsia="zh-CN"/>
              </w:rPr>
              <w:t>6</w:t>
            </w:r>
            <w:r>
              <w:rPr>
                <w:rFonts w:hint="eastAsia"/>
                <w:color w:val="auto"/>
              </w:rPr>
              <w:t>~</w:t>
            </w:r>
            <w:r>
              <w:rPr>
                <w:rFonts w:hint="eastAsia"/>
                <w:color w:val="auto"/>
                <w:lang w:val="en-US" w:eastAsia="zh-CN"/>
              </w:rPr>
              <w:t>4-7</w:t>
            </w:r>
            <w:r>
              <w:rPr>
                <w:color w:val="auto"/>
              </w:rPr>
              <w:t>中各噪声源的噪声水平及其采取的降噪及隔声效果，考虑Adiv的衰减量，来预测本工程主要噪声源对周围声环境的影响几何发散引起的A声级衰减量的计算公式如下：</w:t>
            </w:r>
          </w:p>
          <w:p w14:paraId="753A6D42">
            <w:pPr>
              <w:spacing w:line="360" w:lineRule="auto"/>
              <w:ind w:firstLine="371" w:firstLineChars="177"/>
              <w:jc w:val="center"/>
              <w:rPr>
                <w:color w:val="auto"/>
              </w:rPr>
            </w:pPr>
            <w:r>
              <w:rPr>
                <w:color w:val="auto"/>
                <w:position w:val="-30"/>
              </w:rPr>
              <w:object>
                <v:shape id="_x0000_i1025" o:spt="75" type="#_x0000_t75" style="height:29.85pt;width:117.2pt;" o:ole="t" filled="f" o:preferrelative="t" stroked="f" coordsize="21600,21600">
                  <v:path/>
                  <v:fill on="f" focussize="0,0"/>
                  <v:stroke on="f" joinstyle="miter"/>
                  <v:imagedata r:id="rId27" o:title=""/>
                  <o:lock v:ext="edit" aspectratio="t"/>
                  <w10:wrap type="none"/>
                  <w10:anchorlock/>
                </v:shape>
                <o:OLEObject Type="Embed" ProgID="Equation.3" ShapeID="_x0000_i1025" DrawAspect="Content" ObjectID="_1468075728" r:id="rId26">
                  <o:LockedField>false</o:LockedField>
                </o:OLEObject>
              </w:object>
            </w:r>
          </w:p>
          <w:p w14:paraId="15DA16F1">
            <w:pPr>
              <w:spacing w:line="360" w:lineRule="auto"/>
              <w:ind w:firstLine="420" w:firstLineChars="200"/>
              <w:rPr>
                <w:color w:val="auto"/>
              </w:rPr>
            </w:pPr>
            <w:r>
              <w:rPr>
                <w:color w:val="auto"/>
              </w:rPr>
              <w:t>对多个声源同时存在时，其总A声级用下式计算：</w:t>
            </w:r>
          </w:p>
          <w:p w14:paraId="5F400789">
            <w:pPr>
              <w:spacing w:line="360" w:lineRule="auto"/>
              <w:ind w:firstLine="420" w:firstLineChars="200"/>
              <w:jc w:val="center"/>
              <w:rPr>
                <w:color w:val="auto"/>
              </w:rPr>
            </w:pPr>
            <w:r>
              <w:rPr>
                <w:color w:val="auto"/>
                <w:position w:val="-28"/>
              </w:rPr>
              <w:object>
                <v:shape id="_x0000_i1026" o:spt="75" type="#_x0000_t75" style="height:29.85pt;width:101.85pt;" o:ole="t" filled="f" o:preferrelative="t" stroked="f" coordsize="21600,21600">
                  <v:path/>
                  <v:fill on="f" focussize="0,0"/>
                  <v:stroke on="f" joinstyle="miter"/>
                  <v:imagedata r:id="rId29" o:title=""/>
                  <o:lock v:ext="edit" aspectratio="t"/>
                  <w10:wrap type="none"/>
                  <w10:anchorlock/>
                </v:shape>
                <o:OLEObject Type="Embed" ProgID="Equation.3" ShapeID="_x0000_i1026" DrawAspect="Content" ObjectID="_1468075729" r:id="rId28">
                  <o:LockedField>false</o:LockedField>
                </o:OLEObject>
              </w:object>
            </w:r>
          </w:p>
          <w:p w14:paraId="17CA3275">
            <w:pPr>
              <w:spacing w:line="360" w:lineRule="auto"/>
              <w:ind w:firstLine="420" w:firstLineChars="200"/>
              <w:rPr>
                <w:rFonts w:hint="default" w:eastAsia="宋体"/>
                <w:color w:val="auto"/>
                <w:spacing w:val="4"/>
                <w:szCs w:val="21"/>
                <w:lang w:val="en-US" w:eastAsia="zh-CN"/>
              </w:rPr>
            </w:pPr>
            <w:r>
              <w:rPr>
                <w:color w:val="auto"/>
              </w:rPr>
              <w:t>式中：L</w:t>
            </w:r>
            <w:r>
              <w:rPr>
                <w:color w:val="auto"/>
                <w:vertAlign w:val="subscript"/>
              </w:rPr>
              <w:t>eqg</w:t>
            </w:r>
            <w:r>
              <w:rPr>
                <w:color w:val="auto"/>
              </w:rPr>
              <w:t>为本项目声源在预测点的等效声级贡献值，dB（A）；L</w:t>
            </w:r>
            <w:r>
              <w:rPr>
                <w:color w:val="auto"/>
                <w:vertAlign w:val="subscript"/>
              </w:rPr>
              <w:t>Ai</w:t>
            </w:r>
            <w:r>
              <w:rPr>
                <w:color w:val="auto"/>
              </w:rPr>
              <w:t>为i声源在预测点产生的A声级，dB（A）；T预测计算的时间段，s；t</w:t>
            </w:r>
            <w:r>
              <w:rPr>
                <w:color w:val="auto"/>
                <w:vertAlign w:val="subscript"/>
              </w:rPr>
              <w:t>i</w:t>
            </w:r>
            <w:r>
              <w:rPr>
                <w:color w:val="auto"/>
              </w:rPr>
              <w:t>为i声源在T时段内的运行时间，s。</w:t>
            </w:r>
            <w:r>
              <w:rPr>
                <w:rFonts w:hint="eastAsia"/>
                <w:color w:val="auto"/>
                <w:lang w:val="en-US" w:eastAsia="zh-CN"/>
              </w:rPr>
              <w:t xml:space="preserve">    </w:t>
            </w:r>
          </w:p>
          <w:p w14:paraId="78362DC1">
            <w:pPr>
              <w:spacing w:line="360" w:lineRule="auto"/>
              <w:ind w:firstLine="436" w:firstLineChars="200"/>
              <w:rPr>
                <w:color w:val="auto"/>
                <w:spacing w:val="4"/>
                <w:szCs w:val="21"/>
              </w:rPr>
            </w:pPr>
            <w:r>
              <w:rPr>
                <w:color w:val="auto"/>
                <w:spacing w:val="4"/>
                <w:szCs w:val="21"/>
              </w:rPr>
              <w:t>采用模式预测法对项目运营后</w:t>
            </w:r>
            <w:r>
              <w:rPr>
                <w:rFonts w:hint="eastAsia"/>
                <w:color w:val="auto"/>
                <w:spacing w:val="4"/>
                <w:szCs w:val="21"/>
                <w:lang w:eastAsia="zh-CN"/>
              </w:rPr>
              <w:t>（</w:t>
            </w:r>
            <w:r>
              <w:rPr>
                <w:rFonts w:hint="eastAsia"/>
                <w:color w:val="auto"/>
                <w:spacing w:val="4"/>
                <w:szCs w:val="21"/>
                <w:lang w:val="en-US" w:eastAsia="zh-CN"/>
              </w:rPr>
              <w:t>夜间不生产</w:t>
            </w:r>
            <w:r>
              <w:rPr>
                <w:rFonts w:hint="eastAsia"/>
                <w:color w:val="auto"/>
                <w:spacing w:val="4"/>
                <w:szCs w:val="21"/>
                <w:lang w:eastAsia="zh-CN"/>
              </w:rPr>
              <w:t>）</w:t>
            </w:r>
            <w:r>
              <w:rPr>
                <w:color w:val="auto"/>
                <w:spacing w:val="4"/>
                <w:szCs w:val="21"/>
              </w:rPr>
              <w:t>的厂界噪声进行预测</w:t>
            </w:r>
            <w:r>
              <w:rPr>
                <w:rFonts w:hint="eastAsia"/>
                <w:color w:val="auto"/>
                <w:spacing w:val="4"/>
                <w:szCs w:val="21"/>
              </w:rPr>
              <w:t>，结果见表4</w:t>
            </w:r>
            <w:r>
              <w:rPr>
                <w:rFonts w:hint="eastAsia"/>
                <w:color w:val="auto"/>
                <w:spacing w:val="4"/>
                <w:szCs w:val="21"/>
                <w:lang w:val="en-US" w:eastAsia="zh-CN"/>
              </w:rPr>
              <w:t>.3</w:t>
            </w:r>
            <w:r>
              <w:rPr>
                <w:rFonts w:hint="eastAsia"/>
                <w:color w:val="auto"/>
                <w:spacing w:val="4"/>
                <w:szCs w:val="21"/>
              </w:rPr>
              <w:t>-</w:t>
            </w:r>
            <w:r>
              <w:rPr>
                <w:rFonts w:hint="eastAsia"/>
                <w:color w:val="auto"/>
                <w:spacing w:val="4"/>
                <w:szCs w:val="21"/>
                <w:lang w:val="en-US" w:eastAsia="zh-CN"/>
              </w:rPr>
              <w:t>2</w:t>
            </w:r>
            <w:r>
              <w:rPr>
                <w:rFonts w:hint="eastAsia"/>
                <w:color w:val="auto"/>
                <w:spacing w:val="4"/>
                <w:szCs w:val="21"/>
              </w:rPr>
              <w:t>。</w:t>
            </w:r>
          </w:p>
          <w:p w14:paraId="05A9064B">
            <w:pPr>
              <w:jc w:val="center"/>
              <w:rPr>
                <w:b/>
                <w:color w:val="auto"/>
                <w:sz w:val="18"/>
                <w:szCs w:val="18"/>
              </w:rPr>
            </w:pPr>
            <w:r>
              <w:rPr>
                <w:b/>
                <w:color w:val="auto"/>
                <w:sz w:val="18"/>
                <w:szCs w:val="18"/>
              </w:rPr>
              <w:t>表</w:t>
            </w:r>
            <w:r>
              <w:rPr>
                <w:rFonts w:hint="eastAsia"/>
                <w:b/>
                <w:color w:val="auto"/>
                <w:sz w:val="18"/>
                <w:szCs w:val="18"/>
              </w:rPr>
              <w:t>4</w:t>
            </w:r>
            <w:r>
              <w:rPr>
                <w:rFonts w:hint="eastAsia"/>
                <w:b/>
                <w:color w:val="auto"/>
                <w:sz w:val="18"/>
                <w:szCs w:val="18"/>
                <w:lang w:val="en-US" w:eastAsia="zh-CN"/>
              </w:rPr>
              <w:t>.3</w:t>
            </w:r>
            <w:r>
              <w:rPr>
                <w:rFonts w:hint="eastAsia"/>
                <w:b/>
                <w:color w:val="auto"/>
                <w:sz w:val="18"/>
                <w:szCs w:val="18"/>
              </w:rPr>
              <w:t>-</w:t>
            </w:r>
            <w:r>
              <w:rPr>
                <w:rFonts w:hint="eastAsia"/>
                <w:b/>
                <w:color w:val="auto"/>
                <w:sz w:val="18"/>
                <w:szCs w:val="18"/>
                <w:lang w:val="en-US" w:eastAsia="zh-CN"/>
              </w:rPr>
              <w:t>2</w:t>
            </w:r>
            <w:r>
              <w:rPr>
                <w:b/>
                <w:color w:val="auto"/>
                <w:sz w:val="18"/>
                <w:szCs w:val="18"/>
              </w:rPr>
              <w:t xml:space="preserve">  </w:t>
            </w:r>
            <w:r>
              <w:rPr>
                <w:rFonts w:hint="eastAsia"/>
                <w:b/>
                <w:color w:val="auto"/>
                <w:sz w:val="18"/>
                <w:szCs w:val="18"/>
              </w:rPr>
              <w:t xml:space="preserve">  </w:t>
            </w:r>
            <w:r>
              <w:rPr>
                <w:b/>
                <w:color w:val="auto"/>
                <w:sz w:val="18"/>
                <w:szCs w:val="18"/>
              </w:rPr>
              <w:t>项目运营期噪声预测结果（Leq  单位：dB(A)）</w:t>
            </w:r>
          </w:p>
          <w:tbl>
            <w:tblPr>
              <w:tblStyle w:val="47"/>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627"/>
              <w:gridCol w:w="2140"/>
              <w:gridCol w:w="2140"/>
              <w:gridCol w:w="2143"/>
            </w:tblGrid>
            <w:tr w14:paraId="366234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10" w:type="pct"/>
                  <w:vMerge w:val="restart"/>
                  <w:vAlign w:val="center"/>
                </w:tcPr>
                <w:p w14:paraId="5CEBCF7D">
                  <w:pPr>
                    <w:pStyle w:val="24"/>
                    <w:jc w:val="center"/>
                    <w:rPr>
                      <w:rFonts w:ascii="Times New Roman" w:hAnsi="Times New Roman"/>
                      <w:bCs/>
                      <w:color w:val="auto"/>
                      <w:sz w:val="18"/>
                      <w:szCs w:val="18"/>
                    </w:rPr>
                  </w:pPr>
                  <w:r>
                    <w:rPr>
                      <w:rFonts w:ascii="Times New Roman" w:hAnsi="Times New Roman"/>
                      <w:bCs/>
                      <w:color w:val="auto"/>
                      <w:sz w:val="18"/>
                      <w:szCs w:val="18"/>
                    </w:rPr>
                    <w:t>测点</w:t>
                  </w:r>
                </w:p>
              </w:tc>
              <w:tc>
                <w:tcPr>
                  <w:tcW w:w="1329" w:type="pct"/>
                  <w:vMerge w:val="restart"/>
                  <w:vAlign w:val="center"/>
                </w:tcPr>
                <w:p w14:paraId="37BE2973">
                  <w:pPr>
                    <w:pStyle w:val="24"/>
                    <w:jc w:val="center"/>
                    <w:rPr>
                      <w:rFonts w:ascii="Times New Roman" w:hAnsi="Times New Roman"/>
                      <w:bCs/>
                      <w:color w:val="auto"/>
                      <w:sz w:val="18"/>
                      <w:szCs w:val="18"/>
                    </w:rPr>
                  </w:pPr>
                  <w:r>
                    <w:rPr>
                      <w:rFonts w:ascii="Times New Roman" w:hAnsi="Times New Roman"/>
                      <w:bCs/>
                      <w:color w:val="auto"/>
                      <w:sz w:val="18"/>
                      <w:szCs w:val="18"/>
                    </w:rPr>
                    <w:t>位置</w:t>
                  </w:r>
                </w:p>
              </w:tc>
              <w:tc>
                <w:tcPr>
                  <w:tcW w:w="2660" w:type="pct"/>
                  <w:gridSpan w:val="2"/>
                  <w:vAlign w:val="center"/>
                </w:tcPr>
                <w:p w14:paraId="0DA38144">
                  <w:pPr>
                    <w:pStyle w:val="24"/>
                    <w:jc w:val="center"/>
                    <w:rPr>
                      <w:rFonts w:ascii="Times New Roman" w:hAnsi="Times New Roman"/>
                      <w:bCs/>
                      <w:color w:val="auto"/>
                      <w:sz w:val="18"/>
                      <w:szCs w:val="18"/>
                    </w:rPr>
                  </w:pPr>
                  <w:r>
                    <w:rPr>
                      <w:rFonts w:ascii="Times New Roman" w:hAnsi="Times New Roman"/>
                      <w:bCs/>
                      <w:color w:val="auto"/>
                      <w:sz w:val="18"/>
                      <w:szCs w:val="18"/>
                    </w:rPr>
                    <w:t>昼间</w:t>
                  </w:r>
                </w:p>
              </w:tc>
            </w:tr>
            <w:tr w14:paraId="74CC77F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10" w:type="pct"/>
                  <w:vMerge w:val="continue"/>
                  <w:vAlign w:val="center"/>
                </w:tcPr>
                <w:p w14:paraId="3F711DC3">
                  <w:pPr>
                    <w:pStyle w:val="24"/>
                    <w:jc w:val="center"/>
                    <w:rPr>
                      <w:rFonts w:ascii="Times New Roman" w:hAnsi="Times New Roman"/>
                      <w:bCs/>
                      <w:color w:val="auto"/>
                      <w:sz w:val="18"/>
                      <w:szCs w:val="18"/>
                    </w:rPr>
                  </w:pPr>
                </w:p>
              </w:tc>
              <w:tc>
                <w:tcPr>
                  <w:tcW w:w="1329" w:type="pct"/>
                  <w:vMerge w:val="continue"/>
                  <w:vAlign w:val="center"/>
                </w:tcPr>
                <w:p w14:paraId="5B1B522C">
                  <w:pPr>
                    <w:pStyle w:val="24"/>
                    <w:jc w:val="center"/>
                    <w:rPr>
                      <w:rFonts w:ascii="Times New Roman" w:hAnsi="Times New Roman"/>
                      <w:bCs/>
                      <w:color w:val="auto"/>
                      <w:sz w:val="18"/>
                      <w:szCs w:val="18"/>
                    </w:rPr>
                  </w:pPr>
                </w:p>
              </w:tc>
              <w:tc>
                <w:tcPr>
                  <w:tcW w:w="1329" w:type="pct"/>
                  <w:vAlign w:val="center"/>
                </w:tcPr>
                <w:p w14:paraId="47BEB9BC">
                  <w:pPr>
                    <w:pStyle w:val="24"/>
                    <w:jc w:val="center"/>
                    <w:rPr>
                      <w:rFonts w:ascii="Times New Roman" w:hAnsi="Times New Roman"/>
                      <w:bCs/>
                      <w:color w:val="auto"/>
                      <w:sz w:val="18"/>
                      <w:szCs w:val="18"/>
                    </w:rPr>
                  </w:pPr>
                  <w:r>
                    <w:rPr>
                      <w:rFonts w:hint="eastAsia" w:ascii="Times New Roman" w:hAnsi="Times New Roman"/>
                      <w:bCs/>
                      <w:color w:val="auto"/>
                      <w:sz w:val="18"/>
                      <w:szCs w:val="18"/>
                      <w:lang w:val="en-US" w:eastAsia="zh-CN"/>
                    </w:rPr>
                    <w:t>贡献</w:t>
                  </w:r>
                  <w:r>
                    <w:rPr>
                      <w:rFonts w:hint="eastAsia" w:ascii="Times New Roman" w:hAnsi="Times New Roman"/>
                      <w:bCs/>
                      <w:color w:val="auto"/>
                      <w:sz w:val="18"/>
                      <w:szCs w:val="18"/>
                    </w:rPr>
                    <w:t>值</w:t>
                  </w:r>
                </w:p>
              </w:tc>
              <w:tc>
                <w:tcPr>
                  <w:tcW w:w="1331" w:type="pct"/>
                  <w:vAlign w:val="center"/>
                </w:tcPr>
                <w:p w14:paraId="0C206AC0">
                  <w:pPr>
                    <w:pStyle w:val="24"/>
                    <w:jc w:val="center"/>
                    <w:rPr>
                      <w:rFonts w:ascii="Times New Roman" w:hAnsi="Times New Roman"/>
                      <w:bCs/>
                      <w:color w:val="auto"/>
                      <w:sz w:val="18"/>
                      <w:szCs w:val="18"/>
                    </w:rPr>
                  </w:pPr>
                  <w:r>
                    <w:rPr>
                      <w:rFonts w:ascii="Times New Roman" w:hAnsi="Times New Roman"/>
                      <w:bCs/>
                      <w:color w:val="auto"/>
                      <w:sz w:val="18"/>
                      <w:szCs w:val="18"/>
                    </w:rPr>
                    <w:t>标准值</w:t>
                  </w:r>
                </w:p>
              </w:tc>
            </w:tr>
            <w:tr w14:paraId="1D8492C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10" w:type="pct"/>
                  <w:vAlign w:val="center"/>
                </w:tcPr>
                <w:p w14:paraId="0D1349F0">
                  <w:pPr>
                    <w:pStyle w:val="24"/>
                    <w:jc w:val="center"/>
                    <w:rPr>
                      <w:rFonts w:ascii="Times New Roman" w:hAnsi="Times New Roman"/>
                      <w:bCs/>
                      <w:color w:val="auto"/>
                      <w:sz w:val="18"/>
                      <w:szCs w:val="18"/>
                    </w:rPr>
                  </w:pPr>
                  <w:r>
                    <w:rPr>
                      <w:rFonts w:ascii="Times New Roman" w:hAnsi="Times New Roman"/>
                      <w:bCs/>
                      <w:color w:val="auto"/>
                      <w:sz w:val="18"/>
                      <w:szCs w:val="18"/>
                    </w:rPr>
                    <w:t>1</w:t>
                  </w:r>
                </w:p>
              </w:tc>
              <w:tc>
                <w:tcPr>
                  <w:tcW w:w="1329" w:type="pct"/>
                  <w:vAlign w:val="center"/>
                </w:tcPr>
                <w:p w14:paraId="341BEEE8">
                  <w:pPr>
                    <w:pStyle w:val="24"/>
                    <w:jc w:val="center"/>
                    <w:rPr>
                      <w:rFonts w:ascii="Times New Roman" w:hAnsi="Times New Roman"/>
                      <w:bCs/>
                      <w:color w:val="auto"/>
                      <w:sz w:val="18"/>
                      <w:szCs w:val="18"/>
                    </w:rPr>
                  </w:pPr>
                  <w:r>
                    <w:rPr>
                      <w:rFonts w:ascii="Times New Roman" w:hAnsi="Times New Roman"/>
                      <w:bCs/>
                      <w:color w:val="auto"/>
                      <w:sz w:val="18"/>
                      <w:szCs w:val="18"/>
                    </w:rPr>
                    <w:t>东边界</w:t>
                  </w:r>
                </w:p>
              </w:tc>
              <w:tc>
                <w:tcPr>
                  <w:tcW w:w="1329" w:type="pct"/>
                  <w:vAlign w:val="center"/>
                </w:tcPr>
                <w:p w14:paraId="01CF265B">
                  <w:pPr>
                    <w:pStyle w:val="24"/>
                    <w:jc w:val="center"/>
                    <w:rPr>
                      <w:rFonts w:hint="eastAsia" w:ascii="Times New Roman" w:hAnsi="Times New Roman" w:eastAsia="宋体"/>
                      <w:bCs/>
                      <w:color w:val="auto"/>
                      <w:sz w:val="18"/>
                      <w:szCs w:val="18"/>
                      <w:lang w:eastAsia="zh-CN"/>
                    </w:rPr>
                  </w:pPr>
                  <w:r>
                    <w:rPr>
                      <w:rFonts w:hint="eastAsia" w:ascii="Times New Roman" w:hAnsi="Times New Roman"/>
                      <w:bCs/>
                      <w:color w:val="auto"/>
                      <w:sz w:val="18"/>
                      <w:szCs w:val="18"/>
                    </w:rPr>
                    <w:t>49.</w:t>
                  </w:r>
                  <w:r>
                    <w:rPr>
                      <w:rFonts w:hint="eastAsia" w:ascii="Times New Roman" w:hAnsi="Times New Roman"/>
                      <w:bCs/>
                      <w:color w:val="auto"/>
                      <w:sz w:val="18"/>
                      <w:szCs w:val="18"/>
                      <w:lang w:val="en-US" w:eastAsia="zh-CN"/>
                    </w:rPr>
                    <w:t>2</w:t>
                  </w:r>
                </w:p>
              </w:tc>
              <w:tc>
                <w:tcPr>
                  <w:tcW w:w="1331" w:type="pct"/>
                  <w:vMerge w:val="restart"/>
                  <w:vAlign w:val="center"/>
                </w:tcPr>
                <w:p w14:paraId="1C641569">
                  <w:pPr>
                    <w:jc w:val="center"/>
                    <w:rPr>
                      <w:rFonts w:hint="default" w:ascii="Times New Roman" w:hAnsi="Times New Roman"/>
                      <w:bCs/>
                      <w:color w:val="auto"/>
                      <w:sz w:val="18"/>
                      <w:szCs w:val="18"/>
                      <w:lang w:val="en-US"/>
                    </w:rPr>
                  </w:pPr>
                  <w:r>
                    <w:rPr>
                      <w:rFonts w:hint="eastAsia"/>
                      <w:bCs/>
                      <w:color w:val="auto"/>
                      <w:sz w:val="18"/>
                      <w:szCs w:val="18"/>
                      <w:lang w:val="en-US" w:eastAsia="zh-CN"/>
                    </w:rPr>
                    <w:t>60</w:t>
                  </w:r>
                </w:p>
              </w:tc>
            </w:tr>
            <w:tr w14:paraId="129420A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10" w:type="pct"/>
                  <w:vAlign w:val="center"/>
                </w:tcPr>
                <w:p w14:paraId="61C4B393">
                  <w:pPr>
                    <w:pStyle w:val="24"/>
                    <w:jc w:val="center"/>
                    <w:rPr>
                      <w:rFonts w:ascii="Times New Roman" w:hAnsi="Times New Roman"/>
                      <w:bCs/>
                      <w:color w:val="auto"/>
                      <w:sz w:val="18"/>
                      <w:szCs w:val="18"/>
                    </w:rPr>
                  </w:pPr>
                  <w:r>
                    <w:rPr>
                      <w:rFonts w:ascii="Times New Roman" w:hAnsi="Times New Roman"/>
                      <w:bCs/>
                      <w:color w:val="auto"/>
                      <w:sz w:val="18"/>
                      <w:szCs w:val="18"/>
                    </w:rPr>
                    <w:t>2</w:t>
                  </w:r>
                </w:p>
              </w:tc>
              <w:tc>
                <w:tcPr>
                  <w:tcW w:w="1329" w:type="pct"/>
                  <w:vAlign w:val="center"/>
                </w:tcPr>
                <w:p w14:paraId="57385D73">
                  <w:pPr>
                    <w:jc w:val="center"/>
                    <w:rPr>
                      <w:bCs/>
                      <w:color w:val="auto"/>
                      <w:sz w:val="18"/>
                      <w:szCs w:val="18"/>
                    </w:rPr>
                  </w:pPr>
                  <w:r>
                    <w:rPr>
                      <w:bCs/>
                      <w:color w:val="auto"/>
                      <w:sz w:val="18"/>
                      <w:szCs w:val="18"/>
                    </w:rPr>
                    <w:t>南边界</w:t>
                  </w:r>
                </w:p>
              </w:tc>
              <w:tc>
                <w:tcPr>
                  <w:tcW w:w="1329" w:type="pct"/>
                  <w:vAlign w:val="center"/>
                </w:tcPr>
                <w:p w14:paraId="2FC344DC">
                  <w:pPr>
                    <w:pStyle w:val="24"/>
                    <w:jc w:val="center"/>
                    <w:rPr>
                      <w:rFonts w:hint="eastAsia" w:ascii="Times New Roman" w:hAnsi="Times New Roman" w:eastAsia="宋体"/>
                      <w:bCs/>
                      <w:color w:val="auto"/>
                      <w:sz w:val="18"/>
                      <w:szCs w:val="18"/>
                      <w:lang w:eastAsia="zh-CN"/>
                    </w:rPr>
                  </w:pPr>
                  <w:r>
                    <w:rPr>
                      <w:rFonts w:hint="eastAsia" w:ascii="Times New Roman" w:hAnsi="Times New Roman"/>
                      <w:bCs/>
                      <w:color w:val="auto"/>
                      <w:sz w:val="18"/>
                      <w:szCs w:val="18"/>
                    </w:rPr>
                    <w:t>48.</w:t>
                  </w:r>
                  <w:r>
                    <w:rPr>
                      <w:rFonts w:hint="eastAsia" w:ascii="Times New Roman" w:hAnsi="Times New Roman"/>
                      <w:bCs/>
                      <w:color w:val="auto"/>
                      <w:sz w:val="18"/>
                      <w:szCs w:val="18"/>
                      <w:lang w:val="en-US" w:eastAsia="zh-CN"/>
                    </w:rPr>
                    <w:t>3</w:t>
                  </w:r>
                </w:p>
              </w:tc>
              <w:tc>
                <w:tcPr>
                  <w:tcW w:w="1331" w:type="pct"/>
                  <w:vMerge w:val="continue"/>
                  <w:vAlign w:val="center"/>
                </w:tcPr>
                <w:p w14:paraId="00AFA95F">
                  <w:pPr>
                    <w:jc w:val="center"/>
                    <w:rPr>
                      <w:rFonts w:ascii="Times New Roman" w:hAnsi="Times New Roman"/>
                      <w:bCs/>
                      <w:color w:val="auto"/>
                      <w:sz w:val="18"/>
                      <w:szCs w:val="18"/>
                    </w:rPr>
                  </w:pPr>
                </w:p>
              </w:tc>
            </w:tr>
            <w:tr w14:paraId="0AE0340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10" w:type="pct"/>
                  <w:vAlign w:val="center"/>
                </w:tcPr>
                <w:p w14:paraId="67DE4ABD">
                  <w:pPr>
                    <w:pStyle w:val="24"/>
                    <w:jc w:val="center"/>
                    <w:rPr>
                      <w:rFonts w:ascii="Times New Roman" w:hAnsi="Times New Roman"/>
                      <w:bCs/>
                      <w:color w:val="auto"/>
                      <w:sz w:val="18"/>
                      <w:szCs w:val="18"/>
                    </w:rPr>
                  </w:pPr>
                  <w:r>
                    <w:rPr>
                      <w:rFonts w:ascii="Times New Roman" w:hAnsi="Times New Roman"/>
                      <w:bCs/>
                      <w:color w:val="auto"/>
                      <w:sz w:val="18"/>
                      <w:szCs w:val="18"/>
                    </w:rPr>
                    <w:t>3</w:t>
                  </w:r>
                </w:p>
              </w:tc>
              <w:tc>
                <w:tcPr>
                  <w:tcW w:w="1329" w:type="pct"/>
                  <w:vAlign w:val="center"/>
                </w:tcPr>
                <w:p w14:paraId="3153B0FA">
                  <w:pPr>
                    <w:jc w:val="center"/>
                    <w:rPr>
                      <w:bCs/>
                      <w:color w:val="auto"/>
                      <w:sz w:val="18"/>
                      <w:szCs w:val="18"/>
                    </w:rPr>
                  </w:pPr>
                  <w:r>
                    <w:rPr>
                      <w:bCs/>
                      <w:color w:val="auto"/>
                      <w:sz w:val="18"/>
                      <w:szCs w:val="18"/>
                    </w:rPr>
                    <w:t>西边界</w:t>
                  </w:r>
                </w:p>
              </w:tc>
              <w:tc>
                <w:tcPr>
                  <w:tcW w:w="1329" w:type="pct"/>
                  <w:vAlign w:val="center"/>
                </w:tcPr>
                <w:p w14:paraId="70178205">
                  <w:pPr>
                    <w:pStyle w:val="24"/>
                    <w:jc w:val="center"/>
                    <w:rPr>
                      <w:rFonts w:hint="eastAsia" w:ascii="Times New Roman" w:hAnsi="Times New Roman" w:eastAsia="宋体"/>
                      <w:bCs/>
                      <w:color w:val="auto"/>
                      <w:sz w:val="18"/>
                      <w:szCs w:val="18"/>
                      <w:lang w:eastAsia="zh-CN"/>
                    </w:rPr>
                  </w:pPr>
                  <w:r>
                    <w:rPr>
                      <w:rFonts w:hint="eastAsia" w:ascii="Times New Roman" w:hAnsi="Times New Roman"/>
                      <w:bCs/>
                      <w:color w:val="auto"/>
                      <w:sz w:val="18"/>
                      <w:szCs w:val="18"/>
                    </w:rPr>
                    <w:t>47.</w:t>
                  </w:r>
                  <w:r>
                    <w:rPr>
                      <w:rFonts w:hint="eastAsia" w:ascii="Times New Roman" w:hAnsi="Times New Roman"/>
                      <w:bCs/>
                      <w:color w:val="auto"/>
                      <w:sz w:val="18"/>
                      <w:szCs w:val="18"/>
                      <w:lang w:val="en-US" w:eastAsia="zh-CN"/>
                    </w:rPr>
                    <w:t>6</w:t>
                  </w:r>
                </w:p>
              </w:tc>
              <w:tc>
                <w:tcPr>
                  <w:tcW w:w="1331" w:type="pct"/>
                  <w:vMerge w:val="continue"/>
                  <w:vAlign w:val="center"/>
                </w:tcPr>
                <w:p w14:paraId="4DECEA64">
                  <w:pPr>
                    <w:jc w:val="center"/>
                    <w:rPr>
                      <w:rFonts w:ascii="Times New Roman" w:hAnsi="Times New Roman"/>
                      <w:bCs/>
                      <w:color w:val="auto"/>
                      <w:sz w:val="18"/>
                      <w:szCs w:val="18"/>
                    </w:rPr>
                  </w:pPr>
                </w:p>
              </w:tc>
            </w:tr>
            <w:tr w14:paraId="519A99D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10" w:type="pct"/>
                  <w:vAlign w:val="center"/>
                </w:tcPr>
                <w:p w14:paraId="710351B2">
                  <w:pPr>
                    <w:pStyle w:val="24"/>
                    <w:jc w:val="center"/>
                    <w:rPr>
                      <w:rFonts w:ascii="Times New Roman" w:hAnsi="Times New Roman"/>
                      <w:bCs/>
                      <w:color w:val="auto"/>
                      <w:sz w:val="18"/>
                      <w:szCs w:val="18"/>
                    </w:rPr>
                  </w:pPr>
                  <w:r>
                    <w:rPr>
                      <w:rFonts w:ascii="Times New Roman" w:hAnsi="Times New Roman"/>
                      <w:bCs/>
                      <w:color w:val="auto"/>
                      <w:sz w:val="18"/>
                      <w:szCs w:val="18"/>
                    </w:rPr>
                    <w:t>4</w:t>
                  </w:r>
                </w:p>
              </w:tc>
              <w:tc>
                <w:tcPr>
                  <w:tcW w:w="1329" w:type="pct"/>
                  <w:vAlign w:val="center"/>
                </w:tcPr>
                <w:p w14:paraId="55B57673">
                  <w:pPr>
                    <w:jc w:val="center"/>
                    <w:rPr>
                      <w:bCs/>
                      <w:color w:val="auto"/>
                      <w:sz w:val="18"/>
                      <w:szCs w:val="18"/>
                    </w:rPr>
                  </w:pPr>
                  <w:r>
                    <w:rPr>
                      <w:bCs/>
                      <w:color w:val="auto"/>
                      <w:sz w:val="18"/>
                      <w:szCs w:val="18"/>
                    </w:rPr>
                    <w:t>北边界</w:t>
                  </w:r>
                </w:p>
              </w:tc>
              <w:tc>
                <w:tcPr>
                  <w:tcW w:w="1329" w:type="pct"/>
                  <w:vAlign w:val="center"/>
                </w:tcPr>
                <w:p w14:paraId="2C08E8AD">
                  <w:pPr>
                    <w:pStyle w:val="24"/>
                    <w:jc w:val="center"/>
                    <w:rPr>
                      <w:rFonts w:ascii="Times New Roman" w:hAnsi="Times New Roman"/>
                      <w:bCs/>
                      <w:color w:val="auto"/>
                      <w:sz w:val="18"/>
                      <w:szCs w:val="18"/>
                    </w:rPr>
                  </w:pPr>
                  <w:r>
                    <w:rPr>
                      <w:rFonts w:hint="eastAsia" w:ascii="Times New Roman" w:hAnsi="Times New Roman"/>
                      <w:bCs/>
                      <w:color w:val="auto"/>
                      <w:sz w:val="18"/>
                      <w:szCs w:val="18"/>
                    </w:rPr>
                    <w:t>49.6</w:t>
                  </w:r>
                </w:p>
              </w:tc>
              <w:tc>
                <w:tcPr>
                  <w:tcW w:w="1331" w:type="pct"/>
                  <w:vMerge w:val="continue"/>
                  <w:vAlign w:val="center"/>
                </w:tcPr>
                <w:p w14:paraId="26BB1578">
                  <w:pPr>
                    <w:jc w:val="center"/>
                    <w:rPr>
                      <w:rFonts w:ascii="Times New Roman" w:hAnsi="Times New Roman"/>
                      <w:bCs/>
                      <w:color w:val="auto"/>
                      <w:sz w:val="18"/>
                      <w:szCs w:val="18"/>
                    </w:rPr>
                  </w:pPr>
                </w:p>
              </w:tc>
            </w:tr>
          </w:tbl>
          <w:p w14:paraId="18C74F7F">
            <w:pPr>
              <w:spacing w:line="360" w:lineRule="auto"/>
              <w:ind w:firstLine="420" w:firstLineChars="200"/>
              <w:rPr>
                <w:color w:val="auto"/>
                <w:szCs w:val="21"/>
              </w:rPr>
            </w:pPr>
            <w:r>
              <w:rPr>
                <w:rFonts w:hint="eastAsia"/>
                <w:color w:val="auto"/>
                <w:szCs w:val="21"/>
                <w:lang w:val="en-US" w:eastAsia="zh-CN"/>
              </w:rPr>
              <w:t>项目夜间不生产，</w:t>
            </w:r>
            <w:r>
              <w:rPr>
                <w:color w:val="auto"/>
                <w:szCs w:val="21"/>
              </w:rPr>
              <w:t>由表</w:t>
            </w:r>
            <w:r>
              <w:rPr>
                <w:rFonts w:hint="eastAsia"/>
                <w:color w:val="auto"/>
                <w:szCs w:val="21"/>
              </w:rPr>
              <w:t>4</w:t>
            </w:r>
            <w:r>
              <w:rPr>
                <w:rFonts w:hint="eastAsia"/>
                <w:color w:val="auto"/>
                <w:szCs w:val="21"/>
                <w:lang w:val="en-US" w:eastAsia="zh-CN"/>
              </w:rPr>
              <w:t>.3</w:t>
            </w:r>
            <w:r>
              <w:rPr>
                <w:rFonts w:hint="eastAsia"/>
                <w:color w:val="auto"/>
                <w:szCs w:val="21"/>
              </w:rPr>
              <w:t>-</w:t>
            </w:r>
            <w:r>
              <w:rPr>
                <w:rFonts w:hint="eastAsia"/>
                <w:color w:val="auto"/>
                <w:szCs w:val="21"/>
                <w:lang w:val="en-US" w:eastAsia="zh-CN"/>
              </w:rPr>
              <w:t>3</w:t>
            </w:r>
            <w:r>
              <w:rPr>
                <w:color w:val="auto"/>
                <w:szCs w:val="21"/>
              </w:rPr>
              <w:t>可看出，项目</w:t>
            </w:r>
            <w:r>
              <w:rPr>
                <w:rFonts w:hint="eastAsia"/>
                <w:color w:val="auto"/>
                <w:szCs w:val="21"/>
              </w:rPr>
              <w:t>昼</w:t>
            </w:r>
            <w:r>
              <w:rPr>
                <w:rFonts w:hint="eastAsia"/>
                <w:color w:val="auto"/>
                <w:szCs w:val="21"/>
                <w:lang w:val="en-US" w:eastAsia="zh-CN"/>
              </w:rPr>
              <w:t>间</w:t>
            </w:r>
            <w:r>
              <w:rPr>
                <w:color w:val="auto"/>
                <w:szCs w:val="21"/>
              </w:rPr>
              <w:t>厂界噪声未超过《工业企业厂界环境噪声排放标准》（GB12348-2008）中</w:t>
            </w:r>
            <w:r>
              <w:rPr>
                <w:rFonts w:hint="eastAsia"/>
                <w:color w:val="auto"/>
                <w:szCs w:val="21"/>
                <w:lang w:val="en-US" w:eastAsia="zh-CN"/>
              </w:rPr>
              <w:t>2</w:t>
            </w:r>
            <w:r>
              <w:rPr>
                <w:color w:val="auto"/>
                <w:szCs w:val="21"/>
              </w:rPr>
              <w:t>类标准限值要求</w:t>
            </w:r>
            <w:r>
              <w:rPr>
                <w:rFonts w:hint="eastAsia"/>
                <w:color w:val="auto"/>
                <w:szCs w:val="21"/>
                <w:lang w:eastAsia="zh-CN"/>
              </w:rPr>
              <w:t>，</w:t>
            </w:r>
            <w:r>
              <w:rPr>
                <w:rFonts w:hint="eastAsia"/>
                <w:color w:val="auto"/>
                <w:szCs w:val="21"/>
              </w:rPr>
              <w:t>因此项目对</w:t>
            </w:r>
            <w:r>
              <w:rPr>
                <w:color w:val="auto"/>
                <w:szCs w:val="21"/>
              </w:rPr>
              <w:t>声</w:t>
            </w:r>
            <w:r>
              <w:rPr>
                <w:bCs/>
                <w:color w:val="auto"/>
                <w:szCs w:val="21"/>
              </w:rPr>
              <w:t>环境影响</w:t>
            </w:r>
            <w:r>
              <w:rPr>
                <w:rFonts w:hint="eastAsia"/>
                <w:bCs/>
                <w:color w:val="auto"/>
                <w:szCs w:val="21"/>
              </w:rPr>
              <w:t>较</w:t>
            </w:r>
            <w:r>
              <w:rPr>
                <w:color w:val="auto"/>
                <w:szCs w:val="21"/>
              </w:rPr>
              <w:t>小。</w:t>
            </w:r>
          </w:p>
          <w:p w14:paraId="2747E1B4">
            <w:pPr>
              <w:spacing w:line="360" w:lineRule="auto"/>
              <w:ind w:firstLine="413" w:firstLineChars="196"/>
              <w:rPr>
                <w:b/>
                <w:color w:val="auto"/>
                <w:szCs w:val="21"/>
              </w:rPr>
            </w:pPr>
            <w:r>
              <w:rPr>
                <w:rFonts w:hint="eastAsia"/>
                <w:b/>
                <w:color w:val="auto"/>
                <w:szCs w:val="21"/>
                <w:lang w:val="en-US" w:eastAsia="zh-CN"/>
              </w:rPr>
              <w:t>4.</w:t>
            </w:r>
            <w:r>
              <w:rPr>
                <w:b/>
                <w:color w:val="auto"/>
                <w:szCs w:val="21"/>
              </w:rPr>
              <w:t>4固体废物</w:t>
            </w:r>
          </w:p>
          <w:p w14:paraId="58A7CF85">
            <w:pPr>
              <w:widowControl/>
              <w:snapToGrid w:val="0"/>
              <w:spacing w:line="360" w:lineRule="auto"/>
              <w:ind w:firstLine="422" w:firstLineChars="200"/>
              <w:rPr>
                <w:rFonts w:hint="default"/>
                <w:b/>
                <w:bCs w:val="0"/>
                <w:color w:val="auto"/>
                <w:szCs w:val="21"/>
                <w:lang w:val="en-US" w:eastAsia="zh-CN"/>
              </w:rPr>
            </w:pPr>
            <w:r>
              <w:rPr>
                <w:rFonts w:hint="eastAsia"/>
                <w:b/>
                <w:bCs w:val="0"/>
                <w:color w:val="auto"/>
                <w:szCs w:val="21"/>
                <w:lang w:val="en-US" w:eastAsia="zh-CN"/>
              </w:rPr>
              <w:t>4.4.1固体废物产生及利用处置情况</w:t>
            </w:r>
          </w:p>
          <w:p w14:paraId="72205B56">
            <w:pPr>
              <w:widowControl/>
              <w:snapToGrid w:val="0"/>
              <w:spacing w:line="360" w:lineRule="auto"/>
              <w:ind w:firstLine="420" w:firstLineChars="200"/>
              <w:rPr>
                <w:rFonts w:hint="eastAsia"/>
                <w:bCs/>
                <w:color w:val="auto"/>
                <w:szCs w:val="21"/>
                <w:lang w:val="en-US" w:eastAsia="zh-CN"/>
              </w:rPr>
            </w:pPr>
            <w:r>
              <w:rPr>
                <w:rFonts w:hint="eastAsia"/>
                <w:bCs/>
                <w:color w:val="auto"/>
                <w:szCs w:val="21"/>
                <w:lang w:val="en-US" w:eastAsia="zh-CN"/>
              </w:rPr>
              <w:t>本项目营运期固体废物主要包括一般工业固废、危险废物生活垃圾。</w:t>
            </w:r>
          </w:p>
          <w:p w14:paraId="6803F6DA">
            <w:pPr>
              <w:spacing w:line="360" w:lineRule="auto"/>
              <w:ind w:firstLine="420" w:firstLineChars="200"/>
              <w:rPr>
                <w:rFonts w:hint="eastAsia"/>
                <w:bCs/>
                <w:color w:val="auto"/>
                <w:szCs w:val="21"/>
                <w:lang w:val="en-US" w:eastAsia="zh-CN"/>
              </w:rPr>
            </w:pPr>
            <w:r>
              <w:rPr>
                <w:rFonts w:hint="eastAsia"/>
                <w:bCs/>
                <w:color w:val="auto"/>
                <w:szCs w:val="21"/>
                <w:lang w:val="en-US" w:eastAsia="zh-CN"/>
              </w:rPr>
              <w:t>（</w:t>
            </w:r>
            <w:r>
              <w:rPr>
                <w:rFonts w:hint="default"/>
                <w:bCs/>
                <w:color w:val="auto"/>
                <w:szCs w:val="21"/>
                <w:lang w:val="en-US" w:eastAsia="zh-CN"/>
              </w:rPr>
              <w:t>1</w:t>
            </w:r>
            <w:r>
              <w:rPr>
                <w:rFonts w:hint="eastAsia"/>
                <w:bCs/>
                <w:color w:val="auto"/>
                <w:szCs w:val="21"/>
                <w:lang w:val="en-US" w:eastAsia="zh-CN"/>
              </w:rPr>
              <w:t xml:space="preserve">）一般工业固体废物 </w:t>
            </w:r>
          </w:p>
          <w:p w14:paraId="491B0265">
            <w:pPr>
              <w:spacing w:line="360" w:lineRule="auto"/>
              <w:ind w:firstLine="420" w:firstLineChars="200"/>
              <w:rPr>
                <w:rFonts w:hint="eastAsia"/>
                <w:bCs/>
                <w:color w:val="auto"/>
                <w:szCs w:val="21"/>
                <w:lang w:val="en-US" w:eastAsia="zh-CN"/>
              </w:rPr>
            </w:pPr>
            <w:r>
              <w:rPr>
                <w:rFonts w:hint="eastAsia"/>
                <w:bCs/>
                <w:color w:val="auto"/>
                <w:szCs w:val="21"/>
                <w:lang w:val="en-US" w:eastAsia="zh-CN"/>
              </w:rPr>
              <w:t xml:space="preserve">①除尘灰 </w:t>
            </w:r>
          </w:p>
          <w:p w14:paraId="684BC3F6">
            <w:pPr>
              <w:spacing w:line="360" w:lineRule="auto"/>
              <w:ind w:firstLine="420" w:firstLineChars="200"/>
              <w:rPr>
                <w:rFonts w:hint="default"/>
                <w:bCs/>
                <w:color w:val="auto"/>
                <w:szCs w:val="21"/>
                <w:lang w:val="en-US" w:eastAsia="zh-CN"/>
              </w:rPr>
            </w:pPr>
            <w:r>
              <w:rPr>
                <w:rFonts w:hint="eastAsia"/>
                <w:bCs/>
                <w:color w:val="auto"/>
                <w:szCs w:val="21"/>
                <w:lang w:val="en-US" w:eastAsia="zh-CN"/>
              </w:rPr>
              <w:t>根据前文分析可知，本项目设置的多处除尘设施收集的除尘灰主要为石料破碎筛分后的粉末、粉料粉末、混凝土搅拌粉末、燃烧器燃烧颗粒物等，产生量约为89.28t/a，定期更换布袋，定期返回搅拌机组，回用于生产，不外排。</w:t>
            </w:r>
          </w:p>
          <w:p w14:paraId="40F3FBFF">
            <w:pPr>
              <w:spacing w:line="360" w:lineRule="auto"/>
              <w:ind w:firstLine="420" w:firstLineChars="200"/>
              <w:rPr>
                <w:rFonts w:hint="eastAsia"/>
                <w:bCs/>
                <w:color w:val="auto"/>
                <w:szCs w:val="21"/>
                <w:lang w:val="en-US" w:eastAsia="zh-CN"/>
              </w:rPr>
            </w:pPr>
            <w:r>
              <w:rPr>
                <w:rFonts w:hint="eastAsia"/>
                <w:bCs/>
                <w:color w:val="auto"/>
                <w:szCs w:val="21"/>
                <w:lang w:val="en-US" w:eastAsia="zh-CN"/>
              </w:rPr>
              <w:t>②废石料</w:t>
            </w:r>
          </w:p>
          <w:p w14:paraId="55AF28A6">
            <w:pPr>
              <w:spacing w:line="360" w:lineRule="auto"/>
              <w:ind w:firstLine="420" w:firstLineChars="200"/>
              <w:rPr>
                <w:rFonts w:hint="default"/>
                <w:bCs/>
                <w:color w:val="auto"/>
                <w:szCs w:val="21"/>
                <w:lang w:val="en-US" w:eastAsia="zh-CN"/>
              </w:rPr>
            </w:pPr>
            <w:r>
              <w:rPr>
                <w:rFonts w:hint="eastAsia"/>
                <w:bCs/>
                <w:color w:val="auto"/>
                <w:szCs w:val="21"/>
                <w:lang w:val="en-US" w:eastAsia="zh-CN"/>
              </w:rPr>
              <w:t>沥青混凝土生产中使用的骨料经预热后进入振动筛，筛分后符合要求的骨料进入搅拌系统，不符合要求的废石料经专门的出料口排出。项目废石料产生量为10t/a。产生的废石料可返回混凝土生产线作为原料。</w:t>
            </w:r>
          </w:p>
          <w:p w14:paraId="2450DBF2">
            <w:pPr>
              <w:widowControl/>
              <w:snapToGrid w:val="0"/>
              <w:spacing w:line="360" w:lineRule="auto"/>
              <w:ind w:firstLine="420" w:firstLineChars="200"/>
              <w:rPr>
                <w:bCs/>
                <w:szCs w:val="21"/>
              </w:rPr>
            </w:pPr>
            <w:r>
              <w:rPr>
                <w:rFonts w:hint="eastAsia"/>
                <w:bCs/>
                <w:color w:val="auto"/>
                <w:szCs w:val="21"/>
                <w:lang w:val="en-US" w:eastAsia="zh-CN"/>
              </w:rPr>
              <w:t>③</w:t>
            </w:r>
            <w:r>
              <w:rPr>
                <w:bCs/>
                <w:szCs w:val="21"/>
              </w:rPr>
              <w:t>滴漏沥青</w:t>
            </w:r>
            <w:r>
              <w:rPr>
                <w:rFonts w:hint="eastAsia"/>
                <w:bCs/>
                <w:szCs w:val="21"/>
              </w:rPr>
              <w:t>及</w:t>
            </w:r>
            <w:r>
              <w:rPr>
                <w:bCs/>
                <w:szCs w:val="21"/>
              </w:rPr>
              <w:t>拌</w:t>
            </w:r>
            <w:r>
              <w:rPr>
                <w:rFonts w:hint="eastAsia"/>
                <w:bCs/>
                <w:szCs w:val="21"/>
                <w:lang w:val="en-US" w:eastAsia="zh-CN"/>
              </w:rPr>
              <w:t>合</w:t>
            </w:r>
            <w:r>
              <w:rPr>
                <w:bCs/>
                <w:szCs w:val="21"/>
              </w:rPr>
              <w:t>残渣</w:t>
            </w:r>
          </w:p>
          <w:p w14:paraId="33B42664">
            <w:pPr>
              <w:widowControl/>
              <w:snapToGrid w:val="0"/>
              <w:spacing w:line="360" w:lineRule="auto"/>
              <w:ind w:firstLine="420" w:firstLineChars="200"/>
              <w:rPr>
                <w:bCs/>
                <w:szCs w:val="21"/>
              </w:rPr>
            </w:pPr>
            <w:r>
              <w:rPr>
                <w:bCs/>
                <w:szCs w:val="21"/>
              </w:rPr>
              <w:t>当散装沥青运输车将沥青输入到厂区沥青储罐，</w:t>
            </w:r>
            <w:r>
              <w:rPr>
                <w:rFonts w:hint="eastAsia"/>
                <w:bCs/>
                <w:szCs w:val="21"/>
              </w:rPr>
              <w:t>以及</w:t>
            </w:r>
            <w:r>
              <w:rPr>
                <w:bCs/>
                <w:szCs w:val="21"/>
              </w:rPr>
              <w:t>沥青泵将沥青从储罐打入</w:t>
            </w:r>
            <w:r>
              <w:rPr>
                <w:rFonts w:hint="eastAsia"/>
                <w:bCs/>
                <w:szCs w:val="21"/>
              </w:rPr>
              <w:t>生产</w:t>
            </w:r>
            <w:r>
              <w:rPr>
                <w:bCs/>
                <w:szCs w:val="21"/>
              </w:rPr>
              <w:t>系统时，由于接口的密闭性问题，</w:t>
            </w:r>
            <w:r>
              <w:rPr>
                <w:rFonts w:hint="eastAsia"/>
                <w:bCs/>
                <w:szCs w:val="21"/>
              </w:rPr>
              <w:t>可能</w:t>
            </w:r>
            <w:r>
              <w:rPr>
                <w:bCs/>
                <w:szCs w:val="21"/>
              </w:rPr>
              <w:t>会滴漏少量沥青，沥青的滴漏量和项目使用设备及生产管理水平有关。沥青暴露于常温下时呈凝固状态，不会四处流溢，滴漏沥青及拌和残渣年产生量参照同类企业类比，约为0.1t/a。</w:t>
            </w:r>
          </w:p>
          <w:p w14:paraId="54564724">
            <w:pPr>
              <w:widowControl/>
              <w:snapToGrid w:val="0"/>
              <w:spacing w:line="360" w:lineRule="auto"/>
              <w:ind w:firstLine="420" w:firstLineChars="200"/>
              <w:rPr>
                <w:bCs/>
                <w:szCs w:val="21"/>
              </w:rPr>
            </w:pPr>
            <w:r>
              <w:rPr>
                <w:bCs/>
                <w:szCs w:val="21"/>
              </w:rPr>
              <w:t>滴漏的沥青、拌和残渣属于在生产过程中泄漏的原材料和产品。对于滴漏沥青和拌和残渣，评价要求企业采取以下措施：</w:t>
            </w:r>
          </w:p>
          <w:p w14:paraId="3DFEB883">
            <w:pPr>
              <w:widowControl/>
              <w:snapToGrid w:val="0"/>
              <w:spacing w:line="360" w:lineRule="auto"/>
              <w:ind w:firstLine="420" w:firstLineChars="200"/>
              <w:rPr>
                <w:rFonts w:hint="eastAsia"/>
                <w:bCs/>
                <w:szCs w:val="21"/>
              </w:rPr>
            </w:pPr>
            <w:r>
              <w:rPr>
                <w:bCs/>
                <w:szCs w:val="21"/>
              </w:rPr>
              <w:t>加强生产管理水平，定期对沥青输送管道和储罐进行检查、维护，杜绝滴漏现象，降低此类固体废物的产生量</w:t>
            </w:r>
            <w:r>
              <w:rPr>
                <w:rFonts w:hint="eastAsia"/>
                <w:bCs/>
                <w:szCs w:val="21"/>
                <w:lang w:eastAsia="zh-CN"/>
              </w:rPr>
              <w:t>；</w:t>
            </w:r>
            <w:r>
              <w:rPr>
                <w:bCs/>
                <w:szCs w:val="21"/>
              </w:rPr>
              <w:t>除沥青储罐外，严禁在场内其他地点或容器内储存或加热沥青</w:t>
            </w:r>
            <w:r>
              <w:rPr>
                <w:rFonts w:hint="eastAsia"/>
                <w:bCs/>
                <w:szCs w:val="21"/>
                <w:lang w:eastAsia="zh-CN"/>
              </w:rPr>
              <w:t>；</w:t>
            </w:r>
            <w:r>
              <w:rPr>
                <w:bCs/>
                <w:szCs w:val="21"/>
              </w:rPr>
              <w:t>指定专人在沥青滴漏处和</w:t>
            </w:r>
            <w:r>
              <w:rPr>
                <w:rFonts w:hint="eastAsia"/>
                <w:bCs/>
                <w:szCs w:val="21"/>
              </w:rPr>
              <w:t>搅拌系统</w:t>
            </w:r>
            <w:r>
              <w:rPr>
                <w:bCs/>
                <w:szCs w:val="21"/>
              </w:rPr>
              <w:t>泄漏处用专用的容器接装滴漏沥青</w:t>
            </w:r>
            <w:r>
              <w:rPr>
                <w:rFonts w:hint="eastAsia"/>
                <w:bCs/>
                <w:szCs w:val="21"/>
              </w:rPr>
              <w:t>及</w:t>
            </w:r>
            <w:r>
              <w:rPr>
                <w:bCs/>
                <w:szCs w:val="21"/>
              </w:rPr>
              <w:t>拌和残渣</w:t>
            </w:r>
            <w:r>
              <w:rPr>
                <w:rFonts w:hint="eastAsia"/>
                <w:bCs/>
                <w:szCs w:val="21"/>
              </w:rPr>
              <w:t>收集后，回用于项目生产。</w:t>
            </w:r>
          </w:p>
          <w:p w14:paraId="42DCDB15">
            <w:pPr>
              <w:widowControl/>
              <w:snapToGrid w:val="0"/>
              <w:spacing w:line="360" w:lineRule="auto"/>
              <w:ind w:firstLine="420" w:firstLineChars="200"/>
              <w:rPr>
                <w:rFonts w:hint="default"/>
                <w:bCs/>
                <w:szCs w:val="21"/>
                <w:lang w:val="en-US" w:eastAsia="zh-CN"/>
              </w:rPr>
            </w:pPr>
            <w:r>
              <w:rPr>
                <w:rFonts w:hint="eastAsia"/>
                <w:bCs/>
                <w:szCs w:val="21"/>
                <w:lang w:val="en-US" w:eastAsia="zh-CN"/>
              </w:rPr>
              <w:t>④废渣、沉渣</w:t>
            </w:r>
          </w:p>
          <w:p w14:paraId="39B4F5FC">
            <w:pPr>
              <w:widowControl/>
              <w:snapToGrid w:val="0"/>
              <w:spacing w:line="360" w:lineRule="auto"/>
              <w:ind w:firstLine="420" w:firstLineChars="200"/>
              <w:rPr>
                <w:rFonts w:hint="eastAsia"/>
                <w:bCs/>
                <w:szCs w:val="21"/>
                <w:lang w:val="en-US" w:eastAsia="zh-CN"/>
              </w:rPr>
            </w:pPr>
            <w:r>
              <w:rPr>
                <w:rFonts w:hint="eastAsia"/>
                <w:bCs/>
                <w:szCs w:val="21"/>
                <w:lang w:val="en-US" w:eastAsia="zh-CN"/>
              </w:rPr>
              <w:t>混凝土、水稳土搅拌机组需要定期清洗，清洗废水汇入沉淀池，池内会产生一定的废渣，主要成分为废渣料，产生量约为2.0t/a，定期清掏，并返回生产系统。</w:t>
            </w:r>
          </w:p>
          <w:p w14:paraId="6F0AA477">
            <w:pPr>
              <w:widowControl/>
              <w:snapToGrid w:val="0"/>
              <w:spacing w:line="360" w:lineRule="auto"/>
              <w:ind w:firstLine="420" w:firstLineChars="200"/>
              <w:rPr>
                <w:rFonts w:hint="eastAsia"/>
                <w:bCs/>
                <w:szCs w:val="21"/>
                <w:lang w:val="en-US" w:eastAsia="zh-CN"/>
              </w:rPr>
            </w:pPr>
            <w:r>
              <w:rPr>
                <w:rFonts w:hint="eastAsia"/>
                <w:bCs/>
                <w:szCs w:val="21"/>
                <w:lang w:val="en-US" w:eastAsia="zh-CN"/>
              </w:rPr>
              <w:t>洗车平台配套循环水池（由沉淀池兼顾）会产生一定的沉渣，主要为车辆清洗下来的泥沙，产生量约为0.5t/a，可作为原料返回生产作为原料。</w:t>
            </w:r>
          </w:p>
          <w:p w14:paraId="00C700EE">
            <w:pPr>
              <w:widowControl/>
              <w:snapToGrid w:val="0"/>
              <w:spacing w:line="360" w:lineRule="auto"/>
              <w:ind w:firstLine="420" w:firstLineChars="200"/>
              <w:rPr>
                <w:rFonts w:hint="eastAsia"/>
                <w:bCs/>
                <w:szCs w:val="21"/>
                <w:lang w:val="en-US" w:eastAsia="zh-CN"/>
              </w:rPr>
            </w:pPr>
            <w:r>
              <w:rPr>
                <w:rFonts w:hint="eastAsia"/>
                <w:bCs/>
                <w:szCs w:val="21"/>
                <w:lang w:val="en-US" w:eastAsia="zh-CN"/>
              </w:rPr>
              <w:t>⑤废滤袋</w:t>
            </w:r>
          </w:p>
          <w:p w14:paraId="52839FAC">
            <w:pPr>
              <w:widowControl/>
              <w:snapToGrid w:val="0"/>
              <w:spacing w:line="360" w:lineRule="auto"/>
              <w:ind w:firstLine="420" w:firstLineChars="200"/>
              <w:rPr>
                <w:rFonts w:hint="default"/>
                <w:bCs/>
                <w:szCs w:val="21"/>
                <w:lang w:val="en-US" w:eastAsia="zh-CN"/>
              </w:rPr>
            </w:pPr>
            <w:r>
              <w:rPr>
                <w:rFonts w:hint="eastAsia"/>
                <w:bCs/>
                <w:szCs w:val="21"/>
                <w:lang w:val="en-US" w:eastAsia="zh-CN"/>
              </w:rPr>
              <w:t>本项目布袋除尘器需用定期更换过滤布袋，更换下来的费布袋由厂家回收，再利用，不在本项目厂区内贮存，本项目布袋每年更换1次，产生量约为0.05t/a。</w:t>
            </w:r>
          </w:p>
          <w:p w14:paraId="2D0A45A2">
            <w:pPr>
              <w:spacing w:line="360" w:lineRule="auto"/>
              <w:ind w:firstLine="420" w:firstLineChars="200"/>
              <w:rPr>
                <w:rFonts w:hint="eastAsia"/>
                <w:bCs/>
                <w:color w:val="auto"/>
                <w:szCs w:val="21"/>
                <w:lang w:val="en-US" w:eastAsia="zh-CN"/>
              </w:rPr>
            </w:pPr>
            <w:r>
              <w:rPr>
                <w:rFonts w:hint="eastAsia"/>
                <w:bCs/>
                <w:color w:val="auto"/>
                <w:szCs w:val="21"/>
                <w:lang w:val="en-US" w:eastAsia="zh-CN"/>
              </w:rPr>
              <w:t>（2）危险废物</w:t>
            </w:r>
          </w:p>
          <w:p w14:paraId="47EDFCCD">
            <w:pPr>
              <w:spacing w:line="360" w:lineRule="auto"/>
              <w:ind w:firstLine="420" w:firstLineChars="200"/>
              <w:rPr>
                <w:rFonts w:hint="default"/>
                <w:bCs/>
                <w:color w:val="auto"/>
                <w:szCs w:val="21"/>
                <w:lang w:val="en-US" w:eastAsia="zh-CN"/>
              </w:rPr>
            </w:pPr>
            <w:r>
              <w:rPr>
                <w:rFonts w:hint="eastAsia"/>
                <w:bCs/>
                <w:color w:val="auto"/>
                <w:szCs w:val="21"/>
                <w:lang w:val="en-US" w:eastAsia="zh-CN"/>
              </w:rPr>
              <w:t>①废矿物油、废油桶、废棉纱及含油抹布</w:t>
            </w:r>
          </w:p>
          <w:p w14:paraId="716FEB96">
            <w:pPr>
              <w:spacing w:line="360" w:lineRule="auto"/>
              <w:ind w:firstLine="420" w:firstLineChars="200"/>
              <w:rPr>
                <w:rFonts w:hint="default"/>
                <w:bCs/>
                <w:color w:val="auto"/>
                <w:szCs w:val="21"/>
                <w:lang w:val="en-US" w:eastAsia="zh-CN"/>
              </w:rPr>
            </w:pPr>
            <w:r>
              <w:rPr>
                <w:rFonts w:hint="eastAsia"/>
                <w:bCs/>
                <w:color w:val="auto"/>
                <w:szCs w:val="21"/>
                <w:lang w:val="en-US" w:eastAsia="zh-CN"/>
              </w:rPr>
              <w:t>本项目设置有多种运行加工设备，需要定期维护保养以及检修，过程中会产生一定的废矿物油、废油桶、废棉纱、含油抹布等。</w:t>
            </w:r>
          </w:p>
          <w:p w14:paraId="7F05D0FE">
            <w:pPr>
              <w:spacing w:line="360" w:lineRule="auto"/>
              <w:ind w:firstLine="420" w:firstLineChars="200"/>
              <w:rPr>
                <w:rFonts w:hint="eastAsia"/>
                <w:bCs/>
                <w:color w:val="auto"/>
                <w:szCs w:val="21"/>
                <w:lang w:eastAsia="zh-CN"/>
              </w:rPr>
            </w:pPr>
            <w:r>
              <w:rPr>
                <w:rFonts w:hint="eastAsia"/>
                <w:bCs/>
                <w:color w:val="auto"/>
                <w:szCs w:val="21"/>
              </w:rPr>
              <w:t>其中废</w:t>
            </w:r>
            <w:r>
              <w:rPr>
                <w:rFonts w:hint="eastAsia"/>
                <w:bCs/>
                <w:color w:val="auto"/>
                <w:szCs w:val="21"/>
                <w:lang w:val="en-US" w:eastAsia="zh-CN"/>
              </w:rPr>
              <w:t>矿物</w:t>
            </w:r>
            <w:r>
              <w:rPr>
                <w:rFonts w:hint="eastAsia"/>
                <w:bCs/>
                <w:color w:val="auto"/>
                <w:szCs w:val="21"/>
              </w:rPr>
              <w:t>油产生量约为</w:t>
            </w:r>
            <w:r>
              <w:rPr>
                <w:rFonts w:hint="eastAsia"/>
                <w:bCs/>
                <w:color w:val="auto"/>
                <w:szCs w:val="21"/>
                <w:lang w:val="en-US" w:eastAsia="zh-CN"/>
              </w:rPr>
              <w:t>矿物油（润滑油）使用量的10%，本项目维修保养矿物油（润滑油）使用量约为2.0t/a，则废矿物油产生量约为</w:t>
            </w:r>
            <w:r>
              <w:rPr>
                <w:rFonts w:hint="eastAsia"/>
                <w:bCs/>
                <w:color w:val="auto"/>
                <w:szCs w:val="21"/>
              </w:rPr>
              <w:t xml:space="preserve"> 0.</w:t>
            </w:r>
            <w:r>
              <w:rPr>
                <w:rFonts w:hint="eastAsia"/>
                <w:bCs/>
                <w:color w:val="auto"/>
                <w:szCs w:val="21"/>
                <w:lang w:val="en-US" w:eastAsia="zh-CN"/>
              </w:rPr>
              <w:t>2</w:t>
            </w:r>
            <w:r>
              <w:rPr>
                <w:rFonts w:hint="eastAsia"/>
                <w:bCs/>
                <w:color w:val="auto"/>
                <w:szCs w:val="21"/>
              </w:rPr>
              <w:t>t/a</w:t>
            </w:r>
            <w:r>
              <w:rPr>
                <w:rFonts w:hint="eastAsia"/>
                <w:bCs/>
                <w:color w:val="auto"/>
                <w:szCs w:val="21"/>
                <w:lang w:eastAsia="zh-CN"/>
              </w:rPr>
              <w:t>；</w:t>
            </w:r>
          </w:p>
          <w:p w14:paraId="12E3FE5B">
            <w:pPr>
              <w:spacing w:line="360" w:lineRule="auto"/>
              <w:ind w:firstLine="420" w:firstLineChars="200"/>
              <w:rPr>
                <w:rFonts w:hint="eastAsia"/>
                <w:bCs/>
                <w:color w:val="auto"/>
                <w:szCs w:val="21"/>
                <w:lang w:val="en-US" w:eastAsia="zh-CN"/>
              </w:rPr>
            </w:pPr>
            <w:r>
              <w:rPr>
                <w:rFonts w:hint="eastAsia"/>
                <w:bCs/>
                <w:color w:val="auto"/>
                <w:szCs w:val="21"/>
              </w:rPr>
              <w:t>废油桶</w:t>
            </w:r>
            <w:r>
              <w:rPr>
                <w:rFonts w:hint="eastAsia"/>
                <w:bCs/>
                <w:color w:val="auto"/>
                <w:szCs w:val="21"/>
                <w:lang w:val="en-US" w:eastAsia="zh-CN"/>
              </w:rPr>
              <w:t>包括维修保养使用矿物油的废油桶，其中单个塑料油桶重量约为0.5kg，矿物油采用25kg/桶装，废油桶产生约80个，废油桶</w:t>
            </w:r>
            <w:r>
              <w:rPr>
                <w:rFonts w:hint="eastAsia"/>
                <w:bCs/>
                <w:color w:val="auto"/>
                <w:szCs w:val="21"/>
              </w:rPr>
              <w:t>产生量约为0.0</w:t>
            </w:r>
            <w:r>
              <w:rPr>
                <w:rFonts w:hint="eastAsia"/>
                <w:bCs/>
                <w:color w:val="auto"/>
                <w:szCs w:val="21"/>
                <w:lang w:val="en-US" w:eastAsia="zh-CN"/>
              </w:rPr>
              <w:t>4</w:t>
            </w:r>
            <w:r>
              <w:rPr>
                <w:rFonts w:hint="eastAsia"/>
                <w:bCs/>
                <w:color w:val="auto"/>
                <w:szCs w:val="21"/>
              </w:rPr>
              <w:t>t/a</w:t>
            </w:r>
            <w:r>
              <w:rPr>
                <w:rFonts w:hint="eastAsia"/>
                <w:bCs/>
                <w:color w:val="auto"/>
                <w:szCs w:val="21"/>
                <w:lang w:val="en-US" w:eastAsia="zh-CN"/>
              </w:rPr>
              <w:t>；</w:t>
            </w:r>
          </w:p>
          <w:p w14:paraId="50E881BC">
            <w:pPr>
              <w:spacing w:line="360" w:lineRule="auto"/>
              <w:ind w:firstLine="420" w:firstLineChars="200"/>
              <w:rPr>
                <w:rFonts w:hint="eastAsia"/>
                <w:bCs/>
                <w:color w:val="auto"/>
                <w:szCs w:val="21"/>
              </w:rPr>
            </w:pPr>
            <w:r>
              <w:rPr>
                <w:rFonts w:hint="eastAsia"/>
                <w:bCs/>
                <w:color w:val="auto"/>
                <w:szCs w:val="21"/>
              </w:rPr>
              <w:t>废</w:t>
            </w:r>
            <w:r>
              <w:rPr>
                <w:rFonts w:hint="eastAsia"/>
                <w:bCs/>
                <w:color w:val="auto"/>
                <w:szCs w:val="21"/>
                <w:lang w:val="en-US" w:eastAsia="zh-CN"/>
              </w:rPr>
              <w:t>棉纱和含油抹布</w:t>
            </w:r>
            <w:r>
              <w:rPr>
                <w:rFonts w:hint="eastAsia"/>
                <w:bCs/>
                <w:color w:val="auto"/>
                <w:szCs w:val="21"/>
              </w:rPr>
              <w:t>产生量为 0.01t/a。</w:t>
            </w:r>
          </w:p>
          <w:p w14:paraId="65A34866">
            <w:pPr>
              <w:spacing w:line="360" w:lineRule="auto"/>
              <w:ind w:firstLine="420" w:firstLineChars="200"/>
              <w:rPr>
                <w:rFonts w:hint="eastAsia"/>
                <w:color w:val="auto"/>
              </w:rPr>
            </w:pPr>
            <w:r>
              <w:rPr>
                <w:rFonts w:hint="eastAsia"/>
                <w:color w:val="auto"/>
              </w:rPr>
              <w:t>根据《国家危险废物名录》（2021</w:t>
            </w:r>
            <w:r>
              <w:rPr>
                <w:rFonts w:hint="eastAsia"/>
                <w:color w:val="auto"/>
                <w:lang w:val="en-US" w:eastAsia="zh-CN"/>
              </w:rPr>
              <w:t>年</w:t>
            </w:r>
            <w:r>
              <w:rPr>
                <w:rFonts w:hint="eastAsia"/>
                <w:color w:val="auto"/>
              </w:rPr>
              <w:t>），废</w:t>
            </w:r>
            <w:r>
              <w:rPr>
                <w:rFonts w:hint="eastAsia"/>
                <w:color w:val="auto"/>
                <w:lang w:val="en-US" w:eastAsia="zh-CN"/>
              </w:rPr>
              <w:t>矿物</w:t>
            </w:r>
            <w:r>
              <w:rPr>
                <w:rFonts w:hint="eastAsia"/>
                <w:color w:val="auto"/>
              </w:rPr>
              <w:t>油废物类别为</w:t>
            </w:r>
            <w:r>
              <w:rPr>
                <w:color w:val="auto"/>
              </w:rPr>
              <w:t>HW08</w:t>
            </w:r>
            <w:r>
              <w:rPr>
                <w:rFonts w:hint="eastAsia"/>
                <w:color w:val="auto"/>
              </w:rPr>
              <w:t>，废物代码为900-214-08；废油桶废物类别为</w:t>
            </w:r>
            <w:r>
              <w:rPr>
                <w:color w:val="auto"/>
                <w:szCs w:val="21"/>
              </w:rPr>
              <w:t>HW49</w:t>
            </w:r>
            <w:r>
              <w:rPr>
                <w:rFonts w:hint="eastAsia"/>
                <w:color w:val="auto"/>
                <w:szCs w:val="21"/>
              </w:rPr>
              <w:t>，废物代码为900-041-49</w:t>
            </w:r>
            <w:r>
              <w:rPr>
                <w:rFonts w:hint="eastAsia"/>
                <w:color w:val="auto"/>
                <w:szCs w:val="21"/>
                <w:lang w:eastAsia="zh-CN"/>
              </w:rPr>
              <w:t>。</w:t>
            </w:r>
            <w:r>
              <w:rPr>
                <w:rFonts w:hint="eastAsia"/>
                <w:color w:val="auto"/>
                <w:szCs w:val="21"/>
              </w:rPr>
              <w:t>废</w:t>
            </w:r>
            <w:r>
              <w:rPr>
                <w:rFonts w:hint="eastAsia"/>
                <w:color w:val="auto"/>
                <w:lang w:val="en-US" w:eastAsia="zh-CN"/>
              </w:rPr>
              <w:t>矿物</w:t>
            </w:r>
            <w:r>
              <w:rPr>
                <w:rFonts w:hint="eastAsia"/>
                <w:color w:val="auto"/>
                <w:szCs w:val="21"/>
              </w:rPr>
              <w:t>油、废油桶收集后暂存于</w:t>
            </w:r>
            <w:r>
              <w:rPr>
                <w:rFonts w:hint="eastAsia"/>
                <w:color w:val="auto"/>
                <w:szCs w:val="21"/>
                <w:lang w:eastAsia="zh-CN"/>
              </w:rPr>
              <w:t>危险废物贮存库</w:t>
            </w:r>
            <w:r>
              <w:rPr>
                <w:rFonts w:hint="eastAsia"/>
                <w:color w:val="auto"/>
                <w:szCs w:val="21"/>
              </w:rPr>
              <w:t>，委托有资质单位处置；</w:t>
            </w:r>
            <w:r>
              <w:rPr>
                <w:rFonts w:hint="eastAsia"/>
                <w:bCs/>
                <w:color w:val="auto"/>
                <w:szCs w:val="21"/>
              </w:rPr>
              <w:t>废</w:t>
            </w:r>
            <w:r>
              <w:rPr>
                <w:rFonts w:hint="eastAsia"/>
                <w:bCs/>
                <w:color w:val="auto"/>
                <w:szCs w:val="21"/>
                <w:lang w:val="en-US" w:eastAsia="zh-CN"/>
              </w:rPr>
              <w:t>棉纱和含油抹布</w:t>
            </w:r>
            <w:r>
              <w:rPr>
                <w:rFonts w:hint="eastAsia"/>
                <w:color w:val="auto"/>
              </w:rPr>
              <w:t>属于豁免管理类，收集后混入生活垃圾，由环卫部门处置。</w:t>
            </w:r>
          </w:p>
          <w:p w14:paraId="10A9755E">
            <w:pPr>
              <w:widowControl/>
              <w:snapToGrid w:val="0"/>
              <w:spacing w:line="360" w:lineRule="auto"/>
              <w:ind w:firstLine="420" w:firstLineChars="200"/>
              <w:rPr>
                <w:rFonts w:hint="default" w:eastAsia="宋体"/>
                <w:bCs/>
                <w:szCs w:val="21"/>
                <w:lang w:val="en-US" w:eastAsia="zh-CN"/>
              </w:rPr>
            </w:pPr>
            <w:r>
              <w:rPr>
                <w:rFonts w:hint="eastAsia"/>
                <w:bCs/>
                <w:szCs w:val="21"/>
                <w:lang w:val="en-US" w:eastAsia="zh-CN"/>
              </w:rPr>
              <w:t>②废活性炭</w:t>
            </w:r>
          </w:p>
          <w:p w14:paraId="69179707">
            <w:pPr>
              <w:widowControl/>
              <w:snapToGrid w:val="0"/>
              <w:spacing w:line="360" w:lineRule="auto"/>
              <w:ind w:firstLine="420" w:firstLineChars="200"/>
              <w:rPr>
                <w:rFonts w:hint="eastAsia"/>
                <w:bCs/>
                <w:szCs w:val="21"/>
                <w:lang w:val="en-US" w:eastAsia="zh-CN"/>
              </w:rPr>
            </w:pPr>
            <w:r>
              <w:rPr>
                <w:rFonts w:hint="eastAsia"/>
                <w:bCs/>
                <w:szCs w:val="21"/>
              </w:rPr>
              <w:t>本项目沥青烟气采用冷凝+活性炭吸附的措施进行处理，处理过程</w:t>
            </w:r>
            <w:r>
              <w:rPr>
                <w:rFonts w:hint="eastAsia"/>
                <w:bCs/>
                <w:szCs w:val="21"/>
                <w:lang w:val="en-US" w:eastAsia="zh-CN"/>
              </w:rPr>
              <w:t>会</w:t>
            </w:r>
            <w:r>
              <w:rPr>
                <w:rFonts w:hint="eastAsia"/>
                <w:bCs/>
                <w:szCs w:val="21"/>
              </w:rPr>
              <w:t>产生</w:t>
            </w:r>
            <w:r>
              <w:rPr>
                <w:rFonts w:hint="eastAsia"/>
                <w:bCs/>
                <w:szCs w:val="21"/>
                <w:lang w:val="en-US" w:eastAsia="zh-CN"/>
              </w:rPr>
              <w:t>一定的</w:t>
            </w:r>
            <w:r>
              <w:rPr>
                <w:rFonts w:hint="eastAsia"/>
                <w:bCs/>
                <w:szCs w:val="21"/>
              </w:rPr>
              <w:t>废活性炭，属于危险废物，危废类别</w:t>
            </w:r>
            <w:r>
              <w:rPr>
                <w:rFonts w:hint="eastAsia"/>
                <w:bCs/>
                <w:color w:val="auto"/>
                <w:szCs w:val="21"/>
              </w:rPr>
              <w:t>为HW49，危废代码为900-039-49。</w:t>
            </w:r>
            <w:r>
              <w:rPr>
                <w:rFonts w:hint="eastAsia"/>
                <w:bCs/>
                <w:color w:val="auto"/>
                <w:szCs w:val="21"/>
                <w:lang w:val="en-US" w:eastAsia="zh-CN"/>
              </w:rPr>
              <w:t>根据经验，活性炭吸附饱和度随着温度、湿度、活性炭孔隙度以及废气种类的不同而变化，通常10kg的活性炭可以吸附5~7kg左右的有毒有害废气，本环评按0.6计算，本项目活性炭主要用于吸附沥青烟气中的污染物，被吸附废气量约0.7464t/a，则至少需要活性炭总量约为1.244t/a。本项目活性炭填充箱尺寸为1.5m×1.0m×0.8m，活性炭颗粒密度按0.65t/m</w:t>
            </w:r>
            <w:r>
              <w:rPr>
                <w:rFonts w:hint="eastAsia"/>
                <w:bCs/>
                <w:color w:val="auto"/>
                <w:szCs w:val="21"/>
                <w:vertAlign w:val="superscript"/>
                <w:lang w:val="en-US" w:eastAsia="zh-CN"/>
              </w:rPr>
              <w:t>3</w:t>
            </w:r>
            <w:r>
              <w:rPr>
                <w:rFonts w:hint="eastAsia"/>
                <w:bCs/>
                <w:color w:val="auto"/>
                <w:szCs w:val="21"/>
                <w:lang w:val="en-US" w:eastAsia="zh-CN"/>
              </w:rPr>
              <w:t>计，可填充约0.78t活性炭填料，每年更换2次，则废活性炭产生量为1.56t/a。</w:t>
            </w:r>
            <w:r>
              <w:rPr>
                <w:rFonts w:hint="eastAsia"/>
                <w:bCs/>
                <w:szCs w:val="21"/>
                <w:lang w:val="en-US" w:eastAsia="zh-CN"/>
              </w:rPr>
              <w:t>更换下来的废活性炭使用专用容器盛装后，收集至危废贮存库暂存，定期委托有资质单位清运处置。</w:t>
            </w:r>
          </w:p>
          <w:p w14:paraId="2DFF851D">
            <w:pPr>
              <w:widowControl/>
              <w:snapToGrid w:val="0"/>
              <w:spacing w:line="360" w:lineRule="auto"/>
              <w:ind w:firstLine="420" w:firstLineChars="200"/>
              <w:rPr>
                <w:rFonts w:hint="eastAsia"/>
                <w:bCs/>
                <w:szCs w:val="21"/>
                <w:lang w:val="en-US" w:eastAsia="zh-CN"/>
              </w:rPr>
            </w:pPr>
            <w:r>
              <w:rPr>
                <w:rFonts w:hint="eastAsia"/>
                <w:bCs/>
                <w:szCs w:val="21"/>
                <w:lang w:val="en-US" w:eastAsia="zh-CN"/>
              </w:rPr>
              <w:t>③废导热油</w:t>
            </w:r>
          </w:p>
          <w:p w14:paraId="53650A63">
            <w:pPr>
              <w:widowControl/>
              <w:snapToGrid w:val="0"/>
              <w:spacing w:line="360" w:lineRule="auto"/>
              <w:ind w:firstLine="420" w:firstLineChars="200"/>
              <w:rPr>
                <w:rFonts w:hint="default"/>
                <w:bCs/>
                <w:szCs w:val="21"/>
                <w:lang w:val="en-US" w:eastAsia="zh-CN"/>
              </w:rPr>
            </w:pPr>
            <w:r>
              <w:rPr>
                <w:rFonts w:hint="eastAsia"/>
                <w:bCs/>
                <w:szCs w:val="21"/>
                <w:lang w:val="en-US" w:eastAsia="zh-CN"/>
              </w:rPr>
              <w:t>本项目导热油炉需要定期更换导热油，废导热油属于HW08废矿物油与矿物油废物，废物代码900-249-08，每3年更换1次，则本项目导热油产生量约为2t/3a，废导热油委托供货厂家定期更换，废导热油直接由厂家运出厂，委托有资质单位处置，不在本项目厂区内贮存。</w:t>
            </w:r>
          </w:p>
          <w:p w14:paraId="79F8063A">
            <w:pPr>
              <w:spacing w:line="360" w:lineRule="auto"/>
              <w:ind w:firstLine="420" w:firstLineChars="200"/>
              <w:rPr>
                <w:rFonts w:hint="eastAsia"/>
                <w:bCs/>
                <w:color w:val="auto"/>
                <w:szCs w:val="21"/>
                <w:lang w:val="en-US" w:eastAsia="zh-CN"/>
              </w:rPr>
            </w:pPr>
            <w:r>
              <w:rPr>
                <w:rFonts w:hint="eastAsia"/>
                <w:bCs/>
                <w:color w:val="auto"/>
                <w:szCs w:val="21"/>
                <w:lang w:val="en-US" w:eastAsia="zh-CN"/>
              </w:rPr>
              <w:t>（3）生活垃圾：本项目共有2</w:t>
            </w:r>
            <w:r>
              <w:rPr>
                <w:rFonts w:hint="default"/>
                <w:bCs/>
                <w:color w:val="auto"/>
                <w:szCs w:val="21"/>
                <w:lang w:val="en-US" w:eastAsia="zh-CN"/>
              </w:rPr>
              <w:t>0</w:t>
            </w:r>
            <w:r>
              <w:rPr>
                <w:rFonts w:hint="eastAsia"/>
                <w:bCs/>
                <w:color w:val="auto"/>
                <w:szCs w:val="21"/>
                <w:lang w:val="en-US" w:eastAsia="zh-CN"/>
              </w:rPr>
              <w:t>人，每人每天产生垃圾以</w:t>
            </w:r>
            <w:r>
              <w:rPr>
                <w:rFonts w:hint="default"/>
                <w:bCs/>
                <w:color w:val="auto"/>
                <w:szCs w:val="21"/>
                <w:lang w:val="en-US" w:eastAsia="zh-CN"/>
              </w:rPr>
              <w:t xml:space="preserve">0.5kg </w:t>
            </w:r>
            <w:r>
              <w:rPr>
                <w:rFonts w:hint="eastAsia"/>
                <w:bCs/>
                <w:color w:val="auto"/>
                <w:szCs w:val="21"/>
                <w:lang w:val="en-US" w:eastAsia="zh-CN"/>
              </w:rPr>
              <w:t>计，则共产生生活垃圾1.5</w:t>
            </w:r>
            <w:r>
              <w:rPr>
                <w:rFonts w:hint="default"/>
                <w:bCs/>
                <w:color w:val="auto"/>
                <w:szCs w:val="21"/>
                <w:lang w:val="en-US" w:eastAsia="zh-CN"/>
              </w:rPr>
              <w:t>t/a</w:t>
            </w:r>
            <w:r>
              <w:rPr>
                <w:rFonts w:hint="eastAsia"/>
                <w:bCs/>
                <w:color w:val="auto"/>
                <w:szCs w:val="21"/>
                <w:lang w:val="en-US" w:eastAsia="zh-CN"/>
              </w:rPr>
              <w:t xml:space="preserve">。 </w:t>
            </w:r>
          </w:p>
          <w:p w14:paraId="60B8C3F1">
            <w:pPr>
              <w:spacing w:line="360" w:lineRule="auto"/>
              <w:ind w:firstLine="420" w:firstLineChars="200"/>
              <w:rPr>
                <w:rFonts w:hint="eastAsia" w:eastAsia="宋体"/>
                <w:b/>
                <w:bCs/>
                <w:color w:val="auto"/>
                <w:sz w:val="18"/>
                <w:szCs w:val="18"/>
                <w:highlight w:val="none"/>
                <w:lang w:val="en-US" w:eastAsia="zh-CN"/>
              </w:rPr>
            </w:pPr>
            <w:r>
              <w:rPr>
                <w:rFonts w:hint="eastAsia"/>
                <w:bCs/>
                <w:color w:val="auto"/>
                <w:szCs w:val="21"/>
                <w:lang w:val="en-US" w:eastAsia="zh-CN"/>
              </w:rPr>
              <w:t>采取以上针对措施后，项目固体废物对周围环境影响较小。固体废物产生及利用处置情况见下表。废物代码为按照《固体废物分类与代码目录2024版》和《国家危险废物名录》（2025年版）填报。</w:t>
            </w:r>
          </w:p>
          <w:p w14:paraId="2E9C1B49">
            <w:pPr>
              <w:widowControl/>
              <w:snapToGrid w:val="0"/>
              <w:jc w:val="center"/>
              <w:rPr>
                <w:b/>
                <w:bCs/>
                <w:color w:val="auto"/>
                <w:sz w:val="18"/>
                <w:szCs w:val="18"/>
                <w:highlight w:val="yellow"/>
              </w:rPr>
            </w:pPr>
            <w:r>
              <w:rPr>
                <w:rFonts w:hint="eastAsia"/>
                <w:b/>
                <w:bCs/>
                <w:color w:val="auto"/>
                <w:sz w:val="18"/>
                <w:szCs w:val="18"/>
                <w:highlight w:val="none"/>
              </w:rPr>
              <w:t>表4</w:t>
            </w:r>
            <w:r>
              <w:rPr>
                <w:rFonts w:hint="eastAsia"/>
                <w:b/>
                <w:bCs/>
                <w:color w:val="auto"/>
                <w:sz w:val="18"/>
                <w:szCs w:val="18"/>
                <w:highlight w:val="none"/>
                <w:lang w:val="en-US" w:eastAsia="zh-CN"/>
              </w:rPr>
              <w:t>.4</w:t>
            </w:r>
            <w:r>
              <w:rPr>
                <w:rFonts w:hint="eastAsia"/>
                <w:b/>
                <w:bCs/>
                <w:color w:val="auto"/>
                <w:sz w:val="18"/>
                <w:szCs w:val="18"/>
                <w:highlight w:val="none"/>
              </w:rPr>
              <w:t>-</w:t>
            </w:r>
            <w:r>
              <w:rPr>
                <w:rFonts w:hint="eastAsia"/>
                <w:b/>
                <w:bCs/>
                <w:color w:val="auto"/>
                <w:sz w:val="18"/>
                <w:szCs w:val="18"/>
                <w:highlight w:val="none"/>
                <w:lang w:val="en-US" w:eastAsia="zh-CN"/>
              </w:rPr>
              <w:t>1</w:t>
            </w:r>
            <w:r>
              <w:rPr>
                <w:rFonts w:hint="eastAsia"/>
                <w:b/>
                <w:bCs/>
                <w:color w:val="auto"/>
                <w:sz w:val="18"/>
                <w:szCs w:val="18"/>
                <w:highlight w:val="none"/>
              </w:rPr>
              <w:t xml:space="preserve">    固</w:t>
            </w:r>
            <w:r>
              <w:rPr>
                <w:rFonts w:hint="eastAsia"/>
                <w:b/>
                <w:bCs/>
                <w:color w:val="auto"/>
                <w:sz w:val="18"/>
                <w:szCs w:val="18"/>
                <w:highlight w:val="none"/>
                <w:lang w:val="en-US" w:eastAsia="zh-CN"/>
              </w:rPr>
              <w:t>体</w:t>
            </w:r>
            <w:r>
              <w:rPr>
                <w:rFonts w:hint="eastAsia"/>
                <w:b/>
                <w:bCs/>
                <w:color w:val="auto"/>
                <w:sz w:val="18"/>
                <w:szCs w:val="18"/>
                <w:highlight w:val="none"/>
              </w:rPr>
              <w:t>废</w:t>
            </w:r>
            <w:r>
              <w:rPr>
                <w:rFonts w:hint="eastAsia"/>
                <w:b/>
                <w:bCs/>
                <w:color w:val="auto"/>
                <w:sz w:val="18"/>
                <w:szCs w:val="18"/>
                <w:highlight w:val="none"/>
                <w:lang w:val="en-US" w:eastAsia="zh-CN"/>
              </w:rPr>
              <w:t>物</w:t>
            </w:r>
            <w:r>
              <w:rPr>
                <w:rFonts w:hint="eastAsia"/>
                <w:b/>
                <w:bCs/>
                <w:color w:val="auto"/>
                <w:sz w:val="18"/>
                <w:szCs w:val="18"/>
                <w:highlight w:val="none"/>
              </w:rPr>
              <w:t>产生情况及</w:t>
            </w:r>
            <w:r>
              <w:rPr>
                <w:rFonts w:hint="eastAsia"/>
                <w:b/>
                <w:bCs/>
                <w:color w:val="auto"/>
                <w:sz w:val="18"/>
                <w:szCs w:val="18"/>
                <w:highlight w:val="none"/>
                <w:lang w:val="en-US" w:eastAsia="zh-CN"/>
              </w:rPr>
              <w:t>利用处置情况表</w:t>
            </w:r>
          </w:p>
          <w:tbl>
            <w:tblPr>
              <w:tblStyle w:val="4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52"/>
              <w:gridCol w:w="1114"/>
              <w:gridCol w:w="806"/>
              <w:gridCol w:w="1191"/>
              <w:gridCol w:w="801"/>
              <w:gridCol w:w="833"/>
              <w:gridCol w:w="759"/>
              <w:gridCol w:w="616"/>
              <w:gridCol w:w="1381"/>
            </w:tblGrid>
            <w:tr w14:paraId="1B0977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trPr>
              <w:tc>
                <w:tcPr>
                  <w:tcW w:w="343" w:type="pct"/>
                  <w:tcBorders>
                    <w:tl2br w:val="nil"/>
                    <w:tr2bl w:val="nil"/>
                  </w:tcBorders>
                  <w:vAlign w:val="center"/>
                </w:tcPr>
                <w:p w14:paraId="11A86EB0">
                  <w:pPr>
                    <w:pStyle w:val="74"/>
                    <w:spacing w:line="240" w:lineRule="exact"/>
                    <w:ind w:firstLine="0" w:firstLineChars="0"/>
                    <w:jc w:val="center"/>
                    <w:rPr>
                      <w:rFonts w:hint="default" w:eastAsia="宋体"/>
                      <w:color w:val="auto"/>
                      <w:sz w:val="18"/>
                      <w:szCs w:val="18"/>
                      <w:lang w:val="en-US" w:eastAsia="zh-CN"/>
                    </w:rPr>
                  </w:pPr>
                  <w:r>
                    <w:rPr>
                      <w:rFonts w:hint="eastAsia"/>
                      <w:color w:val="auto"/>
                      <w:sz w:val="18"/>
                      <w:szCs w:val="18"/>
                      <w:lang w:val="en-US" w:eastAsia="zh-CN"/>
                    </w:rPr>
                    <w:t>分类</w:t>
                  </w:r>
                </w:p>
              </w:tc>
              <w:tc>
                <w:tcPr>
                  <w:tcW w:w="691" w:type="pct"/>
                  <w:tcBorders>
                    <w:tl2br w:val="nil"/>
                    <w:tr2bl w:val="nil"/>
                  </w:tcBorders>
                  <w:vAlign w:val="center"/>
                </w:tcPr>
                <w:p w14:paraId="5BA34CE3">
                  <w:pPr>
                    <w:pStyle w:val="74"/>
                    <w:spacing w:line="240" w:lineRule="exact"/>
                    <w:ind w:firstLine="0" w:firstLineChars="0"/>
                    <w:jc w:val="center"/>
                    <w:rPr>
                      <w:color w:val="auto"/>
                      <w:sz w:val="18"/>
                      <w:szCs w:val="18"/>
                    </w:rPr>
                  </w:pPr>
                  <w:r>
                    <w:rPr>
                      <w:color w:val="auto"/>
                      <w:sz w:val="18"/>
                      <w:szCs w:val="18"/>
                    </w:rPr>
                    <w:t>名称</w:t>
                  </w:r>
                </w:p>
              </w:tc>
              <w:tc>
                <w:tcPr>
                  <w:tcW w:w="500" w:type="pct"/>
                  <w:tcBorders>
                    <w:tl2br w:val="nil"/>
                    <w:tr2bl w:val="nil"/>
                  </w:tcBorders>
                  <w:vAlign w:val="center"/>
                </w:tcPr>
                <w:p w14:paraId="4890C4DC">
                  <w:pPr>
                    <w:pStyle w:val="74"/>
                    <w:spacing w:line="240" w:lineRule="exact"/>
                    <w:ind w:firstLine="0" w:firstLineChars="0"/>
                    <w:jc w:val="center"/>
                    <w:rPr>
                      <w:rFonts w:hint="eastAsia"/>
                      <w:color w:val="auto"/>
                      <w:sz w:val="18"/>
                      <w:szCs w:val="18"/>
                      <w:lang w:val="en-US" w:eastAsia="zh-CN"/>
                    </w:rPr>
                  </w:pPr>
                  <w:r>
                    <w:rPr>
                      <w:rFonts w:hint="eastAsia"/>
                      <w:color w:val="auto"/>
                      <w:sz w:val="18"/>
                      <w:szCs w:val="18"/>
                      <w:lang w:val="en-US" w:eastAsia="zh-CN"/>
                    </w:rPr>
                    <w:t>主要</w:t>
                  </w:r>
                </w:p>
                <w:p w14:paraId="047DC2BC">
                  <w:pPr>
                    <w:pStyle w:val="74"/>
                    <w:spacing w:line="240" w:lineRule="exact"/>
                    <w:ind w:firstLine="0" w:firstLineChars="0"/>
                    <w:jc w:val="center"/>
                    <w:rPr>
                      <w:rFonts w:hint="default" w:eastAsia="宋体"/>
                      <w:color w:val="auto"/>
                      <w:sz w:val="18"/>
                      <w:szCs w:val="18"/>
                      <w:lang w:val="en-US" w:eastAsia="zh-CN"/>
                    </w:rPr>
                  </w:pPr>
                  <w:r>
                    <w:rPr>
                      <w:rFonts w:hint="eastAsia"/>
                      <w:color w:val="auto"/>
                      <w:sz w:val="18"/>
                      <w:szCs w:val="18"/>
                      <w:lang w:val="en-US" w:eastAsia="zh-CN"/>
                    </w:rPr>
                    <w:t>成分</w:t>
                  </w:r>
                </w:p>
              </w:tc>
              <w:tc>
                <w:tcPr>
                  <w:tcW w:w="739" w:type="pct"/>
                  <w:tcBorders>
                    <w:tl2br w:val="nil"/>
                    <w:tr2bl w:val="nil"/>
                  </w:tcBorders>
                  <w:vAlign w:val="center"/>
                </w:tcPr>
                <w:p w14:paraId="0FFF74C1">
                  <w:pPr>
                    <w:pStyle w:val="74"/>
                    <w:spacing w:line="240" w:lineRule="exact"/>
                    <w:ind w:firstLine="0" w:firstLineChars="0"/>
                    <w:jc w:val="center"/>
                    <w:rPr>
                      <w:color w:val="auto"/>
                      <w:sz w:val="18"/>
                      <w:szCs w:val="18"/>
                    </w:rPr>
                  </w:pPr>
                  <w:r>
                    <w:rPr>
                      <w:color w:val="auto"/>
                      <w:sz w:val="18"/>
                      <w:szCs w:val="18"/>
                    </w:rPr>
                    <w:t>代码</w:t>
                  </w:r>
                </w:p>
              </w:tc>
              <w:tc>
                <w:tcPr>
                  <w:tcW w:w="497" w:type="pct"/>
                  <w:tcBorders>
                    <w:tl2br w:val="nil"/>
                    <w:tr2bl w:val="nil"/>
                  </w:tcBorders>
                  <w:vAlign w:val="center"/>
                </w:tcPr>
                <w:p w14:paraId="6A648054">
                  <w:pPr>
                    <w:pStyle w:val="74"/>
                    <w:spacing w:line="240" w:lineRule="exact"/>
                    <w:ind w:firstLine="0" w:firstLineChars="0"/>
                    <w:jc w:val="center"/>
                    <w:rPr>
                      <w:color w:val="auto"/>
                      <w:sz w:val="18"/>
                      <w:szCs w:val="18"/>
                    </w:rPr>
                  </w:pPr>
                  <w:r>
                    <w:rPr>
                      <w:color w:val="auto"/>
                      <w:sz w:val="18"/>
                      <w:szCs w:val="18"/>
                    </w:rPr>
                    <w:t>产生量（t/a）</w:t>
                  </w:r>
                </w:p>
              </w:tc>
              <w:tc>
                <w:tcPr>
                  <w:tcW w:w="517" w:type="pct"/>
                  <w:tcBorders>
                    <w:tl2br w:val="nil"/>
                    <w:tr2bl w:val="nil"/>
                  </w:tcBorders>
                  <w:vAlign w:val="center"/>
                </w:tcPr>
                <w:p w14:paraId="551AECA6">
                  <w:pPr>
                    <w:pStyle w:val="74"/>
                    <w:spacing w:line="240" w:lineRule="exact"/>
                    <w:ind w:firstLine="0" w:firstLineChars="0"/>
                    <w:jc w:val="center"/>
                    <w:rPr>
                      <w:rFonts w:hint="default" w:eastAsia="宋体"/>
                      <w:color w:val="auto"/>
                      <w:sz w:val="18"/>
                      <w:szCs w:val="18"/>
                      <w:lang w:val="en-US" w:eastAsia="zh-CN"/>
                    </w:rPr>
                  </w:pPr>
                  <w:r>
                    <w:rPr>
                      <w:rFonts w:hint="eastAsia"/>
                      <w:color w:val="auto"/>
                      <w:sz w:val="18"/>
                      <w:szCs w:val="18"/>
                      <w:lang w:val="en-US" w:eastAsia="zh-CN"/>
                    </w:rPr>
                    <w:t>综合利用量（t/a）</w:t>
                  </w:r>
                </w:p>
              </w:tc>
              <w:tc>
                <w:tcPr>
                  <w:tcW w:w="471" w:type="pct"/>
                  <w:tcBorders>
                    <w:tl2br w:val="nil"/>
                    <w:tr2bl w:val="nil"/>
                  </w:tcBorders>
                  <w:vAlign w:val="center"/>
                </w:tcPr>
                <w:p w14:paraId="5DF25E21">
                  <w:pPr>
                    <w:pStyle w:val="74"/>
                    <w:spacing w:line="240" w:lineRule="exact"/>
                    <w:ind w:firstLine="0" w:firstLineChars="0"/>
                    <w:jc w:val="center"/>
                    <w:rPr>
                      <w:rFonts w:hint="default"/>
                      <w:color w:val="auto"/>
                      <w:sz w:val="18"/>
                      <w:szCs w:val="18"/>
                      <w:lang w:val="en-US" w:eastAsia="zh-CN"/>
                    </w:rPr>
                  </w:pPr>
                  <w:r>
                    <w:rPr>
                      <w:rFonts w:hint="eastAsia"/>
                      <w:color w:val="auto"/>
                      <w:sz w:val="18"/>
                      <w:szCs w:val="18"/>
                      <w:lang w:val="en-US" w:eastAsia="zh-CN"/>
                    </w:rPr>
                    <w:t>处置量（t/a）</w:t>
                  </w:r>
                </w:p>
              </w:tc>
              <w:tc>
                <w:tcPr>
                  <w:tcW w:w="382" w:type="pct"/>
                  <w:tcBorders>
                    <w:tl2br w:val="nil"/>
                    <w:tr2bl w:val="nil"/>
                  </w:tcBorders>
                  <w:vAlign w:val="center"/>
                </w:tcPr>
                <w:p w14:paraId="1D80F67A">
                  <w:pPr>
                    <w:pStyle w:val="74"/>
                    <w:spacing w:line="240" w:lineRule="exact"/>
                    <w:ind w:firstLine="0" w:firstLineChars="0"/>
                    <w:jc w:val="center"/>
                    <w:rPr>
                      <w:rFonts w:hint="eastAsia"/>
                      <w:color w:val="auto"/>
                      <w:sz w:val="18"/>
                      <w:szCs w:val="18"/>
                      <w:lang w:val="en-US" w:eastAsia="zh-CN"/>
                    </w:rPr>
                  </w:pPr>
                  <w:r>
                    <w:rPr>
                      <w:rFonts w:hint="eastAsia"/>
                      <w:color w:val="auto"/>
                      <w:sz w:val="18"/>
                      <w:szCs w:val="18"/>
                      <w:lang w:val="en-US" w:eastAsia="zh-CN"/>
                    </w:rPr>
                    <w:t>产废</w:t>
                  </w:r>
                </w:p>
                <w:p w14:paraId="119AE846">
                  <w:pPr>
                    <w:pStyle w:val="74"/>
                    <w:spacing w:line="240" w:lineRule="exact"/>
                    <w:ind w:firstLine="0" w:firstLineChars="0"/>
                    <w:jc w:val="center"/>
                    <w:rPr>
                      <w:rFonts w:hint="default" w:eastAsia="宋体"/>
                      <w:color w:val="auto"/>
                      <w:sz w:val="18"/>
                      <w:szCs w:val="18"/>
                      <w:lang w:val="en-US" w:eastAsia="zh-CN"/>
                    </w:rPr>
                  </w:pPr>
                  <w:r>
                    <w:rPr>
                      <w:rFonts w:hint="eastAsia"/>
                      <w:color w:val="auto"/>
                      <w:sz w:val="18"/>
                      <w:szCs w:val="18"/>
                      <w:lang w:val="en-US" w:eastAsia="zh-CN"/>
                    </w:rPr>
                    <w:t>周期</w:t>
                  </w:r>
                </w:p>
              </w:tc>
              <w:tc>
                <w:tcPr>
                  <w:tcW w:w="857" w:type="pct"/>
                  <w:tcBorders>
                    <w:tl2br w:val="nil"/>
                    <w:tr2bl w:val="nil"/>
                  </w:tcBorders>
                  <w:vAlign w:val="center"/>
                </w:tcPr>
                <w:p w14:paraId="60EEDDBA">
                  <w:pPr>
                    <w:pStyle w:val="74"/>
                    <w:spacing w:line="240" w:lineRule="exact"/>
                    <w:ind w:firstLine="0" w:firstLineChars="0"/>
                    <w:jc w:val="center"/>
                    <w:rPr>
                      <w:rFonts w:hint="default"/>
                      <w:color w:val="auto"/>
                      <w:sz w:val="18"/>
                      <w:szCs w:val="18"/>
                      <w:lang w:val="en-US" w:eastAsia="zh-CN"/>
                    </w:rPr>
                  </w:pPr>
                  <w:r>
                    <w:rPr>
                      <w:rFonts w:hint="eastAsia"/>
                      <w:color w:val="auto"/>
                      <w:sz w:val="18"/>
                      <w:szCs w:val="18"/>
                      <w:lang w:val="en-US" w:eastAsia="zh-CN"/>
                    </w:rPr>
                    <w:t>综合利用或处置措施</w:t>
                  </w:r>
                </w:p>
              </w:tc>
            </w:tr>
            <w:tr w14:paraId="3AABA5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3" w:hRule="atLeast"/>
                <w:tblHeader/>
              </w:trPr>
              <w:tc>
                <w:tcPr>
                  <w:tcW w:w="343" w:type="pct"/>
                  <w:vMerge w:val="restart"/>
                  <w:tcBorders>
                    <w:tl2br w:val="nil"/>
                    <w:tr2bl w:val="nil"/>
                  </w:tcBorders>
                  <w:vAlign w:val="center"/>
                </w:tcPr>
                <w:p w14:paraId="4D4599A7">
                  <w:pPr>
                    <w:pStyle w:val="74"/>
                    <w:spacing w:line="240" w:lineRule="exact"/>
                    <w:ind w:firstLine="0" w:firstLineChars="0"/>
                    <w:jc w:val="center"/>
                    <w:rPr>
                      <w:rFonts w:hint="default"/>
                      <w:color w:val="auto"/>
                      <w:sz w:val="18"/>
                      <w:szCs w:val="18"/>
                      <w:lang w:val="en-US" w:eastAsia="zh-CN"/>
                    </w:rPr>
                  </w:pPr>
                  <w:r>
                    <w:rPr>
                      <w:rFonts w:hint="eastAsia"/>
                      <w:color w:val="auto"/>
                      <w:sz w:val="18"/>
                      <w:szCs w:val="18"/>
                      <w:lang w:val="en-US" w:eastAsia="zh-CN"/>
                    </w:rPr>
                    <w:t>一般工业固体废物</w:t>
                  </w:r>
                </w:p>
              </w:tc>
              <w:tc>
                <w:tcPr>
                  <w:tcW w:w="691" w:type="pct"/>
                  <w:tcBorders>
                    <w:tl2br w:val="nil"/>
                    <w:tr2bl w:val="nil"/>
                  </w:tcBorders>
                  <w:vAlign w:val="center"/>
                </w:tcPr>
                <w:p w14:paraId="5F4F343E">
                  <w:pPr>
                    <w:pStyle w:val="74"/>
                    <w:spacing w:line="240" w:lineRule="exact"/>
                    <w:ind w:firstLine="0" w:firstLineChars="0"/>
                    <w:jc w:val="center"/>
                    <w:rPr>
                      <w:rFonts w:hint="default" w:eastAsia="宋体"/>
                      <w:color w:val="auto"/>
                      <w:sz w:val="18"/>
                      <w:szCs w:val="18"/>
                      <w:lang w:val="en-US" w:eastAsia="zh-CN"/>
                    </w:rPr>
                  </w:pPr>
                  <w:r>
                    <w:rPr>
                      <w:rFonts w:hint="eastAsia"/>
                      <w:color w:val="auto"/>
                      <w:sz w:val="18"/>
                      <w:szCs w:val="18"/>
                      <w:lang w:val="en-US" w:eastAsia="zh-CN"/>
                    </w:rPr>
                    <w:t>除尘灰</w:t>
                  </w:r>
                </w:p>
              </w:tc>
              <w:tc>
                <w:tcPr>
                  <w:tcW w:w="500" w:type="pct"/>
                  <w:tcBorders>
                    <w:tl2br w:val="nil"/>
                    <w:tr2bl w:val="nil"/>
                  </w:tcBorders>
                  <w:vAlign w:val="center"/>
                </w:tcPr>
                <w:p w14:paraId="1638123F">
                  <w:pPr>
                    <w:pStyle w:val="74"/>
                    <w:spacing w:line="240" w:lineRule="exact"/>
                    <w:ind w:firstLine="0" w:firstLineChars="0"/>
                    <w:jc w:val="center"/>
                    <w:rPr>
                      <w:rFonts w:hint="default" w:eastAsia="宋体"/>
                      <w:color w:val="auto"/>
                      <w:sz w:val="18"/>
                      <w:szCs w:val="18"/>
                      <w:lang w:val="en-US" w:eastAsia="zh-CN"/>
                    </w:rPr>
                  </w:pPr>
                  <w:r>
                    <w:rPr>
                      <w:rFonts w:hint="eastAsia"/>
                      <w:color w:val="auto"/>
                      <w:sz w:val="18"/>
                      <w:szCs w:val="18"/>
                      <w:lang w:val="en-US" w:eastAsia="zh-CN"/>
                    </w:rPr>
                    <w:t>除尘灰</w:t>
                  </w:r>
                </w:p>
              </w:tc>
              <w:tc>
                <w:tcPr>
                  <w:tcW w:w="739" w:type="pct"/>
                  <w:tcBorders>
                    <w:tl2br w:val="nil"/>
                    <w:tr2bl w:val="nil"/>
                  </w:tcBorders>
                  <w:vAlign w:val="center"/>
                </w:tcPr>
                <w:p w14:paraId="3371A74B">
                  <w:pPr>
                    <w:pStyle w:val="74"/>
                    <w:spacing w:line="240" w:lineRule="exact"/>
                    <w:ind w:firstLine="0" w:firstLineChars="0"/>
                    <w:jc w:val="center"/>
                    <w:rPr>
                      <w:rFonts w:hint="default" w:eastAsia="宋体"/>
                      <w:color w:val="auto"/>
                      <w:sz w:val="18"/>
                      <w:szCs w:val="18"/>
                      <w:lang w:val="en-US" w:eastAsia="zh-CN"/>
                    </w:rPr>
                  </w:pPr>
                  <w:r>
                    <w:rPr>
                      <w:rFonts w:hint="eastAsia"/>
                      <w:color w:val="auto"/>
                      <w:sz w:val="18"/>
                      <w:szCs w:val="18"/>
                      <w:lang w:val="en-US" w:eastAsia="zh-CN"/>
                    </w:rPr>
                    <w:t>900-099-S59</w:t>
                  </w:r>
                </w:p>
              </w:tc>
              <w:tc>
                <w:tcPr>
                  <w:tcW w:w="497" w:type="pct"/>
                  <w:tcBorders>
                    <w:tl2br w:val="nil"/>
                    <w:tr2bl w:val="nil"/>
                  </w:tcBorders>
                  <w:vAlign w:val="center"/>
                </w:tcPr>
                <w:p w14:paraId="6F38904A">
                  <w:pPr>
                    <w:pStyle w:val="74"/>
                    <w:spacing w:line="240" w:lineRule="exact"/>
                    <w:ind w:firstLine="0" w:firstLineChars="0"/>
                    <w:jc w:val="center"/>
                    <w:rPr>
                      <w:rFonts w:hint="default" w:eastAsia="宋体"/>
                      <w:color w:val="auto"/>
                      <w:sz w:val="18"/>
                      <w:szCs w:val="18"/>
                      <w:lang w:val="en-US" w:eastAsia="zh-CN"/>
                    </w:rPr>
                  </w:pPr>
                  <w:r>
                    <w:rPr>
                      <w:rFonts w:hint="eastAsia"/>
                      <w:color w:val="auto"/>
                      <w:sz w:val="18"/>
                      <w:szCs w:val="18"/>
                      <w:lang w:val="en-US" w:eastAsia="zh-CN"/>
                    </w:rPr>
                    <w:t>89.28</w:t>
                  </w:r>
                </w:p>
              </w:tc>
              <w:tc>
                <w:tcPr>
                  <w:tcW w:w="517" w:type="pct"/>
                  <w:tcBorders>
                    <w:tl2br w:val="nil"/>
                    <w:tr2bl w:val="nil"/>
                  </w:tcBorders>
                  <w:vAlign w:val="center"/>
                </w:tcPr>
                <w:p w14:paraId="4DC60283">
                  <w:pPr>
                    <w:pStyle w:val="74"/>
                    <w:spacing w:line="240" w:lineRule="exact"/>
                    <w:ind w:firstLine="0" w:firstLineChars="0"/>
                    <w:jc w:val="center"/>
                    <w:rPr>
                      <w:rFonts w:hint="default"/>
                      <w:color w:val="auto"/>
                      <w:sz w:val="18"/>
                      <w:szCs w:val="18"/>
                      <w:lang w:val="en-US" w:eastAsia="zh-CN"/>
                    </w:rPr>
                  </w:pPr>
                  <w:r>
                    <w:rPr>
                      <w:rFonts w:hint="eastAsia"/>
                      <w:color w:val="auto"/>
                      <w:sz w:val="18"/>
                      <w:szCs w:val="18"/>
                      <w:lang w:val="en-US" w:eastAsia="zh-CN"/>
                    </w:rPr>
                    <w:t>89.28</w:t>
                  </w:r>
                </w:p>
              </w:tc>
              <w:tc>
                <w:tcPr>
                  <w:tcW w:w="471" w:type="pct"/>
                  <w:tcBorders>
                    <w:tl2br w:val="nil"/>
                    <w:tr2bl w:val="nil"/>
                  </w:tcBorders>
                  <w:vAlign w:val="center"/>
                </w:tcPr>
                <w:p w14:paraId="0B7551D6">
                  <w:pPr>
                    <w:pStyle w:val="74"/>
                    <w:spacing w:line="240" w:lineRule="exact"/>
                    <w:ind w:firstLine="0" w:firstLineChars="0"/>
                    <w:jc w:val="center"/>
                    <w:rPr>
                      <w:rFonts w:hint="default"/>
                      <w:color w:val="auto"/>
                      <w:sz w:val="18"/>
                      <w:szCs w:val="18"/>
                      <w:lang w:val="en-US" w:eastAsia="zh-CN"/>
                    </w:rPr>
                  </w:pPr>
                  <w:r>
                    <w:rPr>
                      <w:rFonts w:hint="eastAsia"/>
                      <w:color w:val="auto"/>
                      <w:sz w:val="18"/>
                      <w:szCs w:val="18"/>
                      <w:lang w:val="en-US" w:eastAsia="zh-CN"/>
                    </w:rPr>
                    <w:t>0</w:t>
                  </w:r>
                </w:p>
              </w:tc>
              <w:tc>
                <w:tcPr>
                  <w:tcW w:w="382" w:type="pct"/>
                  <w:tcBorders>
                    <w:tl2br w:val="nil"/>
                    <w:tr2bl w:val="nil"/>
                  </w:tcBorders>
                  <w:vAlign w:val="center"/>
                </w:tcPr>
                <w:p w14:paraId="4658B455">
                  <w:pPr>
                    <w:pStyle w:val="74"/>
                    <w:spacing w:line="240" w:lineRule="exact"/>
                    <w:ind w:firstLine="0" w:firstLineChars="0"/>
                    <w:jc w:val="center"/>
                    <w:rPr>
                      <w:rFonts w:hint="eastAsia"/>
                      <w:color w:val="auto"/>
                      <w:sz w:val="18"/>
                      <w:szCs w:val="18"/>
                      <w:lang w:val="en-US" w:eastAsia="zh-CN"/>
                    </w:rPr>
                  </w:pPr>
                  <w:r>
                    <w:rPr>
                      <w:rFonts w:hint="eastAsia"/>
                      <w:color w:val="auto"/>
                      <w:sz w:val="18"/>
                      <w:szCs w:val="18"/>
                      <w:lang w:val="en-US" w:eastAsia="zh-CN"/>
                    </w:rPr>
                    <w:t>每日</w:t>
                  </w:r>
                </w:p>
              </w:tc>
              <w:tc>
                <w:tcPr>
                  <w:tcW w:w="857" w:type="pct"/>
                  <w:vMerge w:val="restart"/>
                  <w:tcBorders>
                    <w:tl2br w:val="nil"/>
                    <w:tr2bl w:val="nil"/>
                  </w:tcBorders>
                  <w:vAlign w:val="center"/>
                </w:tcPr>
                <w:p w14:paraId="40856CEB">
                  <w:pPr>
                    <w:pStyle w:val="74"/>
                    <w:spacing w:line="240" w:lineRule="exact"/>
                    <w:ind w:firstLine="0" w:firstLineChars="0"/>
                    <w:jc w:val="center"/>
                    <w:rPr>
                      <w:rFonts w:hint="default" w:eastAsia="宋体"/>
                      <w:color w:val="auto"/>
                      <w:sz w:val="18"/>
                      <w:szCs w:val="18"/>
                      <w:lang w:val="en-US" w:eastAsia="zh-CN"/>
                    </w:rPr>
                  </w:pPr>
                  <w:r>
                    <w:rPr>
                      <w:rFonts w:hint="eastAsia"/>
                      <w:color w:val="auto"/>
                      <w:sz w:val="18"/>
                      <w:szCs w:val="18"/>
                      <w:lang w:val="en-US" w:eastAsia="zh-CN"/>
                    </w:rPr>
                    <w:t>作为原料返回生产</w:t>
                  </w:r>
                </w:p>
              </w:tc>
            </w:tr>
            <w:tr w14:paraId="3748C0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0" w:hRule="atLeast"/>
                <w:tblHeader/>
              </w:trPr>
              <w:tc>
                <w:tcPr>
                  <w:tcW w:w="343" w:type="pct"/>
                  <w:vMerge w:val="continue"/>
                  <w:tcBorders>
                    <w:tl2br w:val="nil"/>
                    <w:tr2bl w:val="nil"/>
                  </w:tcBorders>
                  <w:vAlign w:val="center"/>
                </w:tcPr>
                <w:p w14:paraId="5CF990F2">
                  <w:pPr>
                    <w:pStyle w:val="74"/>
                    <w:spacing w:line="240" w:lineRule="exact"/>
                    <w:ind w:firstLine="0" w:firstLineChars="0"/>
                    <w:jc w:val="center"/>
                    <w:rPr>
                      <w:rFonts w:hint="eastAsia"/>
                      <w:color w:val="auto"/>
                      <w:sz w:val="18"/>
                      <w:szCs w:val="18"/>
                      <w:lang w:val="en-US" w:eastAsia="zh-CN"/>
                    </w:rPr>
                  </w:pPr>
                </w:p>
              </w:tc>
              <w:tc>
                <w:tcPr>
                  <w:tcW w:w="691" w:type="pct"/>
                  <w:tcBorders>
                    <w:tl2br w:val="nil"/>
                    <w:tr2bl w:val="nil"/>
                  </w:tcBorders>
                  <w:vAlign w:val="center"/>
                </w:tcPr>
                <w:p w14:paraId="3B74A62A">
                  <w:pPr>
                    <w:pStyle w:val="74"/>
                    <w:spacing w:line="240" w:lineRule="exact"/>
                    <w:ind w:firstLine="0" w:firstLineChars="0"/>
                    <w:jc w:val="center"/>
                    <w:rPr>
                      <w:rFonts w:hint="default" w:eastAsia="宋体"/>
                      <w:color w:val="auto"/>
                      <w:sz w:val="18"/>
                      <w:szCs w:val="18"/>
                      <w:lang w:val="en-US" w:eastAsia="zh-CN"/>
                    </w:rPr>
                  </w:pPr>
                  <w:r>
                    <w:rPr>
                      <w:rFonts w:hint="eastAsia"/>
                      <w:color w:val="auto"/>
                      <w:sz w:val="18"/>
                      <w:szCs w:val="18"/>
                      <w:lang w:val="en-US" w:eastAsia="zh-CN"/>
                    </w:rPr>
                    <w:t>废石料</w:t>
                  </w:r>
                </w:p>
              </w:tc>
              <w:tc>
                <w:tcPr>
                  <w:tcW w:w="500" w:type="pct"/>
                  <w:tcBorders>
                    <w:tl2br w:val="nil"/>
                    <w:tr2bl w:val="nil"/>
                  </w:tcBorders>
                  <w:vAlign w:val="center"/>
                </w:tcPr>
                <w:p w14:paraId="63259550">
                  <w:pPr>
                    <w:pStyle w:val="74"/>
                    <w:spacing w:line="240" w:lineRule="exact"/>
                    <w:ind w:firstLine="0" w:firstLineChars="0"/>
                    <w:jc w:val="center"/>
                    <w:rPr>
                      <w:rFonts w:hint="default" w:eastAsia="宋体"/>
                      <w:color w:val="auto"/>
                      <w:sz w:val="18"/>
                      <w:szCs w:val="18"/>
                      <w:lang w:val="en-US" w:eastAsia="zh-CN"/>
                    </w:rPr>
                  </w:pPr>
                  <w:r>
                    <w:rPr>
                      <w:rFonts w:hint="eastAsia"/>
                      <w:color w:val="auto"/>
                      <w:sz w:val="18"/>
                      <w:szCs w:val="18"/>
                      <w:lang w:val="en-US" w:eastAsia="zh-CN"/>
                    </w:rPr>
                    <w:t>石料</w:t>
                  </w:r>
                </w:p>
              </w:tc>
              <w:tc>
                <w:tcPr>
                  <w:tcW w:w="739" w:type="pct"/>
                  <w:tcBorders>
                    <w:tl2br w:val="nil"/>
                    <w:tr2bl w:val="nil"/>
                  </w:tcBorders>
                  <w:vAlign w:val="center"/>
                </w:tcPr>
                <w:p w14:paraId="4A1004B0">
                  <w:pPr>
                    <w:pStyle w:val="74"/>
                    <w:spacing w:line="240" w:lineRule="exact"/>
                    <w:ind w:firstLine="0" w:firstLineChars="0"/>
                    <w:jc w:val="center"/>
                    <w:rPr>
                      <w:rFonts w:hint="default" w:eastAsia="宋体"/>
                      <w:color w:val="auto"/>
                      <w:sz w:val="18"/>
                      <w:szCs w:val="18"/>
                      <w:lang w:val="en-US" w:eastAsia="zh-CN"/>
                    </w:rPr>
                  </w:pPr>
                  <w:r>
                    <w:rPr>
                      <w:rFonts w:hint="eastAsia"/>
                      <w:color w:val="auto"/>
                      <w:sz w:val="18"/>
                      <w:szCs w:val="18"/>
                      <w:lang w:val="en-US" w:eastAsia="zh-CN"/>
                    </w:rPr>
                    <w:t>900-010-S17</w:t>
                  </w:r>
                </w:p>
              </w:tc>
              <w:tc>
                <w:tcPr>
                  <w:tcW w:w="497" w:type="pct"/>
                  <w:tcBorders>
                    <w:tl2br w:val="nil"/>
                    <w:tr2bl w:val="nil"/>
                  </w:tcBorders>
                  <w:vAlign w:val="center"/>
                </w:tcPr>
                <w:p w14:paraId="418F799D">
                  <w:pPr>
                    <w:pStyle w:val="74"/>
                    <w:spacing w:line="240" w:lineRule="exact"/>
                    <w:ind w:firstLine="0" w:firstLineChars="0"/>
                    <w:jc w:val="center"/>
                    <w:rPr>
                      <w:rFonts w:hint="default"/>
                      <w:color w:val="auto"/>
                      <w:sz w:val="18"/>
                      <w:szCs w:val="18"/>
                      <w:lang w:val="en-US" w:eastAsia="zh-CN"/>
                    </w:rPr>
                  </w:pPr>
                  <w:r>
                    <w:rPr>
                      <w:rFonts w:hint="eastAsia"/>
                      <w:color w:val="auto"/>
                      <w:sz w:val="18"/>
                      <w:szCs w:val="18"/>
                      <w:lang w:val="en-US" w:eastAsia="zh-CN"/>
                    </w:rPr>
                    <w:t>10.0</w:t>
                  </w:r>
                </w:p>
              </w:tc>
              <w:tc>
                <w:tcPr>
                  <w:tcW w:w="517" w:type="pct"/>
                  <w:tcBorders>
                    <w:tl2br w:val="nil"/>
                    <w:tr2bl w:val="nil"/>
                  </w:tcBorders>
                  <w:vAlign w:val="center"/>
                </w:tcPr>
                <w:p w14:paraId="0997CF2E">
                  <w:pPr>
                    <w:pStyle w:val="74"/>
                    <w:spacing w:line="240" w:lineRule="exact"/>
                    <w:ind w:firstLine="0" w:firstLineChars="0"/>
                    <w:jc w:val="center"/>
                    <w:rPr>
                      <w:rFonts w:hint="default"/>
                      <w:color w:val="auto"/>
                      <w:sz w:val="18"/>
                      <w:szCs w:val="18"/>
                      <w:lang w:val="en-US" w:eastAsia="zh-CN"/>
                    </w:rPr>
                  </w:pPr>
                  <w:r>
                    <w:rPr>
                      <w:rFonts w:hint="eastAsia"/>
                      <w:color w:val="auto"/>
                      <w:sz w:val="18"/>
                      <w:szCs w:val="18"/>
                      <w:lang w:val="en-US" w:eastAsia="zh-CN"/>
                    </w:rPr>
                    <w:t>10.0</w:t>
                  </w:r>
                </w:p>
              </w:tc>
              <w:tc>
                <w:tcPr>
                  <w:tcW w:w="471" w:type="pct"/>
                  <w:tcBorders>
                    <w:tl2br w:val="nil"/>
                    <w:tr2bl w:val="nil"/>
                  </w:tcBorders>
                  <w:vAlign w:val="center"/>
                </w:tcPr>
                <w:p w14:paraId="0A86D8D1">
                  <w:pPr>
                    <w:pStyle w:val="74"/>
                    <w:spacing w:line="240" w:lineRule="exact"/>
                    <w:ind w:firstLine="0" w:firstLineChars="0"/>
                    <w:jc w:val="center"/>
                    <w:rPr>
                      <w:rFonts w:hint="default"/>
                      <w:color w:val="auto"/>
                      <w:sz w:val="18"/>
                      <w:szCs w:val="18"/>
                      <w:lang w:val="en-US" w:eastAsia="zh-CN"/>
                    </w:rPr>
                  </w:pPr>
                  <w:r>
                    <w:rPr>
                      <w:rFonts w:hint="eastAsia"/>
                      <w:color w:val="auto"/>
                      <w:sz w:val="18"/>
                      <w:szCs w:val="18"/>
                      <w:lang w:val="en-US" w:eastAsia="zh-CN"/>
                    </w:rPr>
                    <w:t>0</w:t>
                  </w:r>
                </w:p>
              </w:tc>
              <w:tc>
                <w:tcPr>
                  <w:tcW w:w="382" w:type="pct"/>
                  <w:tcBorders>
                    <w:tl2br w:val="nil"/>
                    <w:tr2bl w:val="nil"/>
                  </w:tcBorders>
                  <w:vAlign w:val="center"/>
                </w:tcPr>
                <w:p w14:paraId="13A83C12">
                  <w:pPr>
                    <w:pStyle w:val="74"/>
                    <w:spacing w:line="240" w:lineRule="exact"/>
                    <w:ind w:firstLine="0" w:firstLineChars="0"/>
                    <w:jc w:val="center"/>
                    <w:rPr>
                      <w:rFonts w:hint="eastAsia"/>
                      <w:color w:val="auto"/>
                      <w:sz w:val="18"/>
                      <w:szCs w:val="18"/>
                      <w:lang w:val="en-US" w:eastAsia="zh-CN"/>
                    </w:rPr>
                  </w:pPr>
                  <w:r>
                    <w:rPr>
                      <w:rFonts w:hint="eastAsia"/>
                      <w:color w:val="auto"/>
                      <w:sz w:val="18"/>
                      <w:szCs w:val="18"/>
                      <w:lang w:val="en-US" w:eastAsia="zh-CN"/>
                    </w:rPr>
                    <w:t>每日</w:t>
                  </w:r>
                </w:p>
              </w:tc>
              <w:tc>
                <w:tcPr>
                  <w:tcW w:w="857" w:type="pct"/>
                  <w:vMerge w:val="continue"/>
                  <w:tcBorders>
                    <w:tl2br w:val="nil"/>
                    <w:tr2bl w:val="nil"/>
                  </w:tcBorders>
                  <w:vAlign w:val="center"/>
                </w:tcPr>
                <w:p w14:paraId="3A6D1320">
                  <w:pPr>
                    <w:pStyle w:val="74"/>
                    <w:spacing w:line="240" w:lineRule="exact"/>
                    <w:ind w:firstLine="0" w:firstLineChars="0"/>
                    <w:jc w:val="center"/>
                    <w:rPr>
                      <w:rFonts w:hint="eastAsia"/>
                      <w:color w:val="auto"/>
                      <w:sz w:val="18"/>
                      <w:szCs w:val="18"/>
                      <w:lang w:val="en-US" w:eastAsia="zh-CN"/>
                    </w:rPr>
                  </w:pPr>
                </w:p>
              </w:tc>
            </w:tr>
            <w:tr w14:paraId="0126DC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4" w:hRule="atLeast"/>
                <w:tblHeader/>
              </w:trPr>
              <w:tc>
                <w:tcPr>
                  <w:tcW w:w="343" w:type="pct"/>
                  <w:vMerge w:val="continue"/>
                  <w:tcBorders>
                    <w:tl2br w:val="nil"/>
                    <w:tr2bl w:val="nil"/>
                  </w:tcBorders>
                  <w:vAlign w:val="center"/>
                </w:tcPr>
                <w:p w14:paraId="5F6D754A">
                  <w:pPr>
                    <w:pStyle w:val="74"/>
                    <w:spacing w:line="240" w:lineRule="exact"/>
                    <w:ind w:firstLine="0" w:firstLineChars="0"/>
                    <w:jc w:val="center"/>
                    <w:rPr>
                      <w:rFonts w:hint="eastAsia"/>
                      <w:color w:val="auto"/>
                      <w:sz w:val="18"/>
                      <w:szCs w:val="18"/>
                      <w:lang w:val="en-US" w:eastAsia="zh-CN"/>
                    </w:rPr>
                  </w:pPr>
                </w:p>
              </w:tc>
              <w:tc>
                <w:tcPr>
                  <w:tcW w:w="691" w:type="pct"/>
                  <w:tcBorders>
                    <w:tl2br w:val="nil"/>
                    <w:tr2bl w:val="nil"/>
                  </w:tcBorders>
                  <w:vAlign w:val="center"/>
                </w:tcPr>
                <w:p w14:paraId="5096D81F">
                  <w:pPr>
                    <w:pStyle w:val="74"/>
                    <w:spacing w:line="240" w:lineRule="exact"/>
                    <w:ind w:firstLine="0" w:firstLineChars="0"/>
                    <w:jc w:val="center"/>
                    <w:rPr>
                      <w:rFonts w:hint="default" w:eastAsia="宋体"/>
                      <w:color w:val="auto"/>
                      <w:sz w:val="18"/>
                      <w:szCs w:val="18"/>
                      <w:lang w:val="en-US" w:eastAsia="zh-CN"/>
                    </w:rPr>
                  </w:pPr>
                  <w:r>
                    <w:rPr>
                      <w:rFonts w:hint="eastAsia"/>
                      <w:color w:val="auto"/>
                      <w:sz w:val="18"/>
                      <w:szCs w:val="18"/>
                      <w:lang w:val="en-US" w:eastAsia="zh-CN"/>
                    </w:rPr>
                    <w:t>滴漏沥青及拌合残渣</w:t>
                  </w:r>
                </w:p>
              </w:tc>
              <w:tc>
                <w:tcPr>
                  <w:tcW w:w="500" w:type="pct"/>
                  <w:tcBorders>
                    <w:tl2br w:val="nil"/>
                    <w:tr2bl w:val="nil"/>
                  </w:tcBorders>
                  <w:vAlign w:val="center"/>
                </w:tcPr>
                <w:p w14:paraId="38D77A5D">
                  <w:pPr>
                    <w:pStyle w:val="74"/>
                    <w:spacing w:line="240" w:lineRule="exact"/>
                    <w:ind w:firstLine="0" w:firstLineChars="0"/>
                    <w:jc w:val="center"/>
                    <w:rPr>
                      <w:rFonts w:hint="default" w:eastAsia="宋体"/>
                      <w:color w:val="auto"/>
                      <w:sz w:val="18"/>
                      <w:szCs w:val="18"/>
                      <w:lang w:val="en-US" w:eastAsia="zh-CN"/>
                    </w:rPr>
                  </w:pPr>
                  <w:r>
                    <w:rPr>
                      <w:rFonts w:hint="eastAsia"/>
                      <w:color w:val="auto"/>
                      <w:sz w:val="18"/>
                      <w:szCs w:val="18"/>
                      <w:lang w:val="en-US" w:eastAsia="zh-CN"/>
                    </w:rPr>
                    <w:t>沥青、废渣</w:t>
                  </w:r>
                </w:p>
              </w:tc>
              <w:tc>
                <w:tcPr>
                  <w:tcW w:w="739" w:type="pct"/>
                  <w:tcBorders>
                    <w:tl2br w:val="nil"/>
                    <w:tr2bl w:val="nil"/>
                  </w:tcBorders>
                  <w:vAlign w:val="center"/>
                </w:tcPr>
                <w:p w14:paraId="29E25879">
                  <w:pPr>
                    <w:pStyle w:val="74"/>
                    <w:spacing w:line="240" w:lineRule="exact"/>
                    <w:ind w:firstLine="0" w:firstLineChars="0"/>
                    <w:jc w:val="center"/>
                    <w:rPr>
                      <w:rFonts w:hint="default" w:eastAsia="宋体"/>
                      <w:color w:val="auto"/>
                      <w:sz w:val="18"/>
                      <w:szCs w:val="18"/>
                      <w:lang w:val="en-US" w:eastAsia="zh-CN"/>
                    </w:rPr>
                  </w:pPr>
                  <w:r>
                    <w:rPr>
                      <w:rFonts w:hint="eastAsia"/>
                      <w:color w:val="auto"/>
                      <w:sz w:val="18"/>
                      <w:szCs w:val="18"/>
                      <w:lang w:val="en-US" w:eastAsia="zh-CN"/>
                    </w:rPr>
                    <w:t>900-099-S59</w:t>
                  </w:r>
                </w:p>
              </w:tc>
              <w:tc>
                <w:tcPr>
                  <w:tcW w:w="497" w:type="pct"/>
                  <w:tcBorders>
                    <w:tl2br w:val="nil"/>
                    <w:tr2bl w:val="nil"/>
                  </w:tcBorders>
                  <w:vAlign w:val="center"/>
                </w:tcPr>
                <w:p w14:paraId="0CC1EB9B">
                  <w:pPr>
                    <w:pStyle w:val="74"/>
                    <w:spacing w:line="240" w:lineRule="exact"/>
                    <w:ind w:firstLine="0" w:firstLineChars="0"/>
                    <w:jc w:val="center"/>
                    <w:rPr>
                      <w:rFonts w:hint="default"/>
                      <w:color w:val="auto"/>
                      <w:sz w:val="18"/>
                      <w:szCs w:val="18"/>
                      <w:lang w:val="en-US" w:eastAsia="zh-CN"/>
                    </w:rPr>
                  </w:pPr>
                  <w:r>
                    <w:rPr>
                      <w:rFonts w:hint="eastAsia"/>
                      <w:color w:val="auto"/>
                      <w:sz w:val="18"/>
                      <w:szCs w:val="18"/>
                      <w:lang w:val="en-US" w:eastAsia="zh-CN"/>
                    </w:rPr>
                    <w:t>0.1</w:t>
                  </w:r>
                </w:p>
              </w:tc>
              <w:tc>
                <w:tcPr>
                  <w:tcW w:w="517" w:type="pct"/>
                  <w:tcBorders>
                    <w:tl2br w:val="nil"/>
                    <w:tr2bl w:val="nil"/>
                  </w:tcBorders>
                  <w:vAlign w:val="center"/>
                </w:tcPr>
                <w:p w14:paraId="5AFC0420">
                  <w:pPr>
                    <w:pStyle w:val="74"/>
                    <w:spacing w:line="240" w:lineRule="exact"/>
                    <w:ind w:firstLine="0" w:firstLineChars="0"/>
                    <w:jc w:val="center"/>
                    <w:rPr>
                      <w:rFonts w:hint="eastAsia"/>
                      <w:color w:val="auto"/>
                      <w:sz w:val="18"/>
                      <w:szCs w:val="18"/>
                      <w:lang w:val="en-US" w:eastAsia="zh-CN"/>
                    </w:rPr>
                  </w:pPr>
                  <w:r>
                    <w:rPr>
                      <w:rFonts w:hint="eastAsia"/>
                      <w:color w:val="auto"/>
                      <w:sz w:val="18"/>
                      <w:szCs w:val="18"/>
                      <w:lang w:val="en-US" w:eastAsia="zh-CN"/>
                    </w:rPr>
                    <w:t>0.1</w:t>
                  </w:r>
                </w:p>
              </w:tc>
              <w:tc>
                <w:tcPr>
                  <w:tcW w:w="471" w:type="pct"/>
                  <w:tcBorders>
                    <w:tl2br w:val="nil"/>
                    <w:tr2bl w:val="nil"/>
                  </w:tcBorders>
                  <w:vAlign w:val="center"/>
                </w:tcPr>
                <w:p w14:paraId="1F66F18F">
                  <w:pPr>
                    <w:pStyle w:val="74"/>
                    <w:spacing w:line="240" w:lineRule="exact"/>
                    <w:ind w:firstLine="0" w:firstLineChars="0"/>
                    <w:jc w:val="center"/>
                    <w:rPr>
                      <w:rFonts w:hint="default"/>
                      <w:color w:val="auto"/>
                      <w:sz w:val="18"/>
                      <w:szCs w:val="18"/>
                      <w:lang w:val="en-US" w:eastAsia="zh-CN"/>
                    </w:rPr>
                  </w:pPr>
                  <w:r>
                    <w:rPr>
                      <w:rFonts w:hint="eastAsia"/>
                      <w:color w:val="auto"/>
                      <w:sz w:val="18"/>
                      <w:szCs w:val="18"/>
                      <w:lang w:val="en-US" w:eastAsia="zh-CN"/>
                    </w:rPr>
                    <w:t>0</w:t>
                  </w:r>
                </w:p>
              </w:tc>
              <w:tc>
                <w:tcPr>
                  <w:tcW w:w="382" w:type="pct"/>
                  <w:tcBorders>
                    <w:tl2br w:val="nil"/>
                    <w:tr2bl w:val="nil"/>
                  </w:tcBorders>
                  <w:vAlign w:val="center"/>
                </w:tcPr>
                <w:p w14:paraId="76564E0B">
                  <w:pPr>
                    <w:pStyle w:val="74"/>
                    <w:spacing w:line="240" w:lineRule="exact"/>
                    <w:ind w:firstLine="0" w:firstLineChars="0"/>
                    <w:jc w:val="center"/>
                    <w:rPr>
                      <w:rFonts w:hint="eastAsia"/>
                      <w:color w:val="auto"/>
                      <w:sz w:val="18"/>
                      <w:szCs w:val="18"/>
                      <w:lang w:val="en-US" w:eastAsia="zh-CN"/>
                    </w:rPr>
                  </w:pPr>
                  <w:r>
                    <w:rPr>
                      <w:rFonts w:hint="eastAsia"/>
                      <w:color w:val="auto"/>
                      <w:sz w:val="18"/>
                      <w:szCs w:val="18"/>
                      <w:lang w:val="en-US" w:eastAsia="zh-CN"/>
                    </w:rPr>
                    <w:t>每日</w:t>
                  </w:r>
                </w:p>
              </w:tc>
              <w:tc>
                <w:tcPr>
                  <w:tcW w:w="857" w:type="pct"/>
                  <w:vMerge w:val="continue"/>
                  <w:tcBorders>
                    <w:tl2br w:val="nil"/>
                    <w:tr2bl w:val="nil"/>
                  </w:tcBorders>
                  <w:vAlign w:val="center"/>
                </w:tcPr>
                <w:p w14:paraId="2EA82C0D">
                  <w:pPr>
                    <w:pStyle w:val="74"/>
                    <w:spacing w:line="240" w:lineRule="exact"/>
                    <w:ind w:firstLine="0" w:firstLineChars="0"/>
                    <w:jc w:val="center"/>
                    <w:rPr>
                      <w:rFonts w:hint="eastAsia"/>
                      <w:color w:val="auto"/>
                      <w:sz w:val="18"/>
                      <w:szCs w:val="18"/>
                      <w:lang w:val="en-US" w:eastAsia="zh-CN"/>
                    </w:rPr>
                  </w:pPr>
                </w:p>
              </w:tc>
            </w:tr>
            <w:tr w14:paraId="326328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trPr>
              <w:tc>
                <w:tcPr>
                  <w:tcW w:w="343" w:type="pct"/>
                  <w:vMerge w:val="continue"/>
                  <w:tcBorders>
                    <w:tl2br w:val="nil"/>
                    <w:tr2bl w:val="nil"/>
                  </w:tcBorders>
                  <w:vAlign w:val="center"/>
                </w:tcPr>
                <w:p w14:paraId="35FE9B00">
                  <w:pPr>
                    <w:pStyle w:val="74"/>
                    <w:spacing w:line="240" w:lineRule="exact"/>
                    <w:ind w:firstLine="0" w:firstLineChars="0"/>
                    <w:jc w:val="center"/>
                    <w:rPr>
                      <w:rFonts w:hint="eastAsia"/>
                      <w:color w:val="auto"/>
                      <w:sz w:val="18"/>
                      <w:szCs w:val="18"/>
                      <w:lang w:val="en-US" w:eastAsia="zh-CN"/>
                    </w:rPr>
                  </w:pPr>
                </w:p>
              </w:tc>
              <w:tc>
                <w:tcPr>
                  <w:tcW w:w="691" w:type="pct"/>
                  <w:tcBorders>
                    <w:tl2br w:val="nil"/>
                    <w:tr2bl w:val="nil"/>
                  </w:tcBorders>
                  <w:vAlign w:val="center"/>
                </w:tcPr>
                <w:p w14:paraId="2435CABC">
                  <w:pPr>
                    <w:pStyle w:val="74"/>
                    <w:spacing w:line="240" w:lineRule="exact"/>
                    <w:ind w:firstLine="0" w:firstLineChars="0"/>
                    <w:jc w:val="center"/>
                    <w:rPr>
                      <w:rFonts w:hint="default" w:eastAsia="宋体"/>
                      <w:color w:val="auto"/>
                      <w:sz w:val="18"/>
                      <w:szCs w:val="18"/>
                      <w:lang w:val="en-US" w:eastAsia="zh-CN"/>
                    </w:rPr>
                  </w:pPr>
                  <w:r>
                    <w:rPr>
                      <w:rFonts w:hint="eastAsia"/>
                      <w:color w:val="auto"/>
                      <w:sz w:val="18"/>
                      <w:szCs w:val="18"/>
                      <w:lang w:val="en-US" w:eastAsia="zh-CN"/>
                    </w:rPr>
                    <w:t>废渣、沉渣</w:t>
                  </w:r>
                </w:p>
              </w:tc>
              <w:tc>
                <w:tcPr>
                  <w:tcW w:w="500" w:type="pct"/>
                  <w:tcBorders>
                    <w:tl2br w:val="nil"/>
                    <w:tr2bl w:val="nil"/>
                  </w:tcBorders>
                  <w:vAlign w:val="center"/>
                </w:tcPr>
                <w:p w14:paraId="485CC184">
                  <w:pPr>
                    <w:pStyle w:val="74"/>
                    <w:spacing w:line="240" w:lineRule="exact"/>
                    <w:ind w:firstLine="0" w:firstLineChars="0"/>
                    <w:jc w:val="center"/>
                    <w:rPr>
                      <w:rFonts w:hint="default" w:eastAsia="宋体"/>
                      <w:color w:val="auto"/>
                      <w:sz w:val="18"/>
                      <w:szCs w:val="18"/>
                      <w:lang w:val="en-US" w:eastAsia="zh-CN"/>
                    </w:rPr>
                  </w:pPr>
                  <w:r>
                    <w:rPr>
                      <w:rFonts w:hint="eastAsia"/>
                      <w:color w:val="auto"/>
                      <w:sz w:val="18"/>
                      <w:szCs w:val="18"/>
                      <w:lang w:val="en-US" w:eastAsia="zh-CN"/>
                    </w:rPr>
                    <w:t>废渣、泥沙</w:t>
                  </w:r>
                </w:p>
              </w:tc>
              <w:tc>
                <w:tcPr>
                  <w:tcW w:w="739" w:type="pct"/>
                  <w:tcBorders>
                    <w:tl2br w:val="nil"/>
                    <w:tr2bl w:val="nil"/>
                  </w:tcBorders>
                  <w:vAlign w:val="center"/>
                </w:tcPr>
                <w:p w14:paraId="65BBDF79">
                  <w:pPr>
                    <w:pStyle w:val="74"/>
                    <w:spacing w:line="240" w:lineRule="exact"/>
                    <w:ind w:firstLine="0" w:firstLineChars="0"/>
                    <w:jc w:val="center"/>
                    <w:rPr>
                      <w:rFonts w:hint="default" w:eastAsia="宋体"/>
                      <w:color w:val="auto"/>
                      <w:sz w:val="18"/>
                      <w:szCs w:val="18"/>
                      <w:lang w:val="en-US" w:eastAsia="zh-CN"/>
                    </w:rPr>
                  </w:pPr>
                  <w:r>
                    <w:rPr>
                      <w:rFonts w:hint="eastAsia"/>
                      <w:color w:val="auto"/>
                      <w:sz w:val="18"/>
                      <w:szCs w:val="18"/>
                      <w:lang w:val="en-US" w:eastAsia="zh-CN"/>
                    </w:rPr>
                    <w:t>900-099-S07</w:t>
                  </w:r>
                </w:p>
              </w:tc>
              <w:tc>
                <w:tcPr>
                  <w:tcW w:w="497" w:type="pct"/>
                  <w:tcBorders>
                    <w:tl2br w:val="nil"/>
                    <w:tr2bl w:val="nil"/>
                  </w:tcBorders>
                  <w:vAlign w:val="center"/>
                </w:tcPr>
                <w:p w14:paraId="65E12798">
                  <w:pPr>
                    <w:pStyle w:val="74"/>
                    <w:spacing w:line="240" w:lineRule="exact"/>
                    <w:ind w:firstLine="0" w:firstLineChars="0"/>
                    <w:jc w:val="center"/>
                    <w:rPr>
                      <w:rFonts w:hint="default"/>
                      <w:color w:val="auto"/>
                      <w:sz w:val="18"/>
                      <w:szCs w:val="18"/>
                      <w:lang w:val="en-US" w:eastAsia="zh-CN"/>
                    </w:rPr>
                  </w:pPr>
                  <w:r>
                    <w:rPr>
                      <w:rFonts w:hint="eastAsia"/>
                      <w:color w:val="auto"/>
                      <w:sz w:val="18"/>
                      <w:szCs w:val="18"/>
                      <w:lang w:val="en-US" w:eastAsia="zh-CN"/>
                    </w:rPr>
                    <w:t>2.5</w:t>
                  </w:r>
                </w:p>
              </w:tc>
              <w:tc>
                <w:tcPr>
                  <w:tcW w:w="517" w:type="pct"/>
                  <w:tcBorders>
                    <w:tl2br w:val="nil"/>
                    <w:tr2bl w:val="nil"/>
                  </w:tcBorders>
                  <w:vAlign w:val="center"/>
                </w:tcPr>
                <w:p w14:paraId="16B1B41D">
                  <w:pPr>
                    <w:pStyle w:val="74"/>
                    <w:spacing w:line="240" w:lineRule="exact"/>
                    <w:ind w:firstLine="0" w:firstLineChars="0"/>
                    <w:jc w:val="center"/>
                    <w:rPr>
                      <w:rFonts w:hint="eastAsia"/>
                      <w:color w:val="auto"/>
                      <w:sz w:val="18"/>
                      <w:szCs w:val="18"/>
                      <w:lang w:val="en-US" w:eastAsia="zh-CN"/>
                    </w:rPr>
                  </w:pPr>
                  <w:r>
                    <w:rPr>
                      <w:rFonts w:hint="eastAsia"/>
                      <w:color w:val="auto"/>
                      <w:sz w:val="18"/>
                      <w:szCs w:val="18"/>
                      <w:lang w:val="en-US" w:eastAsia="zh-CN"/>
                    </w:rPr>
                    <w:t>2.5</w:t>
                  </w:r>
                </w:p>
              </w:tc>
              <w:tc>
                <w:tcPr>
                  <w:tcW w:w="471" w:type="pct"/>
                  <w:tcBorders>
                    <w:tl2br w:val="nil"/>
                    <w:tr2bl w:val="nil"/>
                  </w:tcBorders>
                  <w:vAlign w:val="center"/>
                </w:tcPr>
                <w:p w14:paraId="26AF3071">
                  <w:pPr>
                    <w:pStyle w:val="74"/>
                    <w:spacing w:line="240" w:lineRule="exact"/>
                    <w:ind w:firstLine="0" w:firstLineChars="0"/>
                    <w:jc w:val="center"/>
                    <w:rPr>
                      <w:rFonts w:hint="default"/>
                      <w:color w:val="auto"/>
                      <w:sz w:val="18"/>
                      <w:szCs w:val="18"/>
                      <w:lang w:val="en-US" w:eastAsia="zh-CN"/>
                    </w:rPr>
                  </w:pPr>
                  <w:r>
                    <w:rPr>
                      <w:rFonts w:hint="eastAsia"/>
                      <w:color w:val="auto"/>
                      <w:sz w:val="18"/>
                      <w:szCs w:val="18"/>
                      <w:lang w:val="en-US" w:eastAsia="zh-CN"/>
                    </w:rPr>
                    <w:t>0</w:t>
                  </w:r>
                </w:p>
              </w:tc>
              <w:tc>
                <w:tcPr>
                  <w:tcW w:w="382" w:type="pct"/>
                  <w:tcBorders>
                    <w:tl2br w:val="nil"/>
                    <w:tr2bl w:val="nil"/>
                  </w:tcBorders>
                  <w:vAlign w:val="center"/>
                </w:tcPr>
                <w:p w14:paraId="4A8A8C8E">
                  <w:pPr>
                    <w:pStyle w:val="74"/>
                    <w:spacing w:line="240" w:lineRule="exact"/>
                    <w:ind w:firstLine="0" w:firstLineChars="0"/>
                    <w:jc w:val="center"/>
                    <w:rPr>
                      <w:rFonts w:hint="eastAsia"/>
                      <w:color w:val="auto"/>
                      <w:sz w:val="18"/>
                      <w:szCs w:val="18"/>
                      <w:lang w:val="en-US" w:eastAsia="zh-CN"/>
                    </w:rPr>
                  </w:pPr>
                  <w:r>
                    <w:rPr>
                      <w:rFonts w:hint="eastAsia"/>
                      <w:color w:val="auto"/>
                      <w:sz w:val="18"/>
                      <w:szCs w:val="18"/>
                      <w:lang w:val="en-US" w:eastAsia="zh-CN"/>
                    </w:rPr>
                    <w:t>每日</w:t>
                  </w:r>
                </w:p>
              </w:tc>
              <w:tc>
                <w:tcPr>
                  <w:tcW w:w="857" w:type="pct"/>
                  <w:vMerge w:val="continue"/>
                  <w:tcBorders>
                    <w:tl2br w:val="nil"/>
                    <w:tr2bl w:val="nil"/>
                  </w:tcBorders>
                  <w:vAlign w:val="center"/>
                </w:tcPr>
                <w:p w14:paraId="0F738395">
                  <w:pPr>
                    <w:pStyle w:val="74"/>
                    <w:spacing w:line="240" w:lineRule="exact"/>
                    <w:ind w:firstLine="0" w:firstLineChars="0"/>
                    <w:jc w:val="center"/>
                    <w:rPr>
                      <w:rFonts w:hint="eastAsia"/>
                      <w:color w:val="auto"/>
                      <w:sz w:val="18"/>
                      <w:szCs w:val="18"/>
                      <w:lang w:val="en-US" w:eastAsia="zh-CN"/>
                    </w:rPr>
                  </w:pPr>
                </w:p>
              </w:tc>
            </w:tr>
            <w:tr w14:paraId="48616E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trPr>
              <w:tc>
                <w:tcPr>
                  <w:tcW w:w="343" w:type="pct"/>
                  <w:vMerge w:val="continue"/>
                  <w:tcBorders>
                    <w:tl2br w:val="nil"/>
                    <w:tr2bl w:val="nil"/>
                  </w:tcBorders>
                  <w:vAlign w:val="center"/>
                </w:tcPr>
                <w:p w14:paraId="0AF6E9C8">
                  <w:pPr>
                    <w:pStyle w:val="74"/>
                    <w:spacing w:line="240" w:lineRule="exact"/>
                    <w:ind w:firstLine="0" w:firstLineChars="0"/>
                    <w:jc w:val="center"/>
                    <w:rPr>
                      <w:rFonts w:hint="eastAsia"/>
                      <w:color w:val="auto"/>
                      <w:sz w:val="18"/>
                      <w:szCs w:val="18"/>
                      <w:lang w:val="en-US" w:eastAsia="zh-CN"/>
                    </w:rPr>
                  </w:pPr>
                </w:p>
              </w:tc>
              <w:tc>
                <w:tcPr>
                  <w:tcW w:w="691" w:type="pct"/>
                  <w:tcBorders>
                    <w:tl2br w:val="nil"/>
                    <w:tr2bl w:val="nil"/>
                  </w:tcBorders>
                  <w:vAlign w:val="center"/>
                </w:tcPr>
                <w:p w14:paraId="7DF8C36B">
                  <w:pPr>
                    <w:pStyle w:val="74"/>
                    <w:spacing w:line="240" w:lineRule="exact"/>
                    <w:ind w:firstLine="0" w:firstLineChars="0"/>
                    <w:jc w:val="center"/>
                    <w:rPr>
                      <w:rFonts w:hint="default"/>
                      <w:color w:val="auto"/>
                      <w:sz w:val="18"/>
                      <w:szCs w:val="18"/>
                      <w:lang w:val="en-US" w:eastAsia="zh-CN"/>
                    </w:rPr>
                  </w:pPr>
                  <w:r>
                    <w:rPr>
                      <w:rFonts w:hint="eastAsia"/>
                      <w:color w:val="auto"/>
                      <w:sz w:val="18"/>
                      <w:szCs w:val="18"/>
                      <w:lang w:val="en-US" w:eastAsia="zh-CN"/>
                    </w:rPr>
                    <w:t>废滤袋</w:t>
                  </w:r>
                </w:p>
              </w:tc>
              <w:tc>
                <w:tcPr>
                  <w:tcW w:w="500" w:type="pct"/>
                  <w:tcBorders>
                    <w:tl2br w:val="nil"/>
                    <w:tr2bl w:val="nil"/>
                  </w:tcBorders>
                  <w:vAlign w:val="center"/>
                </w:tcPr>
                <w:p w14:paraId="4D6A919C">
                  <w:pPr>
                    <w:pStyle w:val="74"/>
                    <w:spacing w:line="240" w:lineRule="exact"/>
                    <w:ind w:firstLine="0" w:firstLineChars="0"/>
                    <w:jc w:val="center"/>
                    <w:rPr>
                      <w:rFonts w:hint="eastAsia"/>
                      <w:color w:val="auto"/>
                      <w:sz w:val="18"/>
                      <w:szCs w:val="18"/>
                      <w:lang w:val="en-US" w:eastAsia="zh-CN"/>
                    </w:rPr>
                  </w:pPr>
                  <w:r>
                    <w:rPr>
                      <w:rFonts w:hint="eastAsia"/>
                      <w:color w:val="auto"/>
                      <w:sz w:val="18"/>
                      <w:szCs w:val="18"/>
                      <w:lang w:val="en-US" w:eastAsia="zh-CN"/>
                    </w:rPr>
                    <w:t>纤维</w:t>
                  </w:r>
                </w:p>
                <w:p w14:paraId="169BDB6E">
                  <w:pPr>
                    <w:pStyle w:val="74"/>
                    <w:spacing w:line="240" w:lineRule="exact"/>
                    <w:ind w:firstLine="0" w:firstLineChars="0"/>
                    <w:jc w:val="center"/>
                    <w:rPr>
                      <w:rFonts w:hint="default"/>
                      <w:color w:val="auto"/>
                      <w:sz w:val="18"/>
                      <w:szCs w:val="18"/>
                      <w:lang w:val="en-US" w:eastAsia="zh-CN"/>
                    </w:rPr>
                  </w:pPr>
                  <w:r>
                    <w:rPr>
                      <w:rFonts w:hint="eastAsia"/>
                      <w:color w:val="auto"/>
                      <w:sz w:val="18"/>
                      <w:szCs w:val="18"/>
                      <w:lang w:val="en-US" w:eastAsia="zh-CN"/>
                    </w:rPr>
                    <w:t>布袋</w:t>
                  </w:r>
                </w:p>
              </w:tc>
              <w:tc>
                <w:tcPr>
                  <w:tcW w:w="739" w:type="pct"/>
                  <w:tcBorders>
                    <w:tl2br w:val="nil"/>
                    <w:tr2bl w:val="nil"/>
                  </w:tcBorders>
                  <w:vAlign w:val="center"/>
                </w:tcPr>
                <w:p w14:paraId="5EE2B3A7">
                  <w:pPr>
                    <w:pStyle w:val="74"/>
                    <w:spacing w:line="240" w:lineRule="exact"/>
                    <w:ind w:firstLine="0" w:firstLineChars="0"/>
                    <w:jc w:val="center"/>
                    <w:rPr>
                      <w:rFonts w:hint="default" w:eastAsia="宋体"/>
                      <w:color w:val="auto"/>
                      <w:sz w:val="18"/>
                      <w:szCs w:val="18"/>
                      <w:lang w:val="en-US" w:eastAsia="zh-CN"/>
                    </w:rPr>
                  </w:pPr>
                  <w:r>
                    <w:rPr>
                      <w:rFonts w:hint="eastAsia"/>
                      <w:color w:val="auto"/>
                      <w:sz w:val="18"/>
                      <w:szCs w:val="18"/>
                      <w:lang w:val="en-US" w:eastAsia="zh-CN"/>
                    </w:rPr>
                    <w:t>900-099-S59</w:t>
                  </w:r>
                </w:p>
              </w:tc>
              <w:tc>
                <w:tcPr>
                  <w:tcW w:w="497" w:type="pct"/>
                  <w:tcBorders>
                    <w:tl2br w:val="nil"/>
                    <w:tr2bl w:val="nil"/>
                  </w:tcBorders>
                  <w:vAlign w:val="center"/>
                </w:tcPr>
                <w:p w14:paraId="5220841E">
                  <w:pPr>
                    <w:pStyle w:val="74"/>
                    <w:spacing w:line="240" w:lineRule="exact"/>
                    <w:ind w:firstLine="0" w:firstLineChars="0"/>
                    <w:jc w:val="center"/>
                    <w:rPr>
                      <w:rFonts w:hint="default"/>
                      <w:color w:val="auto"/>
                      <w:sz w:val="18"/>
                      <w:szCs w:val="18"/>
                      <w:lang w:val="en-US" w:eastAsia="zh-CN"/>
                    </w:rPr>
                  </w:pPr>
                  <w:r>
                    <w:rPr>
                      <w:rFonts w:hint="eastAsia"/>
                      <w:color w:val="auto"/>
                      <w:sz w:val="18"/>
                      <w:szCs w:val="18"/>
                      <w:lang w:val="en-US" w:eastAsia="zh-CN"/>
                    </w:rPr>
                    <w:t>0.05</w:t>
                  </w:r>
                </w:p>
              </w:tc>
              <w:tc>
                <w:tcPr>
                  <w:tcW w:w="517" w:type="pct"/>
                  <w:tcBorders>
                    <w:tl2br w:val="nil"/>
                    <w:tr2bl w:val="nil"/>
                  </w:tcBorders>
                  <w:vAlign w:val="center"/>
                </w:tcPr>
                <w:p w14:paraId="4C9F054D">
                  <w:pPr>
                    <w:pStyle w:val="74"/>
                    <w:spacing w:line="240" w:lineRule="exact"/>
                    <w:ind w:firstLine="0" w:firstLineChars="0"/>
                    <w:jc w:val="center"/>
                    <w:rPr>
                      <w:rFonts w:hint="default"/>
                      <w:color w:val="auto"/>
                      <w:sz w:val="18"/>
                      <w:szCs w:val="18"/>
                      <w:lang w:val="en-US" w:eastAsia="zh-CN"/>
                    </w:rPr>
                  </w:pPr>
                  <w:r>
                    <w:rPr>
                      <w:rFonts w:hint="eastAsia"/>
                      <w:color w:val="auto"/>
                      <w:sz w:val="18"/>
                      <w:szCs w:val="18"/>
                      <w:lang w:val="en-US" w:eastAsia="zh-CN"/>
                    </w:rPr>
                    <w:t>0</w:t>
                  </w:r>
                </w:p>
              </w:tc>
              <w:tc>
                <w:tcPr>
                  <w:tcW w:w="471" w:type="pct"/>
                  <w:tcBorders>
                    <w:tl2br w:val="nil"/>
                    <w:tr2bl w:val="nil"/>
                  </w:tcBorders>
                  <w:vAlign w:val="center"/>
                </w:tcPr>
                <w:p w14:paraId="7221CAD1">
                  <w:pPr>
                    <w:pStyle w:val="74"/>
                    <w:spacing w:line="240" w:lineRule="exact"/>
                    <w:ind w:firstLine="0" w:firstLineChars="0"/>
                    <w:jc w:val="center"/>
                    <w:rPr>
                      <w:rFonts w:hint="default"/>
                      <w:color w:val="auto"/>
                      <w:sz w:val="18"/>
                      <w:szCs w:val="18"/>
                      <w:lang w:val="en-US" w:eastAsia="zh-CN"/>
                    </w:rPr>
                  </w:pPr>
                  <w:r>
                    <w:rPr>
                      <w:rFonts w:hint="eastAsia"/>
                      <w:color w:val="auto"/>
                      <w:sz w:val="18"/>
                      <w:szCs w:val="18"/>
                      <w:lang w:val="en-US" w:eastAsia="zh-CN"/>
                    </w:rPr>
                    <w:t>0</w:t>
                  </w:r>
                </w:p>
              </w:tc>
              <w:tc>
                <w:tcPr>
                  <w:tcW w:w="382" w:type="pct"/>
                  <w:tcBorders>
                    <w:tl2br w:val="nil"/>
                    <w:tr2bl w:val="nil"/>
                  </w:tcBorders>
                  <w:vAlign w:val="center"/>
                </w:tcPr>
                <w:p w14:paraId="4072D45E">
                  <w:pPr>
                    <w:pStyle w:val="74"/>
                    <w:spacing w:line="240" w:lineRule="exact"/>
                    <w:ind w:firstLine="0" w:firstLineChars="0"/>
                    <w:jc w:val="center"/>
                    <w:rPr>
                      <w:rFonts w:hint="default"/>
                      <w:color w:val="auto"/>
                      <w:sz w:val="18"/>
                      <w:szCs w:val="18"/>
                      <w:lang w:val="en-US" w:eastAsia="zh-CN"/>
                    </w:rPr>
                  </w:pPr>
                  <w:r>
                    <w:rPr>
                      <w:rFonts w:hint="eastAsia"/>
                      <w:color w:val="auto"/>
                      <w:sz w:val="18"/>
                      <w:szCs w:val="18"/>
                      <w:lang w:val="en-US" w:eastAsia="zh-CN"/>
                    </w:rPr>
                    <w:t>每年</w:t>
                  </w:r>
                </w:p>
              </w:tc>
              <w:tc>
                <w:tcPr>
                  <w:tcW w:w="857" w:type="pct"/>
                  <w:tcBorders>
                    <w:tl2br w:val="nil"/>
                    <w:tr2bl w:val="nil"/>
                  </w:tcBorders>
                  <w:vAlign w:val="center"/>
                </w:tcPr>
                <w:p w14:paraId="17AFA8AE">
                  <w:pPr>
                    <w:pStyle w:val="74"/>
                    <w:spacing w:line="240" w:lineRule="exact"/>
                    <w:ind w:firstLine="0" w:firstLineChars="0"/>
                    <w:jc w:val="center"/>
                    <w:rPr>
                      <w:rFonts w:hint="default"/>
                      <w:color w:val="auto"/>
                      <w:sz w:val="18"/>
                      <w:szCs w:val="18"/>
                      <w:lang w:val="en-US" w:eastAsia="zh-CN"/>
                    </w:rPr>
                  </w:pPr>
                  <w:r>
                    <w:rPr>
                      <w:rFonts w:hint="eastAsia"/>
                      <w:color w:val="auto"/>
                      <w:sz w:val="18"/>
                      <w:szCs w:val="18"/>
                      <w:lang w:val="en-US" w:eastAsia="zh-CN"/>
                    </w:rPr>
                    <w:t>由厂家回收</w:t>
                  </w:r>
                </w:p>
              </w:tc>
            </w:tr>
            <w:tr w14:paraId="601E48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65" w:hRule="atLeast"/>
              </w:trPr>
              <w:tc>
                <w:tcPr>
                  <w:tcW w:w="343" w:type="pct"/>
                  <w:vMerge w:val="restart"/>
                  <w:tcBorders>
                    <w:tl2br w:val="nil"/>
                    <w:tr2bl w:val="nil"/>
                  </w:tcBorders>
                  <w:vAlign w:val="center"/>
                </w:tcPr>
                <w:p w14:paraId="404FDB2C">
                  <w:pPr>
                    <w:pStyle w:val="74"/>
                    <w:spacing w:line="240" w:lineRule="exact"/>
                    <w:ind w:firstLine="0" w:firstLineChars="0"/>
                    <w:jc w:val="center"/>
                    <w:rPr>
                      <w:rFonts w:hint="default" w:eastAsia="宋体"/>
                      <w:color w:val="auto"/>
                      <w:sz w:val="18"/>
                      <w:szCs w:val="18"/>
                      <w:lang w:val="en-US" w:eastAsia="zh-CN"/>
                    </w:rPr>
                  </w:pPr>
                  <w:r>
                    <w:rPr>
                      <w:rFonts w:hint="eastAsia"/>
                      <w:color w:val="auto"/>
                      <w:sz w:val="18"/>
                      <w:szCs w:val="18"/>
                      <w:lang w:val="en-US" w:eastAsia="zh-CN"/>
                    </w:rPr>
                    <w:t>危险废物</w:t>
                  </w:r>
                </w:p>
              </w:tc>
              <w:tc>
                <w:tcPr>
                  <w:tcW w:w="691" w:type="pct"/>
                  <w:tcBorders>
                    <w:tl2br w:val="nil"/>
                    <w:tr2bl w:val="nil"/>
                  </w:tcBorders>
                  <w:vAlign w:val="center"/>
                </w:tcPr>
                <w:p w14:paraId="09FF1CB4">
                  <w:pPr>
                    <w:pStyle w:val="74"/>
                    <w:spacing w:line="240" w:lineRule="exact"/>
                    <w:ind w:firstLine="0" w:firstLineChars="0"/>
                    <w:jc w:val="center"/>
                    <w:rPr>
                      <w:rFonts w:hint="default" w:eastAsia="宋体"/>
                      <w:color w:val="auto"/>
                      <w:sz w:val="18"/>
                      <w:szCs w:val="18"/>
                      <w:lang w:val="en-US" w:eastAsia="zh-CN"/>
                    </w:rPr>
                  </w:pPr>
                  <w:r>
                    <w:rPr>
                      <w:rFonts w:hint="eastAsia"/>
                      <w:color w:val="auto"/>
                      <w:sz w:val="18"/>
                      <w:szCs w:val="18"/>
                      <w:lang w:val="en-US" w:eastAsia="zh-CN"/>
                    </w:rPr>
                    <w:t>废矿物油</w:t>
                  </w:r>
                </w:p>
              </w:tc>
              <w:tc>
                <w:tcPr>
                  <w:tcW w:w="500" w:type="pct"/>
                  <w:vMerge w:val="restart"/>
                  <w:tcBorders>
                    <w:tl2br w:val="nil"/>
                    <w:tr2bl w:val="nil"/>
                  </w:tcBorders>
                  <w:vAlign w:val="center"/>
                </w:tcPr>
                <w:p w14:paraId="4107E2C6">
                  <w:pPr>
                    <w:pStyle w:val="74"/>
                    <w:spacing w:line="240" w:lineRule="exact"/>
                    <w:ind w:firstLine="0" w:firstLineChars="0"/>
                    <w:jc w:val="center"/>
                    <w:rPr>
                      <w:rFonts w:hint="default" w:eastAsia="宋体"/>
                      <w:color w:val="auto"/>
                      <w:sz w:val="18"/>
                      <w:szCs w:val="18"/>
                      <w:lang w:val="en-US" w:eastAsia="zh-CN"/>
                    </w:rPr>
                  </w:pPr>
                  <w:r>
                    <w:rPr>
                      <w:rFonts w:hint="eastAsia"/>
                      <w:color w:val="auto"/>
                      <w:sz w:val="18"/>
                      <w:szCs w:val="18"/>
                      <w:lang w:val="en-US" w:eastAsia="zh-CN"/>
                    </w:rPr>
                    <w:t>烃类</w:t>
                  </w:r>
                </w:p>
              </w:tc>
              <w:tc>
                <w:tcPr>
                  <w:tcW w:w="739" w:type="pct"/>
                  <w:tcBorders>
                    <w:tl2br w:val="nil"/>
                    <w:tr2bl w:val="nil"/>
                  </w:tcBorders>
                  <w:vAlign w:val="center"/>
                </w:tcPr>
                <w:p w14:paraId="5C7AF360">
                  <w:pPr>
                    <w:keepNext w:val="0"/>
                    <w:keepLines w:val="0"/>
                    <w:widowControl/>
                    <w:suppressLineNumbers w:val="0"/>
                    <w:jc w:val="left"/>
                    <w:rPr>
                      <w:rFonts w:hint="default" w:eastAsia="宋体"/>
                      <w:color w:val="auto"/>
                      <w:sz w:val="18"/>
                      <w:szCs w:val="18"/>
                      <w:lang w:val="en-US" w:eastAsia="zh-CN"/>
                    </w:rPr>
                  </w:pPr>
                  <w:r>
                    <w:rPr>
                      <w:rFonts w:hint="eastAsia"/>
                      <w:color w:val="auto"/>
                      <w:sz w:val="18"/>
                      <w:szCs w:val="18"/>
                      <w:lang w:val="en-US" w:eastAsia="zh-CN"/>
                    </w:rPr>
                    <w:t>HW08，900-214-08</w:t>
                  </w:r>
                </w:p>
              </w:tc>
              <w:tc>
                <w:tcPr>
                  <w:tcW w:w="497" w:type="pct"/>
                  <w:tcBorders>
                    <w:tl2br w:val="nil"/>
                    <w:tr2bl w:val="nil"/>
                  </w:tcBorders>
                  <w:vAlign w:val="center"/>
                </w:tcPr>
                <w:p w14:paraId="56A13350">
                  <w:pPr>
                    <w:pStyle w:val="74"/>
                    <w:spacing w:line="240" w:lineRule="exact"/>
                    <w:ind w:firstLine="0" w:firstLineChars="0"/>
                    <w:jc w:val="center"/>
                    <w:rPr>
                      <w:rFonts w:hint="default" w:eastAsia="宋体"/>
                      <w:color w:val="auto"/>
                      <w:sz w:val="18"/>
                      <w:szCs w:val="18"/>
                      <w:lang w:val="en-US" w:eastAsia="zh-CN"/>
                    </w:rPr>
                  </w:pPr>
                  <w:r>
                    <w:rPr>
                      <w:rFonts w:hint="eastAsia"/>
                      <w:color w:val="auto"/>
                      <w:sz w:val="18"/>
                      <w:szCs w:val="18"/>
                      <w:lang w:val="en-US" w:eastAsia="zh-CN"/>
                    </w:rPr>
                    <w:t>0.2</w:t>
                  </w:r>
                </w:p>
              </w:tc>
              <w:tc>
                <w:tcPr>
                  <w:tcW w:w="517" w:type="pct"/>
                  <w:tcBorders>
                    <w:tl2br w:val="nil"/>
                    <w:tr2bl w:val="nil"/>
                  </w:tcBorders>
                  <w:vAlign w:val="center"/>
                </w:tcPr>
                <w:p w14:paraId="4B10B802">
                  <w:pPr>
                    <w:pStyle w:val="74"/>
                    <w:spacing w:line="240" w:lineRule="exact"/>
                    <w:ind w:firstLine="0" w:firstLineChars="0"/>
                    <w:jc w:val="center"/>
                    <w:rPr>
                      <w:rFonts w:hint="default"/>
                      <w:bCs/>
                      <w:color w:val="auto"/>
                      <w:sz w:val="18"/>
                      <w:szCs w:val="18"/>
                      <w:lang w:val="en-US" w:eastAsia="zh-CN"/>
                    </w:rPr>
                  </w:pPr>
                  <w:r>
                    <w:rPr>
                      <w:rFonts w:hint="eastAsia"/>
                      <w:bCs/>
                      <w:color w:val="auto"/>
                      <w:sz w:val="18"/>
                      <w:szCs w:val="18"/>
                      <w:lang w:val="en-US" w:eastAsia="zh-CN"/>
                    </w:rPr>
                    <w:t>0</w:t>
                  </w:r>
                </w:p>
              </w:tc>
              <w:tc>
                <w:tcPr>
                  <w:tcW w:w="471" w:type="pct"/>
                  <w:tcBorders>
                    <w:tl2br w:val="nil"/>
                    <w:tr2bl w:val="nil"/>
                  </w:tcBorders>
                  <w:vAlign w:val="center"/>
                </w:tcPr>
                <w:p w14:paraId="090BCE01">
                  <w:pPr>
                    <w:pStyle w:val="74"/>
                    <w:spacing w:line="240" w:lineRule="exact"/>
                    <w:ind w:firstLine="0" w:firstLineChars="0"/>
                    <w:jc w:val="center"/>
                    <w:rPr>
                      <w:rFonts w:hint="default"/>
                      <w:bCs/>
                      <w:color w:val="auto"/>
                      <w:sz w:val="18"/>
                      <w:szCs w:val="18"/>
                      <w:lang w:val="en-US" w:eastAsia="zh-CN"/>
                    </w:rPr>
                  </w:pPr>
                  <w:r>
                    <w:rPr>
                      <w:rFonts w:hint="eastAsia"/>
                      <w:bCs/>
                      <w:color w:val="auto"/>
                      <w:sz w:val="18"/>
                      <w:szCs w:val="18"/>
                      <w:lang w:val="en-US" w:eastAsia="zh-CN"/>
                    </w:rPr>
                    <w:t>0</w:t>
                  </w:r>
                </w:p>
              </w:tc>
              <w:tc>
                <w:tcPr>
                  <w:tcW w:w="382" w:type="pct"/>
                  <w:tcBorders>
                    <w:tl2br w:val="nil"/>
                    <w:tr2bl w:val="nil"/>
                  </w:tcBorders>
                  <w:vAlign w:val="center"/>
                </w:tcPr>
                <w:p w14:paraId="42FB7DAE">
                  <w:pPr>
                    <w:pStyle w:val="74"/>
                    <w:spacing w:line="240" w:lineRule="exact"/>
                    <w:ind w:firstLine="0" w:firstLineChars="0"/>
                    <w:jc w:val="center"/>
                    <w:rPr>
                      <w:rFonts w:hint="default" w:eastAsia="宋体"/>
                      <w:color w:val="auto"/>
                      <w:sz w:val="18"/>
                      <w:szCs w:val="18"/>
                      <w:lang w:val="en-US" w:eastAsia="zh-CN"/>
                    </w:rPr>
                  </w:pPr>
                  <w:r>
                    <w:rPr>
                      <w:rFonts w:hint="eastAsia"/>
                      <w:color w:val="auto"/>
                      <w:sz w:val="18"/>
                      <w:szCs w:val="18"/>
                      <w:lang w:val="en-US" w:eastAsia="zh-CN"/>
                    </w:rPr>
                    <w:t>每月</w:t>
                  </w:r>
                </w:p>
              </w:tc>
              <w:tc>
                <w:tcPr>
                  <w:tcW w:w="857" w:type="pct"/>
                  <w:vMerge w:val="restart"/>
                  <w:tcBorders>
                    <w:tl2br w:val="nil"/>
                    <w:tr2bl w:val="nil"/>
                  </w:tcBorders>
                  <w:vAlign w:val="center"/>
                </w:tcPr>
                <w:p w14:paraId="5AF6F2D0">
                  <w:pPr>
                    <w:pStyle w:val="74"/>
                    <w:spacing w:line="240" w:lineRule="exact"/>
                    <w:ind w:firstLine="0" w:firstLineChars="0"/>
                    <w:jc w:val="center"/>
                    <w:rPr>
                      <w:rFonts w:hint="default"/>
                      <w:color w:val="auto"/>
                      <w:sz w:val="18"/>
                      <w:szCs w:val="18"/>
                      <w:lang w:val="en-US" w:eastAsia="zh-CN"/>
                    </w:rPr>
                  </w:pPr>
                  <w:r>
                    <w:rPr>
                      <w:color w:val="auto"/>
                      <w:sz w:val="18"/>
                      <w:szCs w:val="18"/>
                    </w:rPr>
                    <w:t>收集于</w:t>
                  </w:r>
                  <w:r>
                    <w:rPr>
                      <w:rFonts w:hint="eastAsia"/>
                      <w:color w:val="auto"/>
                      <w:sz w:val="18"/>
                      <w:szCs w:val="18"/>
                      <w:lang w:val="en-US" w:eastAsia="zh-CN"/>
                    </w:rPr>
                    <w:t>危险废物贮存库</w:t>
                  </w:r>
                  <w:r>
                    <w:rPr>
                      <w:color w:val="auto"/>
                      <w:sz w:val="18"/>
                      <w:szCs w:val="18"/>
                    </w:rPr>
                    <w:t>暂存</w:t>
                  </w:r>
                  <w:r>
                    <w:rPr>
                      <w:rFonts w:hint="eastAsia"/>
                      <w:color w:val="auto"/>
                      <w:sz w:val="18"/>
                      <w:szCs w:val="18"/>
                    </w:rPr>
                    <w:t>，</w:t>
                  </w:r>
                  <w:r>
                    <w:rPr>
                      <w:color w:val="auto"/>
                      <w:sz w:val="18"/>
                      <w:szCs w:val="18"/>
                    </w:rPr>
                    <w:t>定期委托有资质单位清运处置</w:t>
                  </w:r>
                </w:p>
              </w:tc>
            </w:tr>
            <w:tr w14:paraId="7A6836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43" w:type="pct"/>
                  <w:vMerge w:val="continue"/>
                  <w:tcBorders>
                    <w:tl2br w:val="nil"/>
                    <w:tr2bl w:val="nil"/>
                  </w:tcBorders>
                  <w:vAlign w:val="center"/>
                </w:tcPr>
                <w:p w14:paraId="45A514A4">
                  <w:pPr>
                    <w:pStyle w:val="74"/>
                    <w:spacing w:line="240" w:lineRule="exact"/>
                    <w:ind w:firstLine="0" w:firstLineChars="0"/>
                    <w:jc w:val="center"/>
                    <w:rPr>
                      <w:rFonts w:hint="default" w:eastAsia="宋体"/>
                      <w:color w:val="auto"/>
                      <w:sz w:val="18"/>
                      <w:szCs w:val="18"/>
                      <w:lang w:val="en-US" w:eastAsia="zh-CN"/>
                    </w:rPr>
                  </w:pPr>
                </w:p>
              </w:tc>
              <w:tc>
                <w:tcPr>
                  <w:tcW w:w="691" w:type="pct"/>
                  <w:tcBorders>
                    <w:tl2br w:val="nil"/>
                    <w:tr2bl w:val="nil"/>
                  </w:tcBorders>
                  <w:vAlign w:val="center"/>
                </w:tcPr>
                <w:p w14:paraId="02936257">
                  <w:pPr>
                    <w:pStyle w:val="74"/>
                    <w:spacing w:line="240" w:lineRule="exact"/>
                    <w:ind w:firstLine="0" w:firstLineChars="0"/>
                    <w:jc w:val="center"/>
                    <w:rPr>
                      <w:rFonts w:hint="default" w:eastAsia="宋体"/>
                      <w:color w:val="auto"/>
                      <w:sz w:val="18"/>
                      <w:szCs w:val="18"/>
                      <w:lang w:val="en-US" w:eastAsia="zh-CN"/>
                    </w:rPr>
                  </w:pPr>
                  <w:r>
                    <w:rPr>
                      <w:rFonts w:hint="eastAsia"/>
                      <w:color w:val="auto"/>
                      <w:sz w:val="18"/>
                      <w:szCs w:val="18"/>
                      <w:lang w:val="en-US" w:eastAsia="zh-CN"/>
                    </w:rPr>
                    <w:t>废油桶</w:t>
                  </w:r>
                </w:p>
              </w:tc>
              <w:tc>
                <w:tcPr>
                  <w:tcW w:w="500" w:type="pct"/>
                  <w:vMerge w:val="continue"/>
                  <w:tcBorders>
                    <w:tl2br w:val="nil"/>
                    <w:tr2bl w:val="nil"/>
                  </w:tcBorders>
                  <w:vAlign w:val="center"/>
                </w:tcPr>
                <w:p w14:paraId="08AC1B99">
                  <w:pPr>
                    <w:pStyle w:val="74"/>
                    <w:spacing w:line="240" w:lineRule="exact"/>
                    <w:ind w:firstLine="0" w:firstLineChars="0"/>
                    <w:jc w:val="center"/>
                    <w:rPr>
                      <w:color w:val="auto"/>
                      <w:sz w:val="18"/>
                      <w:szCs w:val="18"/>
                    </w:rPr>
                  </w:pPr>
                </w:p>
              </w:tc>
              <w:tc>
                <w:tcPr>
                  <w:tcW w:w="739" w:type="pct"/>
                  <w:tcBorders>
                    <w:tl2br w:val="nil"/>
                    <w:tr2bl w:val="nil"/>
                  </w:tcBorders>
                  <w:vAlign w:val="center"/>
                </w:tcPr>
                <w:p w14:paraId="20042A55">
                  <w:pPr>
                    <w:keepNext w:val="0"/>
                    <w:keepLines w:val="0"/>
                    <w:widowControl/>
                    <w:suppressLineNumbers w:val="0"/>
                    <w:jc w:val="left"/>
                    <w:rPr>
                      <w:rFonts w:hint="default" w:ascii="Times New Roman" w:hAnsi="Times New Roman" w:eastAsia="宋体" w:cs="Times New Roman"/>
                      <w:color w:val="auto"/>
                      <w:kern w:val="0"/>
                      <w:sz w:val="18"/>
                      <w:szCs w:val="18"/>
                      <w:lang w:val="en-US" w:eastAsia="zh-CN" w:bidi="ar"/>
                    </w:rPr>
                  </w:pPr>
                  <w:r>
                    <w:rPr>
                      <w:rFonts w:hint="default" w:ascii="Times New Roman" w:hAnsi="Times New Roman" w:eastAsia="宋体" w:cs="Times New Roman"/>
                      <w:color w:val="auto"/>
                      <w:kern w:val="0"/>
                      <w:sz w:val="18"/>
                      <w:szCs w:val="18"/>
                      <w:lang w:val="en-US" w:eastAsia="zh-CN" w:bidi="ar"/>
                    </w:rPr>
                    <w:t>HW</w:t>
                  </w:r>
                  <w:r>
                    <w:rPr>
                      <w:rFonts w:hint="eastAsia" w:cs="Times New Roman"/>
                      <w:color w:val="auto"/>
                      <w:kern w:val="0"/>
                      <w:sz w:val="18"/>
                      <w:szCs w:val="18"/>
                      <w:lang w:val="en-US" w:eastAsia="zh-CN" w:bidi="ar"/>
                    </w:rPr>
                    <w:t>49</w:t>
                  </w:r>
                  <w:r>
                    <w:rPr>
                      <w:rFonts w:hint="eastAsia" w:ascii="宋体" w:hAnsi="宋体" w:eastAsia="宋体" w:cs="宋体"/>
                      <w:color w:val="auto"/>
                      <w:kern w:val="0"/>
                      <w:sz w:val="18"/>
                      <w:szCs w:val="18"/>
                      <w:lang w:val="en-US" w:eastAsia="zh-CN" w:bidi="ar"/>
                    </w:rPr>
                    <w:t>，</w:t>
                  </w:r>
                  <w:r>
                    <w:rPr>
                      <w:rFonts w:hint="eastAsia" w:cs="Times New Roman"/>
                      <w:color w:val="auto"/>
                      <w:kern w:val="0"/>
                      <w:sz w:val="18"/>
                      <w:szCs w:val="18"/>
                      <w:lang w:val="en-US" w:eastAsia="zh-CN" w:bidi="ar"/>
                    </w:rPr>
                    <w:t>900-041-49</w:t>
                  </w:r>
                </w:p>
              </w:tc>
              <w:tc>
                <w:tcPr>
                  <w:tcW w:w="497" w:type="pct"/>
                  <w:tcBorders>
                    <w:tl2br w:val="nil"/>
                    <w:tr2bl w:val="nil"/>
                  </w:tcBorders>
                  <w:vAlign w:val="center"/>
                </w:tcPr>
                <w:p w14:paraId="34995BA1">
                  <w:pPr>
                    <w:pStyle w:val="74"/>
                    <w:spacing w:line="240" w:lineRule="exact"/>
                    <w:ind w:firstLine="0" w:firstLineChars="0"/>
                    <w:jc w:val="center"/>
                    <w:rPr>
                      <w:rFonts w:hint="default" w:eastAsia="宋体"/>
                      <w:color w:val="auto"/>
                      <w:sz w:val="18"/>
                      <w:szCs w:val="18"/>
                      <w:lang w:val="en-US" w:eastAsia="zh-CN"/>
                    </w:rPr>
                  </w:pPr>
                  <w:r>
                    <w:rPr>
                      <w:rFonts w:hint="eastAsia"/>
                      <w:color w:val="auto"/>
                      <w:sz w:val="18"/>
                      <w:szCs w:val="18"/>
                      <w:lang w:val="en-US" w:eastAsia="zh-CN"/>
                    </w:rPr>
                    <w:t>0.04</w:t>
                  </w:r>
                </w:p>
              </w:tc>
              <w:tc>
                <w:tcPr>
                  <w:tcW w:w="517" w:type="pct"/>
                  <w:tcBorders>
                    <w:tl2br w:val="nil"/>
                    <w:tr2bl w:val="nil"/>
                  </w:tcBorders>
                  <w:vAlign w:val="center"/>
                </w:tcPr>
                <w:p w14:paraId="09E58C0D">
                  <w:pPr>
                    <w:pStyle w:val="74"/>
                    <w:spacing w:line="240" w:lineRule="exact"/>
                    <w:ind w:firstLine="0" w:firstLineChars="0"/>
                    <w:jc w:val="center"/>
                    <w:rPr>
                      <w:rFonts w:hint="eastAsia" w:eastAsia="宋体"/>
                      <w:color w:val="auto"/>
                      <w:sz w:val="18"/>
                      <w:szCs w:val="18"/>
                      <w:lang w:val="en-US" w:eastAsia="zh-CN"/>
                    </w:rPr>
                  </w:pPr>
                  <w:r>
                    <w:rPr>
                      <w:rFonts w:hint="eastAsia"/>
                      <w:color w:val="auto"/>
                      <w:sz w:val="18"/>
                      <w:szCs w:val="18"/>
                      <w:lang w:val="en-US" w:eastAsia="zh-CN"/>
                    </w:rPr>
                    <w:t>0</w:t>
                  </w:r>
                </w:p>
              </w:tc>
              <w:tc>
                <w:tcPr>
                  <w:tcW w:w="471" w:type="pct"/>
                  <w:tcBorders>
                    <w:tl2br w:val="nil"/>
                    <w:tr2bl w:val="nil"/>
                  </w:tcBorders>
                  <w:vAlign w:val="center"/>
                </w:tcPr>
                <w:p w14:paraId="6E65A73D">
                  <w:pPr>
                    <w:pStyle w:val="74"/>
                    <w:spacing w:line="240" w:lineRule="exact"/>
                    <w:ind w:firstLine="0" w:firstLineChars="0"/>
                    <w:jc w:val="center"/>
                    <w:rPr>
                      <w:rFonts w:hint="eastAsia" w:eastAsia="宋体"/>
                      <w:color w:val="auto"/>
                      <w:sz w:val="18"/>
                      <w:szCs w:val="18"/>
                      <w:lang w:val="en-US" w:eastAsia="zh-CN"/>
                    </w:rPr>
                  </w:pPr>
                  <w:r>
                    <w:rPr>
                      <w:rFonts w:hint="eastAsia"/>
                      <w:color w:val="auto"/>
                      <w:sz w:val="18"/>
                      <w:szCs w:val="18"/>
                      <w:lang w:val="en-US" w:eastAsia="zh-CN"/>
                    </w:rPr>
                    <w:t>0</w:t>
                  </w:r>
                </w:p>
              </w:tc>
              <w:tc>
                <w:tcPr>
                  <w:tcW w:w="382" w:type="pct"/>
                  <w:tcBorders>
                    <w:tl2br w:val="nil"/>
                    <w:tr2bl w:val="nil"/>
                  </w:tcBorders>
                  <w:vAlign w:val="center"/>
                </w:tcPr>
                <w:p w14:paraId="007D035F">
                  <w:pPr>
                    <w:pStyle w:val="74"/>
                    <w:spacing w:line="240" w:lineRule="exact"/>
                    <w:ind w:firstLine="0" w:firstLineChars="0"/>
                    <w:jc w:val="center"/>
                    <w:rPr>
                      <w:rFonts w:hint="default" w:eastAsia="宋体"/>
                      <w:color w:val="auto"/>
                      <w:sz w:val="18"/>
                      <w:szCs w:val="18"/>
                      <w:lang w:val="en-US" w:eastAsia="zh-CN"/>
                    </w:rPr>
                  </w:pPr>
                  <w:r>
                    <w:rPr>
                      <w:rFonts w:hint="eastAsia"/>
                      <w:color w:val="auto"/>
                      <w:sz w:val="18"/>
                      <w:szCs w:val="18"/>
                      <w:lang w:val="en-US" w:eastAsia="zh-CN"/>
                    </w:rPr>
                    <w:t>每月</w:t>
                  </w:r>
                </w:p>
              </w:tc>
              <w:tc>
                <w:tcPr>
                  <w:tcW w:w="857" w:type="pct"/>
                  <w:vMerge w:val="continue"/>
                  <w:tcBorders>
                    <w:tl2br w:val="nil"/>
                    <w:tr2bl w:val="nil"/>
                  </w:tcBorders>
                  <w:vAlign w:val="center"/>
                </w:tcPr>
                <w:p w14:paraId="1A6AE431">
                  <w:pPr>
                    <w:pStyle w:val="74"/>
                    <w:spacing w:line="240" w:lineRule="exact"/>
                    <w:ind w:firstLine="0" w:firstLineChars="0"/>
                    <w:jc w:val="center"/>
                    <w:rPr>
                      <w:rFonts w:hint="default" w:eastAsia="宋体"/>
                      <w:color w:val="auto"/>
                      <w:sz w:val="18"/>
                      <w:szCs w:val="18"/>
                      <w:lang w:val="en-US" w:eastAsia="zh-CN"/>
                    </w:rPr>
                  </w:pPr>
                </w:p>
              </w:tc>
            </w:tr>
            <w:tr w14:paraId="1DD852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43" w:type="pct"/>
                  <w:vMerge w:val="continue"/>
                  <w:tcBorders>
                    <w:tl2br w:val="nil"/>
                    <w:tr2bl w:val="nil"/>
                  </w:tcBorders>
                  <w:vAlign w:val="center"/>
                </w:tcPr>
                <w:p w14:paraId="1621E089">
                  <w:pPr>
                    <w:pStyle w:val="74"/>
                    <w:spacing w:line="240" w:lineRule="exact"/>
                    <w:ind w:firstLine="0" w:firstLineChars="0"/>
                    <w:jc w:val="center"/>
                    <w:rPr>
                      <w:rFonts w:hint="default" w:eastAsia="宋体"/>
                      <w:color w:val="auto"/>
                      <w:sz w:val="18"/>
                      <w:szCs w:val="18"/>
                      <w:lang w:val="en-US" w:eastAsia="zh-CN"/>
                    </w:rPr>
                  </w:pPr>
                </w:p>
              </w:tc>
              <w:tc>
                <w:tcPr>
                  <w:tcW w:w="691" w:type="pct"/>
                  <w:tcBorders>
                    <w:tl2br w:val="nil"/>
                    <w:tr2bl w:val="nil"/>
                  </w:tcBorders>
                  <w:vAlign w:val="center"/>
                </w:tcPr>
                <w:p w14:paraId="5AD2FCE2">
                  <w:pPr>
                    <w:pStyle w:val="74"/>
                    <w:spacing w:line="240" w:lineRule="exact"/>
                    <w:ind w:firstLine="0" w:firstLineChars="0"/>
                    <w:jc w:val="center"/>
                    <w:rPr>
                      <w:rFonts w:hint="default"/>
                      <w:color w:val="auto"/>
                      <w:sz w:val="18"/>
                      <w:szCs w:val="18"/>
                      <w:lang w:val="en-US" w:eastAsia="zh-CN"/>
                    </w:rPr>
                  </w:pPr>
                  <w:r>
                    <w:rPr>
                      <w:rFonts w:hint="eastAsia"/>
                      <w:color w:val="auto"/>
                      <w:sz w:val="18"/>
                      <w:szCs w:val="18"/>
                      <w:lang w:val="en-US" w:eastAsia="zh-CN"/>
                    </w:rPr>
                    <w:t>废活性炭</w:t>
                  </w:r>
                </w:p>
              </w:tc>
              <w:tc>
                <w:tcPr>
                  <w:tcW w:w="500" w:type="pct"/>
                  <w:tcBorders>
                    <w:tl2br w:val="nil"/>
                    <w:tr2bl w:val="nil"/>
                  </w:tcBorders>
                  <w:vAlign w:val="center"/>
                </w:tcPr>
                <w:p w14:paraId="2CEAF89F">
                  <w:pPr>
                    <w:pStyle w:val="74"/>
                    <w:spacing w:line="240" w:lineRule="exact"/>
                    <w:ind w:firstLine="0" w:firstLineChars="0"/>
                    <w:jc w:val="center"/>
                    <w:rPr>
                      <w:rFonts w:hint="default" w:eastAsia="宋体"/>
                      <w:color w:val="auto"/>
                      <w:sz w:val="18"/>
                      <w:szCs w:val="18"/>
                      <w:lang w:val="en-US" w:eastAsia="zh-CN"/>
                    </w:rPr>
                  </w:pPr>
                  <w:r>
                    <w:rPr>
                      <w:rFonts w:hint="eastAsia"/>
                      <w:color w:val="auto"/>
                      <w:sz w:val="18"/>
                      <w:szCs w:val="18"/>
                      <w:lang w:val="en-US" w:eastAsia="zh-CN"/>
                    </w:rPr>
                    <w:t>沥青、碳</w:t>
                  </w:r>
                </w:p>
              </w:tc>
              <w:tc>
                <w:tcPr>
                  <w:tcW w:w="739" w:type="pct"/>
                  <w:tcBorders>
                    <w:tl2br w:val="nil"/>
                    <w:tr2bl w:val="nil"/>
                  </w:tcBorders>
                  <w:vAlign w:val="center"/>
                </w:tcPr>
                <w:p w14:paraId="2673E181">
                  <w:pPr>
                    <w:keepNext w:val="0"/>
                    <w:keepLines w:val="0"/>
                    <w:widowControl/>
                    <w:suppressLineNumbers w:val="0"/>
                    <w:jc w:val="left"/>
                    <w:rPr>
                      <w:rFonts w:hint="default" w:ascii="Times New Roman" w:hAnsi="Times New Roman" w:eastAsia="宋体" w:cs="Times New Roman"/>
                      <w:color w:val="auto"/>
                      <w:kern w:val="0"/>
                      <w:sz w:val="18"/>
                      <w:szCs w:val="18"/>
                      <w:lang w:val="en-US" w:eastAsia="zh-CN" w:bidi="ar"/>
                    </w:rPr>
                  </w:pPr>
                  <w:r>
                    <w:rPr>
                      <w:rFonts w:hint="default" w:ascii="Times New Roman" w:hAnsi="Times New Roman" w:eastAsia="宋体" w:cs="Times New Roman"/>
                      <w:color w:val="auto"/>
                      <w:kern w:val="0"/>
                      <w:sz w:val="18"/>
                      <w:szCs w:val="18"/>
                      <w:lang w:val="en-US" w:eastAsia="zh-CN" w:bidi="ar"/>
                    </w:rPr>
                    <w:t>HW</w:t>
                  </w:r>
                  <w:r>
                    <w:rPr>
                      <w:rFonts w:hint="eastAsia" w:cs="Times New Roman"/>
                      <w:color w:val="auto"/>
                      <w:kern w:val="0"/>
                      <w:sz w:val="18"/>
                      <w:szCs w:val="18"/>
                      <w:lang w:val="en-US" w:eastAsia="zh-CN" w:bidi="ar"/>
                    </w:rPr>
                    <w:t>49</w:t>
                  </w:r>
                  <w:r>
                    <w:rPr>
                      <w:rFonts w:hint="eastAsia" w:ascii="宋体" w:hAnsi="宋体" w:eastAsia="宋体" w:cs="宋体"/>
                      <w:color w:val="auto"/>
                      <w:kern w:val="0"/>
                      <w:sz w:val="18"/>
                      <w:szCs w:val="18"/>
                      <w:lang w:val="en-US" w:eastAsia="zh-CN" w:bidi="ar"/>
                    </w:rPr>
                    <w:t>，</w:t>
                  </w:r>
                  <w:r>
                    <w:rPr>
                      <w:rFonts w:hint="eastAsia" w:cs="Times New Roman"/>
                      <w:color w:val="auto"/>
                      <w:kern w:val="0"/>
                      <w:sz w:val="18"/>
                      <w:szCs w:val="18"/>
                      <w:lang w:val="en-US" w:eastAsia="zh-CN" w:bidi="ar"/>
                    </w:rPr>
                    <w:t>900-039-49</w:t>
                  </w:r>
                </w:p>
              </w:tc>
              <w:tc>
                <w:tcPr>
                  <w:tcW w:w="497" w:type="pct"/>
                  <w:tcBorders>
                    <w:tl2br w:val="nil"/>
                    <w:tr2bl w:val="nil"/>
                  </w:tcBorders>
                  <w:vAlign w:val="center"/>
                </w:tcPr>
                <w:p w14:paraId="51BCC8D9">
                  <w:pPr>
                    <w:pStyle w:val="74"/>
                    <w:spacing w:line="240" w:lineRule="exact"/>
                    <w:ind w:firstLine="0" w:firstLineChars="0"/>
                    <w:jc w:val="center"/>
                    <w:rPr>
                      <w:rFonts w:hint="default"/>
                      <w:color w:val="auto"/>
                      <w:sz w:val="18"/>
                      <w:szCs w:val="18"/>
                      <w:lang w:val="en-US" w:eastAsia="zh-CN"/>
                    </w:rPr>
                  </w:pPr>
                  <w:r>
                    <w:rPr>
                      <w:rFonts w:hint="eastAsia"/>
                      <w:color w:val="auto"/>
                      <w:sz w:val="18"/>
                      <w:szCs w:val="18"/>
                      <w:lang w:val="en-US" w:eastAsia="zh-CN"/>
                    </w:rPr>
                    <w:t>1.56</w:t>
                  </w:r>
                </w:p>
              </w:tc>
              <w:tc>
                <w:tcPr>
                  <w:tcW w:w="517" w:type="pct"/>
                  <w:tcBorders>
                    <w:tl2br w:val="nil"/>
                    <w:tr2bl w:val="nil"/>
                  </w:tcBorders>
                  <w:vAlign w:val="center"/>
                </w:tcPr>
                <w:p w14:paraId="7F8B06D6">
                  <w:pPr>
                    <w:pStyle w:val="74"/>
                    <w:spacing w:line="240" w:lineRule="exact"/>
                    <w:ind w:firstLine="0" w:firstLineChars="0"/>
                    <w:jc w:val="center"/>
                    <w:rPr>
                      <w:rFonts w:hint="default"/>
                      <w:color w:val="auto"/>
                      <w:sz w:val="18"/>
                      <w:szCs w:val="18"/>
                      <w:lang w:val="en-US" w:eastAsia="zh-CN"/>
                    </w:rPr>
                  </w:pPr>
                  <w:r>
                    <w:rPr>
                      <w:rFonts w:hint="eastAsia"/>
                      <w:color w:val="auto"/>
                      <w:sz w:val="18"/>
                      <w:szCs w:val="18"/>
                      <w:lang w:val="en-US" w:eastAsia="zh-CN"/>
                    </w:rPr>
                    <w:t>0</w:t>
                  </w:r>
                </w:p>
              </w:tc>
              <w:tc>
                <w:tcPr>
                  <w:tcW w:w="471" w:type="pct"/>
                  <w:tcBorders>
                    <w:tl2br w:val="nil"/>
                    <w:tr2bl w:val="nil"/>
                  </w:tcBorders>
                  <w:vAlign w:val="center"/>
                </w:tcPr>
                <w:p w14:paraId="718A8965">
                  <w:pPr>
                    <w:pStyle w:val="74"/>
                    <w:spacing w:line="240" w:lineRule="exact"/>
                    <w:ind w:firstLine="0" w:firstLineChars="0"/>
                    <w:jc w:val="center"/>
                    <w:rPr>
                      <w:rFonts w:hint="default"/>
                      <w:color w:val="auto"/>
                      <w:sz w:val="18"/>
                      <w:szCs w:val="18"/>
                      <w:lang w:val="en-US" w:eastAsia="zh-CN"/>
                    </w:rPr>
                  </w:pPr>
                  <w:r>
                    <w:rPr>
                      <w:rFonts w:hint="eastAsia"/>
                      <w:color w:val="auto"/>
                      <w:sz w:val="18"/>
                      <w:szCs w:val="18"/>
                      <w:lang w:val="en-US" w:eastAsia="zh-CN"/>
                    </w:rPr>
                    <w:t>0</w:t>
                  </w:r>
                </w:p>
              </w:tc>
              <w:tc>
                <w:tcPr>
                  <w:tcW w:w="382" w:type="pct"/>
                  <w:tcBorders>
                    <w:tl2br w:val="nil"/>
                    <w:tr2bl w:val="nil"/>
                  </w:tcBorders>
                  <w:vAlign w:val="center"/>
                </w:tcPr>
                <w:p w14:paraId="7FC535A5">
                  <w:pPr>
                    <w:pStyle w:val="74"/>
                    <w:spacing w:line="240" w:lineRule="exact"/>
                    <w:ind w:firstLine="0" w:firstLineChars="0"/>
                    <w:jc w:val="center"/>
                    <w:rPr>
                      <w:rFonts w:hint="default"/>
                      <w:color w:val="auto"/>
                      <w:sz w:val="18"/>
                      <w:szCs w:val="18"/>
                      <w:lang w:val="en-US" w:eastAsia="zh-CN"/>
                    </w:rPr>
                  </w:pPr>
                  <w:r>
                    <w:rPr>
                      <w:rFonts w:hint="eastAsia"/>
                      <w:color w:val="auto"/>
                      <w:sz w:val="18"/>
                      <w:szCs w:val="18"/>
                      <w:lang w:val="en-US" w:eastAsia="zh-CN"/>
                    </w:rPr>
                    <w:t>每半年</w:t>
                  </w:r>
                </w:p>
              </w:tc>
              <w:tc>
                <w:tcPr>
                  <w:tcW w:w="857" w:type="pct"/>
                  <w:vMerge w:val="continue"/>
                  <w:tcBorders>
                    <w:tl2br w:val="nil"/>
                    <w:tr2bl w:val="nil"/>
                  </w:tcBorders>
                  <w:vAlign w:val="center"/>
                </w:tcPr>
                <w:p w14:paraId="4508F1CC">
                  <w:pPr>
                    <w:pStyle w:val="74"/>
                    <w:spacing w:line="240" w:lineRule="exact"/>
                    <w:ind w:firstLine="0" w:firstLineChars="0"/>
                    <w:jc w:val="center"/>
                    <w:rPr>
                      <w:rFonts w:hint="default" w:eastAsia="宋体"/>
                      <w:color w:val="auto"/>
                      <w:sz w:val="18"/>
                      <w:szCs w:val="18"/>
                      <w:lang w:val="en-US" w:eastAsia="zh-CN"/>
                    </w:rPr>
                  </w:pPr>
                </w:p>
              </w:tc>
            </w:tr>
            <w:tr w14:paraId="74C6B4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43" w:type="pct"/>
                  <w:vMerge w:val="continue"/>
                  <w:tcBorders>
                    <w:tl2br w:val="nil"/>
                    <w:tr2bl w:val="nil"/>
                  </w:tcBorders>
                  <w:vAlign w:val="center"/>
                </w:tcPr>
                <w:p w14:paraId="6404BD97">
                  <w:pPr>
                    <w:pStyle w:val="74"/>
                    <w:spacing w:line="240" w:lineRule="exact"/>
                    <w:ind w:firstLine="0" w:firstLineChars="0"/>
                    <w:jc w:val="center"/>
                    <w:rPr>
                      <w:rFonts w:hint="default" w:eastAsia="宋体"/>
                      <w:color w:val="auto"/>
                      <w:sz w:val="18"/>
                      <w:szCs w:val="18"/>
                      <w:lang w:val="en-US" w:eastAsia="zh-CN"/>
                    </w:rPr>
                  </w:pPr>
                </w:p>
              </w:tc>
              <w:tc>
                <w:tcPr>
                  <w:tcW w:w="691" w:type="pct"/>
                  <w:tcBorders>
                    <w:tl2br w:val="nil"/>
                    <w:tr2bl w:val="nil"/>
                  </w:tcBorders>
                  <w:vAlign w:val="center"/>
                </w:tcPr>
                <w:p w14:paraId="2B031608">
                  <w:pPr>
                    <w:pStyle w:val="74"/>
                    <w:spacing w:line="240" w:lineRule="exact"/>
                    <w:ind w:firstLine="0" w:firstLineChars="0"/>
                    <w:jc w:val="center"/>
                    <w:rPr>
                      <w:rFonts w:hint="default"/>
                      <w:color w:val="auto"/>
                      <w:sz w:val="18"/>
                      <w:szCs w:val="18"/>
                      <w:lang w:val="en-US" w:eastAsia="zh-CN"/>
                    </w:rPr>
                  </w:pPr>
                  <w:r>
                    <w:rPr>
                      <w:rFonts w:hint="eastAsia"/>
                      <w:color w:val="auto"/>
                      <w:sz w:val="18"/>
                      <w:szCs w:val="18"/>
                      <w:lang w:val="en-US" w:eastAsia="zh-CN"/>
                    </w:rPr>
                    <w:t>废导热油</w:t>
                  </w:r>
                </w:p>
              </w:tc>
              <w:tc>
                <w:tcPr>
                  <w:tcW w:w="500" w:type="pct"/>
                  <w:tcBorders>
                    <w:tl2br w:val="nil"/>
                    <w:tr2bl w:val="nil"/>
                  </w:tcBorders>
                  <w:vAlign w:val="center"/>
                </w:tcPr>
                <w:p w14:paraId="5B7239F8">
                  <w:pPr>
                    <w:pStyle w:val="74"/>
                    <w:spacing w:line="240" w:lineRule="exact"/>
                    <w:ind w:firstLine="0" w:firstLineChars="0"/>
                    <w:jc w:val="center"/>
                    <w:rPr>
                      <w:rFonts w:hint="default"/>
                      <w:color w:val="auto"/>
                      <w:sz w:val="18"/>
                      <w:szCs w:val="18"/>
                      <w:lang w:val="en-US" w:eastAsia="zh-CN"/>
                    </w:rPr>
                  </w:pPr>
                  <w:r>
                    <w:rPr>
                      <w:rFonts w:hint="eastAsia"/>
                      <w:color w:val="auto"/>
                      <w:sz w:val="18"/>
                      <w:szCs w:val="18"/>
                      <w:lang w:val="en-US" w:eastAsia="zh-CN"/>
                    </w:rPr>
                    <w:t>烃类</w:t>
                  </w:r>
                </w:p>
              </w:tc>
              <w:tc>
                <w:tcPr>
                  <w:tcW w:w="739" w:type="pct"/>
                  <w:tcBorders>
                    <w:tl2br w:val="nil"/>
                    <w:tr2bl w:val="nil"/>
                  </w:tcBorders>
                  <w:vAlign w:val="center"/>
                </w:tcPr>
                <w:p w14:paraId="7014DDAE">
                  <w:pPr>
                    <w:keepNext w:val="0"/>
                    <w:keepLines w:val="0"/>
                    <w:widowControl/>
                    <w:suppressLineNumbers w:val="0"/>
                    <w:jc w:val="left"/>
                    <w:rPr>
                      <w:rFonts w:hint="eastAsia" w:cs="Times New Roman"/>
                      <w:color w:val="auto"/>
                      <w:kern w:val="0"/>
                      <w:sz w:val="18"/>
                      <w:szCs w:val="18"/>
                      <w:lang w:val="en-US" w:eastAsia="zh-CN" w:bidi="ar"/>
                    </w:rPr>
                  </w:pPr>
                  <w:r>
                    <w:rPr>
                      <w:rFonts w:hint="eastAsia" w:cs="Times New Roman"/>
                      <w:color w:val="auto"/>
                      <w:kern w:val="0"/>
                      <w:sz w:val="18"/>
                      <w:szCs w:val="18"/>
                      <w:lang w:val="en-US" w:eastAsia="zh-CN" w:bidi="ar"/>
                    </w:rPr>
                    <w:t>HW08，</w:t>
                  </w:r>
                </w:p>
                <w:p w14:paraId="6BF1F9A4">
                  <w:pPr>
                    <w:keepNext w:val="0"/>
                    <w:keepLines w:val="0"/>
                    <w:widowControl/>
                    <w:suppressLineNumbers w:val="0"/>
                    <w:jc w:val="left"/>
                    <w:rPr>
                      <w:rFonts w:hint="default" w:cs="Times New Roman"/>
                      <w:color w:val="auto"/>
                      <w:kern w:val="0"/>
                      <w:sz w:val="18"/>
                      <w:szCs w:val="18"/>
                      <w:lang w:val="en-US" w:eastAsia="zh-CN" w:bidi="ar"/>
                    </w:rPr>
                  </w:pPr>
                  <w:r>
                    <w:rPr>
                      <w:rFonts w:hint="eastAsia" w:cs="Times New Roman"/>
                      <w:color w:val="auto"/>
                      <w:kern w:val="0"/>
                      <w:sz w:val="18"/>
                      <w:szCs w:val="18"/>
                      <w:lang w:val="en-US" w:eastAsia="zh-CN" w:bidi="ar"/>
                    </w:rPr>
                    <w:t>900-249-08</w:t>
                  </w:r>
                </w:p>
              </w:tc>
              <w:tc>
                <w:tcPr>
                  <w:tcW w:w="497" w:type="pct"/>
                  <w:tcBorders>
                    <w:tl2br w:val="nil"/>
                    <w:tr2bl w:val="nil"/>
                  </w:tcBorders>
                  <w:vAlign w:val="center"/>
                </w:tcPr>
                <w:p w14:paraId="0A139957">
                  <w:pPr>
                    <w:pStyle w:val="74"/>
                    <w:spacing w:line="240" w:lineRule="exact"/>
                    <w:ind w:firstLine="0" w:firstLineChars="0"/>
                    <w:jc w:val="center"/>
                    <w:rPr>
                      <w:rFonts w:hint="default"/>
                      <w:color w:val="auto"/>
                      <w:sz w:val="18"/>
                      <w:szCs w:val="18"/>
                      <w:lang w:val="en-US" w:eastAsia="zh-CN"/>
                    </w:rPr>
                  </w:pPr>
                  <w:r>
                    <w:rPr>
                      <w:rFonts w:hint="eastAsia"/>
                      <w:color w:val="auto"/>
                      <w:sz w:val="18"/>
                      <w:szCs w:val="18"/>
                      <w:lang w:val="en-US" w:eastAsia="zh-CN"/>
                    </w:rPr>
                    <w:t>2t/3a</w:t>
                  </w:r>
                </w:p>
              </w:tc>
              <w:tc>
                <w:tcPr>
                  <w:tcW w:w="517" w:type="pct"/>
                  <w:tcBorders>
                    <w:tl2br w:val="nil"/>
                    <w:tr2bl w:val="nil"/>
                  </w:tcBorders>
                  <w:vAlign w:val="center"/>
                </w:tcPr>
                <w:p w14:paraId="335328E4">
                  <w:pPr>
                    <w:pStyle w:val="74"/>
                    <w:spacing w:line="240" w:lineRule="exact"/>
                    <w:ind w:firstLine="0" w:firstLineChars="0"/>
                    <w:jc w:val="center"/>
                    <w:rPr>
                      <w:rFonts w:hint="default"/>
                      <w:color w:val="auto"/>
                      <w:sz w:val="18"/>
                      <w:szCs w:val="18"/>
                      <w:lang w:val="en-US" w:eastAsia="zh-CN"/>
                    </w:rPr>
                  </w:pPr>
                  <w:r>
                    <w:rPr>
                      <w:rFonts w:hint="eastAsia"/>
                      <w:color w:val="auto"/>
                      <w:sz w:val="18"/>
                      <w:szCs w:val="18"/>
                      <w:lang w:val="en-US" w:eastAsia="zh-CN"/>
                    </w:rPr>
                    <w:t>0</w:t>
                  </w:r>
                </w:p>
              </w:tc>
              <w:tc>
                <w:tcPr>
                  <w:tcW w:w="471" w:type="pct"/>
                  <w:tcBorders>
                    <w:tl2br w:val="nil"/>
                    <w:tr2bl w:val="nil"/>
                  </w:tcBorders>
                  <w:vAlign w:val="center"/>
                </w:tcPr>
                <w:p w14:paraId="31CE2137">
                  <w:pPr>
                    <w:pStyle w:val="74"/>
                    <w:spacing w:line="240" w:lineRule="exact"/>
                    <w:ind w:firstLine="0" w:firstLineChars="0"/>
                    <w:jc w:val="center"/>
                    <w:rPr>
                      <w:rFonts w:hint="default"/>
                      <w:color w:val="auto"/>
                      <w:sz w:val="18"/>
                      <w:szCs w:val="18"/>
                      <w:lang w:val="en-US" w:eastAsia="zh-CN"/>
                    </w:rPr>
                  </w:pPr>
                  <w:r>
                    <w:rPr>
                      <w:rFonts w:hint="eastAsia"/>
                      <w:color w:val="auto"/>
                      <w:sz w:val="18"/>
                      <w:szCs w:val="18"/>
                      <w:lang w:val="en-US" w:eastAsia="zh-CN"/>
                    </w:rPr>
                    <w:t>0</w:t>
                  </w:r>
                </w:p>
              </w:tc>
              <w:tc>
                <w:tcPr>
                  <w:tcW w:w="382" w:type="pct"/>
                  <w:tcBorders>
                    <w:tl2br w:val="nil"/>
                    <w:tr2bl w:val="nil"/>
                  </w:tcBorders>
                  <w:vAlign w:val="center"/>
                </w:tcPr>
                <w:p w14:paraId="315BC047">
                  <w:pPr>
                    <w:pStyle w:val="74"/>
                    <w:spacing w:line="240" w:lineRule="exact"/>
                    <w:ind w:firstLine="0" w:firstLineChars="0"/>
                    <w:jc w:val="center"/>
                    <w:rPr>
                      <w:rFonts w:hint="default"/>
                      <w:color w:val="auto"/>
                      <w:sz w:val="18"/>
                      <w:szCs w:val="18"/>
                      <w:lang w:val="en-US" w:eastAsia="zh-CN"/>
                    </w:rPr>
                  </w:pPr>
                  <w:r>
                    <w:rPr>
                      <w:rFonts w:hint="eastAsia"/>
                      <w:color w:val="auto"/>
                      <w:sz w:val="18"/>
                      <w:szCs w:val="18"/>
                      <w:lang w:val="en-US" w:eastAsia="zh-CN"/>
                    </w:rPr>
                    <w:t>每3年</w:t>
                  </w:r>
                </w:p>
              </w:tc>
              <w:tc>
                <w:tcPr>
                  <w:tcW w:w="857" w:type="pct"/>
                  <w:tcBorders>
                    <w:tl2br w:val="nil"/>
                    <w:tr2bl w:val="nil"/>
                  </w:tcBorders>
                  <w:vAlign w:val="center"/>
                </w:tcPr>
                <w:p w14:paraId="2127D266">
                  <w:pPr>
                    <w:pStyle w:val="74"/>
                    <w:spacing w:line="240" w:lineRule="exact"/>
                    <w:ind w:firstLine="0" w:firstLineChars="0"/>
                    <w:jc w:val="center"/>
                    <w:rPr>
                      <w:rFonts w:hint="default" w:eastAsia="宋体"/>
                      <w:color w:val="auto"/>
                      <w:sz w:val="18"/>
                      <w:szCs w:val="18"/>
                      <w:lang w:val="en-US" w:eastAsia="zh-CN"/>
                    </w:rPr>
                  </w:pPr>
                  <w:r>
                    <w:rPr>
                      <w:rFonts w:hint="eastAsia"/>
                      <w:color w:val="auto"/>
                      <w:sz w:val="18"/>
                      <w:szCs w:val="18"/>
                      <w:lang w:val="en-US" w:eastAsia="zh-CN"/>
                    </w:rPr>
                    <w:t>由厂家运出厂区，由供货厂家委托有资质单位处置</w:t>
                  </w:r>
                </w:p>
              </w:tc>
            </w:tr>
            <w:tr w14:paraId="4DF010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43" w:type="pct"/>
                  <w:vMerge w:val="continue"/>
                  <w:tcBorders>
                    <w:tl2br w:val="nil"/>
                    <w:tr2bl w:val="nil"/>
                  </w:tcBorders>
                  <w:vAlign w:val="center"/>
                </w:tcPr>
                <w:p w14:paraId="2053D842">
                  <w:pPr>
                    <w:pStyle w:val="74"/>
                    <w:spacing w:line="240" w:lineRule="exact"/>
                    <w:ind w:firstLine="0" w:firstLineChars="0"/>
                    <w:jc w:val="center"/>
                    <w:rPr>
                      <w:rFonts w:hint="eastAsia"/>
                      <w:color w:val="auto"/>
                      <w:sz w:val="18"/>
                      <w:szCs w:val="18"/>
                    </w:rPr>
                  </w:pPr>
                </w:p>
              </w:tc>
              <w:tc>
                <w:tcPr>
                  <w:tcW w:w="691" w:type="pct"/>
                  <w:tcBorders>
                    <w:tl2br w:val="nil"/>
                    <w:tr2bl w:val="nil"/>
                  </w:tcBorders>
                  <w:vAlign w:val="center"/>
                </w:tcPr>
                <w:p w14:paraId="093E77CF">
                  <w:pPr>
                    <w:pStyle w:val="74"/>
                    <w:spacing w:line="240" w:lineRule="exact"/>
                    <w:ind w:firstLine="0" w:firstLineChars="0"/>
                    <w:jc w:val="center"/>
                    <w:rPr>
                      <w:rFonts w:hint="eastAsia"/>
                      <w:color w:val="auto"/>
                      <w:sz w:val="18"/>
                      <w:szCs w:val="18"/>
                      <w:lang w:val="en-US" w:eastAsia="zh-CN"/>
                    </w:rPr>
                  </w:pPr>
                  <w:r>
                    <w:rPr>
                      <w:rFonts w:hint="eastAsia"/>
                      <w:color w:val="auto"/>
                      <w:sz w:val="18"/>
                      <w:szCs w:val="18"/>
                      <w:lang w:val="en-US" w:eastAsia="zh-CN"/>
                    </w:rPr>
                    <w:t>废棉纱和含油抹布</w:t>
                  </w:r>
                </w:p>
              </w:tc>
              <w:tc>
                <w:tcPr>
                  <w:tcW w:w="500" w:type="pct"/>
                  <w:tcBorders>
                    <w:tl2br w:val="nil"/>
                    <w:tr2bl w:val="nil"/>
                  </w:tcBorders>
                  <w:shd w:val="clear" w:color="auto" w:fill="auto"/>
                  <w:vAlign w:val="center"/>
                </w:tcPr>
                <w:p w14:paraId="4007555E">
                  <w:pPr>
                    <w:pStyle w:val="74"/>
                    <w:spacing w:line="240" w:lineRule="exact"/>
                    <w:ind w:firstLine="0" w:firstLineChars="0"/>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烃类</w:t>
                  </w:r>
                </w:p>
              </w:tc>
              <w:tc>
                <w:tcPr>
                  <w:tcW w:w="739" w:type="pct"/>
                  <w:tcBorders>
                    <w:tl2br w:val="nil"/>
                    <w:tr2bl w:val="nil"/>
                  </w:tcBorders>
                  <w:vAlign w:val="center"/>
                </w:tcPr>
                <w:p w14:paraId="02423B69">
                  <w:pPr>
                    <w:pStyle w:val="74"/>
                    <w:spacing w:line="240" w:lineRule="exact"/>
                    <w:ind w:firstLine="0" w:firstLineChars="0"/>
                    <w:jc w:val="center"/>
                    <w:rPr>
                      <w:color w:val="auto"/>
                      <w:sz w:val="18"/>
                      <w:szCs w:val="18"/>
                    </w:rPr>
                  </w:pPr>
                  <w:r>
                    <w:rPr>
                      <w:color w:val="auto"/>
                      <w:sz w:val="18"/>
                      <w:szCs w:val="18"/>
                    </w:rPr>
                    <w:t>-</w:t>
                  </w:r>
                </w:p>
              </w:tc>
              <w:tc>
                <w:tcPr>
                  <w:tcW w:w="497" w:type="pct"/>
                  <w:tcBorders>
                    <w:tl2br w:val="nil"/>
                    <w:tr2bl w:val="nil"/>
                  </w:tcBorders>
                  <w:vAlign w:val="center"/>
                </w:tcPr>
                <w:p w14:paraId="60867BE2">
                  <w:pPr>
                    <w:pStyle w:val="74"/>
                    <w:spacing w:line="240" w:lineRule="exact"/>
                    <w:ind w:firstLine="0" w:firstLineChars="0"/>
                    <w:jc w:val="center"/>
                    <w:rPr>
                      <w:rFonts w:hint="default" w:eastAsia="宋体"/>
                      <w:color w:val="auto"/>
                      <w:sz w:val="18"/>
                      <w:szCs w:val="18"/>
                      <w:lang w:val="en-US" w:eastAsia="zh-CN"/>
                    </w:rPr>
                  </w:pPr>
                  <w:r>
                    <w:rPr>
                      <w:rFonts w:hint="eastAsia"/>
                      <w:color w:val="auto"/>
                      <w:sz w:val="18"/>
                      <w:szCs w:val="18"/>
                      <w:lang w:val="en-US" w:eastAsia="zh-CN"/>
                    </w:rPr>
                    <w:t>0.01</w:t>
                  </w:r>
                </w:p>
              </w:tc>
              <w:tc>
                <w:tcPr>
                  <w:tcW w:w="517" w:type="pct"/>
                  <w:tcBorders>
                    <w:tl2br w:val="nil"/>
                    <w:tr2bl w:val="nil"/>
                  </w:tcBorders>
                  <w:vAlign w:val="center"/>
                </w:tcPr>
                <w:p w14:paraId="00A703E5">
                  <w:pPr>
                    <w:pStyle w:val="74"/>
                    <w:spacing w:line="240" w:lineRule="exact"/>
                    <w:ind w:firstLine="0" w:firstLineChars="0"/>
                    <w:jc w:val="center"/>
                    <w:rPr>
                      <w:rFonts w:hint="default"/>
                      <w:color w:val="auto"/>
                      <w:sz w:val="18"/>
                      <w:szCs w:val="18"/>
                      <w:lang w:val="en-US" w:eastAsia="zh-CN"/>
                    </w:rPr>
                  </w:pPr>
                  <w:r>
                    <w:rPr>
                      <w:rFonts w:hint="eastAsia"/>
                      <w:color w:val="auto"/>
                      <w:sz w:val="18"/>
                      <w:szCs w:val="18"/>
                      <w:lang w:val="en-US" w:eastAsia="zh-CN"/>
                    </w:rPr>
                    <w:t>0</w:t>
                  </w:r>
                </w:p>
              </w:tc>
              <w:tc>
                <w:tcPr>
                  <w:tcW w:w="471" w:type="pct"/>
                  <w:tcBorders>
                    <w:tl2br w:val="nil"/>
                    <w:tr2bl w:val="nil"/>
                  </w:tcBorders>
                  <w:vAlign w:val="center"/>
                </w:tcPr>
                <w:p w14:paraId="60FD4575">
                  <w:pPr>
                    <w:pStyle w:val="74"/>
                    <w:spacing w:line="240" w:lineRule="exact"/>
                    <w:ind w:firstLine="0" w:firstLineChars="0"/>
                    <w:jc w:val="center"/>
                    <w:rPr>
                      <w:rFonts w:hint="default"/>
                      <w:color w:val="auto"/>
                      <w:sz w:val="18"/>
                      <w:szCs w:val="18"/>
                      <w:lang w:val="en-US" w:eastAsia="zh-CN"/>
                    </w:rPr>
                  </w:pPr>
                  <w:r>
                    <w:rPr>
                      <w:rFonts w:hint="eastAsia"/>
                      <w:color w:val="auto"/>
                      <w:sz w:val="18"/>
                      <w:szCs w:val="18"/>
                      <w:lang w:val="en-US" w:eastAsia="zh-CN"/>
                    </w:rPr>
                    <w:t>0</w:t>
                  </w:r>
                </w:p>
              </w:tc>
              <w:tc>
                <w:tcPr>
                  <w:tcW w:w="382" w:type="pct"/>
                  <w:tcBorders>
                    <w:tl2br w:val="nil"/>
                    <w:tr2bl w:val="nil"/>
                  </w:tcBorders>
                  <w:shd w:val="clear" w:color="auto" w:fill="auto"/>
                  <w:vAlign w:val="center"/>
                </w:tcPr>
                <w:p w14:paraId="007F2F44">
                  <w:pPr>
                    <w:pStyle w:val="74"/>
                    <w:spacing w:line="240" w:lineRule="exact"/>
                    <w:ind w:firstLine="0" w:firstLineChars="0"/>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每月</w:t>
                  </w:r>
                </w:p>
              </w:tc>
              <w:tc>
                <w:tcPr>
                  <w:tcW w:w="857" w:type="pct"/>
                  <w:vMerge w:val="restart"/>
                  <w:tcBorders>
                    <w:tl2br w:val="nil"/>
                    <w:tr2bl w:val="nil"/>
                  </w:tcBorders>
                  <w:vAlign w:val="center"/>
                </w:tcPr>
                <w:p w14:paraId="2CFFFE69">
                  <w:pPr>
                    <w:pStyle w:val="74"/>
                    <w:spacing w:line="240" w:lineRule="exact"/>
                    <w:ind w:firstLine="0" w:firstLineChars="0"/>
                    <w:jc w:val="center"/>
                    <w:rPr>
                      <w:rFonts w:hint="default" w:eastAsia="宋体"/>
                      <w:color w:val="auto"/>
                      <w:sz w:val="18"/>
                      <w:szCs w:val="18"/>
                      <w:lang w:val="en-US" w:eastAsia="zh-CN"/>
                    </w:rPr>
                  </w:pPr>
                  <w:r>
                    <w:rPr>
                      <w:color w:val="auto"/>
                      <w:sz w:val="18"/>
                      <w:szCs w:val="18"/>
                    </w:rPr>
                    <w:t>收集于封闭式垃圾箱内，定期由环卫部门清运处置</w:t>
                  </w:r>
                </w:p>
              </w:tc>
            </w:tr>
            <w:tr w14:paraId="3FCA07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43" w:type="pct"/>
                  <w:tcBorders>
                    <w:tl2br w:val="nil"/>
                    <w:tr2bl w:val="nil"/>
                  </w:tcBorders>
                  <w:shd w:val="clear" w:color="auto" w:fill="auto"/>
                  <w:vAlign w:val="center"/>
                </w:tcPr>
                <w:p w14:paraId="52E8CF39">
                  <w:pPr>
                    <w:pStyle w:val="74"/>
                    <w:spacing w:line="240" w:lineRule="exact"/>
                    <w:ind w:firstLine="0" w:firstLineChars="0"/>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rPr>
                    <w:t>生活</w:t>
                  </w:r>
                  <w:r>
                    <w:rPr>
                      <w:color w:val="auto"/>
                      <w:sz w:val="18"/>
                      <w:szCs w:val="18"/>
                    </w:rPr>
                    <w:t>垃圾</w:t>
                  </w:r>
                </w:p>
              </w:tc>
              <w:tc>
                <w:tcPr>
                  <w:tcW w:w="691" w:type="pct"/>
                  <w:tcBorders>
                    <w:tl2br w:val="nil"/>
                    <w:tr2bl w:val="nil"/>
                  </w:tcBorders>
                  <w:shd w:val="clear" w:color="auto" w:fill="auto"/>
                  <w:vAlign w:val="center"/>
                </w:tcPr>
                <w:p w14:paraId="193D8112">
                  <w:pPr>
                    <w:pStyle w:val="74"/>
                    <w:spacing w:line="240" w:lineRule="exact"/>
                    <w:ind w:firstLine="0" w:firstLineChars="0"/>
                    <w:jc w:val="center"/>
                    <w:rPr>
                      <w:rFonts w:hint="eastAsia"/>
                      <w:color w:val="auto"/>
                      <w:sz w:val="18"/>
                      <w:szCs w:val="18"/>
                      <w:lang w:val="en-US" w:eastAsia="zh-CN"/>
                    </w:rPr>
                  </w:pPr>
                  <w:r>
                    <w:rPr>
                      <w:rFonts w:hint="eastAsia"/>
                      <w:color w:val="auto"/>
                      <w:sz w:val="18"/>
                      <w:szCs w:val="18"/>
                      <w:lang w:val="en-US" w:eastAsia="zh-CN"/>
                    </w:rPr>
                    <w:t>生活</w:t>
                  </w:r>
                </w:p>
                <w:p w14:paraId="09A9A87B">
                  <w:pPr>
                    <w:pStyle w:val="74"/>
                    <w:spacing w:line="240" w:lineRule="exact"/>
                    <w:ind w:firstLine="0" w:firstLineChars="0"/>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垃圾</w:t>
                  </w:r>
                </w:p>
              </w:tc>
              <w:tc>
                <w:tcPr>
                  <w:tcW w:w="500" w:type="pct"/>
                  <w:tcBorders>
                    <w:tl2br w:val="nil"/>
                    <w:tr2bl w:val="nil"/>
                  </w:tcBorders>
                  <w:shd w:val="clear" w:color="auto" w:fill="auto"/>
                  <w:vAlign w:val="center"/>
                </w:tcPr>
                <w:p w14:paraId="5C8C0275">
                  <w:pPr>
                    <w:pStyle w:val="74"/>
                    <w:spacing w:line="240" w:lineRule="exact"/>
                    <w:ind w:firstLine="0" w:firstLineChars="0"/>
                    <w:jc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生活</w:t>
                  </w:r>
                </w:p>
                <w:p w14:paraId="3AEF5774">
                  <w:pPr>
                    <w:pStyle w:val="74"/>
                    <w:spacing w:line="240" w:lineRule="exact"/>
                    <w:ind w:firstLine="0" w:firstLineChars="0"/>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垃圾</w:t>
                  </w:r>
                </w:p>
              </w:tc>
              <w:tc>
                <w:tcPr>
                  <w:tcW w:w="739" w:type="pct"/>
                  <w:tcBorders>
                    <w:tl2br w:val="nil"/>
                    <w:tr2bl w:val="nil"/>
                  </w:tcBorders>
                  <w:vAlign w:val="center"/>
                </w:tcPr>
                <w:p w14:paraId="1F6E8A4A">
                  <w:pPr>
                    <w:pStyle w:val="74"/>
                    <w:spacing w:line="240" w:lineRule="exact"/>
                    <w:ind w:firstLine="0" w:firstLineChars="0"/>
                    <w:jc w:val="center"/>
                    <w:rPr>
                      <w:rFonts w:hint="default" w:eastAsia="宋体"/>
                      <w:color w:val="auto"/>
                      <w:sz w:val="18"/>
                      <w:szCs w:val="18"/>
                      <w:lang w:val="en-US" w:eastAsia="zh-CN"/>
                    </w:rPr>
                  </w:pPr>
                  <w:r>
                    <w:rPr>
                      <w:rFonts w:hint="eastAsia"/>
                      <w:color w:val="auto"/>
                      <w:sz w:val="18"/>
                      <w:szCs w:val="18"/>
                      <w:lang w:val="en-US" w:eastAsia="zh-CN"/>
                    </w:rPr>
                    <w:t>900-099-S64</w:t>
                  </w:r>
                </w:p>
              </w:tc>
              <w:tc>
                <w:tcPr>
                  <w:tcW w:w="497" w:type="pct"/>
                  <w:tcBorders>
                    <w:tl2br w:val="nil"/>
                    <w:tr2bl w:val="nil"/>
                  </w:tcBorders>
                  <w:vAlign w:val="center"/>
                </w:tcPr>
                <w:p w14:paraId="07D99510">
                  <w:pPr>
                    <w:pStyle w:val="74"/>
                    <w:spacing w:line="240" w:lineRule="exact"/>
                    <w:ind w:firstLine="0" w:firstLineChars="0"/>
                    <w:jc w:val="center"/>
                    <w:rPr>
                      <w:rFonts w:hint="default"/>
                      <w:color w:val="auto"/>
                      <w:sz w:val="18"/>
                      <w:szCs w:val="18"/>
                      <w:lang w:val="en-US" w:eastAsia="zh-CN"/>
                    </w:rPr>
                  </w:pPr>
                  <w:r>
                    <w:rPr>
                      <w:rFonts w:hint="eastAsia"/>
                      <w:color w:val="auto"/>
                      <w:sz w:val="18"/>
                      <w:szCs w:val="18"/>
                      <w:lang w:val="en-US" w:eastAsia="zh-CN"/>
                    </w:rPr>
                    <w:t>1.5</w:t>
                  </w:r>
                </w:p>
              </w:tc>
              <w:tc>
                <w:tcPr>
                  <w:tcW w:w="517" w:type="pct"/>
                  <w:tcBorders>
                    <w:tl2br w:val="nil"/>
                    <w:tr2bl w:val="nil"/>
                  </w:tcBorders>
                  <w:vAlign w:val="center"/>
                </w:tcPr>
                <w:p w14:paraId="0DA69172">
                  <w:pPr>
                    <w:pStyle w:val="74"/>
                    <w:spacing w:line="240" w:lineRule="exact"/>
                    <w:ind w:firstLine="0" w:firstLineChars="0"/>
                    <w:jc w:val="center"/>
                    <w:rPr>
                      <w:rFonts w:hint="default"/>
                      <w:color w:val="auto"/>
                      <w:sz w:val="18"/>
                      <w:szCs w:val="18"/>
                      <w:lang w:val="en-US" w:eastAsia="zh-CN"/>
                    </w:rPr>
                  </w:pPr>
                  <w:r>
                    <w:rPr>
                      <w:rFonts w:hint="eastAsia"/>
                      <w:color w:val="auto"/>
                      <w:sz w:val="18"/>
                      <w:szCs w:val="18"/>
                      <w:lang w:val="en-US" w:eastAsia="zh-CN"/>
                    </w:rPr>
                    <w:t>0</w:t>
                  </w:r>
                </w:p>
              </w:tc>
              <w:tc>
                <w:tcPr>
                  <w:tcW w:w="471" w:type="pct"/>
                  <w:tcBorders>
                    <w:tl2br w:val="nil"/>
                    <w:tr2bl w:val="nil"/>
                  </w:tcBorders>
                  <w:vAlign w:val="center"/>
                </w:tcPr>
                <w:p w14:paraId="3F400AE4">
                  <w:pPr>
                    <w:pStyle w:val="74"/>
                    <w:spacing w:line="240" w:lineRule="exact"/>
                    <w:ind w:firstLine="0" w:firstLineChars="0"/>
                    <w:jc w:val="center"/>
                    <w:rPr>
                      <w:rFonts w:hint="default"/>
                      <w:color w:val="auto"/>
                      <w:sz w:val="18"/>
                      <w:szCs w:val="18"/>
                      <w:lang w:val="en-US" w:eastAsia="zh-CN"/>
                    </w:rPr>
                  </w:pPr>
                  <w:r>
                    <w:rPr>
                      <w:rFonts w:hint="eastAsia"/>
                      <w:color w:val="auto"/>
                      <w:sz w:val="18"/>
                      <w:szCs w:val="18"/>
                      <w:lang w:val="en-US" w:eastAsia="zh-CN"/>
                    </w:rPr>
                    <w:t>0</w:t>
                  </w:r>
                </w:p>
              </w:tc>
              <w:tc>
                <w:tcPr>
                  <w:tcW w:w="382" w:type="pct"/>
                  <w:tcBorders>
                    <w:tl2br w:val="nil"/>
                    <w:tr2bl w:val="nil"/>
                  </w:tcBorders>
                  <w:shd w:val="clear" w:color="auto" w:fill="auto"/>
                  <w:vAlign w:val="center"/>
                </w:tcPr>
                <w:p w14:paraId="5D044EB2">
                  <w:pPr>
                    <w:pStyle w:val="74"/>
                    <w:spacing w:line="240" w:lineRule="exact"/>
                    <w:ind w:firstLine="0" w:firstLineChars="0"/>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每日</w:t>
                  </w:r>
                </w:p>
              </w:tc>
              <w:tc>
                <w:tcPr>
                  <w:tcW w:w="857" w:type="pct"/>
                  <w:vMerge w:val="continue"/>
                  <w:tcBorders>
                    <w:tl2br w:val="nil"/>
                    <w:tr2bl w:val="nil"/>
                  </w:tcBorders>
                  <w:vAlign w:val="center"/>
                </w:tcPr>
                <w:p w14:paraId="3C1FE88D">
                  <w:pPr>
                    <w:pStyle w:val="74"/>
                    <w:spacing w:line="240" w:lineRule="exact"/>
                    <w:ind w:firstLine="0" w:firstLineChars="0"/>
                    <w:jc w:val="center"/>
                    <w:rPr>
                      <w:rFonts w:hint="default"/>
                      <w:color w:val="auto"/>
                      <w:sz w:val="18"/>
                      <w:szCs w:val="18"/>
                      <w:lang w:val="en-US" w:eastAsia="zh-CN"/>
                    </w:rPr>
                  </w:pPr>
                </w:p>
              </w:tc>
            </w:tr>
          </w:tbl>
          <w:p w14:paraId="4588F7DC">
            <w:pPr>
              <w:spacing w:line="360" w:lineRule="auto"/>
              <w:ind w:firstLine="420" w:firstLineChars="200"/>
              <w:rPr>
                <w:bCs/>
                <w:snapToGrid w:val="0"/>
                <w:color w:val="auto"/>
                <w:szCs w:val="21"/>
              </w:rPr>
            </w:pPr>
            <w:r>
              <w:rPr>
                <w:rFonts w:hint="eastAsia"/>
                <w:bCs/>
                <w:snapToGrid w:val="0"/>
                <w:color w:val="auto"/>
                <w:szCs w:val="21"/>
              </w:rPr>
              <w:t>一般固废管理要求：</w:t>
            </w:r>
          </w:p>
          <w:p w14:paraId="725DF8EE">
            <w:pPr>
              <w:spacing w:line="360" w:lineRule="auto"/>
              <w:ind w:firstLine="420" w:firstLineChars="200"/>
              <w:rPr>
                <w:bCs/>
                <w:snapToGrid w:val="0"/>
                <w:color w:val="auto"/>
                <w:szCs w:val="21"/>
              </w:rPr>
            </w:pPr>
            <w:r>
              <w:rPr>
                <w:rFonts w:hint="eastAsia" w:ascii="宋体" w:hAnsi="宋体" w:cs="宋体"/>
                <w:bCs/>
                <w:snapToGrid w:val="0"/>
                <w:color w:val="auto"/>
                <w:szCs w:val="21"/>
              </w:rPr>
              <w:t>①</w:t>
            </w:r>
            <w:r>
              <w:rPr>
                <w:bCs/>
                <w:snapToGrid w:val="0"/>
                <w:color w:val="auto"/>
                <w:szCs w:val="21"/>
              </w:rPr>
              <w:t>建设产生、贮存、利用、处置固体废物的项目</w:t>
            </w:r>
            <w:r>
              <w:rPr>
                <w:rFonts w:hint="eastAsia"/>
                <w:bCs/>
                <w:snapToGrid w:val="0"/>
                <w:color w:val="auto"/>
                <w:szCs w:val="21"/>
              </w:rPr>
              <w:t>，</w:t>
            </w:r>
            <w:r>
              <w:rPr>
                <w:bCs/>
                <w:snapToGrid w:val="0"/>
                <w:color w:val="auto"/>
                <w:szCs w:val="21"/>
              </w:rPr>
              <w:t>应当依法进行环境影响评价</w:t>
            </w:r>
            <w:r>
              <w:rPr>
                <w:rFonts w:hint="eastAsia"/>
                <w:bCs/>
                <w:snapToGrid w:val="0"/>
                <w:color w:val="auto"/>
                <w:szCs w:val="21"/>
              </w:rPr>
              <w:t>，</w:t>
            </w:r>
            <w:r>
              <w:rPr>
                <w:bCs/>
                <w:snapToGrid w:val="0"/>
                <w:color w:val="auto"/>
                <w:szCs w:val="21"/>
              </w:rPr>
              <w:t>并遵守国家有关建设项目环境保护管理的规定</w:t>
            </w:r>
            <w:r>
              <w:rPr>
                <w:rFonts w:hint="eastAsia"/>
                <w:bCs/>
                <w:snapToGrid w:val="0"/>
                <w:color w:val="auto"/>
                <w:szCs w:val="21"/>
              </w:rPr>
              <w:t>；</w:t>
            </w:r>
          </w:p>
          <w:p w14:paraId="2F5EBA66">
            <w:pPr>
              <w:spacing w:line="360" w:lineRule="auto"/>
              <w:ind w:firstLine="420" w:firstLineChars="200"/>
              <w:rPr>
                <w:bCs/>
                <w:snapToGrid w:val="0"/>
                <w:color w:val="auto"/>
                <w:szCs w:val="21"/>
              </w:rPr>
            </w:pPr>
            <w:r>
              <w:rPr>
                <w:rFonts w:hint="eastAsia" w:ascii="宋体" w:hAnsi="宋体" w:cs="宋体"/>
                <w:bCs/>
                <w:snapToGrid w:val="0"/>
                <w:color w:val="auto"/>
                <w:szCs w:val="21"/>
              </w:rPr>
              <w:t>②</w:t>
            </w:r>
            <w:r>
              <w:rPr>
                <w:bCs/>
                <w:snapToGrid w:val="0"/>
                <w:color w:val="auto"/>
                <w:szCs w:val="21"/>
              </w:rPr>
              <w:t>建设单位应当依照有关法律法规的规定</w:t>
            </w:r>
            <w:r>
              <w:rPr>
                <w:rFonts w:hint="eastAsia"/>
                <w:bCs/>
                <w:snapToGrid w:val="0"/>
                <w:color w:val="auto"/>
                <w:szCs w:val="21"/>
              </w:rPr>
              <w:t>，</w:t>
            </w:r>
            <w:r>
              <w:rPr>
                <w:bCs/>
                <w:snapToGrid w:val="0"/>
                <w:color w:val="auto"/>
                <w:szCs w:val="21"/>
              </w:rPr>
              <w:t>对配套建设的固体废物污染环境防治设施进行验收</w:t>
            </w:r>
            <w:r>
              <w:rPr>
                <w:rFonts w:hint="eastAsia"/>
                <w:bCs/>
                <w:snapToGrid w:val="0"/>
                <w:color w:val="auto"/>
                <w:szCs w:val="21"/>
              </w:rPr>
              <w:t>，</w:t>
            </w:r>
            <w:r>
              <w:rPr>
                <w:bCs/>
                <w:snapToGrid w:val="0"/>
                <w:color w:val="auto"/>
                <w:szCs w:val="21"/>
              </w:rPr>
              <w:t>编制验收报告</w:t>
            </w:r>
            <w:r>
              <w:rPr>
                <w:rFonts w:hint="eastAsia"/>
                <w:bCs/>
                <w:snapToGrid w:val="0"/>
                <w:color w:val="auto"/>
                <w:szCs w:val="21"/>
              </w:rPr>
              <w:t>，</w:t>
            </w:r>
            <w:r>
              <w:rPr>
                <w:bCs/>
                <w:snapToGrid w:val="0"/>
                <w:color w:val="auto"/>
                <w:szCs w:val="21"/>
              </w:rPr>
              <w:t>并向社会公开。</w:t>
            </w:r>
          </w:p>
          <w:p w14:paraId="5778F1C7">
            <w:pPr>
              <w:spacing w:line="360" w:lineRule="auto"/>
              <w:ind w:firstLine="420" w:firstLineChars="200"/>
              <w:rPr>
                <w:bCs/>
                <w:snapToGrid w:val="0"/>
                <w:color w:val="auto"/>
                <w:szCs w:val="21"/>
              </w:rPr>
            </w:pPr>
            <w:r>
              <w:rPr>
                <w:rFonts w:hint="eastAsia" w:ascii="宋体" w:hAnsi="宋体" w:cs="宋体"/>
                <w:bCs/>
                <w:snapToGrid w:val="0"/>
                <w:color w:val="auto"/>
                <w:szCs w:val="21"/>
              </w:rPr>
              <w:t>③</w:t>
            </w:r>
            <w:r>
              <w:rPr>
                <w:bCs/>
                <w:snapToGrid w:val="0"/>
                <w:color w:val="auto"/>
                <w:szCs w:val="21"/>
              </w:rPr>
              <w:t>产生、收集、贮存、运输、利用、处置固体废物的单位和其他生产经营者</w:t>
            </w:r>
            <w:r>
              <w:rPr>
                <w:rFonts w:hint="eastAsia"/>
                <w:bCs/>
                <w:snapToGrid w:val="0"/>
                <w:color w:val="auto"/>
                <w:szCs w:val="21"/>
              </w:rPr>
              <w:t>，</w:t>
            </w:r>
            <w:r>
              <w:rPr>
                <w:bCs/>
                <w:snapToGrid w:val="0"/>
                <w:color w:val="auto"/>
                <w:szCs w:val="21"/>
              </w:rPr>
              <w:t>应当采取防扬散、防流失、防渗漏或者其他防止污染环境的措施</w:t>
            </w:r>
            <w:r>
              <w:rPr>
                <w:rFonts w:hint="eastAsia"/>
                <w:bCs/>
                <w:snapToGrid w:val="0"/>
                <w:color w:val="auto"/>
                <w:szCs w:val="21"/>
                <w:lang w:eastAsia="zh-CN"/>
              </w:rPr>
              <w:t>，</w:t>
            </w:r>
            <w:r>
              <w:rPr>
                <w:bCs/>
                <w:snapToGrid w:val="0"/>
                <w:color w:val="auto"/>
                <w:szCs w:val="21"/>
              </w:rPr>
              <w:t>不得擅自倾倒、堆放、丢弃、遗撒固体废物</w:t>
            </w:r>
            <w:r>
              <w:rPr>
                <w:rFonts w:hint="eastAsia"/>
                <w:bCs/>
                <w:snapToGrid w:val="0"/>
                <w:color w:val="auto"/>
                <w:szCs w:val="21"/>
              </w:rPr>
              <w:t>；</w:t>
            </w:r>
          </w:p>
          <w:p w14:paraId="1E74EB0C">
            <w:pPr>
              <w:spacing w:line="360" w:lineRule="auto"/>
              <w:ind w:firstLine="420" w:firstLineChars="200"/>
              <w:rPr>
                <w:bCs/>
                <w:snapToGrid w:val="0"/>
                <w:color w:val="auto"/>
                <w:szCs w:val="21"/>
              </w:rPr>
            </w:pPr>
            <w:r>
              <w:rPr>
                <w:rFonts w:hint="eastAsia" w:ascii="宋体" w:hAnsi="宋体" w:cs="宋体"/>
                <w:bCs/>
                <w:snapToGrid w:val="0"/>
                <w:color w:val="auto"/>
                <w:szCs w:val="21"/>
              </w:rPr>
              <w:t>④</w:t>
            </w:r>
            <w:r>
              <w:rPr>
                <w:bCs/>
                <w:snapToGrid w:val="0"/>
                <w:color w:val="auto"/>
                <w:szCs w:val="21"/>
              </w:rPr>
              <w:t>产生工业固体废物的单位应当建立健全工业固体废物产生、收集、贮存、运输、利用、处置全过程的污染环境防治责任制度,建立工业固体废物管理台账</w:t>
            </w:r>
            <w:r>
              <w:rPr>
                <w:rFonts w:hint="eastAsia"/>
                <w:bCs/>
                <w:snapToGrid w:val="0"/>
                <w:color w:val="auto"/>
                <w:szCs w:val="21"/>
                <w:lang w:eastAsia="zh-CN"/>
              </w:rPr>
              <w:t>，</w:t>
            </w:r>
            <w:r>
              <w:rPr>
                <w:bCs/>
                <w:snapToGrid w:val="0"/>
                <w:color w:val="auto"/>
                <w:szCs w:val="21"/>
              </w:rPr>
              <w:t>如实记录产生工业固体废物的种类、数量、流向、贮存、利用、处置等信息</w:t>
            </w:r>
            <w:r>
              <w:rPr>
                <w:rFonts w:hint="eastAsia"/>
                <w:bCs/>
                <w:snapToGrid w:val="0"/>
                <w:color w:val="auto"/>
                <w:szCs w:val="21"/>
                <w:lang w:eastAsia="zh-CN"/>
              </w:rPr>
              <w:t>，</w:t>
            </w:r>
            <w:r>
              <w:rPr>
                <w:bCs/>
                <w:snapToGrid w:val="0"/>
                <w:color w:val="auto"/>
                <w:szCs w:val="21"/>
              </w:rPr>
              <w:t>实现工业固体废物可追溯、可查询</w:t>
            </w:r>
            <w:r>
              <w:rPr>
                <w:rFonts w:hint="eastAsia"/>
                <w:bCs/>
                <w:snapToGrid w:val="0"/>
                <w:color w:val="auto"/>
                <w:szCs w:val="21"/>
                <w:lang w:eastAsia="zh-CN"/>
              </w:rPr>
              <w:t>，</w:t>
            </w:r>
            <w:r>
              <w:rPr>
                <w:bCs/>
                <w:snapToGrid w:val="0"/>
                <w:color w:val="auto"/>
                <w:szCs w:val="21"/>
              </w:rPr>
              <w:t>并采取防治工业固体废物污染环境的措施。</w:t>
            </w:r>
          </w:p>
          <w:p w14:paraId="4D036C63">
            <w:pPr>
              <w:spacing w:line="360" w:lineRule="auto"/>
              <w:ind w:firstLine="420" w:firstLineChars="200"/>
              <w:rPr>
                <w:bCs/>
                <w:snapToGrid w:val="0"/>
                <w:color w:val="auto"/>
                <w:szCs w:val="21"/>
              </w:rPr>
            </w:pPr>
            <w:r>
              <w:rPr>
                <w:rFonts w:hint="eastAsia" w:ascii="宋体" w:hAnsi="宋体" w:cs="宋体"/>
                <w:bCs/>
                <w:snapToGrid w:val="0"/>
                <w:color w:val="auto"/>
                <w:szCs w:val="21"/>
              </w:rPr>
              <w:t>⑤</w:t>
            </w:r>
            <w:r>
              <w:rPr>
                <w:bCs/>
                <w:snapToGrid w:val="0"/>
                <w:color w:val="auto"/>
                <w:szCs w:val="21"/>
              </w:rPr>
              <w:t>产生工业固体废物的单位应当取得排污许可证。排污许可的具体办法和实施步骤由国务院规定。</w:t>
            </w:r>
          </w:p>
          <w:p w14:paraId="277AA3D7">
            <w:pPr>
              <w:spacing w:line="360" w:lineRule="auto"/>
              <w:ind w:firstLine="420" w:firstLineChars="200"/>
              <w:rPr>
                <w:rFonts w:hint="eastAsia"/>
                <w:bCs/>
                <w:snapToGrid w:val="0"/>
                <w:color w:val="auto"/>
                <w:szCs w:val="21"/>
              </w:rPr>
            </w:pPr>
            <w:r>
              <w:rPr>
                <w:rFonts w:hint="eastAsia"/>
                <w:bCs/>
                <w:snapToGrid w:val="0"/>
                <w:color w:val="auto"/>
                <w:szCs w:val="21"/>
              </w:rPr>
              <w:t>一般固废标识牌如下：</w:t>
            </w:r>
          </w:p>
          <w:p w14:paraId="2C6C3BD0">
            <w:pPr>
              <w:spacing w:line="360" w:lineRule="auto"/>
              <w:ind w:firstLine="420" w:firstLineChars="200"/>
              <w:rPr>
                <w:rFonts w:hint="eastAsia"/>
                <w:bCs/>
                <w:snapToGrid w:val="0"/>
                <w:color w:val="auto"/>
                <w:szCs w:val="21"/>
              </w:rPr>
            </w:pPr>
            <w:r>
              <w:rPr>
                <w:rFonts w:hint="eastAsia" w:ascii="宋体" w:hAnsi="宋体" w:cs="宋体"/>
                <w:bCs/>
                <w:color w:val="auto"/>
                <w:szCs w:val="21"/>
              </w:rPr>
              <w:drawing>
                <wp:anchor distT="0" distB="0" distL="114300" distR="114300" simplePos="0" relativeHeight="251663360" behindDoc="0" locked="0" layoutInCell="1" allowOverlap="1">
                  <wp:simplePos x="0" y="0"/>
                  <wp:positionH relativeFrom="column">
                    <wp:posOffset>2191385</wp:posOffset>
                  </wp:positionH>
                  <wp:positionV relativeFrom="paragraph">
                    <wp:posOffset>127000</wp:posOffset>
                  </wp:positionV>
                  <wp:extent cx="829945" cy="878840"/>
                  <wp:effectExtent l="0" t="0" r="8255" b="16510"/>
                  <wp:wrapNone/>
                  <wp:docPr id="957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0" name="图片 26"/>
                          <pic:cNvPicPr>
                            <a:picLocks noChangeAspect="1" noChangeArrowheads="1"/>
                          </pic:cNvPicPr>
                        </pic:nvPicPr>
                        <pic:blipFill>
                          <a:blip r:embed="rId30" cstate="print"/>
                          <a:srcRect/>
                          <a:stretch>
                            <a:fillRect/>
                          </a:stretch>
                        </pic:blipFill>
                        <pic:spPr>
                          <a:xfrm>
                            <a:off x="0" y="0"/>
                            <a:ext cx="829945" cy="878840"/>
                          </a:xfrm>
                          <a:prstGeom prst="rect">
                            <a:avLst/>
                          </a:prstGeom>
                          <a:noFill/>
                          <a:ln w="9525">
                            <a:noFill/>
                            <a:miter lim="800000"/>
                            <a:headEnd/>
                            <a:tailEnd/>
                          </a:ln>
                        </pic:spPr>
                      </pic:pic>
                    </a:graphicData>
                  </a:graphic>
                </wp:anchor>
              </w:drawing>
            </w:r>
            <w:r>
              <w:drawing>
                <wp:anchor distT="0" distB="0" distL="114300" distR="114300" simplePos="0" relativeHeight="251666432" behindDoc="1" locked="0" layoutInCell="1" allowOverlap="1">
                  <wp:simplePos x="0" y="0"/>
                  <wp:positionH relativeFrom="column">
                    <wp:posOffset>591185</wp:posOffset>
                  </wp:positionH>
                  <wp:positionV relativeFrom="paragraph">
                    <wp:posOffset>155575</wp:posOffset>
                  </wp:positionV>
                  <wp:extent cx="1229995" cy="774700"/>
                  <wp:effectExtent l="0" t="0" r="8255" b="6350"/>
                  <wp:wrapNone/>
                  <wp:docPr id="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pic:cNvPicPr>
                            <a:picLocks noChangeAspect="1"/>
                          </pic:cNvPicPr>
                        </pic:nvPicPr>
                        <pic:blipFill>
                          <a:blip r:embed="rId31"/>
                          <a:stretch>
                            <a:fillRect/>
                          </a:stretch>
                        </pic:blipFill>
                        <pic:spPr>
                          <a:xfrm>
                            <a:off x="0" y="0"/>
                            <a:ext cx="1229995" cy="774700"/>
                          </a:xfrm>
                          <a:prstGeom prst="rect">
                            <a:avLst/>
                          </a:prstGeom>
                          <a:noFill/>
                          <a:ln>
                            <a:noFill/>
                          </a:ln>
                        </pic:spPr>
                      </pic:pic>
                    </a:graphicData>
                  </a:graphic>
                </wp:anchor>
              </w:drawing>
            </w:r>
          </w:p>
          <w:p w14:paraId="3FD85A91">
            <w:pPr>
              <w:spacing w:line="360" w:lineRule="auto"/>
              <w:ind w:firstLine="480" w:firstLineChars="200"/>
              <w:rPr>
                <w:bCs/>
                <w:snapToGrid w:val="0"/>
                <w:color w:val="auto"/>
                <w:sz w:val="24"/>
              </w:rPr>
            </w:pPr>
          </w:p>
          <w:p w14:paraId="1FA8CA51">
            <w:pPr>
              <w:spacing w:line="360" w:lineRule="auto"/>
              <w:ind w:firstLine="480" w:firstLineChars="200"/>
              <w:rPr>
                <w:bCs/>
                <w:snapToGrid w:val="0"/>
                <w:color w:val="auto"/>
                <w:sz w:val="24"/>
              </w:rPr>
            </w:pPr>
          </w:p>
          <w:p w14:paraId="2395B75E">
            <w:pPr>
              <w:spacing w:line="360" w:lineRule="auto"/>
              <w:ind w:firstLine="480" w:firstLineChars="200"/>
              <w:rPr>
                <w:bCs/>
                <w:snapToGrid w:val="0"/>
                <w:color w:val="auto"/>
                <w:sz w:val="24"/>
              </w:rPr>
            </w:pPr>
          </w:p>
          <w:p w14:paraId="536988D8">
            <w:pPr>
              <w:spacing w:line="360" w:lineRule="auto"/>
              <w:ind w:firstLine="420" w:firstLineChars="200"/>
              <w:rPr>
                <w:rFonts w:hint="eastAsia"/>
                <w:b w:val="0"/>
                <w:bCs/>
                <w:color w:val="auto"/>
                <w:szCs w:val="21"/>
                <w:lang w:val="en-US" w:eastAsia="zh-CN"/>
              </w:rPr>
            </w:pPr>
            <w:r>
              <w:rPr>
                <w:rFonts w:hint="eastAsia"/>
                <w:b w:val="0"/>
                <w:bCs/>
                <w:color w:val="auto"/>
                <w:szCs w:val="21"/>
                <w:lang w:val="en-US" w:eastAsia="zh-CN"/>
              </w:rPr>
              <w:t>一般工业固废台账管理要求：</w:t>
            </w:r>
          </w:p>
          <w:p w14:paraId="481B0D5B">
            <w:pPr>
              <w:spacing w:line="360" w:lineRule="auto"/>
              <w:ind w:firstLine="420" w:firstLineChars="200"/>
              <w:rPr>
                <w:rFonts w:hint="default"/>
                <w:b w:val="0"/>
                <w:bCs/>
                <w:color w:val="auto"/>
                <w:szCs w:val="21"/>
                <w:lang w:val="en-US" w:eastAsia="zh-CN"/>
              </w:rPr>
            </w:pPr>
            <w:r>
              <w:rPr>
                <w:rFonts w:hint="eastAsia"/>
                <w:b w:val="0"/>
                <w:bCs/>
                <w:color w:val="auto"/>
                <w:szCs w:val="21"/>
                <w:lang w:val="en-US" w:eastAsia="zh-CN"/>
              </w:rPr>
              <w:t>根据《一般工业固体废物管理台账制定指南（试行）》，结合本项目实际情况，提出以下具体要求：</w:t>
            </w:r>
          </w:p>
          <w:p w14:paraId="376D6325">
            <w:pPr>
              <w:spacing w:line="360" w:lineRule="auto"/>
              <w:ind w:firstLine="420" w:firstLineChars="200"/>
              <w:rPr>
                <w:rFonts w:hint="default"/>
                <w:bCs/>
                <w:color w:val="auto"/>
                <w:szCs w:val="21"/>
                <w:lang w:val="en-US" w:eastAsia="zh-CN"/>
              </w:rPr>
            </w:pPr>
            <w:r>
              <w:rPr>
                <w:rFonts w:hint="eastAsia"/>
                <w:bCs/>
                <w:color w:val="auto"/>
                <w:szCs w:val="21"/>
                <w:lang w:val="en-US" w:eastAsia="zh-CN"/>
              </w:rPr>
              <w:t>①</w:t>
            </w:r>
            <w:r>
              <w:rPr>
                <w:rFonts w:hint="default"/>
                <w:bCs/>
                <w:color w:val="auto"/>
                <w:szCs w:val="21"/>
                <w:lang w:val="en-US" w:eastAsia="zh-CN"/>
              </w:rPr>
              <w:t>一般工业固体废物管理台账实施分级管理。附表 1 至附表 3 为必填信息，主要用于记录固体废物的基础信息及流向信息，所有产废单位均应当填写。附表 1 按年填写，应当结合环境影响评价、排污许可等材料，根据实际生产运营情况记录固体废物产生信息，生产工艺发生重大变动等原因导致固体废物产生种类等发生变化的，应当及时另行填写附表 1；附表 2 按月填写，记录固体废物的产生、贮存、利用、处置数量和利用、处置方式等信息；附表 3 按批次填写，每一批次固体废物的出厂以及转移信息均应当如实记录。</w:t>
            </w:r>
          </w:p>
          <w:p w14:paraId="66434B0C">
            <w:pPr>
              <w:spacing w:line="360" w:lineRule="auto"/>
              <w:ind w:firstLine="420" w:firstLineChars="200"/>
              <w:rPr>
                <w:rFonts w:hint="default"/>
                <w:bCs/>
                <w:color w:val="auto"/>
                <w:szCs w:val="21"/>
                <w:lang w:val="en-US" w:eastAsia="zh-CN"/>
              </w:rPr>
            </w:pPr>
            <w:r>
              <w:rPr>
                <w:rFonts w:hint="eastAsia"/>
                <w:bCs/>
                <w:color w:val="auto"/>
                <w:szCs w:val="21"/>
                <w:lang w:val="en-US" w:eastAsia="zh-CN"/>
              </w:rPr>
              <w:t>②</w:t>
            </w:r>
            <w:r>
              <w:rPr>
                <w:rFonts w:hint="default"/>
                <w:bCs/>
                <w:color w:val="auto"/>
                <w:szCs w:val="21"/>
                <w:lang w:val="en-US" w:eastAsia="zh-CN"/>
              </w:rPr>
              <w:t>附表 4 至附表 7 为选填信息，主要用于记录固体废物在产废单位内部的贮存、利用、处置等信息。附表 4 至附表 7，根据地方及企业管理需要填写，省级生态环境主管部门可根据工作需要另行规定具体适用范围和记录要求。填写时应确保固体废物的来源信息、流向信息完整准确；根据固体废物产生周期，可按日或按班次、批次填写。</w:t>
            </w:r>
          </w:p>
          <w:p w14:paraId="3F755F94">
            <w:pPr>
              <w:spacing w:line="360" w:lineRule="auto"/>
              <w:ind w:firstLine="420" w:firstLineChars="200"/>
              <w:rPr>
                <w:rFonts w:hint="default"/>
                <w:bCs/>
                <w:color w:val="auto"/>
                <w:szCs w:val="21"/>
                <w:lang w:val="en-US" w:eastAsia="zh-CN"/>
              </w:rPr>
            </w:pPr>
            <w:r>
              <w:rPr>
                <w:rFonts w:hint="eastAsia"/>
                <w:bCs/>
                <w:color w:val="auto"/>
                <w:szCs w:val="21"/>
                <w:lang w:val="en-US" w:eastAsia="zh-CN"/>
              </w:rPr>
              <w:t>③</w:t>
            </w:r>
            <w:r>
              <w:rPr>
                <w:rFonts w:hint="default"/>
                <w:bCs/>
                <w:color w:val="auto"/>
                <w:szCs w:val="21"/>
                <w:lang w:val="en-US" w:eastAsia="zh-CN"/>
              </w:rPr>
              <w:t>产废单位填写台账记录表时，应当根据自身固体废物产生情况，从附表 8 中选择对应的固体废物种类和代码，并根据固体— 4 —废物种类确定固体废物的具体名称。</w:t>
            </w:r>
          </w:p>
          <w:p w14:paraId="4C44B70D">
            <w:pPr>
              <w:spacing w:line="360" w:lineRule="auto"/>
              <w:ind w:firstLine="420" w:firstLineChars="200"/>
              <w:rPr>
                <w:rFonts w:hint="default"/>
                <w:bCs/>
                <w:color w:val="auto"/>
                <w:szCs w:val="21"/>
                <w:lang w:val="en-US" w:eastAsia="zh-CN"/>
              </w:rPr>
            </w:pPr>
            <w:r>
              <w:rPr>
                <w:rFonts w:hint="eastAsia"/>
                <w:bCs/>
                <w:color w:val="auto"/>
                <w:szCs w:val="21"/>
                <w:lang w:val="en-US" w:eastAsia="zh-CN"/>
              </w:rPr>
              <w:t>④</w:t>
            </w:r>
            <w:r>
              <w:rPr>
                <w:rFonts w:hint="default"/>
                <w:bCs/>
                <w:color w:val="auto"/>
                <w:szCs w:val="21"/>
                <w:lang w:val="en-US" w:eastAsia="zh-CN"/>
              </w:rPr>
              <w:t>鼓励产废单位采用国家建立的一般工业固体废物管理电子台账，简化数据填写、台账管理等工作。地方和企业自行开发的电子台账要实现与国家系统对接。建立电子台账的产废单位，可不再记录纸质台账。</w:t>
            </w:r>
          </w:p>
          <w:p w14:paraId="63EF38DC">
            <w:pPr>
              <w:spacing w:line="360" w:lineRule="auto"/>
              <w:ind w:firstLine="420" w:firstLineChars="200"/>
              <w:rPr>
                <w:rFonts w:hint="default"/>
                <w:bCs/>
                <w:color w:val="auto"/>
                <w:szCs w:val="21"/>
                <w:lang w:val="en-US" w:eastAsia="zh-CN"/>
              </w:rPr>
            </w:pPr>
            <w:r>
              <w:rPr>
                <w:rFonts w:hint="eastAsia"/>
                <w:bCs/>
                <w:color w:val="auto"/>
                <w:szCs w:val="21"/>
                <w:lang w:val="en-US" w:eastAsia="zh-CN"/>
              </w:rPr>
              <w:t>⑤</w:t>
            </w:r>
            <w:r>
              <w:rPr>
                <w:rFonts w:hint="default"/>
                <w:bCs/>
                <w:color w:val="auto"/>
                <w:szCs w:val="21"/>
                <w:lang w:val="en-US" w:eastAsia="zh-CN"/>
              </w:rPr>
              <w:t>台账记录表各表单的负责人对记录信息的真实性、完整性和规范性负责。</w:t>
            </w:r>
          </w:p>
          <w:p w14:paraId="3206073A">
            <w:pPr>
              <w:spacing w:line="360" w:lineRule="auto"/>
              <w:ind w:firstLine="420" w:firstLineChars="200"/>
              <w:rPr>
                <w:rFonts w:hint="default"/>
                <w:bCs/>
                <w:color w:val="auto"/>
                <w:szCs w:val="21"/>
                <w:lang w:val="en-US" w:eastAsia="zh-CN"/>
              </w:rPr>
            </w:pPr>
            <w:r>
              <w:rPr>
                <w:rFonts w:hint="eastAsia"/>
                <w:bCs/>
                <w:color w:val="auto"/>
                <w:szCs w:val="21"/>
                <w:lang w:val="en-US" w:eastAsia="zh-CN"/>
              </w:rPr>
              <w:t>⑥</w:t>
            </w:r>
            <w:r>
              <w:rPr>
                <w:rFonts w:hint="default"/>
                <w:bCs/>
                <w:color w:val="auto"/>
                <w:szCs w:val="21"/>
                <w:lang w:val="en-US" w:eastAsia="zh-CN"/>
              </w:rPr>
              <w:t>产废单位应当设立专人负责台账的管理与归档，一般工业固体废物管理台账保存期限不少于 5 年。</w:t>
            </w:r>
          </w:p>
          <w:p w14:paraId="4F38E515">
            <w:pPr>
              <w:spacing w:line="360" w:lineRule="auto"/>
              <w:ind w:firstLine="420" w:firstLineChars="200"/>
              <w:rPr>
                <w:rFonts w:hint="default"/>
                <w:bCs/>
                <w:color w:val="auto"/>
                <w:szCs w:val="21"/>
                <w:lang w:val="en-US" w:eastAsia="zh-CN"/>
              </w:rPr>
            </w:pPr>
            <w:r>
              <w:rPr>
                <w:rFonts w:hint="eastAsia"/>
                <w:bCs/>
                <w:color w:val="auto"/>
                <w:szCs w:val="21"/>
                <w:lang w:val="en-US" w:eastAsia="zh-CN"/>
              </w:rPr>
              <w:t>⑦</w:t>
            </w:r>
            <w:r>
              <w:rPr>
                <w:rFonts w:hint="default"/>
                <w:bCs/>
                <w:color w:val="auto"/>
                <w:szCs w:val="21"/>
                <w:lang w:val="en-US" w:eastAsia="zh-CN"/>
              </w:rPr>
              <w:t>鼓励有条件的产废单位在固体废物产生场所、贮存场所及磅秤位置等关键点位设置视频监控，提高台账记录信息的准确性。</w:t>
            </w:r>
          </w:p>
          <w:p w14:paraId="5D2F5647">
            <w:pPr>
              <w:spacing w:line="360" w:lineRule="auto"/>
              <w:ind w:firstLine="422" w:firstLineChars="200"/>
              <w:rPr>
                <w:rFonts w:hint="eastAsia"/>
                <w:b/>
                <w:bCs w:val="0"/>
                <w:color w:val="auto"/>
                <w:szCs w:val="21"/>
                <w:lang w:val="en-US" w:eastAsia="zh-CN"/>
              </w:rPr>
            </w:pPr>
            <w:r>
              <w:rPr>
                <w:rFonts w:hint="eastAsia"/>
                <w:b/>
                <w:bCs w:val="0"/>
                <w:color w:val="auto"/>
                <w:szCs w:val="21"/>
                <w:lang w:val="en-US" w:eastAsia="zh-CN"/>
              </w:rPr>
              <w:t xml:space="preserve">4.4.2危险废物环境管理要求 </w:t>
            </w:r>
          </w:p>
          <w:p w14:paraId="5F63A987">
            <w:pPr>
              <w:spacing w:line="360" w:lineRule="auto"/>
              <w:ind w:firstLine="420" w:firstLineChars="200"/>
              <w:rPr>
                <w:rFonts w:hint="eastAsia"/>
                <w:bCs/>
                <w:color w:val="auto"/>
                <w:szCs w:val="21"/>
                <w:lang w:val="en-US" w:eastAsia="zh-CN"/>
              </w:rPr>
            </w:pPr>
            <w:r>
              <w:rPr>
                <w:rFonts w:hint="eastAsia"/>
                <w:bCs/>
                <w:color w:val="auto"/>
                <w:szCs w:val="21"/>
                <w:lang w:val="en-US" w:eastAsia="zh-CN"/>
              </w:rPr>
              <w:t>项目建设</w:t>
            </w:r>
            <w:r>
              <w:rPr>
                <w:rFonts w:hint="default"/>
                <w:bCs/>
                <w:color w:val="auto"/>
                <w:szCs w:val="21"/>
                <w:lang w:val="en-US" w:eastAsia="zh-CN"/>
              </w:rPr>
              <w:t>1</w:t>
            </w:r>
            <w:r>
              <w:rPr>
                <w:rFonts w:hint="eastAsia"/>
                <w:bCs/>
                <w:color w:val="auto"/>
                <w:szCs w:val="21"/>
                <w:lang w:val="en-US" w:eastAsia="zh-CN"/>
              </w:rPr>
              <w:t>座1</w:t>
            </w:r>
            <w:r>
              <w:rPr>
                <w:rFonts w:hint="default"/>
                <w:bCs/>
                <w:color w:val="auto"/>
                <w:szCs w:val="21"/>
                <w:lang w:val="en-US" w:eastAsia="zh-CN"/>
              </w:rPr>
              <w:t>0m</w:t>
            </w:r>
            <w:r>
              <w:rPr>
                <w:rFonts w:hint="default"/>
                <w:bCs/>
                <w:color w:val="auto"/>
                <w:szCs w:val="21"/>
                <w:vertAlign w:val="superscript"/>
                <w:lang w:val="en-US" w:eastAsia="zh-CN"/>
              </w:rPr>
              <w:t>2</w:t>
            </w:r>
            <w:r>
              <w:rPr>
                <w:rFonts w:hint="eastAsia"/>
                <w:bCs/>
                <w:color w:val="auto"/>
                <w:szCs w:val="21"/>
                <w:lang w:val="en-US" w:eastAsia="zh-CN"/>
              </w:rPr>
              <w:t>的危险废物贮存库，废</w:t>
            </w:r>
            <w:r>
              <w:rPr>
                <w:rFonts w:hint="eastAsia"/>
                <w:color w:val="auto"/>
                <w:lang w:val="en-US" w:eastAsia="zh-CN"/>
              </w:rPr>
              <w:t>矿物</w:t>
            </w:r>
            <w:r>
              <w:rPr>
                <w:rFonts w:hint="eastAsia"/>
                <w:bCs/>
                <w:color w:val="auto"/>
                <w:szCs w:val="21"/>
                <w:lang w:val="en-US" w:eastAsia="zh-CN"/>
              </w:rPr>
              <w:t>油、废油桶、废活性炭等收集后由专用容器储存在危险废物贮存库内，危险废物收集、贮存严格按照《危险废物贮存污染控制标准》（</w:t>
            </w:r>
            <w:r>
              <w:rPr>
                <w:rFonts w:hint="default"/>
                <w:bCs/>
                <w:color w:val="auto"/>
                <w:szCs w:val="21"/>
                <w:lang w:val="en-US" w:eastAsia="zh-CN"/>
              </w:rPr>
              <w:t>GB18597-2023</w:t>
            </w:r>
            <w:r>
              <w:rPr>
                <w:rFonts w:hint="eastAsia"/>
                <w:bCs/>
                <w:color w:val="auto"/>
                <w:szCs w:val="21"/>
                <w:lang w:val="en-US" w:eastAsia="zh-CN"/>
              </w:rPr>
              <w:t>）执行。</w:t>
            </w:r>
          </w:p>
          <w:p w14:paraId="164BDFCB">
            <w:pPr>
              <w:widowControl/>
              <w:snapToGrid w:val="0"/>
              <w:jc w:val="center"/>
              <w:rPr>
                <w:b/>
                <w:bCs/>
                <w:color w:val="auto"/>
                <w:sz w:val="18"/>
                <w:szCs w:val="18"/>
              </w:rPr>
            </w:pPr>
            <w:r>
              <w:rPr>
                <w:rFonts w:hint="eastAsia"/>
                <w:b/>
                <w:bCs/>
                <w:color w:val="auto"/>
                <w:sz w:val="18"/>
                <w:szCs w:val="18"/>
              </w:rPr>
              <w:t>表4</w:t>
            </w:r>
            <w:r>
              <w:rPr>
                <w:rFonts w:hint="eastAsia"/>
                <w:b/>
                <w:bCs/>
                <w:color w:val="auto"/>
                <w:sz w:val="18"/>
                <w:szCs w:val="18"/>
                <w:lang w:val="en-US" w:eastAsia="zh-CN"/>
              </w:rPr>
              <w:t>.4</w:t>
            </w:r>
            <w:r>
              <w:rPr>
                <w:rFonts w:hint="eastAsia"/>
                <w:b/>
                <w:bCs/>
                <w:color w:val="auto"/>
                <w:sz w:val="18"/>
                <w:szCs w:val="18"/>
              </w:rPr>
              <w:t>-</w:t>
            </w:r>
            <w:r>
              <w:rPr>
                <w:rFonts w:hint="eastAsia"/>
                <w:b/>
                <w:bCs/>
                <w:color w:val="auto"/>
                <w:sz w:val="18"/>
                <w:szCs w:val="18"/>
                <w:lang w:val="en-US" w:eastAsia="zh-CN"/>
              </w:rPr>
              <w:t xml:space="preserve">2 </w:t>
            </w:r>
            <w:r>
              <w:rPr>
                <w:rFonts w:hint="eastAsia"/>
                <w:b/>
                <w:bCs/>
                <w:color w:val="auto"/>
                <w:sz w:val="18"/>
                <w:szCs w:val="18"/>
              </w:rPr>
              <w:t xml:space="preserve">   建设项目危险废物贮存场所（设施）基本情况表</w:t>
            </w:r>
          </w:p>
          <w:tbl>
            <w:tblPr>
              <w:tblStyle w:val="47"/>
              <w:tblW w:w="8023"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77"/>
              <w:gridCol w:w="1306"/>
              <w:gridCol w:w="775"/>
              <w:gridCol w:w="1338"/>
              <w:gridCol w:w="840"/>
              <w:gridCol w:w="717"/>
              <w:gridCol w:w="775"/>
              <w:gridCol w:w="775"/>
              <w:gridCol w:w="720"/>
            </w:tblGrid>
            <w:tr w14:paraId="7D119D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2" w:hRule="atLeast"/>
                <w:jc w:val="center"/>
              </w:trPr>
              <w:tc>
                <w:tcPr>
                  <w:tcW w:w="777" w:type="dxa"/>
                  <w:vAlign w:val="center"/>
                </w:tcPr>
                <w:p w14:paraId="57CF8958">
                  <w:pPr>
                    <w:topLinePunct/>
                    <w:snapToGrid w:val="0"/>
                    <w:jc w:val="center"/>
                    <w:rPr>
                      <w:color w:val="auto"/>
                      <w:kern w:val="0"/>
                      <w:sz w:val="18"/>
                      <w:szCs w:val="18"/>
                    </w:rPr>
                  </w:pPr>
                  <w:r>
                    <w:rPr>
                      <w:rFonts w:hint="eastAsia"/>
                      <w:color w:val="auto"/>
                      <w:kern w:val="0"/>
                      <w:sz w:val="18"/>
                      <w:szCs w:val="18"/>
                    </w:rPr>
                    <w:t>场所</w:t>
                  </w:r>
                </w:p>
                <w:p w14:paraId="3231C16D">
                  <w:pPr>
                    <w:topLinePunct/>
                    <w:snapToGrid w:val="0"/>
                    <w:jc w:val="center"/>
                    <w:rPr>
                      <w:color w:val="auto"/>
                      <w:kern w:val="0"/>
                      <w:sz w:val="18"/>
                      <w:szCs w:val="18"/>
                    </w:rPr>
                  </w:pPr>
                  <w:r>
                    <w:rPr>
                      <w:rFonts w:hint="eastAsia"/>
                      <w:color w:val="auto"/>
                      <w:kern w:val="0"/>
                      <w:sz w:val="18"/>
                      <w:szCs w:val="18"/>
                    </w:rPr>
                    <w:t>名称</w:t>
                  </w:r>
                </w:p>
              </w:tc>
              <w:tc>
                <w:tcPr>
                  <w:tcW w:w="1306" w:type="dxa"/>
                  <w:vAlign w:val="center"/>
                </w:tcPr>
                <w:p w14:paraId="1CC2B5BD">
                  <w:pPr>
                    <w:topLinePunct/>
                    <w:snapToGrid w:val="0"/>
                    <w:jc w:val="center"/>
                    <w:rPr>
                      <w:color w:val="auto"/>
                      <w:kern w:val="0"/>
                      <w:sz w:val="18"/>
                      <w:szCs w:val="18"/>
                    </w:rPr>
                  </w:pPr>
                  <w:r>
                    <w:rPr>
                      <w:rFonts w:hint="eastAsia"/>
                      <w:color w:val="auto"/>
                      <w:kern w:val="0"/>
                      <w:sz w:val="18"/>
                      <w:szCs w:val="18"/>
                    </w:rPr>
                    <w:t>危险废物名称</w:t>
                  </w:r>
                </w:p>
              </w:tc>
              <w:tc>
                <w:tcPr>
                  <w:tcW w:w="775" w:type="dxa"/>
                  <w:vAlign w:val="center"/>
                </w:tcPr>
                <w:p w14:paraId="745DFCE8">
                  <w:pPr>
                    <w:topLinePunct/>
                    <w:snapToGrid w:val="0"/>
                    <w:jc w:val="center"/>
                    <w:rPr>
                      <w:color w:val="auto"/>
                      <w:kern w:val="0"/>
                      <w:sz w:val="18"/>
                      <w:szCs w:val="18"/>
                    </w:rPr>
                  </w:pPr>
                  <w:r>
                    <w:rPr>
                      <w:rFonts w:hint="eastAsia"/>
                      <w:color w:val="auto"/>
                      <w:kern w:val="0"/>
                      <w:sz w:val="18"/>
                      <w:szCs w:val="18"/>
                    </w:rPr>
                    <w:t>废物</w:t>
                  </w:r>
                </w:p>
                <w:p w14:paraId="0A6A22EB">
                  <w:pPr>
                    <w:topLinePunct/>
                    <w:snapToGrid w:val="0"/>
                    <w:jc w:val="center"/>
                    <w:rPr>
                      <w:color w:val="auto"/>
                      <w:kern w:val="0"/>
                      <w:sz w:val="18"/>
                      <w:szCs w:val="18"/>
                    </w:rPr>
                  </w:pPr>
                  <w:r>
                    <w:rPr>
                      <w:rFonts w:hint="eastAsia"/>
                      <w:color w:val="auto"/>
                      <w:kern w:val="0"/>
                      <w:sz w:val="18"/>
                      <w:szCs w:val="18"/>
                    </w:rPr>
                    <w:t>类别</w:t>
                  </w:r>
                </w:p>
              </w:tc>
              <w:tc>
                <w:tcPr>
                  <w:tcW w:w="1338" w:type="dxa"/>
                  <w:vAlign w:val="center"/>
                </w:tcPr>
                <w:p w14:paraId="7610A862">
                  <w:pPr>
                    <w:topLinePunct/>
                    <w:snapToGrid w:val="0"/>
                    <w:jc w:val="center"/>
                    <w:rPr>
                      <w:color w:val="auto"/>
                      <w:kern w:val="0"/>
                      <w:sz w:val="18"/>
                      <w:szCs w:val="18"/>
                    </w:rPr>
                  </w:pPr>
                  <w:r>
                    <w:rPr>
                      <w:rFonts w:hint="eastAsia"/>
                      <w:color w:val="auto"/>
                      <w:kern w:val="0"/>
                      <w:sz w:val="18"/>
                      <w:szCs w:val="18"/>
                    </w:rPr>
                    <w:t>危险废物代码</w:t>
                  </w:r>
                </w:p>
              </w:tc>
              <w:tc>
                <w:tcPr>
                  <w:tcW w:w="840" w:type="dxa"/>
                  <w:vAlign w:val="center"/>
                </w:tcPr>
                <w:p w14:paraId="337998AC">
                  <w:pPr>
                    <w:topLinePunct/>
                    <w:snapToGrid w:val="0"/>
                    <w:jc w:val="center"/>
                    <w:rPr>
                      <w:color w:val="auto"/>
                      <w:kern w:val="0"/>
                      <w:sz w:val="18"/>
                      <w:szCs w:val="18"/>
                    </w:rPr>
                  </w:pPr>
                  <w:r>
                    <w:rPr>
                      <w:rFonts w:hint="eastAsia"/>
                      <w:color w:val="auto"/>
                      <w:kern w:val="0"/>
                      <w:sz w:val="18"/>
                      <w:szCs w:val="18"/>
                    </w:rPr>
                    <w:t>位置</w:t>
                  </w:r>
                </w:p>
              </w:tc>
              <w:tc>
                <w:tcPr>
                  <w:tcW w:w="717" w:type="dxa"/>
                  <w:vAlign w:val="center"/>
                </w:tcPr>
                <w:p w14:paraId="44F2F1A3">
                  <w:pPr>
                    <w:topLinePunct/>
                    <w:snapToGrid w:val="0"/>
                    <w:jc w:val="center"/>
                    <w:rPr>
                      <w:color w:val="auto"/>
                      <w:kern w:val="0"/>
                      <w:sz w:val="18"/>
                      <w:szCs w:val="18"/>
                    </w:rPr>
                  </w:pPr>
                  <w:r>
                    <w:rPr>
                      <w:rFonts w:hint="eastAsia"/>
                      <w:color w:val="auto"/>
                      <w:kern w:val="0"/>
                      <w:sz w:val="18"/>
                      <w:szCs w:val="18"/>
                    </w:rPr>
                    <w:t>占地面积</w:t>
                  </w:r>
                </w:p>
              </w:tc>
              <w:tc>
                <w:tcPr>
                  <w:tcW w:w="775" w:type="dxa"/>
                  <w:vAlign w:val="center"/>
                </w:tcPr>
                <w:p w14:paraId="57DE2EAF">
                  <w:pPr>
                    <w:topLinePunct/>
                    <w:snapToGrid w:val="0"/>
                    <w:jc w:val="center"/>
                    <w:rPr>
                      <w:color w:val="auto"/>
                      <w:kern w:val="0"/>
                      <w:sz w:val="18"/>
                      <w:szCs w:val="18"/>
                    </w:rPr>
                  </w:pPr>
                  <w:r>
                    <w:rPr>
                      <w:rFonts w:hint="eastAsia"/>
                      <w:color w:val="auto"/>
                      <w:kern w:val="0"/>
                      <w:sz w:val="18"/>
                      <w:szCs w:val="18"/>
                    </w:rPr>
                    <w:t>贮存</w:t>
                  </w:r>
                </w:p>
                <w:p w14:paraId="22788400">
                  <w:pPr>
                    <w:topLinePunct/>
                    <w:snapToGrid w:val="0"/>
                    <w:jc w:val="center"/>
                    <w:rPr>
                      <w:color w:val="auto"/>
                      <w:kern w:val="0"/>
                      <w:sz w:val="18"/>
                      <w:szCs w:val="18"/>
                    </w:rPr>
                  </w:pPr>
                  <w:r>
                    <w:rPr>
                      <w:rFonts w:hint="eastAsia"/>
                      <w:color w:val="auto"/>
                      <w:kern w:val="0"/>
                      <w:sz w:val="18"/>
                      <w:szCs w:val="18"/>
                    </w:rPr>
                    <w:t>方式</w:t>
                  </w:r>
                </w:p>
              </w:tc>
              <w:tc>
                <w:tcPr>
                  <w:tcW w:w="775" w:type="dxa"/>
                  <w:vAlign w:val="center"/>
                </w:tcPr>
                <w:p w14:paraId="166C2ED9">
                  <w:pPr>
                    <w:topLinePunct/>
                    <w:snapToGrid w:val="0"/>
                    <w:jc w:val="center"/>
                    <w:rPr>
                      <w:color w:val="auto"/>
                      <w:kern w:val="0"/>
                      <w:sz w:val="18"/>
                      <w:szCs w:val="18"/>
                    </w:rPr>
                  </w:pPr>
                  <w:r>
                    <w:rPr>
                      <w:rFonts w:hint="eastAsia"/>
                      <w:color w:val="auto"/>
                      <w:kern w:val="0"/>
                      <w:sz w:val="18"/>
                      <w:szCs w:val="18"/>
                    </w:rPr>
                    <w:t>贮存</w:t>
                  </w:r>
                </w:p>
                <w:p w14:paraId="7CBD5D89">
                  <w:pPr>
                    <w:topLinePunct/>
                    <w:snapToGrid w:val="0"/>
                    <w:jc w:val="center"/>
                    <w:rPr>
                      <w:color w:val="auto"/>
                      <w:kern w:val="0"/>
                      <w:sz w:val="18"/>
                      <w:szCs w:val="18"/>
                    </w:rPr>
                  </w:pPr>
                  <w:r>
                    <w:rPr>
                      <w:rFonts w:hint="eastAsia"/>
                      <w:color w:val="auto"/>
                      <w:kern w:val="0"/>
                      <w:sz w:val="18"/>
                      <w:szCs w:val="18"/>
                    </w:rPr>
                    <w:t>能力</w:t>
                  </w:r>
                </w:p>
              </w:tc>
              <w:tc>
                <w:tcPr>
                  <w:tcW w:w="720" w:type="dxa"/>
                  <w:vAlign w:val="center"/>
                </w:tcPr>
                <w:p w14:paraId="7D261ACE">
                  <w:pPr>
                    <w:topLinePunct/>
                    <w:snapToGrid w:val="0"/>
                    <w:jc w:val="center"/>
                    <w:rPr>
                      <w:color w:val="auto"/>
                      <w:kern w:val="0"/>
                      <w:sz w:val="18"/>
                      <w:szCs w:val="18"/>
                    </w:rPr>
                  </w:pPr>
                  <w:r>
                    <w:rPr>
                      <w:rFonts w:hint="eastAsia"/>
                      <w:color w:val="auto"/>
                      <w:kern w:val="0"/>
                      <w:sz w:val="18"/>
                      <w:szCs w:val="18"/>
                    </w:rPr>
                    <w:t>贮存</w:t>
                  </w:r>
                </w:p>
                <w:p w14:paraId="365BA4EB">
                  <w:pPr>
                    <w:topLinePunct/>
                    <w:snapToGrid w:val="0"/>
                    <w:jc w:val="center"/>
                    <w:rPr>
                      <w:color w:val="auto"/>
                      <w:kern w:val="0"/>
                      <w:sz w:val="18"/>
                      <w:szCs w:val="18"/>
                    </w:rPr>
                  </w:pPr>
                  <w:r>
                    <w:rPr>
                      <w:rFonts w:hint="eastAsia"/>
                      <w:color w:val="auto"/>
                      <w:kern w:val="0"/>
                      <w:sz w:val="18"/>
                      <w:szCs w:val="18"/>
                    </w:rPr>
                    <w:t>周期</w:t>
                  </w:r>
                </w:p>
              </w:tc>
            </w:tr>
            <w:tr w14:paraId="651AB92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5" w:hRule="atLeast"/>
                <w:jc w:val="center"/>
              </w:trPr>
              <w:tc>
                <w:tcPr>
                  <w:tcW w:w="777" w:type="dxa"/>
                  <w:vMerge w:val="restart"/>
                  <w:vAlign w:val="center"/>
                </w:tcPr>
                <w:p w14:paraId="15DC0B69">
                  <w:pPr>
                    <w:topLinePunct/>
                    <w:snapToGrid w:val="0"/>
                    <w:jc w:val="center"/>
                    <w:rPr>
                      <w:rFonts w:hint="eastAsia" w:eastAsia="宋体"/>
                      <w:color w:val="auto"/>
                      <w:kern w:val="0"/>
                      <w:sz w:val="18"/>
                      <w:szCs w:val="18"/>
                      <w:lang w:eastAsia="zh-CN"/>
                    </w:rPr>
                  </w:pPr>
                  <w:r>
                    <w:rPr>
                      <w:rFonts w:hint="eastAsia"/>
                      <w:color w:val="auto"/>
                      <w:kern w:val="0"/>
                      <w:sz w:val="18"/>
                      <w:szCs w:val="18"/>
                      <w:lang w:val="en-US" w:eastAsia="zh-CN"/>
                    </w:rPr>
                    <w:t>危险废物贮存库</w:t>
                  </w:r>
                </w:p>
              </w:tc>
              <w:tc>
                <w:tcPr>
                  <w:tcW w:w="1306" w:type="dxa"/>
                  <w:vAlign w:val="center"/>
                </w:tcPr>
                <w:p w14:paraId="4064360E">
                  <w:pPr>
                    <w:topLinePunct/>
                    <w:snapToGrid w:val="0"/>
                    <w:jc w:val="center"/>
                    <w:rPr>
                      <w:rFonts w:hint="default" w:eastAsia="宋体"/>
                      <w:color w:val="auto"/>
                      <w:kern w:val="0"/>
                      <w:sz w:val="18"/>
                      <w:szCs w:val="18"/>
                      <w:lang w:val="en-US" w:eastAsia="zh-CN"/>
                    </w:rPr>
                  </w:pPr>
                  <w:r>
                    <w:rPr>
                      <w:rFonts w:hint="eastAsia"/>
                      <w:color w:val="auto"/>
                      <w:kern w:val="0"/>
                      <w:sz w:val="18"/>
                      <w:szCs w:val="18"/>
                      <w:lang w:val="en-US" w:eastAsia="zh-CN"/>
                    </w:rPr>
                    <w:t>废矿物油</w:t>
                  </w:r>
                </w:p>
              </w:tc>
              <w:tc>
                <w:tcPr>
                  <w:tcW w:w="775" w:type="dxa"/>
                  <w:vAlign w:val="center"/>
                </w:tcPr>
                <w:p w14:paraId="3672932D">
                  <w:pPr>
                    <w:adjustRightInd w:val="0"/>
                    <w:snapToGrid w:val="0"/>
                    <w:jc w:val="center"/>
                    <w:rPr>
                      <w:rFonts w:hint="default" w:eastAsia="宋体"/>
                      <w:color w:val="auto"/>
                      <w:kern w:val="0"/>
                      <w:sz w:val="18"/>
                      <w:szCs w:val="18"/>
                      <w:lang w:val="en-US" w:eastAsia="zh-CN"/>
                    </w:rPr>
                  </w:pPr>
                  <w:r>
                    <w:rPr>
                      <w:rFonts w:hint="eastAsia"/>
                      <w:color w:val="auto"/>
                      <w:kern w:val="0"/>
                      <w:sz w:val="18"/>
                      <w:szCs w:val="18"/>
                      <w:lang w:val="en-US" w:eastAsia="zh-CN"/>
                    </w:rPr>
                    <w:t>HW08</w:t>
                  </w:r>
                </w:p>
              </w:tc>
              <w:tc>
                <w:tcPr>
                  <w:tcW w:w="1338" w:type="dxa"/>
                  <w:shd w:val="clear" w:color="auto" w:fill="auto"/>
                  <w:vAlign w:val="center"/>
                </w:tcPr>
                <w:p w14:paraId="2D1FE65C">
                  <w:pPr>
                    <w:keepNext w:val="0"/>
                    <w:keepLines w:val="0"/>
                    <w:widowControl/>
                    <w:suppressLineNumbers w:val="0"/>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900-214-08</w:t>
                  </w:r>
                </w:p>
              </w:tc>
              <w:tc>
                <w:tcPr>
                  <w:tcW w:w="840" w:type="dxa"/>
                  <w:vMerge w:val="restart"/>
                  <w:vAlign w:val="center"/>
                </w:tcPr>
                <w:p w14:paraId="67CA58FC">
                  <w:pPr>
                    <w:topLinePunct/>
                    <w:snapToGrid w:val="0"/>
                    <w:jc w:val="center"/>
                    <w:rPr>
                      <w:rFonts w:hint="default" w:eastAsia="宋体"/>
                      <w:color w:val="auto"/>
                      <w:kern w:val="0"/>
                      <w:sz w:val="18"/>
                      <w:szCs w:val="18"/>
                      <w:lang w:val="en-US" w:eastAsia="zh-CN"/>
                    </w:rPr>
                  </w:pPr>
                  <w:r>
                    <w:rPr>
                      <w:rFonts w:hint="eastAsia"/>
                      <w:color w:val="auto"/>
                      <w:kern w:val="0"/>
                      <w:sz w:val="18"/>
                      <w:szCs w:val="18"/>
                      <w:lang w:val="en-US" w:eastAsia="zh-CN"/>
                    </w:rPr>
                    <w:t>储库内东南角处</w:t>
                  </w:r>
                </w:p>
              </w:tc>
              <w:tc>
                <w:tcPr>
                  <w:tcW w:w="717" w:type="dxa"/>
                  <w:vMerge w:val="restart"/>
                  <w:vAlign w:val="center"/>
                </w:tcPr>
                <w:p w14:paraId="5DAFD37C">
                  <w:pPr>
                    <w:topLinePunct/>
                    <w:snapToGrid w:val="0"/>
                    <w:jc w:val="center"/>
                    <w:rPr>
                      <w:color w:val="auto"/>
                      <w:kern w:val="0"/>
                      <w:sz w:val="18"/>
                      <w:szCs w:val="18"/>
                    </w:rPr>
                  </w:pPr>
                  <w:r>
                    <w:rPr>
                      <w:rFonts w:hint="eastAsia"/>
                      <w:color w:val="auto"/>
                      <w:kern w:val="0"/>
                      <w:sz w:val="18"/>
                      <w:szCs w:val="18"/>
                      <w:lang w:val="en-US" w:eastAsia="zh-CN"/>
                    </w:rPr>
                    <w:t>10</w:t>
                  </w:r>
                  <w:r>
                    <w:rPr>
                      <w:color w:val="auto"/>
                      <w:kern w:val="0"/>
                      <w:sz w:val="18"/>
                      <w:szCs w:val="18"/>
                    </w:rPr>
                    <w:t>m</w:t>
                  </w:r>
                  <w:r>
                    <w:rPr>
                      <w:color w:val="auto"/>
                      <w:kern w:val="0"/>
                      <w:sz w:val="18"/>
                      <w:szCs w:val="18"/>
                      <w:vertAlign w:val="superscript"/>
                    </w:rPr>
                    <w:t>2</w:t>
                  </w:r>
                </w:p>
              </w:tc>
              <w:tc>
                <w:tcPr>
                  <w:tcW w:w="775" w:type="dxa"/>
                  <w:vMerge w:val="restart"/>
                  <w:vAlign w:val="center"/>
                </w:tcPr>
                <w:p w14:paraId="3E2A2109">
                  <w:pPr>
                    <w:topLinePunct/>
                    <w:snapToGrid w:val="0"/>
                    <w:jc w:val="center"/>
                    <w:rPr>
                      <w:rFonts w:hint="eastAsia" w:eastAsia="宋体"/>
                      <w:color w:val="auto"/>
                      <w:kern w:val="0"/>
                      <w:sz w:val="18"/>
                      <w:szCs w:val="18"/>
                      <w:lang w:eastAsia="zh-CN"/>
                    </w:rPr>
                  </w:pPr>
                  <w:r>
                    <w:rPr>
                      <w:rFonts w:hint="eastAsia"/>
                      <w:color w:val="auto"/>
                      <w:kern w:val="0"/>
                      <w:sz w:val="18"/>
                      <w:szCs w:val="18"/>
                      <w:lang w:val="en-US" w:eastAsia="zh-CN"/>
                    </w:rPr>
                    <w:t>专用</w:t>
                  </w:r>
                  <w:r>
                    <w:rPr>
                      <w:rFonts w:hint="eastAsia"/>
                      <w:color w:val="auto"/>
                      <w:kern w:val="0"/>
                      <w:sz w:val="18"/>
                      <w:szCs w:val="18"/>
                    </w:rPr>
                    <w:t>容器</w:t>
                  </w:r>
                  <w:r>
                    <w:rPr>
                      <w:rFonts w:hint="eastAsia"/>
                      <w:color w:val="auto"/>
                      <w:kern w:val="0"/>
                      <w:sz w:val="18"/>
                      <w:szCs w:val="18"/>
                      <w:lang w:eastAsia="zh-CN"/>
                    </w:rPr>
                    <w:t>（</w:t>
                  </w:r>
                  <w:r>
                    <w:rPr>
                      <w:rFonts w:hint="eastAsia"/>
                      <w:color w:val="auto"/>
                      <w:kern w:val="0"/>
                      <w:sz w:val="18"/>
                      <w:szCs w:val="18"/>
                      <w:lang w:val="en-US" w:eastAsia="zh-CN"/>
                    </w:rPr>
                    <w:t>桶</w:t>
                  </w:r>
                  <w:r>
                    <w:rPr>
                      <w:rFonts w:hint="eastAsia"/>
                      <w:color w:val="auto"/>
                      <w:kern w:val="0"/>
                      <w:sz w:val="18"/>
                      <w:szCs w:val="18"/>
                      <w:lang w:eastAsia="zh-CN"/>
                    </w:rPr>
                    <w:t>）</w:t>
                  </w:r>
                </w:p>
              </w:tc>
              <w:tc>
                <w:tcPr>
                  <w:tcW w:w="775" w:type="dxa"/>
                  <w:vMerge w:val="restart"/>
                  <w:vAlign w:val="center"/>
                </w:tcPr>
                <w:p w14:paraId="499331EE">
                  <w:pPr>
                    <w:topLinePunct/>
                    <w:snapToGrid w:val="0"/>
                    <w:jc w:val="center"/>
                    <w:rPr>
                      <w:color w:val="auto"/>
                      <w:kern w:val="0"/>
                      <w:sz w:val="18"/>
                      <w:szCs w:val="18"/>
                    </w:rPr>
                  </w:pPr>
                  <w:r>
                    <w:rPr>
                      <w:rFonts w:hint="eastAsia"/>
                      <w:color w:val="auto"/>
                      <w:kern w:val="0"/>
                      <w:sz w:val="18"/>
                      <w:szCs w:val="18"/>
                      <w:lang w:val="en-US" w:eastAsia="zh-CN"/>
                    </w:rPr>
                    <w:t>3</w:t>
                  </w:r>
                  <w:r>
                    <w:rPr>
                      <w:color w:val="auto"/>
                      <w:kern w:val="0"/>
                      <w:sz w:val="18"/>
                      <w:szCs w:val="18"/>
                    </w:rPr>
                    <w:t>t</w:t>
                  </w:r>
                </w:p>
              </w:tc>
              <w:tc>
                <w:tcPr>
                  <w:tcW w:w="720" w:type="dxa"/>
                  <w:vMerge w:val="restart"/>
                  <w:vAlign w:val="center"/>
                </w:tcPr>
                <w:p w14:paraId="5F903EB5">
                  <w:pPr>
                    <w:topLinePunct/>
                    <w:snapToGrid w:val="0"/>
                    <w:jc w:val="center"/>
                    <w:rPr>
                      <w:rFonts w:hint="default" w:eastAsia="宋体"/>
                      <w:color w:val="auto"/>
                      <w:kern w:val="0"/>
                      <w:sz w:val="18"/>
                      <w:szCs w:val="18"/>
                      <w:lang w:val="en-US" w:eastAsia="zh-CN"/>
                    </w:rPr>
                  </w:pPr>
                  <w:r>
                    <w:rPr>
                      <w:rFonts w:hint="eastAsia"/>
                      <w:color w:val="auto"/>
                      <w:kern w:val="0"/>
                      <w:sz w:val="18"/>
                      <w:szCs w:val="18"/>
                      <w:lang w:val="en-US" w:eastAsia="zh-CN"/>
                    </w:rPr>
                    <w:t>1个月</w:t>
                  </w:r>
                </w:p>
              </w:tc>
            </w:tr>
            <w:tr w14:paraId="396C017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5" w:hRule="atLeast"/>
                <w:jc w:val="center"/>
              </w:trPr>
              <w:tc>
                <w:tcPr>
                  <w:tcW w:w="777" w:type="dxa"/>
                  <w:vMerge w:val="continue"/>
                  <w:vAlign w:val="center"/>
                </w:tcPr>
                <w:p w14:paraId="342A7038">
                  <w:pPr>
                    <w:topLinePunct/>
                    <w:snapToGrid w:val="0"/>
                    <w:jc w:val="center"/>
                    <w:rPr>
                      <w:rFonts w:hint="eastAsia"/>
                      <w:color w:val="auto"/>
                      <w:kern w:val="0"/>
                      <w:sz w:val="18"/>
                      <w:szCs w:val="18"/>
                      <w:lang w:val="en-US" w:eastAsia="zh-CN"/>
                    </w:rPr>
                  </w:pPr>
                </w:p>
              </w:tc>
              <w:tc>
                <w:tcPr>
                  <w:tcW w:w="1306" w:type="dxa"/>
                  <w:vAlign w:val="center"/>
                </w:tcPr>
                <w:p w14:paraId="795A6CFD">
                  <w:pPr>
                    <w:topLinePunct/>
                    <w:snapToGrid w:val="0"/>
                    <w:jc w:val="center"/>
                    <w:rPr>
                      <w:rFonts w:hint="eastAsia"/>
                      <w:color w:val="auto"/>
                      <w:kern w:val="0"/>
                      <w:sz w:val="18"/>
                      <w:szCs w:val="18"/>
                      <w:lang w:val="en-US" w:eastAsia="zh-CN"/>
                    </w:rPr>
                  </w:pPr>
                  <w:r>
                    <w:rPr>
                      <w:rFonts w:hint="eastAsia"/>
                      <w:color w:val="auto"/>
                      <w:kern w:val="0"/>
                      <w:sz w:val="18"/>
                      <w:szCs w:val="18"/>
                      <w:lang w:val="en-US" w:eastAsia="zh-CN"/>
                    </w:rPr>
                    <w:t>废油桶</w:t>
                  </w:r>
                </w:p>
              </w:tc>
              <w:tc>
                <w:tcPr>
                  <w:tcW w:w="775" w:type="dxa"/>
                  <w:vAlign w:val="center"/>
                </w:tcPr>
                <w:p w14:paraId="346792E0">
                  <w:pPr>
                    <w:adjustRightInd w:val="0"/>
                    <w:snapToGrid w:val="0"/>
                    <w:jc w:val="center"/>
                    <w:rPr>
                      <w:rFonts w:hint="eastAsia"/>
                      <w:color w:val="auto"/>
                      <w:kern w:val="0"/>
                      <w:sz w:val="18"/>
                      <w:szCs w:val="18"/>
                      <w:lang w:val="en-US" w:eastAsia="zh-CN"/>
                    </w:rPr>
                  </w:pPr>
                  <w:r>
                    <w:rPr>
                      <w:color w:val="auto"/>
                      <w:sz w:val="18"/>
                      <w:szCs w:val="18"/>
                    </w:rPr>
                    <w:t>HW</w:t>
                  </w:r>
                  <w:r>
                    <w:rPr>
                      <w:rFonts w:hint="eastAsia"/>
                      <w:color w:val="auto"/>
                      <w:sz w:val="18"/>
                      <w:szCs w:val="18"/>
                      <w:lang w:val="en-US" w:eastAsia="zh-CN"/>
                    </w:rPr>
                    <w:t>49</w:t>
                  </w:r>
                </w:p>
              </w:tc>
              <w:tc>
                <w:tcPr>
                  <w:tcW w:w="1338" w:type="dxa"/>
                  <w:shd w:val="clear" w:color="auto" w:fill="auto"/>
                  <w:vAlign w:val="center"/>
                </w:tcPr>
                <w:p w14:paraId="6947CA4F">
                  <w:pPr>
                    <w:keepNext w:val="0"/>
                    <w:keepLines w:val="0"/>
                    <w:widowControl/>
                    <w:suppressLineNumbers w:val="0"/>
                    <w:jc w:val="center"/>
                    <w:rPr>
                      <w:rFonts w:hint="eastAsia"/>
                      <w:color w:val="auto"/>
                      <w:sz w:val="18"/>
                      <w:szCs w:val="18"/>
                      <w:lang w:val="en-US" w:eastAsia="zh-CN"/>
                    </w:rPr>
                  </w:pPr>
                  <w:r>
                    <w:rPr>
                      <w:rFonts w:hint="eastAsia" w:cs="Times New Roman"/>
                      <w:color w:val="auto"/>
                      <w:kern w:val="0"/>
                      <w:sz w:val="18"/>
                      <w:szCs w:val="18"/>
                      <w:lang w:val="en-US" w:eastAsia="zh-CN" w:bidi="ar"/>
                    </w:rPr>
                    <w:t>900-041-49</w:t>
                  </w:r>
                </w:p>
              </w:tc>
              <w:tc>
                <w:tcPr>
                  <w:tcW w:w="840" w:type="dxa"/>
                  <w:vMerge w:val="continue"/>
                  <w:vAlign w:val="center"/>
                </w:tcPr>
                <w:p w14:paraId="54E39D65">
                  <w:pPr>
                    <w:topLinePunct/>
                    <w:snapToGrid w:val="0"/>
                    <w:jc w:val="center"/>
                    <w:rPr>
                      <w:rFonts w:hint="eastAsia"/>
                      <w:color w:val="auto"/>
                      <w:kern w:val="0"/>
                      <w:sz w:val="18"/>
                      <w:szCs w:val="18"/>
                      <w:lang w:val="en-US" w:eastAsia="zh-CN"/>
                    </w:rPr>
                  </w:pPr>
                </w:p>
              </w:tc>
              <w:tc>
                <w:tcPr>
                  <w:tcW w:w="717" w:type="dxa"/>
                  <w:vMerge w:val="continue"/>
                  <w:vAlign w:val="center"/>
                </w:tcPr>
                <w:p w14:paraId="4A741367">
                  <w:pPr>
                    <w:topLinePunct/>
                    <w:snapToGrid w:val="0"/>
                    <w:jc w:val="center"/>
                    <w:rPr>
                      <w:rFonts w:hint="eastAsia"/>
                      <w:color w:val="auto"/>
                      <w:kern w:val="0"/>
                      <w:sz w:val="18"/>
                      <w:szCs w:val="18"/>
                      <w:lang w:val="en-US" w:eastAsia="zh-CN"/>
                    </w:rPr>
                  </w:pPr>
                </w:p>
              </w:tc>
              <w:tc>
                <w:tcPr>
                  <w:tcW w:w="775" w:type="dxa"/>
                  <w:vMerge w:val="continue"/>
                  <w:vAlign w:val="center"/>
                </w:tcPr>
                <w:p w14:paraId="306D65A9">
                  <w:pPr>
                    <w:topLinePunct/>
                    <w:snapToGrid w:val="0"/>
                    <w:jc w:val="center"/>
                    <w:rPr>
                      <w:rFonts w:hint="eastAsia"/>
                      <w:color w:val="auto"/>
                      <w:kern w:val="0"/>
                      <w:sz w:val="18"/>
                      <w:szCs w:val="18"/>
                      <w:lang w:val="en-US" w:eastAsia="zh-CN"/>
                    </w:rPr>
                  </w:pPr>
                </w:p>
              </w:tc>
              <w:tc>
                <w:tcPr>
                  <w:tcW w:w="775" w:type="dxa"/>
                  <w:vMerge w:val="continue"/>
                  <w:vAlign w:val="center"/>
                </w:tcPr>
                <w:p w14:paraId="6EB60C60">
                  <w:pPr>
                    <w:topLinePunct/>
                    <w:snapToGrid w:val="0"/>
                    <w:jc w:val="center"/>
                    <w:rPr>
                      <w:rFonts w:hint="eastAsia"/>
                      <w:color w:val="auto"/>
                      <w:kern w:val="0"/>
                      <w:sz w:val="18"/>
                      <w:szCs w:val="18"/>
                      <w:lang w:val="en-US" w:eastAsia="zh-CN"/>
                    </w:rPr>
                  </w:pPr>
                </w:p>
              </w:tc>
              <w:tc>
                <w:tcPr>
                  <w:tcW w:w="720" w:type="dxa"/>
                  <w:vMerge w:val="continue"/>
                  <w:vAlign w:val="center"/>
                </w:tcPr>
                <w:p w14:paraId="127B0B24">
                  <w:pPr>
                    <w:topLinePunct/>
                    <w:snapToGrid w:val="0"/>
                    <w:jc w:val="center"/>
                    <w:rPr>
                      <w:rFonts w:hint="eastAsia"/>
                      <w:color w:val="auto"/>
                      <w:kern w:val="0"/>
                      <w:sz w:val="18"/>
                      <w:szCs w:val="18"/>
                      <w:lang w:val="en-US" w:eastAsia="zh-CN"/>
                    </w:rPr>
                  </w:pPr>
                </w:p>
              </w:tc>
            </w:tr>
            <w:tr w14:paraId="64C4879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5" w:hRule="atLeast"/>
                <w:jc w:val="center"/>
              </w:trPr>
              <w:tc>
                <w:tcPr>
                  <w:tcW w:w="777" w:type="dxa"/>
                  <w:vMerge w:val="continue"/>
                  <w:vAlign w:val="center"/>
                </w:tcPr>
                <w:p w14:paraId="051F6E55">
                  <w:pPr>
                    <w:topLinePunct/>
                    <w:snapToGrid w:val="0"/>
                    <w:jc w:val="center"/>
                    <w:rPr>
                      <w:rFonts w:hint="eastAsia"/>
                      <w:color w:val="auto"/>
                      <w:kern w:val="0"/>
                      <w:sz w:val="18"/>
                      <w:szCs w:val="18"/>
                      <w:lang w:eastAsia="zh-CN"/>
                    </w:rPr>
                  </w:pPr>
                </w:p>
              </w:tc>
              <w:tc>
                <w:tcPr>
                  <w:tcW w:w="1306" w:type="dxa"/>
                  <w:vAlign w:val="center"/>
                </w:tcPr>
                <w:p w14:paraId="35F81E09">
                  <w:pPr>
                    <w:topLinePunct/>
                    <w:snapToGrid w:val="0"/>
                    <w:jc w:val="center"/>
                    <w:rPr>
                      <w:rFonts w:hint="default" w:ascii="Times New Roman" w:hAnsi="Times New Roman" w:eastAsia="宋体" w:cs="Times New Roman"/>
                      <w:color w:val="auto"/>
                      <w:kern w:val="0"/>
                      <w:sz w:val="18"/>
                      <w:szCs w:val="18"/>
                      <w:lang w:val="en-US" w:eastAsia="zh-CN" w:bidi="ar-SA"/>
                    </w:rPr>
                  </w:pPr>
                  <w:r>
                    <w:rPr>
                      <w:rFonts w:hint="eastAsia" w:cs="Times New Roman"/>
                      <w:color w:val="auto"/>
                      <w:kern w:val="0"/>
                      <w:sz w:val="18"/>
                      <w:szCs w:val="18"/>
                      <w:lang w:val="en-US" w:eastAsia="zh-CN" w:bidi="ar-SA"/>
                    </w:rPr>
                    <w:t>废活性炭</w:t>
                  </w:r>
                </w:p>
              </w:tc>
              <w:tc>
                <w:tcPr>
                  <w:tcW w:w="775" w:type="dxa"/>
                  <w:vAlign w:val="center"/>
                </w:tcPr>
                <w:p w14:paraId="283D6085">
                  <w:pPr>
                    <w:adjustRightInd w:val="0"/>
                    <w:snapToGrid w:val="0"/>
                    <w:jc w:val="center"/>
                    <w:rPr>
                      <w:rFonts w:hint="default" w:ascii="Times New Roman" w:hAnsi="Times New Roman" w:eastAsia="宋体" w:cs="Times New Roman"/>
                      <w:color w:val="auto"/>
                      <w:kern w:val="0"/>
                      <w:sz w:val="18"/>
                      <w:szCs w:val="18"/>
                      <w:lang w:val="en-US" w:eastAsia="zh-CN" w:bidi="ar-SA"/>
                    </w:rPr>
                  </w:pPr>
                  <w:r>
                    <w:rPr>
                      <w:color w:val="auto"/>
                      <w:sz w:val="18"/>
                      <w:szCs w:val="18"/>
                    </w:rPr>
                    <w:t>HW</w:t>
                  </w:r>
                  <w:r>
                    <w:rPr>
                      <w:rFonts w:hint="eastAsia"/>
                      <w:color w:val="auto"/>
                      <w:sz w:val="18"/>
                      <w:szCs w:val="18"/>
                      <w:lang w:val="en-US" w:eastAsia="zh-CN"/>
                    </w:rPr>
                    <w:t>49</w:t>
                  </w:r>
                </w:p>
              </w:tc>
              <w:tc>
                <w:tcPr>
                  <w:tcW w:w="1338" w:type="dxa"/>
                  <w:vAlign w:val="center"/>
                </w:tcPr>
                <w:p w14:paraId="64EC678F">
                  <w:pPr>
                    <w:adjustRightInd w:val="0"/>
                    <w:snapToGrid w:val="0"/>
                    <w:jc w:val="center"/>
                    <w:rPr>
                      <w:rFonts w:hint="eastAsia" w:ascii="Times New Roman" w:hAnsi="Times New Roman" w:eastAsia="宋体" w:cs="Times New Roman"/>
                      <w:color w:val="auto"/>
                      <w:kern w:val="0"/>
                      <w:sz w:val="18"/>
                      <w:szCs w:val="18"/>
                      <w:lang w:val="en-US" w:eastAsia="zh-CN" w:bidi="ar-SA"/>
                    </w:rPr>
                  </w:pPr>
                  <w:r>
                    <w:rPr>
                      <w:rFonts w:hint="eastAsia" w:cs="Times New Roman"/>
                      <w:color w:val="auto"/>
                      <w:kern w:val="0"/>
                      <w:sz w:val="18"/>
                      <w:szCs w:val="18"/>
                      <w:lang w:val="en-US" w:eastAsia="zh-CN" w:bidi="ar"/>
                    </w:rPr>
                    <w:t>900-039-49</w:t>
                  </w:r>
                </w:p>
              </w:tc>
              <w:tc>
                <w:tcPr>
                  <w:tcW w:w="840" w:type="dxa"/>
                  <w:vMerge w:val="continue"/>
                  <w:vAlign w:val="center"/>
                </w:tcPr>
                <w:p w14:paraId="7AD9B271">
                  <w:pPr>
                    <w:topLinePunct/>
                    <w:snapToGrid w:val="0"/>
                    <w:jc w:val="center"/>
                    <w:rPr>
                      <w:rFonts w:hint="eastAsia"/>
                      <w:color w:val="auto"/>
                      <w:kern w:val="0"/>
                      <w:sz w:val="18"/>
                      <w:szCs w:val="18"/>
                    </w:rPr>
                  </w:pPr>
                </w:p>
              </w:tc>
              <w:tc>
                <w:tcPr>
                  <w:tcW w:w="717" w:type="dxa"/>
                  <w:vMerge w:val="continue"/>
                  <w:vAlign w:val="center"/>
                </w:tcPr>
                <w:p w14:paraId="4A736E18">
                  <w:pPr>
                    <w:topLinePunct/>
                    <w:snapToGrid w:val="0"/>
                    <w:jc w:val="center"/>
                    <w:rPr>
                      <w:rFonts w:hint="eastAsia"/>
                      <w:color w:val="auto"/>
                      <w:kern w:val="0"/>
                      <w:sz w:val="18"/>
                      <w:szCs w:val="18"/>
                    </w:rPr>
                  </w:pPr>
                </w:p>
              </w:tc>
              <w:tc>
                <w:tcPr>
                  <w:tcW w:w="775" w:type="dxa"/>
                  <w:vMerge w:val="continue"/>
                  <w:vAlign w:val="center"/>
                </w:tcPr>
                <w:p w14:paraId="5C83CB49">
                  <w:pPr>
                    <w:topLinePunct/>
                    <w:snapToGrid w:val="0"/>
                    <w:jc w:val="center"/>
                    <w:rPr>
                      <w:rFonts w:hint="eastAsia"/>
                      <w:color w:val="auto"/>
                      <w:kern w:val="0"/>
                      <w:sz w:val="18"/>
                      <w:szCs w:val="18"/>
                    </w:rPr>
                  </w:pPr>
                </w:p>
              </w:tc>
              <w:tc>
                <w:tcPr>
                  <w:tcW w:w="775" w:type="dxa"/>
                  <w:vMerge w:val="continue"/>
                  <w:vAlign w:val="center"/>
                </w:tcPr>
                <w:p w14:paraId="5001FF5E">
                  <w:pPr>
                    <w:topLinePunct/>
                    <w:snapToGrid w:val="0"/>
                    <w:jc w:val="center"/>
                    <w:rPr>
                      <w:rFonts w:hint="eastAsia"/>
                      <w:color w:val="auto"/>
                      <w:kern w:val="0"/>
                      <w:sz w:val="18"/>
                      <w:szCs w:val="18"/>
                    </w:rPr>
                  </w:pPr>
                </w:p>
              </w:tc>
              <w:tc>
                <w:tcPr>
                  <w:tcW w:w="720" w:type="dxa"/>
                  <w:vMerge w:val="continue"/>
                  <w:vAlign w:val="center"/>
                </w:tcPr>
                <w:p w14:paraId="176B8528">
                  <w:pPr>
                    <w:topLinePunct/>
                    <w:snapToGrid w:val="0"/>
                    <w:jc w:val="center"/>
                    <w:rPr>
                      <w:rFonts w:hint="eastAsia"/>
                      <w:color w:val="auto"/>
                      <w:kern w:val="0"/>
                      <w:sz w:val="18"/>
                      <w:szCs w:val="18"/>
                    </w:rPr>
                  </w:pPr>
                </w:p>
              </w:tc>
            </w:tr>
          </w:tbl>
          <w:p w14:paraId="43167659">
            <w:pPr>
              <w:widowControl/>
              <w:snapToGrid w:val="0"/>
              <w:spacing w:line="360" w:lineRule="auto"/>
              <w:ind w:firstLine="420" w:firstLineChars="200"/>
              <w:rPr>
                <w:bCs/>
                <w:color w:val="auto"/>
                <w:szCs w:val="21"/>
              </w:rPr>
            </w:pPr>
            <w:r>
              <w:rPr>
                <w:bCs/>
                <w:color w:val="auto"/>
                <w:szCs w:val="21"/>
              </w:rPr>
              <w:t>企业设置的危废贮存场所需严格按照《危险废物贮存污染控制标准》（GB18597-20</w:t>
            </w:r>
            <w:r>
              <w:rPr>
                <w:rFonts w:hint="eastAsia"/>
                <w:bCs/>
                <w:color w:val="auto"/>
                <w:szCs w:val="21"/>
              </w:rPr>
              <w:t>23</w:t>
            </w:r>
            <w:r>
              <w:rPr>
                <w:bCs/>
                <w:color w:val="auto"/>
                <w:szCs w:val="21"/>
              </w:rPr>
              <w:t>）</w:t>
            </w:r>
            <w:r>
              <w:rPr>
                <w:rFonts w:hint="eastAsia"/>
                <w:bCs/>
                <w:color w:val="auto"/>
                <w:szCs w:val="21"/>
              </w:rPr>
              <w:t>进行贮存，贮存设施识别标志和标签等应按照</w:t>
            </w:r>
            <w:r>
              <w:rPr>
                <w:bCs/>
                <w:color w:val="auto"/>
                <w:szCs w:val="21"/>
              </w:rPr>
              <w:t>《环境保护图形标志</w:t>
            </w:r>
            <w:r>
              <w:rPr>
                <w:rFonts w:hint="eastAsia"/>
                <w:bCs/>
                <w:color w:val="auto"/>
                <w:szCs w:val="21"/>
              </w:rPr>
              <w:t>—</w:t>
            </w:r>
            <w:r>
              <w:rPr>
                <w:bCs/>
                <w:color w:val="auto"/>
                <w:szCs w:val="21"/>
              </w:rPr>
              <w:t>固体废物贮存（处置）场》（GB15562.2-1995）</w:t>
            </w:r>
            <w:r>
              <w:rPr>
                <w:rFonts w:hint="eastAsia"/>
                <w:bCs/>
                <w:color w:val="auto"/>
                <w:szCs w:val="21"/>
              </w:rPr>
              <w:t>（</w:t>
            </w:r>
            <w:r>
              <w:rPr>
                <w:bCs/>
                <w:color w:val="auto"/>
                <w:szCs w:val="21"/>
              </w:rPr>
              <w:t>公告2023年第5号</w:t>
            </w:r>
            <w:r>
              <w:rPr>
                <w:rFonts w:hint="eastAsia"/>
                <w:bCs/>
                <w:color w:val="auto"/>
                <w:szCs w:val="21"/>
              </w:rPr>
              <w:t>）及《</w:t>
            </w:r>
            <w:r>
              <w:rPr>
                <w:bCs/>
                <w:color w:val="auto"/>
                <w:szCs w:val="21"/>
              </w:rPr>
              <w:t>危险废物识别标志设置技术规范</w:t>
            </w:r>
            <w:r>
              <w:rPr>
                <w:rFonts w:hint="eastAsia"/>
                <w:bCs/>
                <w:color w:val="auto"/>
                <w:szCs w:val="21"/>
              </w:rPr>
              <w:t>》</w:t>
            </w:r>
            <w:r>
              <w:rPr>
                <w:bCs/>
                <w:color w:val="auto"/>
                <w:szCs w:val="21"/>
              </w:rPr>
              <w:t>（HJ1276—2022）</w:t>
            </w:r>
            <w:r>
              <w:rPr>
                <w:rFonts w:hint="eastAsia"/>
                <w:bCs/>
                <w:color w:val="auto"/>
                <w:szCs w:val="21"/>
              </w:rPr>
              <w:t>等标准设置</w:t>
            </w:r>
            <w:r>
              <w:rPr>
                <w:bCs/>
                <w:color w:val="auto"/>
                <w:szCs w:val="21"/>
              </w:rPr>
              <w:t>，危险废物的收集、运输应按照《危险废物收集、贮存、运输技术规范》（HJ2025-2012）的要求进行。</w:t>
            </w:r>
          </w:p>
          <w:p w14:paraId="02816EC5">
            <w:pPr>
              <w:widowControl/>
              <w:snapToGrid w:val="0"/>
              <w:spacing w:line="360" w:lineRule="auto"/>
              <w:ind w:firstLine="420" w:firstLineChars="200"/>
              <w:rPr>
                <w:bCs/>
                <w:color w:val="auto"/>
                <w:szCs w:val="21"/>
              </w:rPr>
            </w:pPr>
            <w:r>
              <w:rPr>
                <w:bCs/>
                <w:color w:val="auto"/>
                <w:szCs w:val="21"/>
              </w:rPr>
              <w:t>1）危险废物贮存设施</w:t>
            </w:r>
            <w:r>
              <w:rPr>
                <w:rFonts w:hint="eastAsia"/>
                <w:bCs/>
                <w:color w:val="auto"/>
                <w:szCs w:val="21"/>
              </w:rPr>
              <w:t>污染控制一般规定</w:t>
            </w:r>
            <w:r>
              <w:rPr>
                <w:bCs/>
                <w:color w:val="auto"/>
                <w:szCs w:val="21"/>
              </w:rPr>
              <w:t>：</w:t>
            </w:r>
          </w:p>
          <w:p w14:paraId="1BCB80DA">
            <w:pPr>
              <w:widowControl/>
              <w:snapToGrid w:val="0"/>
              <w:spacing w:line="360" w:lineRule="auto"/>
              <w:ind w:firstLine="420" w:firstLineChars="200"/>
              <w:rPr>
                <w:bCs/>
                <w:color w:val="auto"/>
                <w:szCs w:val="21"/>
              </w:rPr>
            </w:pPr>
            <w:r>
              <w:rPr>
                <w:bCs/>
                <w:color w:val="auto"/>
                <w:szCs w:val="21"/>
              </w:rPr>
              <w:t>本项目的危险废物收集后，放置在厂内的</w:t>
            </w:r>
            <w:r>
              <w:rPr>
                <w:rFonts w:hint="eastAsia"/>
                <w:bCs/>
                <w:color w:val="auto"/>
                <w:szCs w:val="21"/>
              </w:rPr>
              <w:t>危废</w:t>
            </w:r>
            <w:r>
              <w:rPr>
                <w:rFonts w:hint="eastAsia"/>
                <w:bCs/>
                <w:color w:val="auto"/>
                <w:szCs w:val="21"/>
                <w:lang w:val="en-US" w:eastAsia="zh-CN"/>
              </w:rPr>
              <w:t>贮存</w:t>
            </w:r>
            <w:r>
              <w:rPr>
                <w:rFonts w:hint="eastAsia"/>
                <w:bCs/>
                <w:color w:val="auto"/>
                <w:szCs w:val="21"/>
              </w:rPr>
              <w:t>库</w:t>
            </w:r>
            <w:r>
              <w:rPr>
                <w:bCs/>
                <w:color w:val="auto"/>
                <w:szCs w:val="21"/>
              </w:rPr>
              <w:t>，同时做好危险废物的记录。危险废物</w:t>
            </w:r>
            <w:r>
              <w:rPr>
                <w:rFonts w:hint="eastAsia"/>
                <w:bCs/>
                <w:color w:val="auto"/>
                <w:szCs w:val="21"/>
              </w:rPr>
              <w:t>贮存</w:t>
            </w:r>
            <w:r>
              <w:rPr>
                <w:bCs/>
                <w:color w:val="auto"/>
                <w:szCs w:val="21"/>
              </w:rPr>
              <w:t>场所严格按照《危险废物贮存污染控制标准》（GB18597-20</w:t>
            </w:r>
            <w:r>
              <w:rPr>
                <w:rFonts w:hint="eastAsia"/>
                <w:bCs/>
                <w:color w:val="auto"/>
                <w:szCs w:val="21"/>
              </w:rPr>
              <w:t>23</w:t>
            </w:r>
            <w:r>
              <w:rPr>
                <w:bCs/>
                <w:color w:val="auto"/>
                <w:szCs w:val="21"/>
              </w:rPr>
              <w:t>）及其修改单的要求规范建设和维护使用。具体</w:t>
            </w:r>
            <w:r>
              <w:rPr>
                <w:rFonts w:hint="eastAsia"/>
                <w:bCs/>
                <w:color w:val="auto"/>
                <w:szCs w:val="21"/>
              </w:rPr>
              <w:t>要求如下</w:t>
            </w:r>
            <w:r>
              <w:rPr>
                <w:bCs/>
                <w:color w:val="auto"/>
                <w:szCs w:val="21"/>
              </w:rPr>
              <w:t>：</w:t>
            </w:r>
          </w:p>
          <w:p w14:paraId="25CC82FA">
            <w:pPr>
              <w:widowControl/>
              <w:snapToGrid w:val="0"/>
              <w:spacing w:line="360" w:lineRule="auto"/>
              <w:ind w:firstLine="420" w:firstLineChars="200"/>
              <w:rPr>
                <w:bCs/>
                <w:color w:val="auto"/>
                <w:szCs w:val="21"/>
              </w:rPr>
            </w:pPr>
            <w:r>
              <w:rPr>
                <w:bCs/>
                <w:color w:val="auto"/>
                <w:szCs w:val="21"/>
              </w:rPr>
              <w:t>①贮存设施应根据危险废物的形态、物理化学性质、包装形式和污染物迁移途径，采取必要的防风、防晒、防雨、防漏、防渗、防腐以及其他环境污染防治措施，不应露天堆放危险废物。</w:t>
            </w:r>
          </w:p>
          <w:p w14:paraId="64BBF3AB">
            <w:pPr>
              <w:widowControl/>
              <w:snapToGrid w:val="0"/>
              <w:spacing w:line="360" w:lineRule="auto"/>
              <w:ind w:firstLine="420" w:firstLineChars="200"/>
              <w:rPr>
                <w:bCs/>
                <w:color w:val="auto"/>
                <w:szCs w:val="21"/>
              </w:rPr>
            </w:pPr>
            <w:r>
              <w:rPr>
                <w:bCs/>
                <w:color w:val="auto"/>
                <w:szCs w:val="21"/>
              </w:rPr>
              <w:t>②贮存设施应根据危险废物的类别、数量、形态、物理化学性质和污染防治等要求设置必要的贮存分区，避免不相容的危险废物接触、混合</w:t>
            </w:r>
            <w:r>
              <w:rPr>
                <w:rFonts w:hint="eastAsia"/>
                <w:bCs/>
                <w:color w:val="auto"/>
                <w:szCs w:val="21"/>
              </w:rPr>
              <w:t>。</w:t>
            </w:r>
          </w:p>
          <w:p w14:paraId="24D06B98">
            <w:pPr>
              <w:widowControl/>
              <w:snapToGrid w:val="0"/>
              <w:spacing w:line="360" w:lineRule="auto"/>
              <w:ind w:firstLine="420" w:firstLineChars="200"/>
              <w:rPr>
                <w:bCs/>
                <w:color w:val="auto"/>
                <w:szCs w:val="21"/>
              </w:rPr>
            </w:pPr>
            <w:r>
              <w:rPr>
                <w:bCs/>
                <w:color w:val="auto"/>
                <w:szCs w:val="21"/>
              </w:rPr>
              <w:t>③贮存设施或贮存分区内地面、墙面裙脚、堵截泄漏的围堰、接触危险废物的隔板和墙体等应采 用坚固的材料建造，表面无裂缝。</w:t>
            </w:r>
          </w:p>
          <w:p w14:paraId="5803D456">
            <w:pPr>
              <w:widowControl/>
              <w:snapToGrid w:val="0"/>
              <w:spacing w:line="360" w:lineRule="auto"/>
              <w:ind w:firstLine="420" w:firstLineChars="200"/>
              <w:rPr>
                <w:bCs/>
                <w:color w:val="auto"/>
                <w:szCs w:val="21"/>
              </w:rPr>
            </w:pPr>
            <w:r>
              <w:rPr>
                <w:bCs/>
                <w:color w:val="auto"/>
                <w:szCs w:val="21"/>
              </w:rPr>
              <w:t>④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 m厚黏土层（渗透系数不大于10</w:t>
            </w:r>
            <w:r>
              <w:rPr>
                <w:bCs/>
                <w:color w:val="auto"/>
                <w:szCs w:val="21"/>
                <w:vertAlign w:val="superscript"/>
              </w:rPr>
              <w:t>-7</w:t>
            </w:r>
            <w:r>
              <w:rPr>
                <w:bCs/>
                <w:color w:val="auto"/>
                <w:szCs w:val="21"/>
              </w:rPr>
              <w:t>cm/s），或至少2 mm厚高密度聚乙烯膜等人工防渗材料（渗透系数不大于10</w:t>
            </w:r>
            <w:r>
              <w:rPr>
                <w:bCs/>
                <w:color w:val="auto"/>
                <w:szCs w:val="21"/>
                <w:vertAlign w:val="superscript"/>
              </w:rPr>
              <w:t xml:space="preserve"> -10</w:t>
            </w:r>
            <w:r>
              <w:rPr>
                <w:bCs/>
                <w:color w:val="auto"/>
                <w:szCs w:val="21"/>
              </w:rPr>
              <w:t xml:space="preserve"> cm/s），或其他防渗性能等效的材料。</w:t>
            </w:r>
          </w:p>
          <w:p w14:paraId="24030BEF">
            <w:pPr>
              <w:widowControl/>
              <w:snapToGrid w:val="0"/>
              <w:spacing w:line="360" w:lineRule="auto"/>
              <w:ind w:firstLine="420" w:firstLineChars="200"/>
              <w:rPr>
                <w:bCs/>
                <w:color w:val="auto"/>
                <w:szCs w:val="21"/>
              </w:rPr>
            </w:pPr>
            <w:r>
              <w:rPr>
                <w:bCs/>
                <w:color w:val="auto"/>
                <w:szCs w:val="21"/>
              </w:rPr>
              <w:t>⑤贮存设施应采取技术和管理措施防止无关人员进入</w:t>
            </w:r>
          </w:p>
          <w:p w14:paraId="432E6C02">
            <w:pPr>
              <w:widowControl/>
              <w:snapToGrid w:val="0"/>
              <w:spacing w:line="360" w:lineRule="auto"/>
              <w:ind w:firstLine="420" w:firstLineChars="200"/>
              <w:rPr>
                <w:bCs/>
                <w:color w:val="auto"/>
                <w:szCs w:val="21"/>
              </w:rPr>
            </w:pPr>
            <w:r>
              <w:rPr>
                <w:bCs/>
                <w:color w:val="auto"/>
                <w:szCs w:val="21"/>
              </w:rPr>
              <w:t>⑥贮存库内不同贮存分区之间应采取隔离措施。隔离措施可根据危险废物特性采用过道、隔板或隔墙等方式。</w:t>
            </w:r>
          </w:p>
          <w:p w14:paraId="0E33F0E9">
            <w:pPr>
              <w:widowControl/>
              <w:snapToGrid w:val="0"/>
              <w:spacing w:line="360" w:lineRule="auto"/>
              <w:ind w:firstLine="420" w:firstLineChars="200"/>
              <w:rPr>
                <w:bCs/>
                <w:color w:val="auto"/>
                <w:szCs w:val="21"/>
              </w:rPr>
            </w:pPr>
            <w:r>
              <w:rPr>
                <w:bCs/>
                <w:color w:val="auto"/>
                <w:szCs w:val="21"/>
              </w:rPr>
              <w:t>⑦在贮存库内或通过贮存分区方式贮存液态危险废物的，应具有液体泄漏堵截设施，堵截设施最小容积不应低于对应贮存区域最大液态废物容器容积或液态废物总储量 1/10（二者取较大者）；用于贮 存可能产生渗滤液的危险废物的贮存库或贮存分区应设计渗滤液收集设施，收集设施容积应满足渗滤液的收集要求。</w:t>
            </w:r>
          </w:p>
          <w:p w14:paraId="20C2EFB0">
            <w:pPr>
              <w:widowControl/>
              <w:snapToGrid w:val="0"/>
              <w:spacing w:line="360" w:lineRule="auto"/>
              <w:ind w:firstLine="420" w:firstLineChars="200"/>
              <w:rPr>
                <w:bCs/>
                <w:color w:val="auto"/>
                <w:szCs w:val="21"/>
              </w:rPr>
            </w:pPr>
            <w:r>
              <w:rPr>
                <w:rFonts w:hint="eastAsia"/>
                <w:bCs/>
                <w:color w:val="auto"/>
                <w:szCs w:val="21"/>
              </w:rPr>
              <w:t>2）</w:t>
            </w:r>
            <w:r>
              <w:rPr>
                <w:bCs/>
                <w:color w:val="auto"/>
                <w:szCs w:val="21"/>
              </w:rPr>
              <w:t>容器和包装物污染控制要求</w:t>
            </w:r>
            <w:r>
              <w:rPr>
                <w:rFonts w:hint="eastAsia"/>
                <w:bCs/>
                <w:color w:val="auto"/>
                <w:szCs w:val="21"/>
              </w:rPr>
              <w:t>：</w:t>
            </w:r>
          </w:p>
          <w:p w14:paraId="7634665D">
            <w:pPr>
              <w:widowControl/>
              <w:snapToGrid w:val="0"/>
              <w:spacing w:line="360" w:lineRule="auto"/>
              <w:ind w:firstLine="420" w:firstLineChars="200"/>
              <w:rPr>
                <w:bCs/>
                <w:color w:val="auto"/>
                <w:szCs w:val="21"/>
              </w:rPr>
            </w:pPr>
            <w:r>
              <w:rPr>
                <w:bCs/>
                <w:color w:val="auto"/>
                <w:szCs w:val="21"/>
              </w:rPr>
              <w:t xml:space="preserve">①容器和包装物材质、内衬应与盛装的危险废物相容。 </w:t>
            </w:r>
          </w:p>
          <w:p w14:paraId="54222650">
            <w:pPr>
              <w:widowControl/>
              <w:snapToGrid w:val="0"/>
              <w:spacing w:line="360" w:lineRule="auto"/>
              <w:ind w:firstLine="420" w:firstLineChars="200"/>
              <w:rPr>
                <w:bCs/>
                <w:color w:val="auto"/>
                <w:szCs w:val="21"/>
              </w:rPr>
            </w:pPr>
            <w:r>
              <w:rPr>
                <w:bCs/>
                <w:color w:val="auto"/>
                <w:szCs w:val="21"/>
              </w:rPr>
              <w:t xml:space="preserve">②针对不同类别、形态、物理化学性质的危险废物，其容器和包装物应满足相应的防渗、防漏、防腐和强度等要求。 </w:t>
            </w:r>
          </w:p>
          <w:p w14:paraId="0E228281">
            <w:pPr>
              <w:widowControl/>
              <w:snapToGrid w:val="0"/>
              <w:spacing w:line="360" w:lineRule="auto"/>
              <w:ind w:firstLine="420" w:firstLineChars="200"/>
              <w:rPr>
                <w:bCs/>
                <w:color w:val="auto"/>
                <w:szCs w:val="21"/>
              </w:rPr>
            </w:pPr>
            <w:r>
              <w:rPr>
                <w:bCs/>
                <w:color w:val="auto"/>
                <w:szCs w:val="21"/>
              </w:rPr>
              <w:t xml:space="preserve">③硬质容器和包装物及其支护结构堆叠码放时不应有明显变形，无破损泄漏。 </w:t>
            </w:r>
          </w:p>
          <w:p w14:paraId="7F907D94">
            <w:pPr>
              <w:widowControl/>
              <w:snapToGrid w:val="0"/>
              <w:spacing w:line="360" w:lineRule="auto"/>
              <w:ind w:firstLine="420" w:firstLineChars="200"/>
              <w:rPr>
                <w:bCs/>
                <w:color w:val="auto"/>
                <w:szCs w:val="21"/>
              </w:rPr>
            </w:pPr>
            <w:r>
              <w:rPr>
                <w:bCs/>
                <w:color w:val="auto"/>
                <w:szCs w:val="21"/>
              </w:rPr>
              <w:t xml:space="preserve">④柔性容器和包装物堆叠码放时应封口严密，无破损泄漏。 </w:t>
            </w:r>
          </w:p>
          <w:p w14:paraId="15A50E91">
            <w:pPr>
              <w:widowControl/>
              <w:snapToGrid w:val="0"/>
              <w:spacing w:line="360" w:lineRule="auto"/>
              <w:ind w:firstLine="420" w:firstLineChars="200"/>
              <w:rPr>
                <w:bCs/>
                <w:color w:val="auto"/>
                <w:szCs w:val="21"/>
              </w:rPr>
            </w:pPr>
            <w:r>
              <w:rPr>
                <w:bCs/>
                <w:color w:val="auto"/>
                <w:szCs w:val="21"/>
              </w:rPr>
              <w:t xml:space="preserve">⑤使用容器盛装液态、半固态危险废物时，容器内部应留有适当的空间，以适应因温度变化等可能引发的收缩和膨胀，防止其导致容器渗漏或永久变形。 </w:t>
            </w:r>
          </w:p>
          <w:p w14:paraId="2236732A">
            <w:pPr>
              <w:widowControl/>
              <w:snapToGrid w:val="0"/>
              <w:spacing w:line="360" w:lineRule="auto"/>
              <w:ind w:firstLine="420" w:firstLineChars="200"/>
              <w:rPr>
                <w:bCs/>
                <w:color w:val="auto"/>
                <w:szCs w:val="21"/>
              </w:rPr>
            </w:pPr>
            <w:r>
              <w:rPr>
                <w:bCs/>
                <w:color w:val="auto"/>
                <w:szCs w:val="21"/>
              </w:rPr>
              <w:t>⑥容器和包装物外表面应保持清洁</w:t>
            </w:r>
            <w:r>
              <w:rPr>
                <w:rFonts w:hint="eastAsia"/>
                <w:bCs/>
                <w:color w:val="auto"/>
                <w:szCs w:val="21"/>
              </w:rPr>
              <w:t>。</w:t>
            </w:r>
          </w:p>
          <w:p w14:paraId="26C7A778">
            <w:pPr>
              <w:widowControl/>
              <w:snapToGrid w:val="0"/>
              <w:spacing w:line="360" w:lineRule="auto"/>
              <w:ind w:firstLine="420" w:firstLineChars="200"/>
              <w:rPr>
                <w:bCs/>
                <w:color w:val="auto"/>
                <w:szCs w:val="21"/>
              </w:rPr>
            </w:pPr>
            <w:r>
              <w:rPr>
                <w:rFonts w:hint="eastAsia"/>
                <w:bCs/>
                <w:color w:val="auto"/>
                <w:szCs w:val="21"/>
              </w:rPr>
              <w:t>3）</w:t>
            </w:r>
            <w:r>
              <w:rPr>
                <w:bCs/>
                <w:color w:val="auto"/>
                <w:szCs w:val="21"/>
              </w:rPr>
              <w:t>贮存设施运行环境管理要求</w:t>
            </w:r>
          </w:p>
          <w:p w14:paraId="0C308A12">
            <w:pPr>
              <w:widowControl/>
              <w:snapToGrid w:val="0"/>
              <w:spacing w:line="360" w:lineRule="auto"/>
              <w:ind w:firstLine="420" w:firstLineChars="200"/>
              <w:rPr>
                <w:bCs/>
                <w:color w:val="auto"/>
                <w:szCs w:val="21"/>
              </w:rPr>
            </w:pPr>
            <w:r>
              <w:rPr>
                <w:bCs/>
                <w:color w:val="auto"/>
                <w:szCs w:val="21"/>
              </w:rPr>
              <w:t xml:space="preserve">①危险废物存入贮存设施前应对危险废物类别和特性与危险废物标签等危险废物识别标志的一致性进行核验，不一致的或类别、特性不明的不应存入。 </w:t>
            </w:r>
          </w:p>
          <w:p w14:paraId="27C0A087">
            <w:pPr>
              <w:widowControl/>
              <w:snapToGrid w:val="0"/>
              <w:spacing w:line="360" w:lineRule="auto"/>
              <w:ind w:firstLine="420" w:firstLineChars="200"/>
              <w:rPr>
                <w:bCs/>
                <w:color w:val="auto"/>
                <w:szCs w:val="21"/>
              </w:rPr>
            </w:pPr>
            <w:r>
              <w:rPr>
                <w:bCs/>
                <w:color w:val="auto"/>
                <w:szCs w:val="21"/>
              </w:rPr>
              <w:t xml:space="preserve">②应定期检查危险废物的贮存状况，及时清理贮存设施地面，更换破损泄漏的危险废物贮存容器和包装物，保证堆存危险废物的防雨、防风、防扬尘等设施功能完好。 </w:t>
            </w:r>
          </w:p>
          <w:p w14:paraId="2E2AB15A">
            <w:pPr>
              <w:widowControl/>
              <w:snapToGrid w:val="0"/>
              <w:spacing w:line="360" w:lineRule="auto"/>
              <w:ind w:firstLine="420" w:firstLineChars="200"/>
              <w:rPr>
                <w:bCs/>
                <w:color w:val="auto"/>
                <w:szCs w:val="21"/>
              </w:rPr>
            </w:pPr>
            <w:r>
              <w:rPr>
                <w:bCs/>
                <w:color w:val="auto"/>
                <w:szCs w:val="21"/>
              </w:rPr>
              <w:t xml:space="preserve">③贮存设施运行期间，应按国家有关标准和规定建立危险废物管理台账并保存。 </w:t>
            </w:r>
          </w:p>
          <w:p w14:paraId="6E67D8C9">
            <w:pPr>
              <w:widowControl/>
              <w:snapToGrid w:val="0"/>
              <w:spacing w:line="360" w:lineRule="auto"/>
              <w:ind w:firstLine="420" w:firstLineChars="200"/>
              <w:rPr>
                <w:bCs/>
                <w:color w:val="auto"/>
                <w:szCs w:val="21"/>
              </w:rPr>
            </w:pPr>
            <w:r>
              <w:rPr>
                <w:bCs/>
                <w:color w:val="auto"/>
                <w:szCs w:val="21"/>
              </w:rPr>
              <w:t xml:space="preserve">④贮存设施所有者或运营者应建立贮存设施环境管理制度、管理人员岗位职责制度、设施运行操作制度、人员岗位培训制度等。 </w:t>
            </w:r>
          </w:p>
          <w:p w14:paraId="688B961C">
            <w:pPr>
              <w:widowControl/>
              <w:snapToGrid w:val="0"/>
              <w:spacing w:line="360" w:lineRule="auto"/>
              <w:ind w:firstLine="420" w:firstLineChars="200"/>
              <w:rPr>
                <w:bCs/>
                <w:color w:val="auto"/>
                <w:szCs w:val="21"/>
              </w:rPr>
            </w:pPr>
            <w:r>
              <w:rPr>
                <w:bCs/>
                <w:color w:val="auto"/>
                <w:szCs w:val="21"/>
              </w:rPr>
              <w:t xml:space="preserve">⑤贮存设施所有者或运营者应依据国家土壤和地下水污染防治的有关规定，结合贮存设施特点建立土壤和地下水污染隐患排查制度，并定期开展隐患排查；发现隐患应及时采取措施消除隐患，并建立档案。 </w:t>
            </w:r>
          </w:p>
          <w:p w14:paraId="7D86AA06">
            <w:pPr>
              <w:widowControl/>
              <w:snapToGrid w:val="0"/>
              <w:spacing w:line="360" w:lineRule="auto"/>
              <w:ind w:firstLine="420" w:firstLineChars="200"/>
              <w:rPr>
                <w:bCs/>
                <w:color w:val="auto"/>
                <w:szCs w:val="21"/>
              </w:rPr>
            </w:pPr>
            <w:r>
              <w:rPr>
                <w:bCs/>
                <w:color w:val="auto"/>
                <w:szCs w:val="21"/>
              </w:rPr>
              <w:t>⑥贮存设施所有者或运营者应建立贮存设施全部档案，包括设计、施工、验收、运行、监测和环境应急等，应按国家有关档案管理的法律法规进行整理和归档</w:t>
            </w:r>
            <w:r>
              <w:rPr>
                <w:rFonts w:hint="eastAsia"/>
                <w:bCs/>
                <w:color w:val="auto"/>
                <w:szCs w:val="21"/>
              </w:rPr>
              <w:t>。</w:t>
            </w:r>
          </w:p>
          <w:p w14:paraId="5C64A3AA">
            <w:pPr>
              <w:widowControl/>
              <w:snapToGrid w:val="0"/>
              <w:spacing w:line="360" w:lineRule="auto"/>
              <w:ind w:firstLine="420" w:firstLineChars="200"/>
              <w:rPr>
                <w:rFonts w:hint="eastAsia"/>
                <w:bCs/>
                <w:color w:val="auto"/>
                <w:szCs w:val="21"/>
              </w:rPr>
            </w:pPr>
            <w:r>
              <w:rPr>
                <w:rFonts w:hint="eastAsia"/>
                <w:bCs/>
                <w:color w:val="auto"/>
                <w:szCs w:val="21"/>
              </w:rPr>
              <w:t>⑦企业在转移危险废物前，首先在全国固体废物管理信息系统进行网上填报联单信息，危险废物产生单位应当如实填写联单中产生单位栏目，并加盖公章，经交付危险废物运输单位核实验收签字后，将联单第一联副联自留存档，将联单第二联交移出地环境保护行政主管部门，联单第一联正联及其余各联交付运输单位随危险废物转移运行。险废物运输单位应当如实填写联单的运输单位栏目，按照国家有关危险物品运输的规定，将危险废物安全运抵联单载明的接受地点，并将联单第一联、第二联副联、第三联、第四联、第五联随转移的危险废物交付危险废物接受单位。</w:t>
            </w:r>
          </w:p>
          <w:p w14:paraId="5318ED29">
            <w:pPr>
              <w:widowControl/>
              <w:snapToGrid w:val="0"/>
              <w:spacing w:line="360" w:lineRule="auto"/>
              <w:ind w:firstLine="420" w:firstLineChars="200"/>
              <w:rPr>
                <w:rFonts w:hint="default" w:eastAsia="宋体"/>
                <w:bCs/>
                <w:color w:val="auto"/>
                <w:szCs w:val="21"/>
                <w:lang w:val="en-US" w:eastAsia="zh-CN"/>
              </w:rPr>
            </w:pPr>
            <w:r>
              <w:rPr>
                <w:rFonts w:hint="eastAsia"/>
                <w:bCs/>
                <w:color w:val="auto"/>
                <w:szCs w:val="21"/>
                <w:lang w:val="en-US" w:eastAsia="zh-CN"/>
              </w:rPr>
              <w:t>危险废物标志、警示牌等如下所示：</w:t>
            </w:r>
          </w:p>
          <w:tbl>
            <w:tblPr>
              <w:tblStyle w:val="4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020"/>
              <w:gridCol w:w="4023"/>
            </w:tblGrid>
            <w:tr w14:paraId="6A6F58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20" w:type="dxa"/>
                  <w:vAlign w:val="center"/>
                </w:tcPr>
                <w:p w14:paraId="571FE085">
                  <w:pPr>
                    <w:widowControl/>
                    <w:snapToGrid w:val="0"/>
                    <w:spacing w:line="360" w:lineRule="auto"/>
                    <w:jc w:val="center"/>
                    <w:rPr>
                      <w:rFonts w:hint="eastAsia"/>
                      <w:bCs/>
                      <w:color w:val="auto"/>
                      <w:szCs w:val="21"/>
                      <w:vertAlign w:val="baseline"/>
                    </w:rPr>
                  </w:pPr>
                  <w:r>
                    <w:rPr>
                      <w:color w:val="auto"/>
                    </w:rPr>
                    <w:drawing>
                      <wp:inline distT="0" distB="0" distL="114300" distR="114300">
                        <wp:extent cx="1458595" cy="1148080"/>
                        <wp:effectExtent l="0" t="0" r="8255" b="13970"/>
                        <wp:docPr id="4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6"/>
                                <pic:cNvPicPr>
                                  <a:picLocks noChangeAspect="1"/>
                                </pic:cNvPicPr>
                              </pic:nvPicPr>
                              <pic:blipFill>
                                <a:blip r:embed="rId32"/>
                                <a:stretch>
                                  <a:fillRect/>
                                </a:stretch>
                              </pic:blipFill>
                              <pic:spPr>
                                <a:xfrm>
                                  <a:off x="0" y="0"/>
                                  <a:ext cx="1458595" cy="1148080"/>
                                </a:xfrm>
                                <a:prstGeom prst="rect">
                                  <a:avLst/>
                                </a:prstGeom>
                                <a:noFill/>
                                <a:ln>
                                  <a:noFill/>
                                </a:ln>
                              </pic:spPr>
                            </pic:pic>
                          </a:graphicData>
                        </a:graphic>
                      </wp:inline>
                    </w:drawing>
                  </w:r>
                </w:p>
              </w:tc>
              <w:tc>
                <w:tcPr>
                  <w:tcW w:w="4023" w:type="dxa"/>
                  <w:vAlign w:val="center"/>
                </w:tcPr>
                <w:p w14:paraId="599F14AB">
                  <w:pPr>
                    <w:widowControl/>
                    <w:snapToGrid w:val="0"/>
                    <w:spacing w:line="360" w:lineRule="auto"/>
                    <w:jc w:val="center"/>
                    <w:rPr>
                      <w:rFonts w:hint="eastAsia"/>
                      <w:bCs/>
                      <w:color w:val="auto"/>
                      <w:szCs w:val="21"/>
                      <w:vertAlign w:val="baseline"/>
                    </w:rPr>
                  </w:pPr>
                  <w:r>
                    <w:rPr>
                      <w:color w:val="auto"/>
                    </w:rPr>
                    <w:drawing>
                      <wp:inline distT="0" distB="0" distL="114300" distR="114300">
                        <wp:extent cx="1262380" cy="1265555"/>
                        <wp:effectExtent l="0" t="0" r="13970" b="10795"/>
                        <wp:docPr id="4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7"/>
                                <pic:cNvPicPr>
                                  <a:picLocks noChangeAspect="1"/>
                                </pic:cNvPicPr>
                              </pic:nvPicPr>
                              <pic:blipFill>
                                <a:blip r:embed="rId33"/>
                                <a:stretch>
                                  <a:fillRect/>
                                </a:stretch>
                              </pic:blipFill>
                              <pic:spPr>
                                <a:xfrm>
                                  <a:off x="0" y="0"/>
                                  <a:ext cx="1262380" cy="1265555"/>
                                </a:xfrm>
                                <a:prstGeom prst="rect">
                                  <a:avLst/>
                                </a:prstGeom>
                                <a:noFill/>
                                <a:ln>
                                  <a:noFill/>
                                </a:ln>
                              </pic:spPr>
                            </pic:pic>
                          </a:graphicData>
                        </a:graphic>
                      </wp:inline>
                    </w:drawing>
                  </w:r>
                </w:p>
              </w:tc>
            </w:tr>
            <w:tr w14:paraId="293B9C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20" w:type="dxa"/>
                  <w:vAlign w:val="center"/>
                </w:tcPr>
                <w:p w14:paraId="153FD0EF">
                  <w:pPr>
                    <w:widowControl/>
                    <w:snapToGrid w:val="0"/>
                    <w:spacing w:line="360" w:lineRule="auto"/>
                    <w:jc w:val="center"/>
                    <w:rPr>
                      <w:rFonts w:hint="default" w:eastAsia="宋体"/>
                      <w:bCs/>
                      <w:color w:val="auto"/>
                      <w:szCs w:val="21"/>
                      <w:vertAlign w:val="baseline"/>
                      <w:lang w:val="en-US" w:eastAsia="zh-CN"/>
                    </w:rPr>
                  </w:pPr>
                  <w:r>
                    <w:rPr>
                      <w:rFonts w:hint="eastAsia"/>
                      <w:b/>
                      <w:bCs w:val="0"/>
                      <w:color w:val="auto"/>
                      <w:sz w:val="18"/>
                      <w:szCs w:val="18"/>
                      <w:vertAlign w:val="baseline"/>
                      <w:lang w:val="en-US" w:eastAsia="zh-CN"/>
                    </w:rPr>
                    <w:t>危险废物标签设置示意图</w:t>
                  </w:r>
                </w:p>
              </w:tc>
              <w:tc>
                <w:tcPr>
                  <w:tcW w:w="4023" w:type="dxa"/>
                  <w:vAlign w:val="center"/>
                </w:tcPr>
                <w:p w14:paraId="26F1C052">
                  <w:pPr>
                    <w:widowControl/>
                    <w:snapToGrid w:val="0"/>
                    <w:spacing w:line="360" w:lineRule="auto"/>
                    <w:jc w:val="center"/>
                    <w:rPr>
                      <w:rFonts w:hint="default" w:eastAsia="宋体"/>
                      <w:bCs/>
                      <w:color w:val="auto"/>
                      <w:szCs w:val="21"/>
                      <w:vertAlign w:val="baseline"/>
                      <w:lang w:val="en-US" w:eastAsia="zh-CN"/>
                    </w:rPr>
                  </w:pPr>
                  <w:r>
                    <w:rPr>
                      <w:rFonts w:hint="eastAsia"/>
                      <w:b/>
                      <w:bCs w:val="0"/>
                      <w:color w:val="auto"/>
                      <w:sz w:val="18"/>
                      <w:szCs w:val="18"/>
                      <w:vertAlign w:val="baseline"/>
                      <w:lang w:val="en-US" w:eastAsia="zh-CN"/>
                    </w:rPr>
                    <w:t>危险废物标签样式示意图</w:t>
                  </w:r>
                </w:p>
              </w:tc>
            </w:tr>
            <w:tr w14:paraId="101136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20" w:type="dxa"/>
                  <w:vAlign w:val="center"/>
                </w:tcPr>
                <w:p w14:paraId="538F78F3">
                  <w:pPr>
                    <w:widowControl/>
                    <w:snapToGrid w:val="0"/>
                    <w:spacing w:line="360" w:lineRule="auto"/>
                    <w:jc w:val="center"/>
                    <w:rPr>
                      <w:rFonts w:hint="eastAsia"/>
                      <w:b/>
                      <w:bCs w:val="0"/>
                      <w:color w:val="auto"/>
                      <w:sz w:val="18"/>
                      <w:szCs w:val="18"/>
                      <w:vertAlign w:val="baseline"/>
                      <w:lang w:val="en-US" w:eastAsia="zh-CN"/>
                    </w:rPr>
                  </w:pPr>
                  <w:r>
                    <w:rPr>
                      <w:color w:val="auto"/>
                    </w:rPr>
                    <w:drawing>
                      <wp:inline distT="0" distB="0" distL="114300" distR="114300">
                        <wp:extent cx="1672590" cy="1407795"/>
                        <wp:effectExtent l="0" t="0" r="3810" b="1905"/>
                        <wp:docPr id="4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8"/>
                                <pic:cNvPicPr>
                                  <a:picLocks noChangeAspect="1"/>
                                </pic:cNvPicPr>
                              </pic:nvPicPr>
                              <pic:blipFill>
                                <a:blip r:embed="rId34"/>
                                <a:stretch>
                                  <a:fillRect/>
                                </a:stretch>
                              </pic:blipFill>
                              <pic:spPr>
                                <a:xfrm>
                                  <a:off x="0" y="0"/>
                                  <a:ext cx="1672590" cy="1407795"/>
                                </a:xfrm>
                                <a:prstGeom prst="rect">
                                  <a:avLst/>
                                </a:prstGeom>
                                <a:noFill/>
                                <a:ln>
                                  <a:noFill/>
                                </a:ln>
                              </pic:spPr>
                            </pic:pic>
                          </a:graphicData>
                        </a:graphic>
                      </wp:inline>
                    </w:drawing>
                  </w:r>
                </w:p>
              </w:tc>
              <w:tc>
                <w:tcPr>
                  <w:tcW w:w="4023" w:type="dxa"/>
                  <w:vAlign w:val="center"/>
                </w:tcPr>
                <w:p w14:paraId="4797F4C3">
                  <w:pPr>
                    <w:widowControl/>
                    <w:snapToGrid w:val="0"/>
                    <w:spacing w:line="360" w:lineRule="auto"/>
                    <w:jc w:val="center"/>
                    <w:rPr>
                      <w:rFonts w:hint="eastAsia"/>
                      <w:b/>
                      <w:bCs w:val="0"/>
                      <w:color w:val="auto"/>
                      <w:sz w:val="18"/>
                      <w:szCs w:val="18"/>
                      <w:vertAlign w:val="baseline"/>
                      <w:lang w:val="en-US" w:eastAsia="zh-CN"/>
                    </w:rPr>
                  </w:pPr>
                  <w:r>
                    <w:rPr>
                      <w:color w:val="auto"/>
                    </w:rPr>
                    <w:drawing>
                      <wp:inline distT="0" distB="0" distL="114300" distR="114300">
                        <wp:extent cx="2245360" cy="1408430"/>
                        <wp:effectExtent l="0" t="0" r="2540" b="1270"/>
                        <wp:docPr id="4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9"/>
                                <pic:cNvPicPr>
                                  <a:picLocks noChangeAspect="1"/>
                                </pic:cNvPicPr>
                              </pic:nvPicPr>
                              <pic:blipFill>
                                <a:blip r:embed="rId35"/>
                                <a:stretch>
                                  <a:fillRect/>
                                </a:stretch>
                              </pic:blipFill>
                              <pic:spPr>
                                <a:xfrm>
                                  <a:off x="0" y="0"/>
                                  <a:ext cx="2245360" cy="1408430"/>
                                </a:xfrm>
                                <a:prstGeom prst="rect">
                                  <a:avLst/>
                                </a:prstGeom>
                                <a:noFill/>
                                <a:ln>
                                  <a:noFill/>
                                </a:ln>
                              </pic:spPr>
                            </pic:pic>
                          </a:graphicData>
                        </a:graphic>
                      </wp:inline>
                    </w:drawing>
                  </w:r>
                </w:p>
              </w:tc>
            </w:tr>
            <w:tr w14:paraId="7AD709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20" w:type="dxa"/>
                  <w:vAlign w:val="center"/>
                </w:tcPr>
                <w:p w14:paraId="0D5FD278">
                  <w:pPr>
                    <w:widowControl/>
                    <w:snapToGrid w:val="0"/>
                    <w:spacing w:line="360" w:lineRule="auto"/>
                    <w:jc w:val="center"/>
                    <w:rPr>
                      <w:rFonts w:hint="default"/>
                      <w:b/>
                      <w:bCs w:val="0"/>
                      <w:color w:val="auto"/>
                      <w:sz w:val="18"/>
                      <w:szCs w:val="18"/>
                      <w:vertAlign w:val="baseline"/>
                      <w:lang w:val="en-US" w:eastAsia="zh-CN"/>
                    </w:rPr>
                  </w:pPr>
                  <w:r>
                    <w:rPr>
                      <w:rFonts w:hint="eastAsia"/>
                      <w:b/>
                      <w:bCs w:val="0"/>
                      <w:color w:val="auto"/>
                      <w:sz w:val="18"/>
                      <w:szCs w:val="18"/>
                      <w:vertAlign w:val="baseline"/>
                      <w:lang w:val="en-US" w:eastAsia="zh-CN"/>
                    </w:rPr>
                    <w:t>危险废物贮存分区标志样式示意图</w:t>
                  </w:r>
                </w:p>
              </w:tc>
              <w:tc>
                <w:tcPr>
                  <w:tcW w:w="4023" w:type="dxa"/>
                  <w:vAlign w:val="center"/>
                </w:tcPr>
                <w:p w14:paraId="3ACFF77E">
                  <w:pPr>
                    <w:widowControl/>
                    <w:snapToGrid w:val="0"/>
                    <w:spacing w:line="360" w:lineRule="auto"/>
                    <w:jc w:val="center"/>
                    <w:rPr>
                      <w:rFonts w:hint="default"/>
                      <w:b/>
                      <w:bCs w:val="0"/>
                      <w:color w:val="auto"/>
                      <w:sz w:val="18"/>
                      <w:szCs w:val="18"/>
                      <w:vertAlign w:val="baseline"/>
                      <w:lang w:val="en-US" w:eastAsia="zh-CN"/>
                    </w:rPr>
                  </w:pPr>
                  <w:r>
                    <w:rPr>
                      <w:rFonts w:hint="eastAsia"/>
                      <w:b/>
                      <w:bCs w:val="0"/>
                      <w:color w:val="auto"/>
                      <w:sz w:val="18"/>
                      <w:szCs w:val="18"/>
                      <w:vertAlign w:val="baseline"/>
                      <w:lang w:val="en-US" w:eastAsia="zh-CN"/>
                    </w:rPr>
                    <w:t>危险废物贮存设施标志（横版）</w:t>
                  </w:r>
                </w:p>
              </w:tc>
            </w:tr>
            <w:tr w14:paraId="6B499D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20" w:type="dxa"/>
                  <w:vAlign w:val="center"/>
                </w:tcPr>
                <w:p w14:paraId="2A521C9A">
                  <w:pPr>
                    <w:widowControl/>
                    <w:snapToGrid w:val="0"/>
                    <w:spacing w:line="360" w:lineRule="auto"/>
                    <w:jc w:val="center"/>
                    <w:rPr>
                      <w:rFonts w:hint="eastAsia"/>
                      <w:b/>
                      <w:bCs w:val="0"/>
                      <w:color w:val="auto"/>
                      <w:sz w:val="18"/>
                      <w:szCs w:val="18"/>
                      <w:vertAlign w:val="baseline"/>
                      <w:lang w:val="en-US" w:eastAsia="zh-CN"/>
                    </w:rPr>
                  </w:pPr>
                  <w:r>
                    <w:rPr>
                      <w:color w:val="auto"/>
                    </w:rPr>
                    <w:drawing>
                      <wp:inline distT="0" distB="0" distL="114300" distR="114300">
                        <wp:extent cx="873760" cy="1390650"/>
                        <wp:effectExtent l="0" t="0" r="2540" b="0"/>
                        <wp:docPr id="4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0"/>
                                <pic:cNvPicPr>
                                  <a:picLocks noChangeAspect="1"/>
                                </pic:cNvPicPr>
                              </pic:nvPicPr>
                              <pic:blipFill>
                                <a:blip r:embed="rId36"/>
                                <a:stretch>
                                  <a:fillRect/>
                                </a:stretch>
                              </pic:blipFill>
                              <pic:spPr>
                                <a:xfrm>
                                  <a:off x="0" y="0"/>
                                  <a:ext cx="873760" cy="1390650"/>
                                </a:xfrm>
                                <a:prstGeom prst="rect">
                                  <a:avLst/>
                                </a:prstGeom>
                                <a:noFill/>
                                <a:ln>
                                  <a:noFill/>
                                </a:ln>
                              </pic:spPr>
                            </pic:pic>
                          </a:graphicData>
                        </a:graphic>
                      </wp:inline>
                    </w:drawing>
                  </w:r>
                </w:p>
              </w:tc>
              <w:tc>
                <w:tcPr>
                  <w:tcW w:w="4023" w:type="dxa"/>
                  <w:vAlign w:val="center"/>
                </w:tcPr>
                <w:p w14:paraId="578721D3">
                  <w:pPr>
                    <w:widowControl/>
                    <w:snapToGrid w:val="0"/>
                    <w:spacing w:line="360" w:lineRule="auto"/>
                    <w:jc w:val="center"/>
                    <w:rPr>
                      <w:rFonts w:hint="eastAsia"/>
                      <w:b/>
                      <w:bCs w:val="0"/>
                      <w:color w:val="auto"/>
                      <w:sz w:val="18"/>
                      <w:szCs w:val="18"/>
                      <w:vertAlign w:val="baseline"/>
                      <w:lang w:val="en-US" w:eastAsia="zh-CN"/>
                    </w:rPr>
                  </w:pPr>
                  <w:r>
                    <w:rPr>
                      <w:color w:val="auto"/>
                    </w:rPr>
                    <w:drawing>
                      <wp:inline distT="0" distB="0" distL="114300" distR="114300">
                        <wp:extent cx="1514475" cy="1181100"/>
                        <wp:effectExtent l="0" t="0" r="9525" b="0"/>
                        <wp:docPr id="4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1"/>
                                <pic:cNvPicPr>
                                  <a:picLocks noChangeAspect="1"/>
                                </pic:cNvPicPr>
                              </pic:nvPicPr>
                              <pic:blipFill>
                                <a:blip r:embed="rId37"/>
                                <a:stretch>
                                  <a:fillRect/>
                                </a:stretch>
                              </pic:blipFill>
                              <pic:spPr>
                                <a:xfrm>
                                  <a:off x="0" y="0"/>
                                  <a:ext cx="1514475" cy="1181100"/>
                                </a:xfrm>
                                <a:prstGeom prst="rect">
                                  <a:avLst/>
                                </a:prstGeom>
                                <a:noFill/>
                                <a:ln>
                                  <a:noFill/>
                                </a:ln>
                              </pic:spPr>
                            </pic:pic>
                          </a:graphicData>
                        </a:graphic>
                      </wp:inline>
                    </w:drawing>
                  </w:r>
                </w:p>
              </w:tc>
            </w:tr>
            <w:tr w14:paraId="42A03B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20" w:type="dxa"/>
                  <w:vAlign w:val="center"/>
                </w:tcPr>
                <w:p w14:paraId="01C4C807">
                  <w:pPr>
                    <w:widowControl/>
                    <w:snapToGrid w:val="0"/>
                    <w:spacing w:line="360" w:lineRule="auto"/>
                    <w:jc w:val="center"/>
                    <w:rPr>
                      <w:rFonts w:hint="eastAsia"/>
                      <w:b/>
                      <w:bCs w:val="0"/>
                      <w:color w:val="auto"/>
                      <w:sz w:val="18"/>
                      <w:szCs w:val="18"/>
                      <w:vertAlign w:val="baseline"/>
                      <w:lang w:val="en-US" w:eastAsia="zh-CN"/>
                    </w:rPr>
                  </w:pPr>
                  <w:r>
                    <w:rPr>
                      <w:rFonts w:hint="eastAsia"/>
                      <w:b/>
                      <w:bCs w:val="0"/>
                      <w:color w:val="auto"/>
                      <w:sz w:val="18"/>
                      <w:szCs w:val="18"/>
                      <w:vertAlign w:val="baseline"/>
                      <w:lang w:val="en-US" w:eastAsia="zh-CN"/>
                    </w:rPr>
                    <w:t>危险废物贮存设施标志（竖版）</w:t>
                  </w:r>
                </w:p>
              </w:tc>
              <w:tc>
                <w:tcPr>
                  <w:tcW w:w="4023" w:type="dxa"/>
                  <w:vAlign w:val="center"/>
                </w:tcPr>
                <w:p w14:paraId="1349600B">
                  <w:pPr>
                    <w:widowControl/>
                    <w:snapToGrid w:val="0"/>
                    <w:spacing w:line="360" w:lineRule="auto"/>
                    <w:jc w:val="center"/>
                    <w:rPr>
                      <w:rFonts w:hint="default"/>
                      <w:b/>
                      <w:bCs w:val="0"/>
                      <w:color w:val="auto"/>
                      <w:sz w:val="18"/>
                      <w:szCs w:val="18"/>
                      <w:vertAlign w:val="baseline"/>
                      <w:lang w:val="en-US" w:eastAsia="zh-CN"/>
                    </w:rPr>
                  </w:pPr>
                  <w:r>
                    <w:rPr>
                      <w:rFonts w:hint="eastAsia"/>
                      <w:b/>
                      <w:bCs w:val="0"/>
                      <w:color w:val="auto"/>
                      <w:sz w:val="18"/>
                      <w:szCs w:val="18"/>
                      <w:vertAlign w:val="baseline"/>
                      <w:lang w:val="en-US" w:eastAsia="zh-CN"/>
                    </w:rPr>
                    <w:t>危险特性警示图形（易燃）</w:t>
                  </w:r>
                </w:p>
              </w:tc>
            </w:tr>
          </w:tbl>
          <w:p w14:paraId="3F381F7E">
            <w:pPr>
              <w:autoSpaceDE w:val="0"/>
              <w:autoSpaceDN w:val="0"/>
              <w:adjustRightInd w:val="0"/>
              <w:spacing w:line="360" w:lineRule="auto"/>
              <w:ind w:firstLine="361" w:firstLineChars="200"/>
              <w:jc w:val="center"/>
              <w:rPr>
                <w:rFonts w:hint="default" w:eastAsia="宋体"/>
                <w:bCs/>
                <w:color w:val="auto"/>
                <w:szCs w:val="21"/>
                <w:lang w:val="en-US" w:eastAsia="zh-CN"/>
              </w:rPr>
            </w:pPr>
            <w:r>
              <w:rPr>
                <w:rFonts w:hint="eastAsia"/>
                <w:b/>
                <w:bCs w:val="0"/>
                <w:color w:val="auto"/>
                <w:sz w:val="18"/>
                <w:szCs w:val="18"/>
                <w:lang w:val="en-US" w:eastAsia="zh-CN"/>
              </w:rPr>
              <w:t>图4-1    危险废物贮存设施标志标识示意图</w:t>
            </w:r>
          </w:p>
          <w:p w14:paraId="5A2905D0">
            <w:pPr>
              <w:autoSpaceDE w:val="0"/>
              <w:autoSpaceDN w:val="0"/>
              <w:adjustRightInd w:val="0"/>
              <w:spacing w:line="360" w:lineRule="auto"/>
              <w:ind w:firstLine="420" w:firstLineChars="200"/>
              <w:jc w:val="left"/>
              <w:rPr>
                <w:bCs/>
                <w:color w:val="auto"/>
                <w:szCs w:val="21"/>
              </w:rPr>
            </w:pPr>
            <w:r>
              <w:rPr>
                <w:bCs/>
                <w:color w:val="auto"/>
                <w:szCs w:val="21"/>
              </w:rPr>
              <w:t>同时，危险废物应按照国家有关规定向当地环境保护行政主管部门申报登记，接受当地环境保护行政主管部门监督管理。</w:t>
            </w:r>
          </w:p>
          <w:p w14:paraId="2AC3E595">
            <w:pPr>
              <w:pStyle w:val="77"/>
              <w:snapToGrid/>
              <w:ind w:firstLine="422"/>
              <w:rPr>
                <w:rFonts w:hint="eastAsia" w:ascii="Times New Roman" w:hAnsi="Times New Roman"/>
                <w:b w:val="0"/>
                <w:bCs w:val="0"/>
                <w:color w:val="auto"/>
                <w:szCs w:val="21"/>
                <w:lang w:val="en-US" w:eastAsia="zh-CN"/>
              </w:rPr>
            </w:pPr>
            <w:r>
              <w:rPr>
                <w:b w:val="0"/>
                <w:bCs w:val="0"/>
                <w:color w:val="auto"/>
                <w:szCs w:val="21"/>
              </w:rPr>
              <w:t>综上所述，在严格按照环境评价提出的要求下，固体废弃物处置方式合理可行，不会产生对区域环境的明显影响。</w:t>
            </w:r>
          </w:p>
          <w:p w14:paraId="300AF05F">
            <w:pPr>
              <w:pStyle w:val="77"/>
              <w:snapToGrid/>
              <w:ind w:firstLine="422"/>
              <w:rPr>
                <w:rFonts w:hint="eastAsia" w:ascii="Times New Roman" w:hAnsi="Times New Roman"/>
                <w:b/>
                <w:bCs/>
                <w:color w:val="auto"/>
                <w:szCs w:val="21"/>
                <w:lang w:val="en-US" w:eastAsia="zh-CN"/>
              </w:rPr>
            </w:pPr>
            <w:r>
              <w:rPr>
                <w:rFonts w:hint="eastAsia" w:ascii="Times New Roman" w:hAnsi="Times New Roman"/>
                <w:b/>
                <w:bCs/>
                <w:color w:val="auto"/>
                <w:szCs w:val="21"/>
                <w:lang w:val="en-US" w:eastAsia="zh-CN"/>
              </w:rPr>
              <w:t>4.</w:t>
            </w:r>
            <w:r>
              <w:rPr>
                <w:rFonts w:hint="default" w:ascii="Times New Roman" w:hAnsi="Times New Roman"/>
                <w:b/>
                <w:bCs/>
                <w:color w:val="auto"/>
                <w:szCs w:val="21"/>
                <w:lang w:val="en-US" w:eastAsia="zh-CN"/>
              </w:rPr>
              <w:t>5</w:t>
            </w:r>
            <w:r>
              <w:rPr>
                <w:rFonts w:hint="eastAsia" w:ascii="Times New Roman" w:hAnsi="Times New Roman"/>
                <w:b/>
                <w:bCs/>
                <w:color w:val="auto"/>
                <w:szCs w:val="21"/>
                <w:lang w:val="en-US" w:eastAsia="zh-CN"/>
              </w:rPr>
              <w:t xml:space="preserve">其他保护措施 </w:t>
            </w:r>
          </w:p>
          <w:p w14:paraId="2B9B9496">
            <w:pPr>
              <w:pStyle w:val="77"/>
              <w:keepNext w:val="0"/>
              <w:keepLines w:val="0"/>
              <w:pageBreakBefore w:val="0"/>
              <w:widowControl w:val="0"/>
              <w:kinsoku/>
              <w:wordWrap/>
              <w:overflowPunct/>
              <w:topLinePunct w:val="0"/>
              <w:autoSpaceDE/>
              <w:autoSpaceDN/>
              <w:bidi w:val="0"/>
              <w:adjustRightInd/>
              <w:snapToGrid/>
              <w:spacing w:line="360" w:lineRule="auto"/>
              <w:ind w:firstLine="422"/>
              <w:textAlignment w:val="auto"/>
              <w:rPr>
                <w:rFonts w:hint="eastAsia" w:ascii="Times New Roman" w:hAnsi="Times New Roman"/>
                <w:b w:val="0"/>
                <w:bCs w:val="0"/>
                <w:color w:val="auto"/>
                <w:szCs w:val="21"/>
                <w:lang w:val="en-US" w:eastAsia="zh-CN"/>
              </w:rPr>
            </w:pPr>
            <w:r>
              <w:rPr>
                <w:rFonts w:hint="eastAsia" w:ascii="Times New Roman" w:hAnsi="Times New Roman"/>
                <w:b w:val="0"/>
                <w:bCs w:val="0"/>
                <w:color w:val="auto"/>
                <w:szCs w:val="21"/>
                <w:lang w:val="en-US" w:eastAsia="zh-CN"/>
              </w:rPr>
              <w:t>（1）地下水、土壤污染防治措施</w:t>
            </w:r>
          </w:p>
          <w:p w14:paraId="1FB23D59">
            <w:pPr>
              <w:pStyle w:val="77"/>
              <w:keepNext w:val="0"/>
              <w:keepLines w:val="0"/>
              <w:pageBreakBefore w:val="0"/>
              <w:widowControl w:val="0"/>
              <w:kinsoku/>
              <w:wordWrap/>
              <w:overflowPunct/>
              <w:topLinePunct w:val="0"/>
              <w:autoSpaceDE/>
              <w:autoSpaceDN/>
              <w:bidi w:val="0"/>
              <w:adjustRightInd/>
              <w:snapToGrid/>
              <w:spacing w:line="360" w:lineRule="auto"/>
              <w:ind w:firstLine="422"/>
              <w:textAlignment w:val="auto"/>
              <w:rPr>
                <w:rFonts w:hint="default" w:ascii="Times New Roman" w:hAnsi="Times New Roman"/>
                <w:b w:val="0"/>
                <w:bCs w:val="0"/>
                <w:color w:val="auto"/>
                <w:szCs w:val="21"/>
                <w:lang w:val="en-US" w:eastAsia="zh-CN"/>
              </w:rPr>
            </w:pPr>
            <w:r>
              <w:rPr>
                <w:rFonts w:hint="eastAsia" w:ascii="Times New Roman" w:hAnsi="Times New Roman"/>
                <w:b w:val="0"/>
                <w:bCs w:val="0"/>
                <w:color w:val="auto"/>
                <w:szCs w:val="21"/>
                <w:lang w:val="en-US" w:eastAsia="zh-CN"/>
              </w:rPr>
              <w:t>本项目涉水/液设施包括柴油储罐及围堰、沥青储罐及围堰、导热油储罐、化粪池、沉淀池、洗车平台、事故应急池等，污染途径为垂直入渗。据此，环评要求针对涉水/液储存设施应根据相应规范要求，制订防渗计划及方案。</w:t>
            </w:r>
          </w:p>
          <w:p w14:paraId="4AD9B834">
            <w:pPr>
              <w:keepNext w:val="0"/>
              <w:keepLines w:val="0"/>
              <w:pageBreakBefore w:val="0"/>
              <w:widowControl w:val="0"/>
              <w:kinsoku/>
              <w:wordWrap/>
              <w:overflowPunct/>
              <w:topLinePunct w:val="0"/>
              <w:autoSpaceDE/>
              <w:autoSpaceDN/>
              <w:bidi w:val="0"/>
              <w:adjustRightInd/>
              <w:snapToGrid/>
              <w:spacing w:line="240" w:lineRule="exact"/>
              <w:ind w:firstLine="361" w:firstLineChars="200"/>
              <w:jc w:val="center"/>
              <w:textAlignment w:val="auto"/>
              <w:rPr>
                <w:rFonts w:hint="default" w:eastAsia="宋体"/>
                <w:b/>
                <w:bCs/>
                <w:color w:val="auto"/>
                <w:sz w:val="18"/>
                <w:szCs w:val="18"/>
                <w:highlight w:val="none"/>
                <w:lang w:val="en-US" w:eastAsia="zh-CN"/>
              </w:rPr>
            </w:pPr>
            <w:r>
              <w:rPr>
                <w:b/>
                <w:bCs/>
                <w:color w:val="auto"/>
                <w:sz w:val="18"/>
                <w:szCs w:val="18"/>
                <w:highlight w:val="none"/>
              </w:rPr>
              <w:t>表</w:t>
            </w:r>
            <w:r>
              <w:rPr>
                <w:rFonts w:hint="eastAsia"/>
                <w:b/>
                <w:bCs/>
                <w:color w:val="auto"/>
                <w:sz w:val="18"/>
                <w:szCs w:val="18"/>
                <w:highlight w:val="none"/>
              </w:rPr>
              <w:t>4</w:t>
            </w:r>
            <w:r>
              <w:rPr>
                <w:rFonts w:hint="eastAsia"/>
                <w:b/>
                <w:bCs/>
                <w:color w:val="auto"/>
                <w:sz w:val="18"/>
                <w:szCs w:val="18"/>
                <w:highlight w:val="none"/>
                <w:lang w:val="en-US" w:eastAsia="zh-CN"/>
              </w:rPr>
              <w:t>.5</w:t>
            </w:r>
            <w:r>
              <w:rPr>
                <w:rFonts w:hint="eastAsia"/>
                <w:b/>
                <w:bCs/>
                <w:color w:val="auto"/>
                <w:sz w:val="18"/>
                <w:szCs w:val="18"/>
                <w:highlight w:val="none"/>
              </w:rPr>
              <w:t>-</w:t>
            </w:r>
            <w:r>
              <w:rPr>
                <w:rFonts w:hint="eastAsia"/>
                <w:b/>
                <w:bCs/>
                <w:color w:val="auto"/>
                <w:sz w:val="18"/>
                <w:szCs w:val="18"/>
                <w:highlight w:val="none"/>
                <w:lang w:val="en-US" w:eastAsia="zh-CN"/>
              </w:rPr>
              <w:t>1</w:t>
            </w:r>
            <w:r>
              <w:rPr>
                <w:rFonts w:hint="eastAsia"/>
                <w:b/>
                <w:bCs/>
                <w:color w:val="auto"/>
                <w:sz w:val="18"/>
                <w:szCs w:val="18"/>
                <w:highlight w:val="none"/>
              </w:rPr>
              <w:t xml:space="preserve">    </w:t>
            </w:r>
            <w:r>
              <w:rPr>
                <w:rFonts w:hint="eastAsia"/>
                <w:b/>
                <w:bCs/>
                <w:color w:val="auto"/>
                <w:sz w:val="18"/>
                <w:szCs w:val="18"/>
                <w:highlight w:val="none"/>
                <w:lang w:val="en-US" w:eastAsia="zh-CN"/>
              </w:rPr>
              <w:t>防渗分区及防渗要求表</w:t>
            </w:r>
          </w:p>
          <w:tbl>
            <w:tblPr>
              <w:tblStyle w:val="47"/>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17"/>
              <w:gridCol w:w="1640"/>
              <w:gridCol w:w="2708"/>
              <w:gridCol w:w="3088"/>
            </w:tblGrid>
            <w:tr w14:paraId="11B1BDE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7" w:hRule="atLeast"/>
              </w:trPr>
              <w:tc>
                <w:tcPr>
                  <w:tcW w:w="383" w:type="pct"/>
                  <w:shd w:val="clear" w:color="auto" w:fill="auto"/>
                  <w:vAlign w:val="center"/>
                </w:tcPr>
                <w:p w14:paraId="7B58B72F">
                  <w:pPr>
                    <w:spacing w:line="280" w:lineRule="exact"/>
                    <w:jc w:val="center"/>
                    <w:rPr>
                      <w:rFonts w:hint="default"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防渗分区</w:t>
                  </w:r>
                </w:p>
              </w:tc>
              <w:tc>
                <w:tcPr>
                  <w:tcW w:w="1018" w:type="pct"/>
                  <w:shd w:val="clear" w:color="auto" w:fill="auto"/>
                  <w:vAlign w:val="center"/>
                </w:tcPr>
                <w:p w14:paraId="0D17F585">
                  <w:pPr>
                    <w:spacing w:line="280" w:lineRule="exact"/>
                    <w:jc w:val="center"/>
                    <w:rPr>
                      <w:rFonts w:hint="default"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防渗区域</w:t>
                  </w:r>
                </w:p>
              </w:tc>
              <w:tc>
                <w:tcPr>
                  <w:tcW w:w="1681" w:type="pct"/>
                  <w:tcBorders>
                    <w:right w:val="single" w:color="auto" w:sz="4" w:space="0"/>
                  </w:tcBorders>
                  <w:vAlign w:val="center"/>
                </w:tcPr>
                <w:p w14:paraId="5B0182D5">
                  <w:pPr>
                    <w:spacing w:line="280" w:lineRule="exact"/>
                    <w:jc w:val="center"/>
                    <w:rPr>
                      <w:rFonts w:hint="default" w:eastAsia="宋体"/>
                      <w:bCs/>
                      <w:color w:val="auto"/>
                      <w:sz w:val="18"/>
                      <w:szCs w:val="18"/>
                      <w:highlight w:val="none"/>
                      <w:lang w:val="en-US" w:eastAsia="zh-CN"/>
                    </w:rPr>
                  </w:pPr>
                  <w:r>
                    <w:rPr>
                      <w:rFonts w:hint="eastAsia"/>
                      <w:bCs/>
                      <w:color w:val="auto"/>
                      <w:sz w:val="18"/>
                      <w:szCs w:val="18"/>
                      <w:highlight w:val="none"/>
                      <w:lang w:val="en-US" w:eastAsia="zh-CN"/>
                    </w:rPr>
                    <w:t>防渗技术要求</w:t>
                  </w:r>
                </w:p>
              </w:tc>
              <w:tc>
                <w:tcPr>
                  <w:tcW w:w="1916" w:type="pct"/>
                  <w:tcBorders>
                    <w:left w:val="single" w:color="auto" w:sz="4" w:space="0"/>
                  </w:tcBorders>
                  <w:vAlign w:val="center"/>
                </w:tcPr>
                <w:p w14:paraId="02C2231B">
                  <w:pPr>
                    <w:spacing w:line="280" w:lineRule="exact"/>
                    <w:jc w:val="center"/>
                    <w:rPr>
                      <w:bCs/>
                      <w:color w:val="auto"/>
                      <w:sz w:val="18"/>
                      <w:szCs w:val="18"/>
                      <w:highlight w:val="none"/>
                    </w:rPr>
                  </w:pPr>
                  <w:r>
                    <w:rPr>
                      <w:rFonts w:hint="eastAsia"/>
                      <w:bCs/>
                      <w:color w:val="auto"/>
                      <w:sz w:val="18"/>
                      <w:szCs w:val="18"/>
                      <w:highlight w:val="none"/>
                      <w:lang w:val="en-US" w:eastAsia="zh-CN"/>
                    </w:rPr>
                    <w:t>防渗方案</w:t>
                  </w:r>
                </w:p>
              </w:tc>
            </w:tr>
            <w:tr w14:paraId="02BADB9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7" w:hRule="atLeast"/>
              </w:trPr>
              <w:tc>
                <w:tcPr>
                  <w:tcW w:w="383" w:type="pct"/>
                  <w:vMerge w:val="restart"/>
                  <w:shd w:val="clear" w:color="auto" w:fill="auto"/>
                  <w:vAlign w:val="center"/>
                </w:tcPr>
                <w:p w14:paraId="5154DA35">
                  <w:pPr>
                    <w:spacing w:line="280" w:lineRule="exact"/>
                    <w:jc w:val="center"/>
                    <w:rPr>
                      <w:rFonts w:hint="default"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重点防渗区</w:t>
                  </w:r>
                </w:p>
              </w:tc>
              <w:tc>
                <w:tcPr>
                  <w:tcW w:w="1018" w:type="pct"/>
                  <w:shd w:val="clear" w:color="auto" w:fill="auto"/>
                  <w:vAlign w:val="center"/>
                </w:tcPr>
                <w:p w14:paraId="31A9C7AE">
                  <w:pPr>
                    <w:spacing w:line="280" w:lineRule="exact"/>
                    <w:jc w:val="center"/>
                    <w:rPr>
                      <w:rFonts w:hint="default"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危险废物贮存库</w:t>
                  </w:r>
                </w:p>
              </w:tc>
              <w:tc>
                <w:tcPr>
                  <w:tcW w:w="1681" w:type="pct"/>
                  <w:vMerge w:val="restart"/>
                  <w:tcBorders>
                    <w:right w:val="single" w:color="auto" w:sz="4" w:space="0"/>
                  </w:tcBorders>
                  <w:vAlign w:val="center"/>
                </w:tcPr>
                <w:p w14:paraId="402C7919">
                  <w:pPr>
                    <w:spacing w:line="280" w:lineRule="exact"/>
                    <w:jc w:val="center"/>
                    <w:rPr>
                      <w:rFonts w:hint="default" w:eastAsia="宋体"/>
                      <w:bCs/>
                      <w:color w:val="auto"/>
                      <w:sz w:val="18"/>
                      <w:szCs w:val="18"/>
                      <w:highlight w:val="none"/>
                      <w:lang w:val="en-US" w:eastAsia="zh-CN"/>
                    </w:rPr>
                  </w:pPr>
                  <w:r>
                    <w:rPr>
                      <w:rFonts w:hint="eastAsia"/>
                      <w:bCs/>
                      <w:color w:val="auto"/>
                      <w:sz w:val="18"/>
                      <w:szCs w:val="18"/>
                      <w:highlight w:val="none"/>
                      <w:lang w:val="en-US" w:eastAsia="zh-CN"/>
                    </w:rPr>
                    <w:t>按照《危险废物贮存污染控制标准》（GB18597-2023）执行</w:t>
                  </w:r>
                </w:p>
              </w:tc>
              <w:tc>
                <w:tcPr>
                  <w:tcW w:w="1916" w:type="pct"/>
                  <w:vMerge w:val="restart"/>
                  <w:tcBorders>
                    <w:left w:val="single" w:color="auto" w:sz="4" w:space="0"/>
                  </w:tcBorders>
                  <w:vAlign w:val="center"/>
                </w:tcPr>
                <w:p w14:paraId="63983D0E">
                  <w:pPr>
                    <w:spacing w:line="280" w:lineRule="exact"/>
                    <w:jc w:val="center"/>
                    <w:rPr>
                      <w:rFonts w:hint="default" w:eastAsia="宋体"/>
                      <w:bCs/>
                      <w:color w:val="auto"/>
                      <w:sz w:val="18"/>
                      <w:szCs w:val="18"/>
                      <w:highlight w:val="none"/>
                      <w:lang w:val="en-US" w:eastAsia="zh-CN"/>
                    </w:rPr>
                  </w:pPr>
                  <w:r>
                    <w:rPr>
                      <w:rFonts w:hint="eastAsia"/>
                      <w:bCs/>
                      <w:color w:val="auto"/>
                      <w:sz w:val="18"/>
                      <w:szCs w:val="18"/>
                      <w:highlight w:val="none"/>
                      <w:lang w:val="en-US" w:eastAsia="zh-CN"/>
                    </w:rPr>
                    <w:t>危废贮存库设置防腐、防淋、防渗等措施要求，等效黏土防渗层Mb≥6.0m，K≤1×10</w:t>
                  </w:r>
                  <w:r>
                    <w:rPr>
                      <w:rFonts w:hint="eastAsia"/>
                      <w:bCs/>
                      <w:color w:val="auto"/>
                      <w:sz w:val="18"/>
                      <w:szCs w:val="18"/>
                      <w:highlight w:val="none"/>
                      <w:vertAlign w:val="superscript"/>
                      <w:lang w:val="en-US" w:eastAsia="zh-CN"/>
                    </w:rPr>
                    <w:t>-7</w:t>
                  </w:r>
                  <w:r>
                    <w:rPr>
                      <w:rFonts w:hint="eastAsia"/>
                      <w:bCs/>
                      <w:color w:val="auto"/>
                      <w:sz w:val="18"/>
                      <w:szCs w:val="18"/>
                      <w:highlight w:val="none"/>
                      <w:lang w:val="en-US" w:eastAsia="zh-CN"/>
                    </w:rPr>
                    <w:t>cm/s</w:t>
                  </w:r>
                </w:p>
              </w:tc>
            </w:tr>
            <w:tr w14:paraId="5A9998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7" w:hRule="atLeast"/>
              </w:trPr>
              <w:tc>
                <w:tcPr>
                  <w:tcW w:w="383" w:type="pct"/>
                  <w:vMerge w:val="continue"/>
                  <w:shd w:val="clear" w:color="auto" w:fill="auto"/>
                  <w:vAlign w:val="center"/>
                </w:tcPr>
                <w:p w14:paraId="1F5D333F">
                  <w:pPr>
                    <w:spacing w:line="280" w:lineRule="exact"/>
                    <w:jc w:val="center"/>
                    <w:rPr>
                      <w:rFonts w:hint="eastAsia"/>
                      <w:bCs/>
                      <w:color w:val="auto"/>
                      <w:sz w:val="18"/>
                      <w:szCs w:val="18"/>
                      <w:highlight w:val="none"/>
                      <w:lang w:val="en-US" w:eastAsia="zh-CN"/>
                    </w:rPr>
                  </w:pPr>
                </w:p>
              </w:tc>
              <w:tc>
                <w:tcPr>
                  <w:tcW w:w="1018" w:type="pct"/>
                  <w:shd w:val="clear" w:color="auto" w:fill="auto"/>
                  <w:vAlign w:val="center"/>
                </w:tcPr>
                <w:p w14:paraId="4B192F4B">
                  <w:pPr>
                    <w:spacing w:line="280" w:lineRule="exact"/>
                    <w:jc w:val="center"/>
                    <w:rPr>
                      <w:rFonts w:hint="default"/>
                      <w:bCs/>
                      <w:color w:val="auto"/>
                      <w:sz w:val="18"/>
                      <w:szCs w:val="18"/>
                      <w:highlight w:val="none"/>
                      <w:lang w:val="en-US" w:eastAsia="zh-CN"/>
                    </w:rPr>
                  </w:pPr>
                  <w:r>
                    <w:rPr>
                      <w:rFonts w:hint="eastAsia"/>
                      <w:bCs/>
                      <w:color w:val="auto"/>
                      <w:sz w:val="18"/>
                      <w:szCs w:val="18"/>
                      <w:highlight w:val="none"/>
                      <w:lang w:val="en-US" w:eastAsia="zh-CN"/>
                    </w:rPr>
                    <w:t>各储罐区（2座轻质柴油储罐及围堰、3座沥青储罐及围堰、2座导热油储罐）、事故应急池</w:t>
                  </w:r>
                </w:p>
              </w:tc>
              <w:tc>
                <w:tcPr>
                  <w:tcW w:w="1681" w:type="pct"/>
                  <w:vMerge w:val="continue"/>
                  <w:tcBorders>
                    <w:right w:val="single" w:color="auto" w:sz="4" w:space="0"/>
                  </w:tcBorders>
                  <w:vAlign w:val="center"/>
                </w:tcPr>
                <w:p w14:paraId="4A75D4FE">
                  <w:pPr>
                    <w:spacing w:line="280" w:lineRule="exact"/>
                    <w:jc w:val="center"/>
                    <w:rPr>
                      <w:rFonts w:hint="eastAsia"/>
                      <w:bCs/>
                      <w:color w:val="auto"/>
                      <w:sz w:val="18"/>
                      <w:szCs w:val="18"/>
                      <w:highlight w:val="none"/>
                      <w:lang w:val="en-US" w:eastAsia="zh-CN"/>
                    </w:rPr>
                  </w:pPr>
                </w:p>
              </w:tc>
              <w:tc>
                <w:tcPr>
                  <w:tcW w:w="1916" w:type="pct"/>
                  <w:vMerge w:val="continue"/>
                  <w:tcBorders>
                    <w:left w:val="single" w:color="auto" w:sz="4" w:space="0"/>
                  </w:tcBorders>
                  <w:vAlign w:val="center"/>
                </w:tcPr>
                <w:p w14:paraId="7A5B51B1">
                  <w:pPr>
                    <w:spacing w:line="280" w:lineRule="exact"/>
                    <w:jc w:val="center"/>
                    <w:rPr>
                      <w:rFonts w:hint="eastAsia"/>
                      <w:bCs/>
                      <w:color w:val="auto"/>
                      <w:sz w:val="18"/>
                      <w:szCs w:val="18"/>
                      <w:highlight w:val="none"/>
                      <w:lang w:val="en-US" w:eastAsia="zh-CN"/>
                    </w:rPr>
                  </w:pPr>
                </w:p>
              </w:tc>
            </w:tr>
            <w:tr w14:paraId="2125240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5" w:hRule="atLeast"/>
              </w:trPr>
              <w:tc>
                <w:tcPr>
                  <w:tcW w:w="383" w:type="pct"/>
                  <w:vMerge w:val="restart"/>
                  <w:shd w:val="clear" w:color="auto" w:fill="auto"/>
                  <w:vAlign w:val="center"/>
                </w:tcPr>
                <w:p w14:paraId="6598B7F3">
                  <w:pPr>
                    <w:spacing w:line="280" w:lineRule="exact"/>
                    <w:jc w:val="center"/>
                    <w:rPr>
                      <w:rFonts w:hint="default"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一般防渗区</w:t>
                  </w:r>
                </w:p>
              </w:tc>
              <w:tc>
                <w:tcPr>
                  <w:tcW w:w="1018" w:type="pct"/>
                  <w:shd w:val="clear" w:color="auto" w:fill="auto"/>
                  <w:vAlign w:val="center"/>
                </w:tcPr>
                <w:p w14:paraId="272B5184">
                  <w:pPr>
                    <w:spacing w:line="280" w:lineRule="exact"/>
                    <w:jc w:val="center"/>
                    <w:rPr>
                      <w:rFonts w:hint="default"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洗车平台</w:t>
                  </w:r>
                </w:p>
              </w:tc>
              <w:tc>
                <w:tcPr>
                  <w:tcW w:w="1681" w:type="pct"/>
                  <w:vMerge w:val="restart"/>
                  <w:tcBorders>
                    <w:right w:val="single" w:color="auto" w:sz="4" w:space="0"/>
                  </w:tcBorders>
                  <w:vAlign w:val="center"/>
                </w:tcPr>
                <w:p w14:paraId="2BF8C0FE">
                  <w:pPr>
                    <w:spacing w:line="280" w:lineRule="exact"/>
                    <w:jc w:val="center"/>
                    <w:rPr>
                      <w:rFonts w:hint="default" w:eastAsia="宋体"/>
                      <w:bCs/>
                      <w:color w:val="auto"/>
                      <w:sz w:val="18"/>
                      <w:szCs w:val="18"/>
                      <w:highlight w:val="none"/>
                      <w:lang w:val="en-US" w:eastAsia="zh-CN"/>
                    </w:rPr>
                  </w:pPr>
                  <w:r>
                    <w:rPr>
                      <w:rFonts w:hint="eastAsia"/>
                      <w:bCs/>
                      <w:color w:val="auto"/>
                      <w:sz w:val="18"/>
                      <w:szCs w:val="18"/>
                      <w:highlight w:val="none"/>
                      <w:lang w:val="en-US" w:eastAsia="zh-CN"/>
                    </w:rPr>
                    <w:t>等效黏土防渗层Mb≥1.5m，K≤1×10</w:t>
                  </w:r>
                  <w:r>
                    <w:rPr>
                      <w:rFonts w:hint="eastAsia"/>
                      <w:bCs/>
                      <w:color w:val="auto"/>
                      <w:sz w:val="18"/>
                      <w:szCs w:val="18"/>
                      <w:highlight w:val="none"/>
                      <w:vertAlign w:val="superscript"/>
                      <w:lang w:val="en-US" w:eastAsia="zh-CN"/>
                    </w:rPr>
                    <w:t>-7</w:t>
                  </w:r>
                  <w:r>
                    <w:rPr>
                      <w:rFonts w:hint="eastAsia"/>
                      <w:bCs/>
                      <w:color w:val="auto"/>
                      <w:sz w:val="18"/>
                      <w:szCs w:val="18"/>
                      <w:highlight w:val="none"/>
                      <w:lang w:val="en-US" w:eastAsia="zh-CN"/>
                    </w:rPr>
                    <w:t>cm/s</w:t>
                  </w:r>
                </w:p>
              </w:tc>
              <w:tc>
                <w:tcPr>
                  <w:tcW w:w="1916" w:type="pct"/>
                  <w:vMerge w:val="restart"/>
                  <w:tcBorders>
                    <w:left w:val="single" w:color="auto" w:sz="4" w:space="0"/>
                  </w:tcBorders>
                  <w:vAlign w:val="center"/>
                </w:tcPr>
                <w:p w14:paraId="37E9C921">
                  <w:pPr>
                    <w:spacing w:line="280" w:lineRule="exact"/>
                    <w:jc w:val="center"/>
                    <w:rPr>
                      <w:rFonts w:hint="default" w:eastAsia="宋体"/>
                      <w:bCs/>
                      <w:color w:val="auto"/>
                      <w:sz w:val="18"/>
                      <w:szCs w:val="18"/>
                      <w:highlight w:val="none"/>
                      <w:lang w:val="en-US" w:eastAsia="zh-CN"/>
                    </w:rPr>
                  </w:pPr>
                  <w:r>
                    <w:rPr>
                      <w:rFonts w:hint="eastAsia"/>
                      <w:bCs/>
                      <w:color w:val="auto"/>
                      <w:sz w:val="18"/>
                      <w:szCs w:val="18"/>
                      <w:highlight w:val="none"/>
                      <w:lang w:val="en-US" w:eastAsia="zh-CN"/>
                    </w:rPr>
                    <w:t>水池及配套冷却输送管道等设施区域加强并满足一般防渗要求</w:t>
                  </w:r>
                </w:p>
              </w:tc>
            </w:tr>
            <w:tr w14:paraId="0D0DCF1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5" w:hRule="atLeast"/>
              </w:trPr>
              <w:tc>
                <w:tcPr>
                  <w:tcW w:w="383" w:type="pct"/>
                  <w:vMerge w:val="continue"/>
                  <w:shd w:val="clear" w:color="auto" w:fill="auto"/>
                  <w:vAlign w:val="center"/>
                </w:tcPr>
                <w:p w14:paraId="7EBB3891">
                  <w:pPr>
                    <w:spacing w:line="280" w:lineRule="exact"/>
                    <w:jc w:val="center"/>
                    <w:rPr>
                      <w:rFonts w:hint="eastAsia"/>
                      <w:bCs/>
                      <w:color w:val="auto"/>
                      <w:sz w:val="18"/>
                      <w:szCs w:val="18"/>
                      <w:highlight w:val="none"/>
                      <w:lang w:val="en-US" w:eastAsia="zh-CN"/>
                    </w:rPr>
                  </w:pPr>
                </w:p>
              </w:tc>
              <w:tc>
                <w:tcPr>
                  <w:tcW w:w="1018" w:type="pct"/>
                  <w:shd w:val="clear" w:color="auto" w:fill="auto"/>
                  <w:vAlign w:val="center"/>
                </w:tcPr>
                <w:p w14:paraId="7A5F14ED">
                  <w:pPr>
                    <w:spacing w:line="280" w:lineRule="exact"/>
                    <w:jc w:val="center"/>
                    <w:rPr>
                      <w:rFonts w:hint="default"/>
                      <w:bCs/>
                      <w:color w:val="auto"/>
                      <w:sz w:val="18"/>
                      <w:szCs w:val="18"/>
                      <w:highlight w:val="none"/>
                      <w:lang w:val="en-US" w:eastAsia="zh-CN"/>
                    </w:rPr>
                  </w:pPr>
                  <w:r>
                    <w:rPr>
                      <w:rFonts w:hint="eastAsia"/>
                      <w:bCs/>
                      <w:color w:val="auto"/>
                      <w:sz w:val="18"/>
                      <w:szCs w:val="18"/>
                      <w:highlight w:val="none"/>
                      <w:lang w:val="en-US" w:eastAsia="zh-CN"/>
                    </w:rPr>
                    <w:t>沉淀池（兼顾洗车循环水池）</w:t>
                  </w:r>
                </w:p>
              </w:tc>
              <w:tc>
                <w:tcPr>
                  <w:tcW w:w="1681" w:type="pct"/>
                  <w:vMerge w:val="continue"/>
                  <w:tcBorders>
                    <w:right w:val="single" w:color="auto" w:sz="4" w:space="0"/>
                  </w:tcBorders>
                  <w:vAlign w:val="center"/>
                </w:tcPr>
                <w:p w14:paraId="37106A15">
                  <w:pPr>
                    <w:spacing w:line="280" w:lineRule="exact"/>
                    <w:jc w:val="center"/>
                    <w:rPr>
                      <w:rFonts w:hint="eastAsia"/>
                      <w:bCs/>
                      <w:color w:val="auto"/>
                      <w:sz w:val="18"/>
                      <w:szCs w:val="18"/>
                      <w:highlight w:val="none"/>
                      <w:lang w:val="en-US" w:eastAsia="zh-CN"/>
                    </w:rPr>
                  </w:pPr>
                </w:p>
              </w:tc>
              <w:tc>
                <w:tcPr>
                  <w:tcW w:w="1916" w:type="pct"/>
                  <w:vMerge w:val="continue"/>
                  <w:tcBorders>
                    <w:left w:val="single" w:color="auto" w:sz="4" w:space="0"/>
                  </w:tcBorders>
                  <w:vAlign w:val="center"/>
                </w:tcPr>
                <w:p w14:paraId="760EB5E4">
                  <w:pPr>
                    <w:spacing w:line="280" w:lineRule="exact"/>
                    <w:jc w:val="center"/>
                    <w:rPr>
                      <w:rFonts w:hint="eastAsia"/>
                      <w:bCs/>
                      <w:color w:val="auto"/>
                      <w:sz w:val="18"/>
                      <w:szCs w:val="18"/>
                      <w:highlight w:val="none"/>
                      <w:lang w:val="en-US" w:eastAsia="zh-CN"/>
                    </w:rPr>
                  </w:pPr>
                </w:p>
              </w:tc>
            </w:tr>
            <w:tr w14:paraId="5C50BF1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5" w:hRule="atLeast"/>
              </w:trPr>
              <w:tc>
                <w:tcPr>
                  <w:tcW w:w="383" w:type="pct"/>
                  <w:vMerge w:val="continue"/>
                  <w:shd w:val="clear" w:color="auto" w:fill="auto"/>
                  <w:vAlign w:val="center"/>
                </w:tcPr>
                <w:p w14:paraId="6C3AD607">
                  <w:pPr>
                    <w:spacing w:line="280" w:lineRule="exact"/>
                    <w:jc w:val="center"/>
                    <w:rPr>
                      <w:rFonts w:hint="eastAsia"/>
                      <w:bCs/>
                      <w:color w:val="auto"/>
                      <w:sz w:val="18"/>
                      <w:szCs w:val="18"/>
                      <w:highlight w:val="none"/>
                      <w:lang w:val="en-US" w:eastAsia="zh-CN"/>
                    </w:rPr>
                  </w:pPr>
                </w:p>
              </w:tc>
              <w:tc>
                <w:tcPr>
                  <w:tcW w:w="1018" w:type="pct"/>
                  <w:shd w:val="clear" w:color="auto" w:fill="auto"/>
                  <w:vAlign w:val="center"/>
                </w:tcPr>
                <w:p w14:paraId="7E4BCAD7">
                  <w:pPr>
                    <w:spacing w:line="280" w:lineRule="exact"/>
                    <w:jc w:val="center"/>
                    <w:rPr>
                      <w:rFonts w:hint="eastAsia"/>
                      <w:bCs/>
                      <w:color w:val="auto"/>
                      <w:sz w:val="18"/>
                      <w:szCs w:val="18"/>
                      <w:highlight w:val="none"/>
                      <w:lang w:val="en-US" w:eastAsia="zh-CN"/>
                    </w:rPr>
                  </w:pPr>
                  <w:r>
                    <w:rPr>
                      <w:rFonts w:hint="eastAsia"/>
                      <w:bCs/>
                      <w:color w:val="auto"/>
                      <w:sz w:val="18"/>
                      <w:szCs w:val="18"/>
                      <w:highlight w:val="none"/>
                      <w:lang w:val="en-US" w:eastAsia="zh-CN"/>
                    </w:rPr>
                    <w:t>初期雨水收集</w:t>
                  </w:r>
                </w:p>
              </w:tc>
              <w:tc>
                <w:tcPr>
                  <w:tcW w:w="1681" w:type="pct"/>
                  <w:vMerge w:val="continue"/>
                  <w:tcBorders>
                    <w:right w:val="single" w:color="auto" w:sz="4" w:space="0"/>
                  </w:tcBorders>
                  <w:vAlign w:val="center"/>
                </w:tcPr>
                <w:p w14:paraId="1DBAF478">
                  <w:pPr>
                    <w:spacing w:line="280" w:lineRule="exact"/>
                    <w:jc w:val="center"/>
                    <w:rPr>
                      <w:rFonts w:hint="eastAsia"/>
                      <w:bCs/>
                      <w:color w:val="auto"/>
                      <w:sz w:val="18"/>
                      <w:szCs w:val="18"/>
                      <w:highlight w:val="none"/>
                      <w:lang w:val="en-US" w:eastAsia="zh-CN"/>
                    </w:rPr>
                  </w:pPr>
                </w:p>
              </w:tc>
              <w:tc>
                <w:tcPr>
                  <w:tcW w:w="1916" w:type="pct"/>
                  <w:vMerge w:val="continue"/>
                  <w:tcBorders>
                    <w:left w:val="single" w:color="auto" w:sz="4" w:space="0"/>
                  </w:tcBorders>
                  <w:vAlign w:val="center"/>
                </w:tcPr>
                <w:p w14:paraId="0350E6D7">
                  <w:pPr>
                    <w:spacing w:line="280" w:lineRule="exact"/>
                    <w:jc w:val="center"/>
                    <w:rPr>
                      <w:rFonts w:hint="eastAsia"/>
                      <w:bCs/>
                      <w:color w:val="auto"/>
                      <w:sz w:val="18"/>
                      <w:szCs w:val="18"/>
                      <w:highlight w:val="none"/>
                      <w:lang w:val="en-US" w:eastAsia="zh-CN"/>
                    </w:rPr>
                  </w:pPr>
                </w:p>
              </w:tc>
            </w:tr>
            <w:tr w14:paraId="4F5E1DD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5" w:hRule="atLeast"/>
              </w:trPr>
              <w:tc>
                <w:tcPr>
                  <w:tcW w:w="383" w:type="pct"/>
                  <w:vMerge w:val="continue"/>
                  <w:shd w:val="clear" w:color="auto" w:fill="auto"/>
                  <w:vAlign w:val="center"/>
                </w:tcPr>
                <w:p w14:paraId="0811EC6C">
                  <w:pPr>
                    <w:spacing w:line="280" w:lineRule="exact"/>
                    <w:jc w:val="center"/>
                  </w:pPr>
                </w:p>
              </w:tc>
              <w:tc>
                <w:tcPr>
                  <w:tcW w:w="1018" w:type="pct"/>
                  <w:shd w:val="clear" w:color="auto" w:fill="auto"/>
                  <w:vAlign w:val="center"/>
                </w:tcPr>
                <w:p w14:paraId="5057070C">
                  <w:pPr>
                    <w:spacing w:line="280" w:lineRule="exact"/>
                    <w:jc w:val="center"/>
                    <w:rPr>
                      <w:rFonts w:hint="default"/>
                      <w:bCs/>
                      <w:color w:val="auto"/>
                      <w:sz w:val="18"/>
                      <w:szCs w:val="18"/>
                      <w:highlight w:val="none"/>
                      <w:lang w:val="en-US" w:eastAsia="zh-CN"/>
                    </w:rPr>
                  </w:pPr>
                  <w:r>
                    <w:rPr>
                      <w:rFonts w:hint="eastAsia"/>
                      <w:bCs/>
                      <w:color w:val="auto"/>
                      <w:sz w:val="18"/>
                      <w:szCs w:val="18"/>
                      <w:highlight w:val="none"/>
                      <w:lang w:val="en-US" w:eastAsia="zh-CN"/>
                    </w:rPr>
                    <w:t>化粪池</w:t>
                  </w:r>
                </w:p>
              </w:tc>
              <w:tc>
                <w:tcPr>
                  <w:tcW w:w="1681" w:type="pct"/>
                  <w:vMerge w:val="continue"/>
                  <w:tcBorders>
                    <w:right w:val="single" w:color="auto" w:sz="4" w:space="0"/>
                  </w:tcBorders>
                  <w:vAlign w:val="center"/>
                </w:tcPr>
                <w:p w14:paraId="44A37296">
                  <w:pPr>
                    <w:spacing w:line="280" w:lineRule="exact"/>
                    <w:jc w:val="center"/>
                    <w:rPr>
                      <w:rFonts w:hint="eastAsia"/>
                      <w:bCs/>
                      <w:color w:val="auto"/>
                      <w:sz w:val="18"/>
                      <w:szCs w:val="18"/>
                      <w:highlight w:val="none"/>
                      <w:lang w:val="en-US" w:eastAsia="zh-CN"/>
                    </w:rPr>
                  </w:pPr>
                </w:p>
              </w:tc>
              <w:tc>
                <w:tcPr>
                  <w:tcW w:w="1916" w:type="pct"/>
                  <w:vMerge w:val="continue"/>
                  <w:tcBorders>
                    <w:left w:val="single" w:color="auto" w:sz="4" w:space="0"/>
                  </w:tcBorders>
                  <w:vAlign w:val="center"/>
                </w:tcPr>
                <w:p w14:paraId="5DF3271D">
                  <w:pPr>
                    <w:spacing w:line="280" w:lineRule="exact"/>
                    <w:jc w:val="center"/>
                    <w:rPr>
                      <w:rFonts w:hint="eastAsia"/>
                      <w:bCs/>
                      <w:color w:val="auto"/>
                      <w:sz w:val="18"/>
                      <w:szCs w:val="18"/>
                      <w:highlight w:val="none"/>
                      <w:lang w:val="en-US" w:eastAsia="zh-CN"/>
                    </w:rPr>
                  </w:pPr>
                </w:p>
              </w:tc>
            </w:tr>
            <w:tr w14:paraId="38EA982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7" w:hRule="atLeast"/>
              </w:trPr>
              <w:tc>
                <w:tcPr>
                  <w:tcW w:w="383" w:type="pct"/>
                  <w:shd w:val="clear" w:color="auto" w:fill="auto"/>
                  <w:vAlign w:val="center"/>
                </w:tcPr>
                <w:p w14:paraId="3608758B">
                  <w:pPr>
                    <w:spacing w:line="280" w:lineRule="exact"/>
                    <w:jc w:val="center"/>
                    <w:rPr>
                      <w:rFonts w:hint="default"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简单防渗区</w:t>
                  </w:r>
                </w:p>
              </w:tc>
              <w:tc>
                <w:tcPr>
                  <w:tcW w:w="1018" w:type="pct"/>
                  <w:shd w:val="clear" w:color="auto" w:fill="auto"/>
                  <w:vAlign w:val="center"/>
                </w:tcPr>
                <w:p w14:paraId="6EA49E1D">
                  <w:pPr>
                    <w:spacing w:line="280" w:lineRule="exact"/>
                    <w:jc w:val="center"/>
                    <w:rPr>
                      <w:rFonts w:hint="default"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储料库、场地、停车场、道路以及厂区其他位置</w:t>
                  </w:r>
                </w:p>
              </w:tc>
              <w:tc>
                <w:tcPr>
                  <w:tcW w:w="1681" w:type="pct"/>
                  <w:tcBorders>
                    <w:right w:val="single" w:color="auto" w:sz="4" w:space="0"/>
                  </w:tcBorders>
                  <w:vAlign w:val="center"/>
                </w:tcPr>
                <w:p w14:paraId="78B97D62">
                  <w:pPr>
                    <w:spacing w:line="280" w:lineRule="exact"/>
                    <w:jc w:val="center"/>
                    <w:rPr>
                      <w:rFonts w:hint="default" w:eastAsia="宋体"/>
                      <w:bCs/>
                      <w:color w:val="auto"/>
                      <w:sz w:val="18"/>
                      <w:szCs w:val="18"/>
                      <w:highlight w:val="none"/>
                      <w:lang w:val="en-US" w:eastAsia="zh-CN"/>
                    </w:rPr>
                  </w:pPr>
                  <w:r>
                    <w:rPr>
                      <w:rFonts w:hint="eastAsia"/>
                      <w:bCs/>
                      <w:color w:val="auto"/>
                      <w:sz w:val="18"/>
                      <w:szCs w:val="18"/>
                      <w:highlight w:val="none"/>
                      <w:lang w:val="en-US" w:eastAsia="zh-CN"/>
                    </w:rPr>
                    <w:t>一般地面硬化</w:t>
                  </w:r>
                </w:p>
              </w:tc>
              <w:tc>
                <w:tcPr>
                  <w:tcW w:w="1916" w:type="pct"/>
                  <w:tcBorders>
                    <w:left w:val="single" w:color="auto" w:sz="4" w:space="0"/>
                  </w:tcBorders>
                  <w:vAlign w:val="center"/>
                </w:tcPr>
                <w:p w14:paraId="19D39A64">
                  <w:pPr>
                    <w:spacing w:line="280" w:lineRule="exact"/>
                    <w:jc w:val="center"/>
                    <w:rPr>
                      <w:rFonts w:hint="default" w:eastAsia="宋体"/>
                      <w:bCs/>
                      <w:color w:val="auto"/>
                      <w:sz w:val="18"/>
                      <w:szCs w:val="18"/>
                      <w:highlight w:val="none"/>
                      <w:lang w:val="en-US" w:eastAsia="zh-CN"/>
                    </w:rPr>
                  </w:pPr>
                  <w:r>
                    <w:rPr>
                      <w:rFonts w:hint="eastAsia"/>
                      <w:bCs/>
                      <w:color w:val="auto"/>
                      <w:sz w:val="18"/>
                      <w:szCs w:val="18"/>
                      <w:highlight w:val="none"/>
                      <w:lang w:val="en-US" w:eastAsia="zh-CN"/>
                    </w:rPr>
                    <w:t>加强厂区、生产车间、原料车间地面硬化</w:t>
                  </w:r>
                </w:p>
              </w:tc>
            </w:tr>
          </w:tbl>
          <w:p w14:paraId="7F566BE9">
            <w:pPr>
              <w:pStyle w:val="77"/>
              <w:snapToGrid/>
              <w:ind w:firstLine="422"/>
              <w:rPr>
                <w:rFonts w:ascii="Times New Roman" w:hAnsi="Times New Roman"/>
                <w:b w:val="0"/>
                <w:bCs w:val="0"/>
                <w:color w:val="auto"/>
                <w:szCs w:val="21"/>
              </w:rPr>
            </w:pPr>
            <w:r>
              <w:rPr>
                <w:rFonts w:hint="eastAsia" w:ascii="Times New Roman" w:hAnsi="Times New Roman"/>
                <w:b w:val="0"/>
                <w:bCs w:val="0"/>
                <w:color w:val="auto"/>
                <w:szCs w:val="21"/>
                <w:lang w:val="en-US" w:eastAsia="zh-CN"/>
              </w:rPr>
              <w:t>（2）</w:t>
            </w:r>
            <w:r>
              <w:rPr>
                <w:rFonts w:ascii="Times New Roman" w:hAnsi="Times New Roman"/>
                <w:b w:val="0"/>
                <w:bCs w:val="0"/>
                <w:color w:val="auto"/>
                <w:szCs w:val="21"/>
              </w:rPr>
              <w:t>关于防沙治沙</w:t>
            </w:r>
          </w:p>
          <w:p w14:paraId="50A125D7">
            <w:pPr>
              <w:spacing w:line="360" w:lineRule="auto"/>
              <w:ind w:firstLine="420" w:firstLineChars="200"/>
              <w:rPr>
                <w:rFonts w:hint="eastAsia" w:eastAsia="宋体"/>
                <w:bCs/>
                <w:color w:val="auto"/>
                <w:szCs w:val="21"/>
                <w:lang w:val="en-US" w:eastAsia="zh-CN"/>
              </w:rPr>
            </w:pPr>
            <w:r>
              <w:rPr>
                <w:bCs/>
                <w:color w:val="auto"/>
                <w:szCs w:val="21"/>
              </w:rPr>
              <w:t>根据</w:t>
            </w:r>
            <w:r>
              <w:rPr>
                <w:rFonts w:hint="eastAsia"/>
                <w:bCs/>
                <w:color w:val="auto"/>
                <w:szCs w:val="21"/>
                <w:lang w:eastAsia="zh-CN"/>
              </w:rPr>
              <w:t>《</w:t>
            </w:r>
            <w:r>
              <w:rPr>
                <w:rFonts w:hint="eastAsia"/>
                <w:bCs/>
                <w:color w:val="auto"/>
                <w:szCs w:val="21"/>
                <w:lang w:val="en-US" w:eastAsia="zh-CN"/>
              </w:rPr>
              <w:t>全国防沙治沙规划</w:t>
            </w:r>
            <w:r>
              <w:rPr>
                <w:rFonts w:hint="eastAsia"/>
                <w:bCs/>
                <w:color w:val="auto"/>
                <w:szCs w:val="21"/>
                <w:lang w:eastAsia="zh-CN"/>
              </w:rPr>
              <w:t>》（</w:t>
            </w:r>
            <w:r>
              <w:rPr>
                <w:rFonts w:hint="eastAsia"/>
                <w:bCs/>
                <w:color w:val="auto"/>
                <w:szCs w:val="21"/>
                <w:lang w:val="en-US" w:eastAsia="zh-CN"/>
              </w:rPr>
              <w:t>2021-2030</w:t>
            </w:r>
            <w:r>
              <w:rPr>
                <w:rFonts w:hint="eastAsia"/>
                <w:bCs/>
                <w:color w:val="auto"/>
                <w:szCs w:val="21"/>
                <w:lang w:eastAsia="zh-CN"/>
              </w:rPr>
              <w:t>）（林规发〔2022〕115号）、</w:t>
            </w:r>
            <w:r>
              <w:rPr>
                <w:rFonts w:hint="eastAsia"/>
                <w:bCs/>
                <w:color w:val="auto"/>
                <w:szCs w:val="21"/>
              </w:rPr>
              <w:t xml:space="preserve">山西省林业和草原局 山西省生态环境厅 </w:t>
            </w:r>
            <w:r>
              <w:rPr>
                <w:rFonts w:hint="eastAsia"/>
                <w:bCs/>
                <w:color w:val="auto"/>
                <w:szCs w:val="21"/>
                <w:lang w:eastAsia="zh-CN"/>
              </w:rPr>
              <w:t>《</w:t>
            </w:r>
            <w:r>
              <w:rPr>
                <w:rFonts w:hint="eastAsia"/>
                <w:bCs/>
                <w:color w:val="auto"/>
                <w:szCs w:val="21"/>
              </w:rPr>
              <w:t>关于落实沙区开发建设项目环境影响评价制度的通知》（晋林造发[2020]30号）</w:t>
            </w:r>
            <w:r>
              <w:rPr>
                <w:bCs/>
                <w:color w:val="auto"/>
                <w:szCs w:val="21"/>
              </w:rPr>
              <w:t>，大同市</w:t>
            </w:r>
            <w:r>
              <w:rPr>
                <w:rFonts w:hint="eastAsia"/>
                <w:bCs/>
                <w:color w:val="auto"/>
                <w:szCs w:val="21"/>
                <w:lang w:val="en-US" w:eastAsia="zh-CN"/>
              </w:rPr>
              <w:t>天镇县</w:t>
            </w:r>
            <w:r>
              <w:rPr>
                <w:bCs/>
                <w:color w:val="auto"/>
                <w:szCs w:val="21"/>
              </w:rPr>
              <w:t>属于防沙治沙范围，根据相关规定，本次评价应对项目建设过程可能造成的土地沙化影响进行分析评价。</w:t>
            </w:r>
          </w:p>
          <w:p w14:paraId="4E91830C">
            <w:pPr>
              <w:spacing w:line="360" w:lineRule="auto"/>
              <w:ind w:firstLine="420" w:firstLineChars="200"/>
              <w:rPr>
                <w:bCs/>
                <w:color w:val="auto"/>
                <w:szCs w:val="21"/>
              </w:rPr>
            </w:pPr>
            <w:r>
              <w:rPr>
                <w:bCs/>
                <w:color w:val="auto"/>
                <w:szCs w:val="21"/>
              </w:rPr>
              <w:t>造成土地沙化的原因包括自然因素和人为因素，自然因素包括气候变化，降雨减少，气温升高等，人为因素主要包括开荒、乱挖乱采、过度放牧、水资源利用不合理等。</w:t>
            </w:r>
          </w:p>
          <w:p w14:paraId="71B9CA91">
            <w:pPr>
              <w:spacing w:line="360" w:lineRule="auto"/>
              <w:ind w:firstLine="420" w:firstLineChars="200"/>
              <w:rPr>
                <w:bCs/>
                <w:color w:val="auto"/>
                <w:szCs w:val="21"/>
              </w:rPr>
            </w:pPr>
            <w:r>
              <w:rPr>
                <w:bCs/>
                <w:color w:val="auto"/>
                <w:szCs w:val="21"/>
              </w:rPr>
              <w:t>评价主要从项目占地情况、对水资源尤其是地下水资源影响这几个方面进行分析。</w:t>
            </w:r>
          </w:p>
          <w:p w14:paraId="157BF7C2">
            <w:pPr>
              <w:spacing w:line="360" w:lineRule="auto"/>
              <w:ind w:firstLine="420" w:firstLineChars="200"/>
              <w:rPr>
                <w:bCs/>
                <w:color w:val="auto"/>
                <w:szCs w:val="21"/>
              </w:rPr>
            </w:pPr>
            <w:r>
              <w:rPr>
                <w:bCs/>
                <w:color w:val="auto"/>
                <w:szCs w:val="21"/>
              </w:rPr>
              <w:t>1）占地性质及占地现状</w:t>
            </w:r>
          </w:p>
          <w:p w14:paraId="12332D37">
            <w:pPr>
              <w:spacing w:line="360" w:lineRule="auto"/>
              <w:ind w:firstLine="420" w:firstLineChars="200"/>
              <w:rPr>
                <w:bCs/>
                <w:color w:val="auto"/>
                <w:szCs w:val="21"/>
              </w:rPr>
            </w:pPr>
            <w:r>
              <w:rPr>
                <w:bCs/>
                <w:color w:val="auto"/>
                <w:szCs w:val="21"/>
              </w:rPr>
              <w:t>项目用地</w:t>
            </w:r>
            <w:r>
              <w:rPr>
                <w:rFonts w:hint="eastAsia"/>
                <w:bCs/>
                <w:color w:val="auto"/>
                <w:szCs w:val="21"/>
              </w:rPr>
              <w:t>为</w:t>
            </w:r>
            <w:r>
              <w:rPr>
                <w:rFonts w:hint="eastAsia"/>
                <w:color w:val="auto"/>
                <w:szCs w:val="21"/>
                <w:lang w:val="en-US" w:eastAsia="zh-CN"/>
              </w:rPr>
              <w:t>已建成项目厂区</w:t>
            </w:r>
            <w:r>
              <w:rPr>
                <w:rFonts w:hint="eastAsia"/>
                <w:color w:val="auto"/>
                <w:szCs w:val="21"/>
              </w:rPr>
              <w:t>，占地性质为</w:t>
            </w:r>
            <w:r>
              <w:rPr>
                <w:rFonts w:hint="eastAsia"/>
                <w:color w:val="auto"/>
                <w:szCs w:val="21"/>
                <w:lang w:val="en-US" w:eastAsia="zh-CN"/>
              </w:rPr>
              <w:t>建设用地</w:t>
            </w:r>
            <w:r>
              <w:rPr>
                <w:rFonts w:hint="eastAsia"/>
                <w:color w:val="auto"/>
                <w:szCs w:val="21"/>
              </w:rPr>
              <w:t>，</w:t>
            </w:r>
            <w:r>
              <w:rPr>
                <w:color w:val="auto"/>
                <w:szCs w:val="21"/>
              </w:rPr>
              <w:t>项目不新增占地</w:t>
            </w:r>
            <w:r>
              <w:rPr>
                <w:bCs/>
                <w:color w:val="auto"/>
                <w:szCs w:val="21"/>
              </w:rPr>
              <w:t>，项目建设不改变原有土地性质。</w:t>
            </w:r>
            <w:r>
              <w:rPr>
                <w:rFonts w:hint="eastAsia"/>
                <w:bCs/>
                <w:color w:val="auto"/>
                <w:szCs w:val="21"/>
                <w:lang w:val="en-US" w:eastAsia="zh-CN"/>
              </w:rPr>
              <w:t>项目</w:t>
            </w:r>
            <w:r>
              <w:rPr>
                <w:rFonts w:hint="eastAsia"/>
                <w:bCs/>
                <w:color w:val="auto"/>
                <w:szCs w:val="21"/>
              </w:rPr>
              <w:t>占地周围道路及地面</w:t>
            </w:r>
            <w:r>
              <w:rPr>
                <w:rFonts w:hint="eastAsia"/>
                <w:bCs/>
                <w:color w:val="auto"/>
                <w:szCs w:val="21"/>
                <w:lang w:val="en-US" w:eastAsia="zh-CN"/>
              </w:rPr>
              <w:t>已</w:t>
            </w:r>
            <w:r>
              <w:rPr>
                <w:rFonts w:hint="eastAsia"/>
                <w:bCs/>
                <w:color w:val="auto"/>
                <w:szCs w:val="21"/>
              </w:rPr>
              <w:t>全部硬化，</w:t>
            </w:r>
            <w:r>
              <w:rPr>
                <w:rFonts w:hint="eastAsia"/>
                <w:bCs/>
                <w:color w:val="auto"/>
                <w:szCs w:val="21"/>
                <w:lang w:val="en-US" w:eastAsia="zh-CN"/>
              </w:rPr>
              <w:t>施工范围限制在原厂区范围内，不新增施工临时用地</w:t>
            </w:r>
            <w:r>
              <w:rPr>
                <w:rFonts w:hint="eastAsia"/>
                <w:bCs/>
                <w:color w:val="auto"/>
                <w:szCs w:val="21"/>
              </w:rPr>
              <w:t>。</w:t>
            </w:r>
          </w:p>
          <w:p w14:paraId="26CBB92F">
            <w:pPr>
              <w:spacing w:line="360" w:lineRule="auto"/>
              <w:ind w:firstLine="420" w:firstLineChars="200"/>
              <w:rPr>
                <w:bCs/>
                <w:color w:val="auto"/>
                <w:szCs w:val="21"/>
              </w:rPr>
            </w:pPr>
            <w:r>
              <w:rPr>
                <w:bCs/>
                <w:color w:val="auto"/>
                <w:szCs w:val="21"/>
              </w:rPr>
              <w:t>2）对水资源的影响</w:t>
            </w:r>
          </w:p>
          <w:p w14:paraId="3906DA88">
            <w:pPr>
              <w:spacing w:line="360" w:lineRule="auto"/>
              <w:ind w:firstLine="420" w:firstLineChars="200"/>
              <w:rPr>
                <w:bCs/>
                <w:color w:val="auto"/>
                <w:szCs w:val="21"/>
              </w:rPr>
            </w:pPr>
            <w:r>
              <w:rPr>
                <w:bCs/>
                <w:color w:val="auto"/>
                <w:szCs w:val="21"/>
              </w:rPr>
              <w:t>根据工程分析，项目营运期水源为</w:t>
            </w:r>
            <w:r>
              <w:rPr>
                <w:rFonts w:hint="eastAsia"/>
                <w:bCs/>
                <w:color w:val="auto"/>
                <w:szCs w:val="21"/>
                <w:lang w:val="en-US" w:eastAsia="zh-CN"/>
              </w:rPr>
              <w:t>自来水</w:t>
            </w:r>
            <w:r>
              <w:rPr>
                <w:bCs/>
                <w:color w:val="auto"/>
                <w:szCs w:val="21"/>
              </w:rPr>
              <w:t>供水管道</w:t>
            </w:r>
            <w:r>
              <w:rPr>
                <w:rFonts w:hint="eastAsia"/>
                <w:bCs/>
                <w:color w:val="auto"/>
                <w:szCs w:val="21"/>
              </w:rPr>
              <w:t>。</w:t>
            </w:r>
          </w:p>
          <w:p w14:paraId="6FDF5A43">
            <w:pPr>
              <w:spacing w:line="360" w:lineRule="auto"/>
              <w:ind w:firstLine="420" w:firstLineChars="200"/>
              <w:rPr>
                <w:bCs/>
                <w:color w:val="auto"/>
                <w:szCs w:val="21"/>
              </w:rPr>
            </w:pPr>
            <w:r>
              <w:rPr>
                <w:bCs/>
                <w:color w:val="auto"/>
                <w:szCs w:val="21"/>
              </w:rPr>
              <w:t>本项目建成后运营期生产用水主要为职工生活用水等，用水量较小，不会对地下水水位造成明显影响，不属于占用水资源多的项目。</w:t>
            </w:r>
          </w:p>
          <w:p w14:paraId="45DB1C98">
            <w:pPr>
              <w:autoSpaceDE w:val="0"/>
              <w:autoSpaceDN w:val="0"/>
              <w:adjustRightInd w:val="0"/>
              <w:spacing w:line="360" w:lineRule="auto"/>
              <w:ind w:firstLine="420" w:firstLineChars="200"/>
              <w:jc w:val="left"/>
              <w:rPr>
                <w:bCs/>
                <w:color w:val="auto"/>
                <w:szCs w:val="21"/>
              </w:rPr>
            </w:pPr>
            <w:r>
              <w:rPr>
                <w:rFonts w:hint="eastAsia"/>
                <w:bCs/>
                <w:color w:val="auto"/>
                <w:szCs w:val="21"/>
              </w:rPr>
              <w:t>根据相关规定，本次评价提出以下防治措施：</w:t>
            </w:r>
          </w:p>
          <w:p w14:paraId="5168198F">
            <w:pPr>
              <w:spacing w:line="360" w:lineRule="auto"/>
              <w:ind w:firstLine="420" w:firstLineChars="200"/>
              <w:rPr>
                <w:rFonts w:hint="default" w:eastAsia="宋体"/>
                <w:bCs/>
                <w:color w:val="auto"/>
                <w:szCs w:val="21"/>
                <w:highlight w:val="none"/>
                <w:lang w:val="en-US" w:eastAsia="zh-CN"/>
              </w:rPr>
            </w:pPr>
            <w:r>
              <w:rPr>
                <w:rFonts w:hint="eastAsia"/>
                <w:bCs/>
                <w:color w:val="auto"/>
                <w:szCs w:val="21"/>
              </w:rPr>
              <w:t>1）严格控制占地范围，不得占用项目占地外其他土地</w:t>
            </w:r>
            <w:r>
              <w:rPr>
                <w:rFonts w:hint="eastAsia"/>
                <w:bCs/>
                <w:color w:val="auto"/>
                <w:szCs w:val="21"/>
                <w:lang w:eastAsia="zh-CN"/>
              </w:rPr>
              <w:t>，</w:t>
            </w:r>
            <w:r>
              <w:rPr>
                <w:rFonts w:hint="eastAsia"/>
                <w:bCs/>
                <w:color w:val="auto"/>
                <w:szCs w:val="21"/>
                <w:lang w:val="en-US" w:eastAsia="zh-CN"/>
              </w:rPr>
              <w:t>施工范围仅限在厂区范围内，不新增任何临时占地</w:t>
            </w:r>
            <w:r>
              <w:rPr>
                <w:rFonts w:hint="eastAsia"/>
                <w:bCs/>
                <w:color w:val="auto"/>
                <w:szCs w:val="21"/>
              </w:rPr>
              <w:t>；加强施工期管理，</w:t>
            </w:r>
            <w:r>
              <w:rPr>
                <w:rFonts w:hint="eastAsia"/>
                <w:bCs/>
                <w:color w:val="auto"/>
                <w:szCs w:val="21"/>
                <w:lang w:val="en-US" w:eastAsia="zh-CN"/>
              </w:rPr>
              <w:t>加设物料暂存棚，用于减少施工物料堆存产生的扬尘，</w:t>
            </w:r>
            <w:r>
              <w:rPr>
                <w:rFonts w:hint="eastAsia"/>
                <w:bCs/>
                <w:color w:val="auto"/>
                <w:szCs w:val="21"/>
              </w:rPr>
              <w:t>减少水土流失影响；</w:t>
            </w:r>
            <w:r>
              <w:rPr>
                <w:rFonts w:hint="eastAsia"/>
                <w:bCs/>
                <w:color w:val="auto"/>
                <w:szCs w:val="21"/>
                <w:highlight w:val="none"/>
                <w:lang w:val="en-US" w:eastAsia="zh-CN"/>
              </w:rPr>
              <w:t>加强厂区地面硬化等；</w:t>
            </w:r>
          </w:p>
          <w:p w14:paraId="16ECB5DB">
            <w:pPr>
              <w:spacing w:line="360" w:lineRule="auto"/>
              <w:ind w:firstLine="420" w:firstLineChars="200"/>
              <w:rPr>
                <w:rFonts w:hint="eastAsia" w:eastAsia="宋体"/>
                <w:bCs/>
                <w:color w:val="auto"/>
                <w:szCs w:val="21"/>
                <w:highlight w:val="none"/>
                <w:lang w:eastAsia="zh-CN"/>
              </w:rPr>
            </w:pPr>
            <w:r>
              <w:rPr>
                <w:rFonts w:hint="eastAsia"/>
                <w:bCs/>
                <w:color w:val="auto"/>
                <w:szCs w:val="21"/>
                <w:highlight w:val="none"/>
              </w:rPr>
              <w:t>2）提高</w:t>
            </w:r>
            <w:r>
              <w:rPr>
                <w:rFonts w:hint="eastAsia"/>
                <w:bCs/>
                <w:color w:val="auto"/>
                <w:szCs w:val="21"/>
                <w:highlight w:val="none"/>
                <w:lang w:val="en-US" w:eastAsia="zh-CN"/>
              </w:rPr>
              <w:t>厂区范围</w:t>
            </w:r>
            <w:r>
              <w:rPr>
                <w:rFonts w:hint="eastAsia"/>
                <w:bCs/>
                <w:color w:val="auto"/>
                <w:szCs w:val="21"/>
                <w:highlight w:val="none"/>
              </w:rPr>
              <w:t>内的植被覆盖率</w:t>
            </w:r>
            <w:r>
              <w:rPr>
                <w:rFonts w:hint="eastAsia"/>
                <w:bCs/>
                <w:color w:val="auto"/>
                <w:szCs w:val="21"/>
                <w:highlight w:val="none"/>
                <w:lang w:val="en-US" w:eastAsia="zh-CN"/>
              </w:rPr>
              <w:t>，建设符合要求的绿化带</w:t>
            </w:r>
            <w:r>
              <w:rPr>
                <w:rFonts w:hint="eastAsia"/>
                <w:bCs/>
                <w:color w:val="auto"/>
                <w:szCs w:val="21"/>
                <w:highlight w:val="none"/>
              </w:rPr>
              <w:t>，绿化对风沙的侵袭有很好的阻挡作用，能削弱风沙速度</w:t>
            </w:r>
            <w:r>
              <w:rPr>
                <w:rFonts w:hint="eastAsia"/>
                <w:bCs/>
                <w:color w:val="auto"/>
                <w:szCs w:val="21"/>
                <w:highlight w:val="none"/>
                <w:lang w:eastAsia="zh-CN"/>
              </w:rPr>
              <w:t>。</w:t>
            </w:r>
          </w:p>
          <w:p w14:paraId="538D33EE">
            <w:pPr>
              <w:pStyle w:val="77"/>
              <w:snapToGrid/>
              <w:ind w:firstLine="422"/>
              <w:rPr>
                <w:rFonts w:hint="eastAsia" w:ascii="Times New Roman" w:hAnsi="Times New Roman"/>
                <w:b w:val="0"/>
                <w:bCs w:val="0"/>
                <w:color w:val="auto"/>
                <w:szCs w:val="21"/>
                <w:lang w:val="en-US" w:eastAsia="zh-CN"/>
              </w:rPr>
            </w:pPr>
            <w:r>
              <w:rPr>
                <w:b w:val="0"/>
                <w:bCs w:val="0"/>
                <w:color w:val="auto"/>
                <w:szCs w:val="21"/>
              </w:rPr>
              <w:t>由此，评价认为项目实施不会对区域土地沙化情况造成影响。</w:t>
            </w:r>
          </w:p>
          <w:p w14:paraId="420EF624">
            <w:pPr>
              <w:pStyle w:val="77"/>
              <w:snapToGrid/>
              <w:ind w:firstLine="422"/>
              <w:rPr>
                <w:rFonts w:hint="eastAsia" w:ascii="Times New Roman" w:hAnsi="Times New Roman"/>
                <w:b/>
                <w:bCs/>
                <w:color w:val="auto"/>
                <w:szCs w:val="21"/>
                <w:lang w:val="en-US" w:eastAsia="zh-CN"/>
              </w:rPr>
            </w:pPr>
            <w:r>
              <w:rPr>
                <w:rFonts w:hint="eastAsia" w:ascii="Times New Roman" w:hAnsi="Times New Roman"/>
                <w:b/>
                <w:bCs/>
                <w:color w:val="auto"/>
                <w:szCs w:val="21"/>
                <w:lang w:val="en-US" w:eastAsia="zh-CN"/>
              </w:rPr>
              <w:t>4.</w:t>
            </w:r>
            <w:r>
              <w:rPr>
                <w:rFonts w:hint="default" w:ascii="Times New Roman" w:hAnsi="Times New Roman"/>
                <w:b/>
                <w:bCs/>
                <w:color w:val="auto"/>
                <w:szCs w:val="21"/>
                <w:lang w:val="en-US" w:eastAsia="zh-CN"/>
              </w:rPr>
              <w:t>6</w:t>
            </w:r>
            <w:r>
              <w:rPr>
                <w:rFonts w:hint="eastAsia" w:ascii="Times New Roman" w:hAnsi="Times New Roman"/>
                <w:b/>
                <w:bCs/>
                <w:color w:val="auto"/>
                <w:szCs w:val="21"/>
                <w:lang w:val="en-US" w:eastAsia="zh-CN"/>
              </w:rPr>
              <w:t xml:space="preserve">环境风险 </w:t>
            </w:r>
          </w:p>
          <w:p w14:paraId="09A386DA">
            <w:pPr>
              <w:tabs>
                <w:tab w:val="left" w:pos="720"/>
              </w:tabs>
              <w:snapToGrid w:val="0"/>
              <w:spacing w:line="360" w:lineRule="auto"/>
              <w:ind w:firstLine="420" w:firstLineChars="200"/>
              <w:rPr>
                <w:rFonts w:hint="default"/>
                <w:bCs/>
                <w:color w:val="auto"/>
                <w:szCs w:val="21"/>
                <w:lang w:val="en-US" w:eastAsia="zh-CN"/>
              </w:rPr>
            </w:pPr>
            <w:r>
              <w:rPr>
                <w:rFonts w:hint="eastAsia"/>
                <w:bCs/>
                <w:color w:val="auto"/>
                <w:szCs w:val="21"/>
                <w:lang w:val="en-US" w:eastAsia="zh-CN"/>
              </w:rPr>
              <w:t>4.6.1风险识别</w:t>
            </w:r>
          </w:p>
          <w:p w14:paraId="3FF044C4">
            <w:pPr>
              <w:tabs>
                <w:tab w:val="left" w:pos="720"/>
              </w:tabs>
              <w:snapToGrid w:val="0"/>
              <w:spacing w:line="360" w:lineRule="auto"/>
              <w:ind w:firstLine="420" w:firstLineChars="200"/>
              <w:rPr>
                <w:bCs/>
                <w:color w:val="auto"/>
                <w:szCs w:val="21"/>
              </w:rPr>
            </w:pPr>
            <w:r>
              <w:rPr>
                <w:rFonts w:hint="eastAsia"/>
                <w:bCs/>
                <w:color w:val="auto"/>
                <w:szCs w:val="21"/>
              </w:rPr>
              <w:t xml:space="preserve">风险识别的内容主要包括两大部分，生产过程所涉及的物质风险识别和生产设施风险识别，具体识别如下： </w:t>
            </w:r>
          </w:p>
          <w:p w14:paraId="2D21482F">
            <w:pPr>
              <w:spacing w:line="360" w:lineRule="auto"/>
              <w:ind w:firstLine="420" w:firstLineChars="200"/>
              <w:rPr>
                <w:bCs/>
                <w:color w:val="auto"/>
                <w:szCs w:val="21"/>
              </w:rPr>
            </w:pPr>
            <w:r>
              <w:rPr>
                <w:rFonts w:hint="eastAsia"/>
                <w:bCs/>
                <w:color w:val="auto"/>
                <w:szCs w:val="21"/>
              </w:rPr>
              <w:t>（1）风险物质</w:t>
            </w:r>
          </w:p>
          <w:p w14:paraId="2D34274B">
            <w:pPr>
              <w:tabs>
                <w:tab w:val="left" w:pos="720"/>
              </w:tabs>
              <w:snapToGrid w:val="0"/>
              <w:spacing w:line="360" w:lineRule="auto"/>
              <w:ind w:firstLine="420" w:firstLineChars="200"/>
              <w:rPr>
                <w:rFonts w:hint="default" w:eastAsia="新宋体"/>
                <w:color w:val="auto"/>
                <w:lang w:val="en-US" w:eastAsia="zh-CN"/>
              </w:rPr>
            </w:pPr>
            <w:r>
              <w:rPr>
                <w:rFonts w:eastAsia="新宋体"/>
                <w:color w:val="auto"/>
              </w:rPr>
              <w:t>项目主要</w:t>
            </w:r>
            <w:r>
              <w:rPr>
                <w:rFonts w:hint="eastAsia" w:eastAsia="新宋体"/>
                <w:color w:val="auto"/>
                <w:lang w:val="en-US" w:eastAsia="zh-CN"/>
              </w:rPr>
              <w:t>涉及的危险物质包括轻质柴油、导热油、矿物油、废</w:t>
            </w:r>
            <w:r>
              <w:rPr>
                <w:rFonts w:hint="eastAsia"/>
                <w:color w:val="auto"/>
                <w:lang w:val="en-US" w:eastAsia="zh-CN"/>
              </w:rPr>
              <w:t>矿物</w:t>
            </w:r>
            <w:r>
              <w:rPr>
                <w:rFonts w:hint="eastAsia" w:eastAsia="新宋体"/>
                <w:color w:val="auto"/>
                <w:lang w:val="en-US" w:eastAsia="zh-CN"/>
              </w:rPr>
              <w:t>油、废导热油等</w:t>
            </w:r>
            <w:r>
              <w:rPr>
                <w:rFonts w:hint="eastAsia" w:eastAsia="新宋体"/>
                <w:color w:val="auto"/>
              </w:rPr>
              <w:t>。</w:t>
            </w:r>
            <w:r>
              <w:rPr>
                <w:rFonts w:hint="eastAsia" w:eastAsia="新宋体"/>
                <w:color w:val="auto"/>
                <w:lang w:val="en-US" w:eastAsia="zh-CN"/>
              </w:rPr>
              <w:t>根据物料的理化性质、毒性、燃烧爆炸性等数据判断物质危险性。</w:t>
            </w:r>
          </w:p>
          <w:p w14:paraId="1E9ED926">
            <w:pPr>
              <w:tabs>
                <w:tab w:val="left" w:pos="720"/>
              </w:tabs>
              <w:snapToGrid w:val="0"/>
              <w:spacing w:line="360" w:lineRule="auto"/>
              <w:ind w:firstLine="420" w:firstLineChars="200"/>
              <w:rPr>
                <w:rFonts w:eastAsia="新宋体"/>
                <w:color w:val="auto"/>
              </w:rPr>
            </w:pPr>
            <w:r>
              <w:rPr>
                <w:rFonts w:hint="eastAsia" w:eastAsia="新宋体"/>
                <w:color w:val="auto"/>
              </w:rPr>
              <w:t>对照《建设项目环境风险评价技术导则》（HJ169-2018）表B.</w:t>
            </w:r>
            <w:r>
              <w:rPr>
                <w:rFonts w:eastAsia="新宋体"/>
                <w:color w:val="auto"/>
              </w:rPr>
              <w:t>2</w:t>
            </w:r>
            <w:r>
              <w:rPr>
                <w:rFonts w:hint="eastAsia" w:eastAsia="新宋体"/>
                <w:color w:val="auto"/>
              </w:rPr>
              <w:t>和《危险化学品重大危险源辨识》（GB18218-2018）可知：</w:t>
            </w:r>
            <w:r>
              <w:rPr>
                <w:rFonts w:hint="eastAsia" w:eastAsia="新宋体"/>
                <w:color w:val="auto"/>
                <w:lang w:val="en-US" w:eastAsia="zh-CN"/>
              </w:rPr>
              <w:t>矿物油（润滑油）、导热油、柴油等均属于</w:t>
            </w:r>
            <w:r>
              <w:rPr>
                <w:rFonts w:hint="eastAsia" w:eastAsia="新宋体"/>
                <w:color w:val="auto"/>
              </w:rPr>
              <w:t>油类易燃，属于风险物质。</w:t>
            </w:r>
          </w:p>
          <w:p w14:paraId="163CCA86">
            <w:pPr>
              <w:tabs>
                <w:tab w:val="left" w:pos="720"/>
              </w:tabs>
              <w:snapToGrid w:val="0"/>
              <w:spacing w:line="360" w:lineRule="auto"/>
              <w:ind w:firstLine="420" w:firstLineChars="200"/>
              <w:rPr>
                <w:color w:val="auto"/>
              </w:rPr>
            </w:pPr>
            <w:r>
              <w:rPr>
                <w:rFonts w:hint="eastAsia"/>
                <w:color w:val="auto"/>
              </w:rPr>
              <w:t>（2）生产系统风险识别</w:t>
            </w:r>
          </w:p>
          <w:p w14:paraId="62665C6D">
            <w:pPr>
              <w:tabs>
                <w:tab w:val="left" w:pos="720"/>
              </w:tabs>
              <w:snapToGrid w:val="0"/>
              <w:spacing w:line="360" w:lineRule="auto"/>
              <w:ind w:firstLine="420" w:firstLineChars="200"/>
              <w:rPr>
                <w:color w:val="auto"/>
              </w:rPr>
            </w:pPr>
            <w:r>
              <w:rPr>
                <w:color w:val="auto"/>
              </w:rPr>
              <w:t>生产</w:t>
            </w:r>
            <w:r>
              <w:rPr>
                <w:rFonts w:hint="eastAsia"/>
                <w:color w:val="auto"/>
              </w:rPr>
              <w:t>系统</w:t>
            </w:r>
            <w:r>
              <w:rPr>
                <w:color w:val="auto"/>
              </w:rPr>
              <w:t>风险源包括全厂主要生产装置、储运系统、公用工程系统、环保设施及辅助生产设施等。</w:t>
            </w:r>
          </w:p>
          <w:p w14:paraId="45EF9FAE">
            <w:pPr>
              <w:tabs>
                <w:tab w:val="left" w:pos="720"/>
              </w:tabs>
              <w:snapToGrid w:val="0"/>
              <w:spacing w:line="360" w:lineRule="auto"/>
              <w:ind w:firstLine="420" w:firstLineChars="200"/>
              <w:rPr>
                <w:rFonts w:hint="default" w:eastAsia="宋体"/>
                <w:color w:val="auto"/>
                <w:lang w:val="en-US" w:eastAsia="zh-CN"/>
              </w:rPr>
            </w:pPr>
            <w:r>
              <w:rPr>
                <w:rFonts w:hint="eastAsia" w:ascii="宋体" w:hAnsi="宋体"/>
                <w:color w:val="auto"/>
              </w:rPr>
              <w:t>①</w:t>
            </w:r>
            <w:r>
              <w:rPr>
                <w:rFonts w:hint="eastAsia"/>
                <w:color w:val="auto"/>
              </w:rPr>
              <w:t>生产设施风险</w:t>
            </w:r>
            <w:r>
              <w:rPr>
                <w:rFonts w:hint="eastAsia"/>
                <w:bCs/>
                <w:color w:val="auto"/>
              </w:rPr>
              <w:t>识别</w:t>
            </w:r>
            <w:r>
              <w:rPr>
                <w:rFonts w:hint="eastAsia"/>
                <w:color w:val="auto"/>
              </w:rPr>
              <w:t>：</w:t>
            </w:r>
            <w:r>
              <w:rPr>
                <w:rFonts w:hint="eastAsia"/>
                <w:color w:val="auto"/>
                <w:lang w:val="en-US" w:eastAsia="zh-CN"/>
              </w:rPr>
              <w:t>生产设施中未设置高温高压、化学电石等工艺，不构成环境风险；</w:t>
            </w:r>
          </w:p>
          <w:p w14:paraId="5187449A">
            <w:pPr>
              <w:tabs>
                <w:tab w:val="left" w:pos="720"/>
              </w:tabs>
              <w:snapToGrid w:val="0"/>
              <w:spacing w:line="360" w:lineRule="auto"/>
              <w:ind w:firstLine="420" w:firstLineChars="200"/>
              <w:rPr>
                <w:rFonts w:hint="default" w:eastAsia="宋体"/>
                <w:color w:val="auto"/>
                <w:lang w:val="en-US" w:eastAsia="zh-CN"/>
              </w:rPr>
            </w:pPr>
            <w:r>
              <w:rPr>
                <w:rFonts w:hint="eastAsia" w:ascii="宋体" w:hAnsi="宋体"/>
                <w:color w:val="auto"/>
              </w:rPr>
              <w:t>②</w:t>
            </w:r>
            <w:r>
              <w:rPr>
                <w:rFonts w:hint="eastAsia"/>
                <w:color w:val="auto"/>
              </w:rPr>
              <w:t>储运系统风险识别：</w:t>
            </w:r>
            <w:r>
              <w:rPr>
                <w:rFonts w:hint="eastAsia"/>
                <w:color w:val="auto"/>
                <w:lang w:val="en-US" w:eastAsia="zh-CN"/>
              </w:rPr>
              <w:t>原料包括石料、砂、水泥、沥青等，均设置有符合规范要求的储料库、物料仓和筒仓等设施，不构成环境风险；项目设置有6座沥青储罐（地上，配套围堰）、2座导热油储罐（设置在导热油炉北侧，2座储罐为上下连通）、1座柴油储罐（地上，配套围堰），风险物质泄漏，可能构成环境风险。</w:t>
            </w:r>
          </w:p>
          <w:p w14:paraId="12A21F46">
            <w:pPr>
              <w:tabs>
                <w:tab w:val="left" w:pos="720"/>
              </w:tabs>
              <w:snapToGrid w:val="0"/>
              <w:spacing w:line="360" w:lineRule="auto"/>
              <w:ind w:firstLine="420" w:firstLineChars="200"/>
              <w:rPr>
                <w:color w:val="auto"/>
              </w:rPr>
            </w:pPr>
            <w:r>
              <w:rPr>
                <w:rFonts w:hint="eastAsia" w:ascii="宋体" w:hAnsi="宋体"/>
                <w:color w:val="auto"/>
              </w:rPr>
              <w:t>③</w:t>
            </w:r>
            <w:r>
              <w:rPr>
                <w:rFonts w:hint="eastAsia"/>
                <w:color w:val="auto"/>
              </w:rPr>
              <w:t>污染防治措施风险：废气处理装置故障，</w:t>
            </w:r>
            <w:r>
              <w:rPr>
                <w:rFonts w:hint="eastAsia" w:eastAsia="新宋体"/>
                <w:color w:val="auto"/>
                <w:lang w:val="en-US" w:eastAsia="zh-CN"/>
              </w:rPr>
              <w:t>污染物</w:t>
            </w:r>
            <w:r>
              <w:rPr>
                <w:rFonts w:hint="eastAsia"/>
                <w:color w:val="auto"/>
              </w:rPr>
              <w:t>超标排放；</w:t>
            </w:r>
            <w:r>
              <w:rPr>
                <w:rFonts w:hint="eastAsia"/>
                <w:color w:val="auto"/>
                <w:lang w:val="en-US" w:eastAsia="zh-CN"/>
              </w:rPr>
              <w:t>涉水/液</w:t>
            </w:r>
            <w:r>
              <w:rPr>
                <w:rFonts w:hint="eastAsia"/>
                <w:color w:val="auto"/>
              </w:rPr>
              <w:t>管道</w:t>
            </w:r>
            <w:r>
              <w:rPr>
                <w:rFonts w:hint="eastAsia"/>
                <w:color w:val="auto"/>
                <w:lang w:eastAsia="zh-CN"/>
              </w:rPr>
              <w:t>、</w:t>
            </w:r>
            <w:r>
              <w:rPr>
                <w:rFonts w:hint="eastAsia"/>
                <w:color w:val="auto"/>
                <w:lang w:val="en-US" w:eastAsia="zh-CN"/>
              </w:rPr>
              <w:t>池体/围堰</w:t>
            </w:r>
            <w:r>
              <w:rPr>
                <w:rFonts w:hint="eastAsia"/>
                <w:color w:val="auto"/>
              </w:rPr>
              <w:t>防渗层破损、</w:t>
            </w:r>
            <w:r>
              <w:rPr>
                <w:rFonts w:hint="eastAsia"/>
                <w:color w:val="auto"/>
                <w:lang w:eastAsia="zh-CN"/>
              </w:rPr>
              <w:t>危险废物贮存库</w:t>
            </w:r>
            <w:r>
              <w:rPr>
                <w:rFonts w:hint="eastAsia"/>
                <w:color w:val="auto"/>
              </w:rPr>
              <w:t>泄漏，造成废水或危废渗漏污染土壤或地下水。</w:t>
            </w:r>
          </w:p>
          <w:p w14:paraId="6A9EB6CA">
            <w:pPr>
              <w:tabs>
                <w:tab w:val="left" w:pos="720"/>
              </w:tabs>
              <w:snapToGrid w:val="0"/>
              <w:spacing w:line="360" w:lineRule="auto"/>
              <w:ind w:firstLine="420" w:firstLineChars="200"/>
              <w:rPr>
                <w:color w:val="auto"/>
              </w:rPr>
            </w:pPr>
            <w:r>
              <w:rPr>
                <w:rFonts w:hint="eastAsia"/>
                <w:bCs/>
                <w:color w:val="auto"/>
                <w:szCs w:val="21"/>
              </w:rPr>
              <w:t>（3）风险判断</w:t>
            </w:r>
            <w:r>
              <w:rPr>
                <w:color w:val="auto"/>
              </w:rPr>
              <w:t>环境风险潜势</w:t>
            </w:r>
            <w:r>
              <w:rPr>
                <w:rFonts w:hint="eastAsia"/>
                <w:color w:val="auto"/>
              </w:rPr>
              <w:t>判断</w:t>
            </w:r>
          </w:p>
          <w:p w14:paraId="2E12D427">
            <w:pPr>
              <w:jc w:val="center"/>
              <w:rPr>
                <w:b/>
                <w:bCs/>
                <w:color w:val="auto"/>
                <w:szCs w:val="21"/>
              </w:rPr>
            </w:pPr>
            <w:r>
              <w:rPr>
                <w:b/>
                <w:bCs/>
                <w:color w:val="auto"/>
                <w:sz w:val="18"/>
                <w:szCs w:val="18"/>
              </w:rPr>
              <w:t>表</w:t>
            </w:r>
            <w:r>
              <w:rPr>
                <w:rFonts w:hint="eastAsia"/>
                <w:b/>
                <w:bCs/>
                <w:color w:val="auto"/>
                <w:sz w:val="18"/>
                <w:szCs w:val="18"/>
              </w:rPr>
              <w:t>4</w:t>
            </w:r>
            <w:r>
              <w:rPr>
                <w:rFonts w:hint="eastAsia"/>
                <w:b/>
                <w:bCs/>
                <w:color w:val="auto"/>
                <w:sz w:val="18"/>
                <w:szCs w:val="18"/>
                <w:lang w:val="en-US" w:eastAsia="zh-CN"/>
              </w:rPr>
              <w:t>.6</w:t>
            </w:r>
            <w:r>
              <w:rPr>
                <w:rFonts w:hint="eastAsia"/>
                <w:b/>
                <w:bCs/>
                <w:color w:val="auto"/>
                <w:sz w:val="18"/>
                <w:szCs w:val="18"/>
              </w:rPr>
              <w:t xml:space="preserve">-1    </w:t>
            </w:r>
            <w:r>
              <w:rPr>
                <w:b/>
                <w:bCs/>
                <w:color w:val="auto"/>
                <w:sz w:val="18"/>
                <w:szCs w:val="18"/>
              </w:rPr>
              <w:t>本项目Q值计算表</w:t>
            </w:r>
          </w:p>
          <w:tbl>
            <w:tblPr>
              <w:tblStyle w:val="4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596"/>
              <w:gridCol w:w="1449"/>
              <w:gridCol w:w="1036"/>
              <w:gridCol w:w="861"/>
              <w:gridCol w:w="1555"/>
              <w:gridCol w:w="1359"/>
              <w:gridCol w:w="1197"/>
            </w:tblGrid>
            <w:tr w14:paraId="605975A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70" w:type="pct"/>
                  <w:vAlign w:val="center"/>
                </w:tcPr>
                <w:p w14:paraId="6B5AF7D7">
                  <w:pPr>
                    <w:jc w:val="center"/>
                    <w:rPr>
                      <w:color w:val="auto"/>
                      <w:sz w:val="18"/>
                      <w:szCs w:val="18"/>
                    </w:rPr>
                  </w:pPr>
                  <w:r>
                    <w:rPr>
                      <w:color w:val="auto"/>
                      <w:sz w:val="18"/>
                      <w:szCs w:val="18"/>
                    </w:rPr>
                    <w:t>序号</w:t>
                  </w:r>
                </w:p>
              </w:tc>
              <w:tc>
                <w:tcPr>
                  <w:tcW w:w="899" w:type="pct"/>
                  <w:vAlign w:val="center"/>
                </w:tcPr>
                <w:p w14:paraId="3BA2353F">
                  <w:pPr>
                    <w:jc w:val="center"/>
                    <w:rPr>
                      <w:color w:val="auto"/>
                      <w:sz w:val="18"/>
                      <w:szCs w:val="18"/>
                    </w:rPr>
                  </w:pPr>
                  <w:r>
                    <w:rPr>
                      <w:color w:val="auto"/>
                      <w:sz w:val="18"/>
                      <w:szCs w:val="18"/>
                    </w:rPr>
                    <w:t>危险物质名称</w:t>
                  </w:r>
                </w:p>
              </w:tc>
              <w:tc>
                <w:tcPr>
                  <w:tcW w:w="643" w:type="pct"/>
                  <w:vAlign w:val="center"/>
                </w:tcPr>
                <w:p w14:paraId="40B052C3">
                  <w:pPr>
                    <w:jc w:val="center"/>
                    <w:rPr>
                      <w:color w:val="auto"/>
                      <w:sz w:val="18"/>
                      <w:szCs w:val="18"/>
                    </w:rPr>
                  </w:pPr>
                  <w:r>
                    <w:rPr>
                      <w:color w:val="auto"/>
                      <w:sz w:val="18"/>
                      <w:szCs w:val="18"/>
                    </w:rPr>
                    <w:t>CAS号</w:t>
                  </w:r>
                </w:p>
              </w:tc>
              <w:tc>
                <w:tcPr>
                  <w:tcW w:w="534" w:type="pct"/>
                  <w:vAlign w:val="center"/>
                </w:tcPr>
                <w:p w14:paraId="2A6F04E3">
                  <w:pPr>
                    <w:jc w:val="center"/>
                    <w:rPr>
                      <w:color w:val="auto"/>
                      <w:sz w:val="18"/>
                      <w:szCs w:val="18"/>
                    </w:rPr>
                  </w:pPr>
                  <w:r>
                    <w:rPr>
                      <w:color w:val="auto"/>
                      <w:sz w:val="18"/>
                      <w:szCs w:val="18"/>
                    </w:rPr>
                    <w:t>临界量/t</w:t>
                  </w:r>
                </w:p>
              </w:tc>
              <w:tc>
                <w:tcPr>
                  <w:tcW w:w="965" w:type="pct"/>
                  <w:vAlign w:val="center"/>
                </w:tcPr>
                <w:p w14:paraId="1296A76C">
                  <w:pPr>
                    <w:jc w:val="center"/>
                    <w:rPr>
                      <w:color w:val="auto"/>
                      <w:sz w:val="18"/>
                      <w:szCs w:val="18"/>
                    </w:rPr>
                  </w:pPr>
                  <w:r>
                    <w:rPr>
                      <w:color w:val="auto"/>
                      <w:sz w:val="18"/>
                      <w:szCs w:val="18"/>
                    </w:rPr>
                    <w:t>储存方式</w:t>
                  </w:r>
                </w:p>
              </w:tc>
              <w:tc>
                <w:tcPr>
                  <w:tcW w:w="843" w:type="pct"/>
                  <w:vAlign w:val="center"/>
                </w:tcPr>
                <w:p w14:paraId="714BFAC6">
                  <w:pPr>
                    <w:jc w:val="center"/>
                    <w:rPr>
                      <w:color w:val="auto"/>
                      <w:sz w:val="18"/>
                      <w:szCs w:val="18"/>
                    </w:rPr>
                  </w:pPr>
                  <w:r>
                    <w:rPr>
                      <w:color w:val="auto"/>
                      <w:sz w:val="18"/>
                      <w:szCs w:val="18"/>
                    </w:rPr>
                    <w:t>项目最大储量/t</w:t>
                  </w:r>
                </w:p>
              </w:tc>
              <w:tc>
                <w:tcPr>
                  <w:tcW w:w="742" w:type="pct"/>
                  <w:vAlign w:val="center"/>
                </w:tcPr>
                <w:p w14:paraId="23B27656">
                  <w:pPr>
                    <w:jc w:val="center"/>
                    <w:rPr>
                      <w:color w:val="auto"/>
                      <w:sz w:val="18"/>
                      <w:szCs w:val="18"/>
                    </w:rPr>
                  </w:pPr>
                  <w:r>
                    <w:rPr>
                      <w:color w:val="auto"/>
                      <w:sz w:val="18"/>
                      <w:szCs w:val="18"/>
                    </w:rPr>
                    <w:t>Q</w:t>
                  </w:r>
                </w:p>
              </w:tc>
            </w:tr>
            <w:tr w14:paraId="3C0E106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370" w:type="pct"/>
                  <w:vAlign w:val="center"/>
                </w:tcPr>
                <w:p w14:paraId="6CC0D989">
                  <w:pPr>
                    <w:jc w:val="center"/>
                    <w:rPr>
                      <w:rFonts w:hint="eastAsia" w:eastAsia="宋体"/>
                      <w:color w:val="auto"/>
                      <w:sz w:val="18"/>
                      <w:szCs w:val="18"/>
                      <w:lang w:eastAsia="zh-CN"/>
                    </w:rPr>
                  </w:pPr>
                  <w:r>
                    <w:rPr>
                      <w:rFonts w:hint="eastAsia"/>
                      <w:color w:val="auto"/>
                      <w:sz w:val="18"/>
                      <w:szCs w:val="18"/>
                      <w:lang w:val="en-US" w:eastAsia="zh-CN"/>
                    </w:rPr>
                    <w:t>1</w:t>
                  </w:r>
                </w:p>
              </w:tc>
              <w:tc>
                <w:tcPr>
                  <w:tcW w:w="899" w:type="pct"/>
                  <w:vAlign w:val="center"/>
                </w:tcPr>
                <w:p w14:paraId="77DA4604">
                  <w:pPr>
                    <w:jc w:val="center"/>
                    <w:rPr>
                      <w:color w:val="auto"/>
                      <w:sz w:val="18"/>
                      <w:szCs w:val="18"/>
                    </w:rPr>
                  </w:pPr>
                  <w:r>
                    <w:rPr>
                      <w:rFonts w:hint="eastAsia"/>
                      <w:color w:val="auto"/>
                      <w:sz w:val="18"/>
                      <w:szCs w:val="18"/>
                      <w:lang w:val="en-US" w:eastAsia="zh-CN"/>
                    </w:rPr>
                    <w:t>矿物</w:t>
                  </w:r>
                  <w:r>
                    <w:rPr>
                      <w:color w:val="auto"/>
                      <w:sz w:val="18"/>
                      <w:szCs w:val="18"/>
                    </w:rPr>
                    <w:t>油</w:t>
                  </w:r>
                </w:p>
              </w:tc>
              <w:tc>
                <w:tcPr>
                  <w:tcW w:w="643" w:type="pct"/>
                  <w:vAlign w:val="center"/>
                </w:tcPr>
                <w:p w14:paraId="4BBE6380">
                  <w:pPr>
                    <w:jc w:val="center"/>
                    <w:rPr>
                      <w:color w:val="auto"/>
                      <w:sz w:val="18"/>
                      <w:szCs w:val="18"/>
                    </w:rPr>
                  </w:pPr>
                  <w:r>
                    <w:rPr>
                      <w:rFonts w:hint="eastAsia"/>
                      <w:color w:val="auto"/>
                      <w:sz w:val="18"/>
                      <w:szCs w:val="18"/>
                    </w:rPr>
                    <w:t>-</w:t>
                  </w:r>
                </w:p>
              </w:tc>
              <w:tc>
                <w:tcPr>
                  <w:tcW w:w="534" w:type="pct"/>
                  <w:vAlign w:val="center"/>
                </w:tcPr>
                <w:p w14:paraId="0494B32E">
                  <w:pPr>
                    <w:jc w:val="center"/>
                    <w:rPr>
                      <w:color w:val="auto"/>
                      <w:sz w:val="18"/>
                      <w:szCs w:val="18"/>
                    </w:rPr>
                  </w:pPr>
                  <w:r>
                    <w:rPr>
                      <w:rFonts w:hint="eastAsia"/>
                      <w:color w:val="auto"/>
                      <w:sz w:val="18"/>
                      <w:szCs w:val="18"/>
                    </w:rPr>
                    <w:t>2500</w:t>
                  </w:r>
                </w:p>
              </w:tc>
              <w:tc>
                <w:tcPr>
                  <w:tcW w:w="965" w:type="pct"/>
                  <w:tcBorders>
                    <w:top w:val="single" w:color="auto" w:sz="4" w:space="0"/>
                  </w:tcBorders>
                  <w:vAlign w:val="center"/>
                </w:tcPr>
                <w:p w14:paraId="73B94CBD">
                  <w:pPr>
                    <w:jc w:val="center"/>
                    <w:rPr>
                      <w:color w:val="auto"/>
                      <w:sz w:val="18"/>
                      <w:szCs w:val="18"/>
                    </w:rPr>
                  </w:pPr>
                  <w:r>
                    <w:rPr>
                      <w:rFonts w:hint="eastAsia"/>
                      <w:color w:val="auto"/>
                      <w:sz w:val="18"/>
                      <w:szCs w:val="18"/>
                    </w:rPr>
                    <w:t>桶装</w:t>
                  </w:r>
                </w:p>
              </w:tc>
              <w:tc>
                <w:tcPr>
                  <w:tcW w:w="843" w:type="pct"/>
                  <w:tcBorders>
                    <w:top w:val="single" w:color="auto" w:sz="4" w:space="0"/>
                  </w:tcBorders>
                  <w:vAlign w:val="center"/>
                </w:tcPr>
                <w:p w14:paraId="3CEE1358">
                  <w:pPr>
                    <w:jc w:val="center"/>
                    <w:rPr>
                      <w:rFonts w:hint="eastAsia" w:eastAsia="宋体"/>
                      <w:color w:val="auto"/>
                      <w:sz w:val="18"/>
                      <w:szCs w:val="18"/>
                      <w:lang w:val="en-US" w:eastAsia="zh-CN"/>
                    </w:rPr>
                  </w:pPr>
                  <w:r>
                    <w:rPr>
                      <w:rFonts w:hint="eastAsia"/>
                      <w:color w:val="auto"/>
                      <w:sz w:val="18"/>
                      <w:szCs w:val="18"/>
                    </w:rPr>
                    <w:t>0.</w:t>
                  </w:r>
                  <w:r>
                    <w:rPr>
                      <w:rFonts w:hint="eastAsia"/>
                      <w:color w:val="auto"/>
                      <w:sz w:val="18"/>
                      <w:szCs w:val="18"/>
                      <w:lang w:val="en-US" w:eastAsia="zh-CN"/>
                    </w:rPr>
                    <w:t>2</w:t>
                  </w:r>
                </w:p>
              </w:tc>
              <w:tc>
                <w:tcPr>
                  <w:tcW w:w="742" w:type="pct"/>
                  <w:tcBorders>
                    <w:top w:val="single" w:color="auto" w:sz="4" w:space="0"/>
                  </w:tcBorders>
                  <w:vAlign w:val="center"/>
                </w:tcPr>
                <w:p w14:paraId="4407FB30">
                  <w:pPr>
                    <w:jc w:val="center"/>
                    <w:rPr>
                      <w:rFonts w:hint="default" w:eastAsia="宋体"/>
                      <w:color w:val="auto"/>
                      <w:sz w:val="18"/>
                      <w:szCs w:val="18"/>
                      <w:lang w:val="en-US" w:eastAsia="zh-CN"/>
                    </w:rPr>
                  </w:pPr>
                  <w:r>
                    <w:rPr>
                      <w:rFonts w:hint="eastAsia"/>
                      <w:color w:val="auto"/>
                      <w:sz w:val="18"/>
                      <w:szCs w:val="18"/>
                    </w:rPr>
                    <w:t>0.000</w:t>
                  </w:r>
                  <w:r>
                    <w:rPr>
                      <w:rFonts w:hint="eastAsia"/>
                      <w:color w:val="auto"/>
                      <w:sz w:val="18"/>
                      <w:szCs w:val="18"/>
                      <w:lang w:val="en-US" w:eastAsia="zh-CN"/>
                    </w:rPr>
                    <w:t>08</w:t>
                  </w:r>
                </w:p>
              </w:tc>
            </w:tr>
            <w:tr w14:paraId="2DA98C9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370" w:type="pct"/>
                  <w:vAlign w:val="center"/>
                </w:tcPr>
                <w:p w14:paraId="6F9EB226">
                  <w:pPr>
                    <w:jc w:val="center"/>
                    <w:rPr>
                      <w:rFonts w:hint="eastAsia" w:eastAsia="宋体"/>
                      <w:color w:val="auto"/>
                      <w:sz w:val="18"/>
                      <w:szCs w:val="18"/>
                      <w:lang w:eastAsia="zh-CN"/>
                    </w:rPr>
                  </w:pPr>
                  <w:r>
                    <w:rPr>
                      <w:rFonts w:hint="eastAsia"/>
                      <w:color w:val="auto"/>
                      <w:sz w:val="18"/>
                      <w:szCs w:val="18"/>
                      <w:lang w:val="en-US" w:eastAsia="zh-CN"/>
                    </w:rPr>
                    <w:t>2</w:t>
                  </w:r>
                </w:p>
              </w:tc>
              <w:tc>
                <w:tcPr>
                  <w:tcW w:w="899" w:type="pct"/>
                  <w:vAlign w:val="center"/>
                </w:tcPr>
                <w:p w14:paraId="49E98F03">
                  <w:pPr>
                    <w:jc w:val="center"/>
                    <w:rPr>
                      <w:color w:val="auto"/>
                      <w:sz w:val="18"/>
                      <w:szCs w:val="18"/>
                    </w:rPr>
                  </w:pPr>
                  <w:r>
                    <w:rPr>
                      <w:color w:val="auto"/>
                      <w:sz w:val="18"/>
                      <w:szCs w:val="18"/>
                    </w:rPr>
                    <w:t>废</w:t>
                  </w:r>
                  <w:r>
                    <w:rPr>
                      <w:rFonts w:hint="eastAsia"/>
                      <w:color w:val="auto"/>
                      <w:sz w:val="18"/>
                      <w:szCs w:val="18"/>
                      <w:lang w:val="en-US" w:eastAsia="zh-CN"/>
                    </w:rPr>
                    <w:t>矿物</w:t>
                  </w:r>
                  <w:r>
                    <w:rPr>
                      <w:color w:val="auto"/>
                      <w:sz w:val="18"/>
                      <w:szCs w:val="18"/>
                    </w:rPr>
                    <w:t>油</w:t>
                  </w:r>
                </w:p>
              </w:tc>
              <w:tc>
                <w:tcPr>
                  <w:tcW w:w="643" w:type="pct"/>
                  <w:vAlign w:val="center"/>
                </w:tcPr>
                <w:p w14:paraId="6837AFFD">
                  <w:pPr>
                    <w:jc w:val="center"/>
                    <w:rPr>
                      <w:color w:val="auto"/>
                      <w:sz w:val="18"/>
                      <w:szCs w:val="18"/>
                    </w:rPr>
                  </w:pPr>
                  <w:r>
                    <w:rPr>
                      <w:rFonts w:hint="eastAsia"/>
                      <w:color w:val="auto"/>
                      <w:sz w:val="18"/>
                      <w:szCs w:val="18"/>
                    </w:rPr>
                    <w:t>-</w:t>
                  </w:r>
                </w:p>
              </w:tc>
              <w:tc>
                <w:tcPr>
                  <w:tcW w:w="534" w:type="pct"/>
                  <w:vAlign w:val="center"/>
                </w:tcPr>
                <w:p w14:paraId="649633B8">
                  <w:pPr>
                    <w:jc w:val="center"/>
                    <w:rPr>
                      <w:color w:val="auto"/>
                      <w:sz w:val="18"/>
                      <w:szCs w:val="18"/>
                    </w:rPr>
                  </w:pPr>
                  <w:r>
                    <w:rPr>
                      <w:rFonts w:hint="eastAsia"/>
                      <w:color w:val="auto"/>
                      <w:sz w:val="18"/>
                      <w:szCs w:val="18"/>
                    </w:rPr>
                    <w:t>2500</w:t>
                  </w:r>
                </w:p>
              </w:tc>
              <w:tc>
                <w:tcPr>
                  <w:tcW w:w="965" w:type="pct"/>
                  <w:tcBorders>
                    <w:top w:val="single" w:color="auto" w:sz="4" w:space="0"/>
                  </w:tcBorders>
                  <w:vAlign w:val="center"/>
                </w:tcPr>
                <w:p w14:paraId="777C4EAC">
                  <w:pPr>
                    <w:jc w:val="center"/>
                    <w:rPr>
                      <w:color w:val="auto"/>
                      <w:sz w:val="18"/>
                      <w:szCs w:val="18"/>
                    </w:rPr>
                  </w:pPr>
                  <w:r>
                    <w:rPr>
                      <w:rFonts w:hint="eastAsia"/>
                      <w:color w:val="auto"/>
                      <w:sz w:val="18"/>
                      <w:szCs w:val="18"/>
                    </w:rPr>
                    <w:t>桶装</w:t>
                  </w:r>
                </w:p>
              </w:tc>
              <w:tc>
                <w:tcPr>
                  <w:tcW w:w="843" w:type="pct"/>
                  <w:tcBorders>
                    <w:top w:val="single" w:color="auto" w:sz="4" w:space="0"/>
                  </w:tcBorders>
                  <w:vAlign w:val="center"/>
                </w:tcPr>
                <w:p w14:paraId="291A3369">
                  <w:pPr>
                    <w:jc w:val="center"/>
                    <w:rPr>
                      <w:rFonts w:hint="eastAsia" w:eastAsia="宋体"/>
                      <w:color w:val="auto"/>
                      <w:sz w:val="18"/>
                      <w:szCs w:val="18"/>
                      <w:lang w:val="en-US" w:eastAsia="zh-CN"/>
                    </w:rPr>
                  </w:pPr>
                  <w:r>
                    <w:rPr>
                      <w:rFonts w:hint="eastAsia"/>
                      <w:color w:val="auto"/>
                      <w:sz w:val="18"/>
                      <w:szCs w:val="18"/>
                    </w:rPr>
                    <w:t>0.0</w:t>
                  </w:r>
                  <w:r>
                    <w:rPr>
                      <w:rFonts w:hint="eastAsia"/>
                      <w:color w:val="auto"/>
                      <w:sz w:val="18"/>
                      <w:szCs w:val="18"/>
                      <w:lang w:val="en-US" w:eastAsia="zh-CN"/>
                    </w:rPr>
                    <w:t>2</w:t>
                  </w:r>
                </w:p>
              </w:tc>
              <w:tc>
                <w:tcPr>
                  <w:tcW w:w="742" w:type="pct"/>
                  <w:tcBorders>
                    <w:top w:val="single" w:color="auto" w:sz="4" w:space="0"/>
                  </w:tcBorders>
                  <w:vAlign w:val="center"/>
                </w:tcPr>
                <w:p w14:paraId="6F482B1F">
                  <w:pPr>
                    <w:jc w:val="center"/>
                    <w:rPr>
                      <w:rFonts w:hint="default" w:eastAsia="宋体"/>
                      <w:color w:val="auto"/>
                      <w:sz w:val="18"/>
                      <w:szCs w:val="18"/>
                      <w:lang w:val="en-US" w:eastAsia="zh-CN"/>
                    </w:rPr>
                  </w:pPr>
                  <w:r>
                    <w:rPr>
                      <w:rFonts w:hint="eastAsia"/>
                      <w:color w:val="auto"/>
                      <w:sz w:val="18"/>
                      <w:szCs w:val="18"/>
                    </w:rPr>
                    <w:t>0.0000</w:t>
                  </w:r>
                  <w:r>
                    <w:rPr>
                      <w:rFonts w:hint="eastAsia"/>
                      <w:color w:val="auto"/>
                      <w:sz w:val="18"/>
                      <w:szCs w:val="18"/>
                      <w:lang w:val="en-US" w:eastAsia="zh-CN"/>
                    </w:rPr>
                    <w:t>08</w:t>
                  </w:r>
                </w:p>
              </w:tc>
            </w:tr>
            <w:tr w14:paraId="178ABDB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370" w:type="pct"/>
                  <w:vAlign w:val="center"/>
                </w:tcPr>
                <w:p w14:paraId="376BED69">
                  <w:pPr>
                    <w:jc w:val="center"/>
                    <w:rPr>
                      <w:rFonts w:hint="default"/>
                      <w:color w:val="auto"/>
                      <w:sz w:val="18"/>
                      <w:szCs w:val="18"/>
                      <w:lang w:val="en-US" w:eastAsia="zh-CN"/>
                    </w:rPr>
                  </w:pPr>
                  <w:r>
                    <w:rPr>
                      <w:rFonts w:hint="eastAsia"/>
                      <w:color w:val="auto"/>
                      <w:sz w:val="18"/>
                      <w:szCs w:val="18"/>
                      <w:lang w:val="en-US" w:eastAsia="zh-CN"/>
                    </w:rPr>
                    <w:t>3</w:t>
                  </w:r>
                </w:p>
              </w:tc>
              <w:tc>
                <w:tcPr>
                  <w:tcW w:w="899" w:type="pct"/>
                  <w:vAlign w:val="center"/>
                </w:tcPr>
                <w:p w14:paraId="4AFFE384">
                  <w:pPr>
                    <w:jc w:val="center"/>
                    <w:rPr>
                      <w:rFonts w:hint="default" w:eastAsia="宋体"/>
                      <w:color w:val="auto"/>
                      <w:sz w:val="18"/>
                      <w:szCs w:val="18"/>
                      <w:lang w:val="en-US" w:eastAsia="zh-CN"/>
                    </w:rPr>
                  </w:pPr>
                  <w:r>
                    <w:rPr>
                      <w:rFonts w:hint="eastAsia"/>
                      <w:color w:val="auto"/>
                      <w:sz w:val="18"/>
                      <w:szCs w:val="18"/>
                      <w:lang w:val="en-US" w:eastAsia="zh-CN"/>
                    </w:rPr>
                    <w:t>柴油</w:t>
                  </w:r>
                </w:p>
              </w:tc>
              <w:tc>
                <w:tcPr>
                  <w:tcW w:w="643" w:type="pct"/>
                  <w:vAlign w:val="center"/>
                </w:tcPr>
                <w:p w14:paraId="183D8910">
                  <w:pPr>
                    <w:jc w:val="center"/>
                    <w:rPr>
                      <w:rFonts w:hint="eastAsia" w:eastAsia="宋体"/>
                      <w:color w:val="auto"/>
                      <w:sz w:val="18"/>
                      <w:szCs w:val="18"/>
                      <w:lang w:val="en-US" w:eastAsia="zh-CN"/>
                    </w:rPr>
                  </w:pPr>
                  <w:r>
                    <w:rPr>
                      <w:rFonts w:hint="eastAsia"/>
                      <w:color w:val="auto"/>
                      <w:sz w:val="18"/>
                      <w:szCs w:val="18"/>
                      <w:lang w:val="en-US" w:eastAsia="zh-CN"/>
                    </w:rPr>
                    <w:t>-</w:t>
                  </w:r>
                </w:p>
              </w:tc>
              <w:tc>
                <w:tcPr>
                  <w:tcW w:w="534" w:type="pct"/>
                  <w:vAlign w:val="center"/>
                </w:tcPr>
                <w:p w14:paraId="043EF720">
                  <w:pPr>
                    <w:jc w:val="center"/>
                    <w:rPr>
                      <w:rFonts w:hint="default" w:eastAsia="宋体"/>
                      <w:color w:val="auto"/>
                      <w:sz w:val="18"/>
                      <w:szCs w:val="18"/>
                      <w:lang w:val="en-US" w:eastAsia="zh-CN"/>
                    </w:rPr>
                  </w:pPr>
                  <w:r>
                    <w:rPr>
                      <w:rFonts w:hint="eastAsia"/>
                      <w:color w:val="auto"/>
                      <w:sz w:val="18"/>
                      <w:szCs w:val="18"/>
                      <w:lang w:val="en-US" w:eastAsia="zh-CN"/>
                    </w:rPr>
                    <w:t>2500</w:t>
                  </w:r>
                </w:p>
              </w:tc>
              <w:tc>
                <w:tcPr>
                  <w:tcW w:w="965" w:type="pct"/>
                  <w:tcBorders>
                    <w:top w:val="single" w:color="auto" w:sz="4" w:space="0"/>
                  </w:tcBorders>
                  <w:vAlign w:val="center"/>
                </w:tcPr>
                <w:p w14:paraId="26B8F12A">
                  <w:pPr>
                    <w:jc w:val="center"/>
                    <w:rPr>
                      <w:rFonts w:hint="eastAsia" w:eastAsia="宋体"/>
                      <w:color w:val="auto"/>
                      <w:sz w:val="18"/>
                      <w:szCs w:val="18"/>
                      <w:lang w:eastAsia="zh-CN"/>
                    </w:rPr>
                  </w:pPr>
                  <w:r>
                    <w:rPr>
                      <w:rFonts w:hint="eastAsia"/>
                      <w:color w:val="auto"/>
                      <w:sz w:val="18"/>
                      <w:szCs w:val="18"/>
                      <w:lang w:val="en-US" w:eastAsia="zh-CN"/>
                    </w:rPr>
                    <w:t>灌装</w:t>
                  </w:r>
                </w:p>
              </w:tc>
              <w:tc>
                <w:tcPr>
                  <w:tcW w:w="843" w:type="pct"/>
                  <w:tcBorders>
                    <w:top w:val="single" w:color="auto" w:sz="4" w:space="0"/>
                  </w:tcBorders>
                  <w:vAlign w:val="center"/>
                </w:tcPr>
                <w:p w14:paraId="131804FA">
                  <w:pPr>
                    <w:jc w:val="center"/>
                    <w:rPr>
                      <w:rFonts w:hint="default" w:eastAsia="宋体"/>
                      <w:color w:val="auto"/>
                      <w:sz w:val="18"/>
                      <w:szCs w:val="18"/>
                      <w:lang w:val="en-US" w:eastAsia="zh-CN"/>
                    </w:rPr>
                  </w:pPr>
                  <w:r>
                    <w:rPr>
                      <w:rFonts w:hint="eastAsia"/>
                      <w:color w:val="auto"/>
                      <w:sz w:val="18"/>
                      <w:szCs w:val="18"/>
                      <w:lang w:val="en-US" w:eastAsia="zh-CN"/>
                    </w:rPr>
                    <w:t>58</w:t>
                  </w:r>
                </w:p>
              </w:tc>
              <w:tc>
                <w:tcPr>
                  <w:tcW w:w="742" w:type="pct"/>
                  <w:tcBorders>
                    <w:top w:val="single" w:color="auto" w:sz="4" w:space="0"/>
                  </w:tcBorders>
                  <w:vAlign w:val="center"/>
                </w:tcPr>
                <w:p w14:paraId="75FEDF2C">
                  <w:pPr>
                    <w:jc w:val="center"/>
                    <w:rPr>
                      <w:rFonts w:hint="default" w:eastAsia="宋体"/>
                      <w:color w:val="auto"/>
                      <w:sz w:val="18"/>
                      <w:szCs w:val="18"/>
                      <w:lang w:val="en-US" w:eastAsia="zh-CN"/>
                    </w:rPr>
                  </w:pPr>
                  <w:r>
                    <w:rPr>
                      <w:rFonts w:hint="eastAsia"/>
                      <w:color w:val="auto"/>
                      <w:sz w:val="18"/>
                      <w:szCs w:val="18"/>
                      <w:lang w:val="en-US" w:eastAsia="zh-CN"/>
                    </w:rPr>
                    <w:t>0.0232</w:t>
                  </w:r>
                </w:p>
              </w:tc>
            </w:tr>
            <w:tr w14:paraId="1725D11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370" w:type="pct"/>
                  <w:vAlign w:val="center"/>
                </w:tcPr>
                <w:p w14:paraId="403D88BE">
                  <w:pPr>
                    <w:jc w:val="center"/>
                    <w:rPr>
                      <w:rFonts w:hint="default"/>
                      <w:color w:val="auto"/>
                      <w:sz w:val="18"/>
                      <w:szCs w:val="18"/>
                      <w:lang w:val="en-US" w:eastAsia="zh-CN"/>
                    </w:rPr>
                  </w:pPr>
                  <w:r>
                    <w:rPr>
                      <w:rFonts w:hint="eastAsia"/>
                      <w:color w:val="auto"/>
                      <w:sz w:val="18"/>
                      <w:szCs w:val="18"/>
                      <w:lang w:val="en-US" w:eastAsia="zh-CN"/>
                    </w:rPr>
                    <w:t>4</w:t>
                  </w:r>
                </w:p>
              </w:tc>
              <w:tc>
                <w:tcPr>
                  <w:tcW w:w="899" w:type="pct"/>
                  <w:vAlign w:val="center"/>
                </w:tcPr>
                <w:p w14:paraId="3411D81E">
                  <w:pPr>
                    <w:jc w:val="center"/>
                    <w:rPr>
                      <w:rFonts w:hint="default"/>
                      <w:color w:val="auto"/>
                      <w:sz w:val="18"/>
                      <w:szCs w:val="18"/>
                      <w:lang w:val="en-US" w:eastAsia="zh-CN"/>
                    </w:rPr>
                  </w:pPr>
                  <w:r>
                    <w:rPr>
                      <w:rFonts w:hint="eastAsia"/>
                      <w:color w:val="auto"/>
                      <w:sz w:val="18"/>
                      <w:szCs w:val="18"/>
                      <w:lang w:val="en-US" w:eastAsia="zh-CN"/>
                    </w:rPr>
                    <w:t>导热油</w:t>
                  </w:r>
                </w:p>
              </w:tc>
              <w:tc>
                <w:tcPr>
                  <w:tcW w:w="643" w:type="pct"/>
                  <w:vAlign w:val="center"/>
                </w:tcPr>
                <w:p w14:paraId="20450EBD">
                  <w:pPr>
                    <w:jc w:val="center"/>
                    <w:rPr>
                      <w:rFonts w:hint="default"/>
                      <w:color w:val="auto"/>
                      <w:sz w:val="18"/>
                      <w:szCs w:val="18"/>
                      <w:lang w:val="en-US" w:eastAsia="zh-CN"/>
                    </w:rPr>
                  </w:pPr>
                  <w:r>
                    <w:rPr>
                      <w:rFonts w:hint="eastAsia"/>
                      <w:color w:val="auto"/>
                      <w:sz w:val="18"/>
                      <w:szCs w:val="18"/>
                      <w:lang w:val="en-US" w:eastAsia="zh-CN"/>
                    </w:rPr>
                    <w:t>-</w:t>
                  </w:r>
                </w:p>
              </w:tc>
              <w:tc>
                <w:tcPr>
                  <w:tcW w:w="534" w:type="pct"/>
                  <w:vAlign w:val="center"/>
                </w:tcPr>
                <w:p w14:paraId="5DFF6402">
                  <w:pPr>
                    <w:jc w:val="center"/>
                    <w:rPr>
                      <w:rFonts w:hint="default"/>
                      <w:color w:val="auto"/>
                      <w:sz w:val="18"/>
                      <w:szCs w:val="18"/>
                      <w:lang w:val="en-US" w:eastAsia="zh-CN"/>
                    </w:rPr>
                  </w:pPr>
                  <w:r>
                    <w:rPr>
                      <w:rFonts w:hint="eastAsia"/>
                      <w:color w:val="auto"/>
                      <w:sz w:val="18"/>
                      <w:szCs w:val="18"/>
                      <w:lang w:val="en-US" w:eastAsia="zh-CN"/>
                    </w:rPr>
                    <w:t>2500</w:t>
                  </w:r>
                </w:p>
              </w:tc>
              <w:tc>
                <w:tcPr>
                  <w:tcW w:w="965" w:type="pct"/>
                  <w:tcBorders>
                    <w:top w:val="single" w:color="auto" w:sz="4" w:space="0"/>
                  </w:tcBorders>
                  <w:vAlign w:val="center"/>
                </w:tcPr>
                <w:p w14:paraId="7E6C2A97">
                  <w:pPr>
                    <w:jc w:val="center"/>
                    <w:rPr>
                      <w:rFonts w:hint="eastAsia" w:eastAsia="宋体"/>
                      <w:color w:val="auto"/>
                      <w:sz w:val="18"/>
                      <w:szCs w:val="18"/>
                      <w:lang w:val="en-US" w:eastAsia="zh-CN"/>
                    </w:rPr>
                  </w:pPr>
                  <w:r>
                    <w:rPr>
                      <w:rFonts w:hint="eastAsia"/>
                      <w:color w:val="auto"/>
                      <w:sz w:val="18"/>
                      <w:szCs w:val="18"/>
                      <w:lang w:val="en-US" w:eastAsia="zh-CN"/>
                    </w:rPr>
                    <w:t>灌装</w:t>
                  </w:r>
                </w:p>
              </w:tc>
              <w:tc>
                <w:tcPr>
                  <w:tcW w:w="843" w:type="pct"/>
                  <w:tcBorders>
                    <w:top w:val="single" w:color="auto" w:sz="4" w:space="0"/>
                  </w:tcBorders>
                  <w:vAlign w:val="center"/>
                </w:tcPr>
                <w:p w14:paraId="785091CA">
                  <w:pPr>
                    <w:jc w:val="center"/>
                    <w:rPr>
                      <w:rFonts w:hint="default"/>
                      <w:color w:val="auto"/>
                      <w:sz w:val="18"/>
                      <w:szCs w:val="18"/>
                      <w:lang w:val="en-US" w:eastAsia="zh-CN"/>
                    </w:rPr>
                  </w:pPr>
                  <w:r>
                    <w:rPr>
                      <w:rFonts w:hint="eastAsia"/>
                      <w:color w:val="auto"/>
                      <w:sz w:val="18"/>
                      <w:szCs w:val="18"/>
                      <w:lang w:val="en-US" w:eastAsia="zh-CN"/>
                    </w:rPr>
                    <w:t>2.5</w:t>
                  </w:r>
                </w:p>
              </w:tc>
              <w:tc>
                <w:tcPr>
                  <w:tcW w:w="742" w:type="pct"/>
                  <w:tcBorders>
                    <w:top w:val="single" w:color="auto" w:sz="4" w:space="0"/>
                  </w:tcBorders>
                  <w:vAlign w:val="center"/>
                </w:tcPr>
                <w:p w14:paraId="7F4988ED">
                  <w:pPr>
                    <w:jc w:val="center"/>
                    <w:rPr>
                      <w:rFonts w:hint="eastAsia"/>
                      <w:color w:val="auto"/>
                      <w:sz w:val="18"/>
                      <w:szCs w:val="18"/>
                      <w:lang w:val="en-US" w:eastAsia="zh-CN"/>
                    </w:rPr>
                  </w:pPr>
                  <w:r>
                    <w:rPr>
                      <w:rFonts w:hint="eastAsia"/>
                      <w:color w:val="auto"/>
                      <w:sz w:val="18"/>
                      <w:szCs w:val="18"/>
                      <w:lang w:val="en-US" w:eastAsia="zh-CN"/>
                    </w:rPr>
                    <w:t>0.001</w:t>
                  </w:r>
                </w:p>
              </w:tc>
            </w:tr>
            <w:tr w14:paraId="46AD5DB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370" w:type="pct"/>
                  <w:vAlign w:val="center"/>
                </w:tcPr>
                <w:p w14:paraId="4B485159">
                  <w:pPr>
                    <w:jc w:val="center"/>
                    <w:rPr>
                      <w:rFonts w:hint="default"/>
                      <w:color w:val="auto"/>
                      <w:sz w:val="18"/>
                      <w:szCs w:val="18"/>
                      <w:lang w:val="en-US" w:eastAsia="zh-CN"/>
                    </w:rPr>
                  </w:pPr>
                  <w:r>
                    <w:rPr>
                      <w:rFonts w:hint="eastAsia"/>
                      <w:color w:val="auto"/>
                      <w:sz w:val="18"/>
                      <w:szCs w:val="18"/>
                      <w:lang w:val="en-US" w:eastAsia="zh-CN"/>
                    </w:rPr>
                    <w:t>5</w:t>
                  </w:r>
                </w:p>
              </w:tc>
              <w:tc>
                <w:tcPr>
                  <w:tcW w:w="899" w:type="pct"/>
                  <w:vAlign w:val="center"/>
                </w:tcPr>
                <w:p w14:paraId="1DDE299F">
                  <w:pPr>
                    <w:jc w:val="center"/>
                    <w:rPr>
                      <w:rFonts w:hint="default"/>
                      <w:color w:val="auto"/>
                      <w:sz w:val="18"/>
                      <w:szCs w:val="18"/>
                      <w:lang w:val="en-US" w:eastAsia="zh-CN"/>
                    </w:rPr>
                  </w:pPr>
                  <w:r>
                    <w:rPr>
                      <w:rFonts w:hint="eastAsia"/>
                      <w:color w:val="auto"/>
                      <w:sz w:val="18"/>
                      <w:szCs w:val="18"/>
                      <w:lang w:val="en-US" w:eastAsia="zh-CN"/>
                    </w:rPr>
                    <w:t>废导热油</w:t>
                  </w:r>
                </w:p>
              </w:tc>
              <w:tc>
                <w:tcPr>
                  <w:tcW w:w="643" w:type="pct"/>
                  <w:vAlign w:val="center"/>
                </w:tcPr>
                <w:p w14:paraId="15558DBE">
                  <w:pPr>
                    <w:jc w:val="center"/>
                    <w:rPr>
                      <w:rFonts w:hint="default"/>
                      <w:color w:val="auto"/>
                      <w:sz w:val="18"/>
                      <w:szCs w:val="18"/>
                      <w:lang w:val="en-US" w:eastAsia="zh-CN"/>
                    </w:rPr>
                  </w:pPr>
                  <w:r>
                    <w:rPr>
                      <w:rFonts w:hint="eastAsia"/>
                      <w:color w:val="auto"/>
                      <w:sz w:val="18"/>
                      <w:szCs w:val="18"/>
                      <w:lang w:val="en-US" w:eastAsia="zh-CN"/>
                    </w:rPr>
                    <w:t>-</w:t>
                  </w:r>
                </w:p>
              </w:tc>
              <w:tc>
                <w:tcPr>
                  <w:tcW w:w="534" w:type="pct"/>
                  <w:vAlign w:val="center"/>
                </w:tcPr>
                <w:p w14:paraId="4E4C9F34">
                  <w:pPr>
                    <w:jc w:val="center"/>
                    <w:rPr>
                      <w:rFonts w:hint="default"/>
                      <w:color w:val="auto"/>
                      <w:sz w:val="18"/>
                      <w:szCs w:val="18"/>
                      <w:lang w:val="en-US" w:eastAsia="zh-CN"/>
                    </w:rPr>
                  </w:pPr>
                  <w:r>
                    <w:rPr>
                      <w:rFonts w:hint="eastAsia"/>
                      <w:color w:val="auto"/>
                      <w:sz w:val="18"/>
                      <w:szCs w:val="18"/>
                      <w:lang w:val="en-US" w:eastAsia="zh-CN"/>
                    </w:rPr>
                    <w:t>2500</w:t>
                  </w:r>
                </w:p>
              </w:tc>
              <w:tc>
                <w:tcPr>
                  <w:tcW w:w="965" w:type="pct"/>
                  <w:tcBorders>
                    <w:top w:val="single" w:color="auto" w:sz="4" w:space="0"/>
                  </w:tcBorders>
                  <w:vAlign w:val="center"/>
                </w:tcPr>
                <w:p w14:paraId="6A5A98E6">
                  <w:pPr>
                    <w:jc w:val="center"/>
                    <w:rPr>
                      <w:rFonts w:hint="default" w:eastAsia="宋体"/>
                      <w:color w:val="auto"/>
                      <w:sz w:val="18"/>
                      <w:szCs w:val="18"/>
                      <w:lang w:val="en-US" w:eastAsia="zh-CN"/>
                    </w:rPr>
                  </w:pPr>
                  <w:r>
                    <w:rPr>
                      <w:rFonts w:hint="eastAsia"/>
                      <w:color w:val="auto"/>
                      <w:sz w:val="18"/>
                      <w:szCs w:val="18"/>
                      <w:lang w:val="en-US" w:eastAsia="zh-CN"/>
                    </w:rPr>
                    <w:t>不作厂区内贮存</w:t>
                  </w:r>
                </w:p>
              </w:tc>
              <w:tc>
                <w:tcPr>
                  <w:tcW w:w="843" w:type="pct"/>
                  <w:tcBorders>
                    <w:top w:val="single" w:color="auto" w:sz="4" w:space="0"/>
                  </w:tcBorders>
                  <w:vAlign w:val="center"/>
                </w:tcPr>
                <w:p w14:paraId="0720D019">
                  <w:pPr>
                    <w:jc w:val="center"/>
                    <w:rPr>
                      <w:rFonts w:hint="default"/>
                      <w:color w:val="auto"/>
                      <w:sz w:val="18"/>
                      <w:szCs w:val="18"/>
                      <w:lang w:val="en-US" w:eastAsia="zh-CN"/>
                    </w:rPr>
                  </w:pPr>
                  <w:r>
                    <w:rPr>
                      <w:rFonts w:hint="eastAsia"/>
                      <w:color w:val="auto"/>
                      <w:sz w:val="18"/>
                      <w:szCs w:val="18"/>
                      <w:lang w:val="en-US" w:eastAsia="zh-CN"/>
                    </w:rPr>
                    <w:t>-</w:t>
                  </w:r>
                </w:p>
              </w:tc>
              <w:tc>
                <w:tcPr>
                  <w:tcW w:w="742" w:type="pct"/>
                  <w:tcBorders>
                    <w:top w:val="single" w:color="auto" w:sz="4" w:space="0"/>
                  </w:tcBorders>
                  <w:vAlign w:val="center"/>
                </w:tcPr>
                <w:p w14:paraId="33D97D21">
                  <w:pPr>
                    <w:jc w:val="center"/>
                    <w:rPr>
                      <w:rFonts w:hint="default"/>
                      <w:color w:val="auto"/>
                      <w:sz w:val="18"/>
                      <w:szCs w:val="18"/>
                      <w:lang w:val="en-US" w:eastAsia="zh-CN"/>
                    </w:rPr>
                  </w:pPr>
                  <w:r>
                    <w:rPr>
                      <w:rFonts w:hint="eastAsia"/>
                      <w:color w:val="auto"/>
                      <w:sz w:val="18"/>
                      <w:szCs w:val="18"/>
                      <w:lang w:val="en-US" w:eastAsia="zh-CN"/>
                    </w:rPr>
                    <w:t>-</w:t>
                  </w:r>
                </w:p>
              </w:tc>
            </w:tr>
            <w:tr w14:paraId="1E38E81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70" w:type="pct"/>
                  <w:vAlign w:val="center"/>
                </w:tcPr>
                <w:p w14:paraId="34040372">
                  <w:pPr>
                    <w:jc w:val="center"/>
                    <w:rPr>
                      <w:color w:val="auto"/>
                      <w:sz w:val="18"/>
                      <w:szCs w:val="18"/>
                    </w:rPr>
                  </w:pPr>
                </w:p>
              </w:tc>
              <w:tc>
                <w:tcPr>
                  <w:tcW w:w="899" w:type="pct"/>
                  <w:vAlign w:val="center"/>
                </w:tcPr>
                <w:p w14:paraId="3A3EFBA1">
                  <w:pPr>
                    <w:jc w:val="center"/>
                    <w:rPr>
                      <w:color w:val="auto"/>
                      <w:sz w:val="18"/>
                      <w:szCs w:val="18"/>
                    </w:rPr>
                  </w:pPr>
                  <w:r>
                    <w:rPr>
                      <w:rFonts w:hint="eastAsia"/>
                      <w:color w:val="auto"/>
                      <w:sz w:val="18"/>
                      <w:szCs w:val="18"/>
                    </w:rPr>
                    <w:t>合计</w:t>
                  </w:r>
                </w:p>
              </w:tc>
              <w:tc>
                <w:tcPr>
                  <w:tcW w:w="643" w:type="pct"/>
                  <w:vAlign w:val="center"/>
                </w:tcPr>
                <w:p w14:paraId="37A0BE5E">
                  <w:pPr>
                    <w:jc w:val="center"/>
                    <w:rPr>
                      <w:color w:val="auto"/>
                      <w:sz w:val="18"/>
                      <w:szCs w:val="18"/>
                    </w:rPr>
                  </w:pPr>
                </w:p>
              </w:tc>
              <w:tc>
                <w:tcPr>
                  <w:tcW w:w="534" w:type="pct"/>
                  <w:vAlign w:val="center"/>
                </w:tcPr>
                <w:p w14:paraId="07E3438A">
                  <w:pPr>
                    <w:jc w:val="center"/>
                    <w:rPr>
                      <w:color w:val="auto"/>
                      <w:sz w:val="18"/>
                      <w:szCs w:val="18"/>
                    </w:rPr>
                  </w:pPr>
                </w:p>
              </w:tc>
              <w:tc>
                <w:tcPr>
                  <w:tcW w:w="965" w:type="pct"/>
                  <w:vAlign w:val="center"/>
                </w:tcPr>
                <w:p w14:paraId="4EE0629B">
                  <w:pPr>
                    <w:jc w:val="center"/>
                    <w:rPr>
                      <w:color w:val="auto"/>
                      <w:sz w:val="18"/>
                      <w:szCs w:val="18"/>
                    </w:rPr>
                  </w:pPr>
                </w:p>
              </w:tc>
              <w:tc>
                <w:tcPr>
                  <w:tcW w:w="843" w:type="pct"/>
                  <w:vAlign w:val="center"/>
                </w:tcPr>
                <w:p w14:paraId="5CD0550B">
                  <w:pPr>
                    <w:jc w:val="center"/>
                    <w:rPr>
                      <w:color w:val="auto"/>
                      <w:sz w:val="18"/>
                      <w:szCs w:val="18"/>
                    </w:rPr>
                  </w:pPr>
                </w:p>
              </w:tc>
              <w:tc>
                <w:tcPr>
                  <w:tcW w:w="742" w:type="pct"/>
                  <w:vAlign w:val="center"/>
                </w:tcPr>
                <w:p w14:paraId="641D227C">
                  <w:pPr>
                    <w:jc w:val="center"/>
                    <w:rPr>
                      <w:rFonts w:hint="default"/>
                      <w:color w:val="auto"/>
                      <w:sz w:val="18"/>
                      <w:szCs w:val="18"/>
                      <w:lang w:val="en-US"/>
                    </w:rPr>
                  </w:pPr>
                  <w:r>
                    <w:rPr>
                      <w:rFonts w:hint="eastAsia"/>
                      <w:color w:val="auto"/>
                      <w:sz w:val="18"/>
                      <w:szCs w:val="18"/>
                    </w:rPr>
                    <w:t>0</w:t>
                  </w:r>
                  <w:r>
                    <w:rPr>
                      <w:rFonts w:hint="eastAsia"/>
                      <w:color w:val="auto"/>
                      <w:sz w:val="18"/>
                      <w:szCs w:val="18"/>
                      <w:lang w:val="en-US" w:eastAsia="zh-CN"/>
                    </w:rPr>
                    <w:t>.024288</w:t>
                  </w:r>
                </w:p>
              </w:tc>
            </w:tr>
          </w:tbl>
          <w:p w14:paraId="0A6F4E22">
            <w:pPr>
              <w:tabs>
                <w:tab w:val="left" w:pos="720"/>
              </w:tabs>
              <w:snapToGrid w:val="0"/>
              <w:spacing w:line="360" w:lineRule="auto"/>
              <w:ind w:firstLine="420" w:firstLineChars="200"/>
              <w:rPr>
                <w:bCs/>
                <w:color w:val="auto"/>
              </w:rPr>
            </w:pPr>
            <w:r>
              <w:rPr>
                <w:rFonts w:hint="eastAsia"/>
                <w:bCs/>
                <w:color w:val="auto"/>
              </w:rPr>
              <w:t>由表4</w:t>
            </w:r>
            <w:r>
              <w:rPr>
                <w:rFonts w:hint="eastAsia"/>
                <w:bCs/>
                <w:color w:val="auto"/>
                <w:lang w:val="en-US" w:eastAsia="zh-CN"/>
              </w:rPr>
              <w:t>.6</w:t>
            </w:r>
            <w:r>
              <w:rPr>
                <w:rFonts w:hint="eastAsia"/>
                <w:bCs/>
                <w:color w:val="auto"/>
              </w:rPr>
              <w:t>-1可知，本项目 Q =0.</w:t>
            </w:r>
            <w:r>
              <w:rPr>
                <w:rFonts w:hint="eastAsia"/>
                <w:bCs/>
                <w:color w:val="auto"/>
                <w:lang w:val="en-US" w:eastAsia="zh-CN"/>
              </w:rPr>
              <w:t>024288</w:t>
            </w:r>
            <w:r>
              <w:rPr>
                <w:rFonts w:hint="eastAsia"/>
                <w:color w:val="auto"/>
              </w:rPr>
              <w:t>&lt;</w:t>
            </w:r>
            <w:r>
              <w:rPr>
                <w:rFonts w:hint="eastAsia"/>
                <w:bCs/>
                <w:color w:val="auto"/>
              </w:rPr>
              <w:t>1，因此风险潜势为I，因此本次环境风险评价为简单分析。</w:t>
            </w:r>
          </w:p>
          <w:p w14:paraId="3EBAB89A">
            <w:pPr>
              <w:spacing w:line="360" w:lineRule="auto"/>
              <w:ind w:firstLine="420" w:firstLineChars="200"/>
              <w:rPr>
                <w:rFonts w:hint="default" w:eastAsia="宋体"/>
                <w:bCs/>
                <w:color w:val="auto"/>
                <w:szCs w:val="21"/>
                <w:lang w:val="en-US" w:eastAsia="zh-CN"/>
              </w:rPr>
            </w:pPr>
            <w:r>
              <w:rPr>
                <w:rFonts w:hint="eastAsia"/>
                <w:bCs/>
                <w:color w:val="auto"/>
                <w:szCs w:val="21"/>
                <w:lang w:val="en-US" w:eastAsia="zh-CN"/>
              </w:rPr>
              <w:t>4.6</w:t>
            </w:r>
            <w:r>
              <w:rPr>
                <w:rFonts w:hint="eastAsia"/>
                <w:bCs/>
                <w:color w:val="auto"/>
                <w:szCs w:val="21"/>
              </w:rPr>
              <w:t>.2</w:t>
            </w:r>
            <w:r>
              <w:rPr>
                <w:rFonts w:hint="eastAsia"/>
                <w:bCs/>
                <w:color w:val="auto"/>
                <w:szCs w:val="21"/>
                <w:lang w:val="en-US" w:eastAsia="zh-CN"/>
              </w:rPr>
              <w:t>影响途径</w:t>
            </w:r>
          </w:p>
          <w:p w14:paraId="5E6388A1">
            <w:pPr>
              <w:numPr>
                <w:ilvl w:val="0"/>
                <w:numId w:val="3"/>
              </w:numPr>
              <w:spacing w:line="360" w:lineRule="auto"/>
              <w:ind w:firstLine="420" w:firstLineChars="200"/>
              <w:rPr>
                <w:rFonts w:hint="eastAsia"/>
                <w:bCs/>
                <w:color w:val="auto"/>
                <w:szCs w:val="21"/>
                <w:lang w:val="en-US" w:eastAsia="zh-CN"/>
              </w:rPr>
            </w:pPr>
            <w:r>
              <w:rPr>
                <w:rFonts w:hint="eastAsia"/>
                <w:bCs/>
                <w:color w:val="auto"/>
                <w:szCs w:val="21"/>
                <w:lang w:val="en-US" w:eastAsia="zh-CN"/>
              </w:rPr>
              <w:t>由于油品包装、储罐质量或施工原因或采取的防漏措施等不当或不足，造成物料泄漏，影响地表水、土壤、地下水环境；</w:t>
            </w:r>
          </w:p>
          <w:p w14:paraId="47228088">
            <w:pPr>
              <w:numPr>
                <w:ilvl w:val="0"/>
                <w:numId w:val="3"/>
              </w:numPr>
              <w:spacing w:line="360" w:lineRule="auto"/>
              <w:ind w:firstLine="420" w:firstLineChars="200"/>
              <w:rPr>
                <w:bCs/>
                <w:color w:val="auto"/>
                <w:szCs w:val="21"/>
              </w:rPr>
            </w:pPr>
            <w:r>
              <w:rPr>
                <w:rFonts w:hint="eastAsia"/>
                <w:bCs/>
                <w:color w:val="auto"/>
                <w:szCs w:val="21"/>
                <w:lang w:val="en-US" w:eastAsia="zh-CN"/>
              </w:rPr>
              <w:t>输油管道材料质量、施工原因、防渗防腐措施不到位，或者人为损害、操作不当等原因，到这管道破损，致使油品泄漏，外排至周围环境；</w:t>
            </w:r>
          </w:p>
          <w:p w14:paraId="20548B64">
            <w:pPr>
              <w:numPr>
                <w:ilvl w:val="0"/>
                <w:numId w:val="3"/>
              </w:numPr>
              <w:spacing w:line="360" w:lineRule="auto"/>
              <w:ind w:firstLine="420" w:firstLineChars="200"/>
              <w:rPr>
                <w:bCs/>
                <w:color w:val="auto"/>
                <w:szCs w:val="21"/>
              </w:rPr>
            </w:pPr>
            <w:r>
              <w:rPr>
                <w:rFonts w:hint="eastAsia"/>
                <w:bCs/>
                <w:color w:val="auto"/>
                <w:szCs w:val="21"/>
                <w:lang w:val="en-US" w:eastAsia="zh-CN"/>
              </w:rPr>
              <w:t>伴生、次生事故分析：由于油品泄漏遇明火造成火灾、爆炸等事故引发其他设备的泄漏或火灾事故，造成连锁事故性火灾、爆炸</w:t>
            </w:r>
            <w:r>
              <w:rPr>
                <w:rFonts w:hint="eastAsia"/>
                <w:bCs/>
                <w:color w:val="auto"/>
                <w:szCs w:val="21"/>
              </w:rPr>
              <w:t>。</w:t>
            </w:r>
          </w:p>
          <w:p w14:paraId="0850AFE5">
            <w:pPr>
              <w:numPr>
                <w:ilvl w:val="0"/>
                <w:numId w:val="0"/>
              </w:numPr>
              <w:spacing w:line="360" w:lineRule="auto"/>
              <w:ind w:firstLine="420"/>
              <w:rPr>
                <w:rFonts w:hint="eastAsia"/>
                <w:bCs/>
                <w:color w:val="auto"/>
                <w:szCs w:val="21"/>
                <w:lang w:val="en-US" w:eastAsia="zh-CN"/>
              </w:rPr>
            </w:pPr>
            <w:r>
              <w:rPr>
                <w:rFonts w:hint="eastAsia"/>
                <w:bCs/>
                <w:color w:val="auto"/>
                <w:szCs w:val="21"/>
                <w:lang w:val="en-US" w:eastAsia="zh-CN"/>
              </w:rPr>
              <w:t>4.6.3环境影响分析</w:t>
            </w:r>
          </w:p>
          <w:p w14:paraId="6172BA74">
            <w:pPr>
              <w:numPr>
                <w:ilvl w:val="0"/>
                <w:numId w:val="0"/>
              </w:numPr>
              <w:spacing w:line="360" w:lineRule="auto"/>
              <w:ind w:firstLine="420"/>
              <w:rPr>
                <w:rFonts w:hint="eastAsia"/>
                <w:bCs/>
                <w:color w:val="auto"/>
                <w:szCs w:val="21"/>
                <w:lang w:val="en-US" w:eastAsia="zh-CN"/>
              </w:rPr>
            </w:pPr>
            <w:r>
              <w:rPr>
                <w:rFonts w:hint="eastAsia"/>
                <w:bCs/>
                <w:color w:val="auto"/>
                <w:szCs w:val="21"/>
                <w:lang w:val="en-US" w:eastAsia="zh-CN"/>
              </w:rPr>
              <w:t>（1）大气环境风险影响</w:t>
            </w:r>
          </w:p>
          <w:p w14:paraId="43C3F285">
            <w:pPr>
              <w:tabs>
                <w:tab w:val="left" w:pos="720"/>
              </w:tabs>
              <w:snapToGrid w:val="0"/>
              <w:spacing w:line="360" w:lineRule="auto"/>
              <w:ind w:firstLine="420" w:firstLineChars="200"/>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 xml:space="preserve">油品泄漏后遇明火引发火灾，当易燃物质聚集到一定极限，极易引发爆炸事故。发生火灾爆炸产生的浓烟以燃烧点（或爆炸点）为中心在一定范围内降落，燃烧点（或爆炸点）上空局部气温、气压、能见度等会产生明显的变化，对局部大气环境造成短期影响。柴油物质燃烧时将产生 </w:t>
            </w:r>
            <w:r>
              <w:rPr>
                <w:rFonts w:hint="default" w:ascii="Times New Roman" w:hAnsi="Times New Roman" w:eastAsia="宋体" w:cs="Times New Roman"/>
                <w:b w:val="0"/>
                <w:bCs w:val="0"/>
                <w:color w:val="auto"/>
                <w:szCs w:val="21"/>
                <w:lang w:val="en-US" w:eastAsia="zh-CN"/>
              </w:rPr>
              <w:t>CO</w:t>
            </w:r>
            <w:r>
              <w:rPr>
                <w:rFonts w:hint="eastAsia" w:ascii="Times New Roman" w:hAnsi="Times New Roman" w:eastAsia="宋体" w:cs="Times New Roman"/>
                <w:b w:val="0"/>
                <w:bCs w:val="0"/>
                <w:color w:val="auto"/>
                <w:szCs w:val="21"/>
                <w:lang w:val="en-US" w:eastAsia="zh-CN"/>
              </w:rPr>
              <w:t>、</w:t>
            </w:r>
            <w:r>
              <w:rPr>
                <w:rFonts w:hint="default" w:ascii="Times New Roman" w:hAnsi="Times New Roman" w:eastAsia="宋体" w:cs="Times New Roman"/>
                <w:b w:val="0"/>
                <w:bCs w:val="0"/>
                <w:color w:val="auto"/>
                <w:szCs w:val="21"/>
                <w:lang w:val="en-US" w:eastAsia="zh-CN"/>
              </w:rPr>
              <w:t>SO</w:t>
            </w:r>
            <w:r>
              <w:rPr>
                <w:rFonts w:hint="default" w:ascii="Times New Roman" w:hAnsi="Times New Roman" w:eastAsia="宋体" w:cs="Times New Roman"/>
                <w:b w:val="0"/>
                <w:bCs w:val="0"/>
                <w:color w:val="auto"/>
                <w:szCs w:val="21"/>
                <w:vertAlign w:val="subscript"/>
                <w:lang w:val="en-US" w:eastAsia="zh-CN"/>
              </w:rPr>
              <w:t>2</w:t>
            </w:r>
            <w:r>
              <w:rPr>
                <w:rFonts w:hint="eastAsia" w:ascii="Times New Roman" w:hAnsi="Times New Roman" w:eastAsia="宋体" w:cs="Times New Roman"/>
                <w:b w:val="0"/>
                <w:bCs w:val="0"/>
                <w:color w:val="auto"/>
                <w:szCs w:val="21"/>
                <w:lang w:val="en-US" w:eastAsia="zh-CN"/>
              </w:rPr>
              <w:t>、</w:t>
            </w:r>
            <w:r>
              <w:rPr>
                <w:rFonts w:hint="default" w:ascii="Times New Roman" w:hAnsi="Times New Roman" w:eastAsia="宋体" w:cs="Times New Roman"/>
                <w:b w:val="0"/>
                <w:bCs w:val="0"/>
                <w:color w:val="auto"/>
                <w:szCs w:val="21"/>
                <w:lang w:val="en-US" w:eastAsia="zh-CN"/>
              </w:rPr>
              <w:t>NO</w:t>
            </w:r>
            <w:r>
              <w:rPr>
                <w:rFonts w:hint="default" w:ascii="Times New Roman" w:hAnsi="Times New Roman" w:eastAsia="宋体" w:cs="Times New Roman"/>
                <w:b w:val="0"/>
                <w:bCs w:val="0"/>
                <w:color w:val="auto"/>
                <w:szCs w:val="21"/>
                <w:vertAlign w:val="subscript"/>
                <w:lang w:val="en-US" w:eastAsia="zh-CN"/>
              </w:rPr>
              <w:t>x</w:t>
            </w:r>
            <w:r>
              <w:rPr>
                <w:rFonts w:hint="eastAsia" w:ascii="Times New Roman" w:hAnsi="Times New Roman" w:eastAsia="宋体" w:cs="Times New Roman"/>
                <w:b w:val="0"/>
                <w:bCs w:val="0"/>
                <w:color w:val="auto"/>
                <w:szCs w:val="21"/>
                <w:lang w:val="en-US" w:eastAsia="zh-CN"/>
              </w:rPr>
              <w:t>、颗粒物等伴生</w:t>
            </w:r>
            <w:r>
              <w:rPr>
                <w:rFonts w:hint="default" w:ascii="Times New Roman" w:hAnsi="Times New Roman" w:eastAsia="宋体" w:cs="Times New Roman"/>
                <w:b w:val="0"/>
                <w:bCs w:val="0"/>
                <w:color w:val="auto"/>
                <w:szCs w:val="21"/>
                <w:lang w:val="en-US" w:eastAsia="zh-CN"/>
              </w:rPr>
              <w:t>/</w:t>
            </w:r>
            <w:r>
              <w:rPr>
                <w:rFonts w:hint="eastAsia" w:ascii="Times New Roman" w:hAnsi="Times New Roman" w:eastAsia="宋体" w:cs="Times New Roman"/>
                <w:b w:val="0"/>
                <w:bCs w:val="0"/>
                <w:color w:val="auto"/>
                <w:szCs w:val="21"/>
                <w:lang w:val="en-US" w:eastAsia="zh-CN"/>
              </w:rPr>
              <w:t xml:space="preserve">次生污染物，烟气对眼睛、呼吸道有一定的刺激性，过度接触可能导致中毒或窒息。 </w:t>
            </w:r>
          </w:p>
          <w:p w14:paraId="1A3EB8A0">
            <w:pPr>
              <w:tabs>
                <w:tab w:val="left" w:pos="720"/>
              </w:tabs>
              <w:snapToGrid w:val="0"/>
              <w:spacing w:line="360" w:lineRule="auto"/>
              <w:ind w:firstLine="420" w:firstLineChars="200"/>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项目柴油储存量为</w:t>
            </w:r>
            <w:r>
              <w:rPr>
                <w:rFonts w:hint="eastAsia" w:cs="Times New Roman"/>
                <w:b w:val="0"/>
                <w:bCs w:val="0"/>
                <w:color w:val="auto"/>
                <w:szCs w:val="21"/>
                <w:lang w:val="en-US" w:eastAsia="zh-CN"/>
              </w:rPr>
              <w:t>58</w:t>
            </w:r>
            <w:r>
              <w:rPr>
                <w:rFonts w:hint="default" w:ascii="Times New Roman" w:hAnsi="Times New Roman" w:eastAsia="宋体" w:cs="Times New Roman"/>
                <w:b w:val="0"/>
                <w:bCs w:val="0"/>
                <w:color w:val="auto"/>
                <w:szCs w:val="21"/>
                <w:lang w:val="en-US" w:eastAsia="zh-CN"/>
              </w:rPr>
              <w:t>t</w:t>
            </w:r>
            <w:r>
              <w:rPr>
                <w:rFonts w:hint="eastAsia" w:ascii="Times New Roman" w:hAnsi="Times New Roman" w:eastAsia="宋体" w:cs="Times New Roman"/>
                <w:b w:val="0"/>
                <w:bCs w:val="0"/>
                <w:color w:val="auto"/>
                <w:szCs w:val="21"/>
                <w:lang w:val="en-US" w:eastAsia="zh-CN"/>
              </w:rPr>
              <w:t>，柴油泄漏造成的火灾和爆炸属于短期事件，持续时间较短，采取合理的应急和风险防范措施后，大气环境风险较小。</w:t>
            </w:r>
          </w:p>
          <w:p w14:paraId="1212B6F4">
            <w:pPr>
              <w:tabs>
                <w:tab w:val="left" w:pos="720"/>
              </w:tabs>
              <w:snapToGrid w:val="0"/>
              <w:spacing w:line="360" w:lineRule="auto"/>
              <w:ind w:firstLine="420" w:firstLineChars="200"/>
              <w:rPr>
                <w:rFonts w:hint="default"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为避免伴生、次生事故，本工程严格按照《工业企业总平面设计规范》（</w:t>
            </w:r>
            <w:r>
              <w:rPr>
                <w:rFonts w:hint="default" w:ascii="Times New Roman" w:hAnsi="Times New Roman" w:eastAsia="宋体" w:cs="Times New Roman"/>
                <w:b w:val="0"/>
                <w:bCs w:val="0"/>
                <w:color w:val="auto"/>
                <w:szCs w:val="21"/>
                <w:lang w:val="en-US" w:eastAsia="zh-CN"/>
              </w:rPr>
              <w:t>GB50187</w:t>
            </w:r>
            <w:r>
              <w:rPr>
                <w:rFonts w:hint="eastAsia" w:ascii="Times New Roman" w:hAnsi="Times New Roman" w:eastAsia="宋体" w:cs="Times New Roman"/>
                <w:b w:val="0"/>
                <w:bCs w:val="0"/>
                <w:color w:val="auto"/>
                <w:szCs w:val="21"/>
                <w:lang w:val="en-US" w:eastAsia="zh-CN"/>
              </w:rPr>
              <w:t>）、《建筑设计防火规范》进行总图布置和消防设计，一旦某一危险源发生爆炸、火灾和泄漏，均能在本区域得到控制，尽量避免发生事故连锁反应。在对火灾、爆炸事故用水进行消防时，将产生含有毒有害物质的消防废水。</w:t>
            </w:r>
          </w:p>
          <w:p w14:paraId="3B98AC6F">
            <w:pPr>
              <w:tabs>
                <w:tab w:val="left" w:pos="720"/>
              </w:tabs>
              <w:snapToGrid w:val="0"/>
              <w:spacing w:line="360" w:lineRule="auto"/>
              <w:ind w:firstLine="420" w:firstLineChars="200"/>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 xml:space="preserve">（2）地表水环境风险影响分析 </w:t>
            </w:r>
          </w:p>
          <w:p w14:paraId="5C1807EB">
            <w:pPr>
              <w:tabs>
                <w:tab w:val="left" w:pos="720"/>
              </w:tabs>
              <w:snapToGrid w:val="0"/>
              <w:spacing w:line="360" w:lineRule="auto"/>
              <w:ind w:firstLine="420" w:firstLineChars="200"/>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 xml:space="preserve">运营期油类泄漏，会随地表径流或雨水管网进入地表水环境，从而造成水体污染。其后果包括：废水进入地表水体造成水质变差，水中生物死亡；油脂进入水体在水面形成油膜，造成水体与空气隔离，水中溶解氧浓度降低，导致水生生物死亡。 </w:t>
            </w:r>
          </w:p>
          <w:p w14:paraId="34C28155">
            <w:pPr>
              <w:tabs>
                <w:tab w:val="left" w:pos="720"/>
              </w:tabs>
              <w:snapToGrid w:val="0"/>
              <w:spacing w:line="360" w:lineRule="auto"/>
              <w:ind w:firstLine="420" w:firstLineChars="200"/>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 xml:space="preserve">当发生火灾事故进行补救时，燃烧灰烬和泄漏的物料会被消防水冲刷，随消防水进入附近地势较低处，部分则可能进入雨水管网排至附近地表水体，造成地表水体污染。 </w:t>
            </w:r>
          </w:p>
          <w:p w14:paraId="218C9C66">
            <w:pPr>
              <w:tabs>
                <w:tab w:val="left" w:pos="720"/>
              </w:tabs>
              <w:snapToGrid w:val="0"/>
              <w:spacing w:line="360" w:lineRule="auto"/>
              <w:ind w:firstLine="420" w:firstLineChars="200"/>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若本项目废水事故状态下直接排放，会对区域地表水造成较大影响。因此，项目在投产 后必须提高管理意识，加强规范操作，柴油储存区设置围堰，厂区设</w:t>
            </w:r>
            <w:r>
              <w:rPr>
                <w:rFonts w:hint="eastAsia" w:cs="Times New Roman"/>
                <w:b w:val="0"/>
                <w:bCs w:val="0"/>
                <w:color w:val="auto"/>
                <w:szCs w:val="21"/>
                <w:lang w:val="en-US" w:eastAsia="zh-CN"/>
              </w:rPr>
              <w:t>事故应急水池</w:t>
            </w:r>
            <w:r>
              <w:rPr>
                <w:rFonts w:hint="eastAsia" w:ascii="Times New Roman" w:hAnsi="Times New Roman" w:eastAsia="宋体" w:cs="Times New Roman"/>
                <w:b w:val="0"/>
                <w:bCs w:val="0"/>
                <w:color w:val="auto"/>
                <w:szCs w:val="21"/>
                <w:lang w:val="en-US" w:eastAsia="zh-CN"/>
              </w:rPr>
              <w:t xml:space="preserve">，将事故状态的废水导入事故应急池。 </w:t>
            </w:r>
          </w:p>
          <w:p w14:paraId="03AE061F">
            <w:pPr>
              <w:tabs>
                <w:tab w:val="left" w:pos="720"/>
              </w:tabs>
              <w:snapToGrid w:val="0"/>
              <w:spacing w:line="360" w:lineRule="auto"/>
              <w:ind w:firstLine="420" w:firstLineChars="200"/>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 xml:space="preserve">（3）地下水环境风险影响分析 </w:t>
            </w:r>
          </w:p>
          <w:p w14:paraId="265A7A94">
            <w:pPr>
              <w:tabs>
                <w:tab w:val="left" w:pos="720"/>
              </w:tabs>
              <w:snapToGrid w:val="0"/>
              <w:spacing w:line="360" w:lineRule="auto"/>
              <w:ind w:firstLine="420" w:firstLineChars="200"/>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柴油泄漏后由于防渗层破裂，柴油下渗污染地下水；运营期初期污水处理等泄漏通过垂直渗透进入地下水环境，将会对区域地下水造成污染，如果不及时处理，可能进一步污染地下水从而影响到周边村庄饮水。</w:t>
            </w:r>
          </w:p>
          <w:p w14:paraId="2D8AA6A4">
            <w:pPr>
              <w:tabs>
                <w:tab w:val="left" w:pos="720"/>
              </w:tabs>
              <w:snapToGrid w:val="0"/>
              <w:spacing w:line="360" w:lineRule="auto"/>
              <w:ind w:firstLine="420" w:firstLineChars="200"/>
              <w:rPr>
                <w:rFonts w:hint="eastAsia" w:ascii="Times New Roman" w:hAnsi="Times New Roman" w:eastAsia="宋体" w:cs="Times New Roman"/>
                <w:b w:val="0"/>
                <w:bCs w:val="0"/>
                <w:color w:val="auto"/>
                <w:szCs w:val="21"/>
                <w:lang w:val="en-US" w:eastAsia="zh-CN"/>
              </w:rPr>
            </w:pPr>
            <w:r>
              <w:rPr>
                <w:rFonts w:hint="default" w:ascii="Times New Roman" w:hAnsi="Times New Roman" w:eastAsia="宋体" w:cs="Times New Roman"/>
                <w:b w:val="0"/>
                <w:bCs w:val="0"/>
                <w:color w:val="auto"/>
                <w:szCs w:val="21"/>
                <w:lang w:val="en-US" w:eastAsia="zh-CN"/>
              </w:rPr>
              <w:t xml:space="preserve">4.6.4 </w:t>
            </w:r>
            <w:r>
              <w:rPr>
                <w:rFonts w:hint="eastAsia" w:ascii="Times New Roman" w:hAnsi="Times New Roman" w:eastAsia="宋体" w:cs="Times New Roman"/>
                <w:b w:val="0"/>
                <w:bCs w:val="0"/>
                <w:color w:val="auto"/>
                <w:szCs w:val="21"/>
                <w:lang w:val="en-US" w:eastAsia="zh-CN"/>
              </w:rPr>
              <w:t xml:space="preserve">风险防范措施 </w:t>
            </w:r>
          </w:p>
          <w:p w14:paraId="7DD8D635">
            <w:pPr>
              <w:tabs>
                <w:tab w:val="left" w:pos="720"/>
              </w:tabs>
              <w:snapToGrid w:val="0"/>
              <w:spacing w:line="360" w:lineRule="auto"/>
              <w:ind w:firstLine="420" w:firstLineChars="200"/>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w:t>
            </w:r>
            <w:r>
              <w:rPr>
                <w:rFonts w:hint="default" w:ascii="Times New Roman" w:hAnsi="Times New Roman" w:eastAsia="宋体" w:cs="Times New Roman"/>
                <w:b w:val="0"/>
                <w:bCs w:val="0"/>
                <w:color w:val="auto"/>
                <w:szCs w:val="21"/>
                <w:lang w:val="en-US" w:eastAsia="zh-CN"/>
              </w:rPr>
              <w:t>1</w:t>
            </w:r>
            <w:r>
              <w:rPr>
                <w:rFonts w:hint="eastAsia" w:ascii="Times New Roman" w:hAnsi="Times New Roman" w:eastAsia="宋体" w:cs="Times New Roman"/>
                <w:b w:val="0"/>
                <w:bCs w:val="0"/>
                <w:color w:val="auto"/>
                <w:szCs w:val="21"/>
                <w:lang w:val="en-US" w:eastAsia="zh-CN"/>
              </w:rPr>
              <w:t xml:space="preserve">）管理措施 </w:t>
            </w:r>
          </w:p>
          <w:p w14:paraId="70C4D226">
            <w:pPr>
              <w:tabs>
                <w:tab w:val="left" w:pos="720"/>
              </w:tabs>
              <w:snapToGrid w:val="0"/>
              <w:spacing w:line="360" w:lineRule="auto"/>
              <w:ind w:firstLine="420" w:firstLineChars="200"/>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 xml:space="preserve">①严格控制设备质量及安装质量；严格按防火、防爆设计规范的要求进行设计，按规范设置消防系统，配置相应的灭火装置和设施。 </w:t>
            </w:r>
          </w:p>
          <w:p w14:paraId="00B3EC7C">
            <w:pPr>
              <w:tabs>
                <w:tab w:val="left" w:pos="720"/>
              </w:tabs>
              <w:snapToGrid w:val="0"/>
              <w:spacing w:line="360" w:lineRule="auto"/>
              <w:ind w:firstLine="420" w:firstLineChars="200"/>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 xml:space="preserve">②油品储存区需要控制火源，禁用火柴、打火机等，禁止吸烟。 </w:t>
            </w:r>
          </w:p>
          <w:p w14:paraId="42E4C139">
            <w:pPr>
              <w:tabs>
                <w:tab w:val="left" w:pos="720"/>
              </w:tabs>
              <w:snapToGrid w:val="0"/>
              <w:spacing w:line="360" w:lineRule="auto"/>
              <w:ind w:firstLine="420" w:firstLineChars="200"/>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 xml:space="preserve">③配备必要的收集措施，一旦发生泄漏应及时收集，并储存于相应的容器内。 </w:t>
            </w:r>
          </w:p>
          <w:p w14:paraId="68139629">
            <w:pPr>
              <w:tabs>
                <w:tab w:val="left" w:pos="720"/>
              </w:tabs>
              <w:snapToGrid w:val="0"/>
              <w:spacing w:line="360" w:lineRule="auto"/>
              <w:ind w:firstLine="420" w:firstLineChars="200"/>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 xml:space="preserve">④按《危险化学品安全管理条例》要求，化学品仓由专人负责管理，进、出物料均需进行登记，建立《危险化学品出入库台帐》。危化品堆垛严格控制高度，并定期巡查包装完好、密封性，包装上张贴带有物料名称、日期等的标签。 </w:t>
            </w:r>
          </w:p>
          <w:p w14:paraId="6684A743">
            <w:pPr>
              <w:tabs>
                <w:tab w:val="left" w:pos="720"/>
              </w:tabs>
              <w:snapToGrid w:val="0"/>
              <w:spacing w:line="360" w:lineRule="auto"/>
              <w:ind w:firstLine="420" w:firstLineChars="200"/>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w:t>
            </w:r>
            <w:r>
              <w:rPr>
                <w:rFonts w:hint="default" w:ascii="Times New Roman" w:hAnsi="Times New Roman" w:eastAsia="宋体" w:cs="Times New Roman"/>
                <w:b w:val="0"/>
                <w:bCs w:val="0"/>
                <w:color w:val="auto"/>
                <w:szCs w:val="21"/>
                <w:lang w:val="en-US" w:eastAsia="zh-CN"/>
              </w:rPr>
              <w:t>2</w:t>
            </w:r>
            <w:r>
              <w:rPr>
                <w:rFonts w:hint="eastAsia" w:ascii="Times New Roman" w:hAnsi="Times New Roman" w:eastAsia="宋体" w:cs="Times New Roman"/>
                <w:b w:val="0"/>
                <w:bCs w:val="0"/>
                <w:color w:val="auto"/>
                <w:szCs w:val="21"/>
                <w:lang w:val="en-US" w:eastAsia="zh-CN"/>
              </w:rPr>
              <w:t>）泄漏防</w:t>
            </w:r>
            <w:r>
              <w:rPr>
                <w:rFonts w:hint="eastAsia" w:cs="Times New Roman"/>
                <w:b w:val="0"/>
                <w:bCs w:val="0"/>
                <w:color w:val="auto"/>
                <w:szCs w:val="21"/>
                <w:lang w:val="en-US" w:eastAsia="zh-CN"/>
              </w:rPr>
              <w:t>渗</w:t>
            </w:r>
            <w:r>
              <w:rPr>
                <w:rFonts w:hint="eastAsia" w:ascii="Times New Roman" w:hAnsi="Times New Roman" w:eastAsia="宋体" w:cs="Times New Roman"/>
                <w:b w:val="0"/>
                <w:bCs w:val="0"/>
                <w:color w:val="auto"/>
                <w:szCs w:val="21"/>
                <w:lang w:val="en-US" w:eastAsia="zh-CN"/>
              </w:rPr>
              <w:t xml:space="preserve">措施 </w:t>
            </w:r>
          </w:p>
          <w:p w14:paraId="39CA2BBB">
            <w:pPr>
              <w:tabs>
                <w:tab w:val="left" w:pos="720"/>
              </w:tabs>
              <w:snapToGrid w:val="0"/>
              <w:spacing w:line="360" w:lineRule="auto"/>
              <w:ind w:firstLine="420" w:firstLineChars="200"/>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油品储存区域应采取重点防渗措施，同时设置围堰</w:t>
            </w:r>
            <w:r>
              <w:rPr>
                <w:rFonts w:hint="eastAsia" w:cs="Times New Roman"/>
                <w:b w:val="0"/>
                <w:bCs w:val="0"/>
                <w:color w:val="auto"/>
                <w:szCs w:val="21"/>
                <w:lang w:val="en-US" w:eastAsia="zh-CN"/>
              </w:rPr>
              <w:t>。其中柴油储罐区围堰高1.0m，有效容积约60m</w:t>
            </w:r>
            <w:r>
              <w:rPr>
                <w:rFonts w:hint="eastAsia" w:cs="Times New Roman"/>
                <w:b w:val="0"/>
                <w:bCs w:val="0"/>
                <w:color w:val="auto"/>
                <w:szCs w:val="21"/>
                <w:vertAlign w:val="superscript"/>
                <w:lang w:val="en-US" w:eastAsia="zh-CN"/>
              </w:rPr>
              <w:t>3</w:t>
            </w:r>
            <w:r>
              <w:rPr>
                <w:rFonts w:hint="eastAsia" w:cs="Times New Roman"/>
                <w:b w:val="0"/>
                <w:bCs w:val="0"/>
                <w:color w:val="auto"/>
                <w:szCs w:val="21"/>
                <w:lang w:val="en-US" w:eastAsia="zh-CN"/>
              </w:rPr>
              <w:t>，</w:t>
            </w:r>
            <w:r>
              <w:rPr>
                <w:rFonts w:hint="eastAsia" w:ascii="Times New Roman" w:hAnsi="Times New Roman" w:eastAsia="宋体" w:cs="Times New Roman"/>
                <w:b w:val="0"/>
                <w:bCs w:val="0"/>
                <w:color w:val="auto"/>
                <w:szCs w:val="21"/>
                <w:lang w:val="en-US" w:eastAsia="zh-CN"/>
              </w:rPr>
              <w:t>包围的</w:t>
            </w:r>
            <w:r>
              <w:rPr>
                <w:rFonts w:hint="eastAsia" w:cs="Times New Roman"/>
                <w:b w:val="0"/>
                <w:bCs w:val="0"/>
                <w:color w:val="auto"/>
                <w:szCs w:val="21"/>
                <w:lang w:val="en-US" w:eastAsia="zh-CN"/>
              </w:rPr>
              <w:t>容</w:t>
            </w:r>
            <w:r>
              <w:rPr>
                <w:rFonts w:hint="eastAsia" w:ascii="Times New Roman" w:hAnsi="Times New Roman" w:eastAsia="宋体" w:cs="Times New Roman"/>
                <w:b w:val="0"/>
                <w:bCs w:val="0"/>
                <w:color w:val="auto"/>
                <w:szCs w:val="21"/>
                <w:lang w:val="en-US" w:eastAsia="zh-CN"/>
              </w:rPr>
              <w:t>积可以容纳</w:t>
            </w:r>
            <w:r>
              <w:rPr>
                <w:rFonts w:hint="eastAsia" w:cs="Times New Roman"/>
                <w:b w:val="0"/>
                <w:bCs w:val="0"/>
                <w:color w:val="auto"/>
                <w:szCs w:val="21"/>
                <w:lang w:val="en-US" w:eastAsia="zh-CN"/>
              </w:rPr>
              <w:t>最大储存设施</w:t>
            </w:r>
            <w:r>
              <w:rPr>
                <w:rFonts w:hint="eastAsia" w:ascii="Times New Roman" w:hAnsi="Times New Roman" w:eastAsia="宋体" w:cs="Times New Roman"/>
                <w:b w:val="0"/>
                <w:bCs w:val="0"/>
                <w:color w:val="auto"/>
                <w:szCs w:val="21"/>
                <w:lang w:val="en-US" w:eastAsia="zh-CN"/>
              </w:rPr>
              <w:t>泄漏</w:t>
            </w:r>
            <w:r>
              <w:rPr>
                <w:rFonts w:hint="eastAsia" w:cs="Times New Roman"/>
                <w:b w:val="0"/>
                <w:bCs w:val="0"/>
                <w:color w:val="auto"/>
                <w:szCs w:val="21"/>
                <w:lang w:val="en-US" w:eastAsia="zh-CN"/>
              </w:rPr>
              <w:t>油品（58t柴油）</w:t>
            </w:r>
            <w:r>
              <w:rPr>
                <w:rFonts w:hint="eastAsia" w:ascii="Times New Roman" w:hAnsi="Times New Roman" w:eastAsia="宋体" w:cs="Times New Roman"/>
                <w:b w:val="0"/>
                <w:bCs w:val="0"/>
                <w:color w:val="auto"/>
                <w:szCs w:val="21"/>
                <w:lang w:val="en-US" w:eastAsia="zh-CN"/>
              </w:rPr>
              <w:t>的容积</w:t>
            </w:r>
            <w:r>
              <w:rPr>
                <w:rFonts w:hint="eastAsia" w:cs="Times New Roman"/>
                <w:b w:val="0"/>
                <w:bCs w:val="0"/>
                <w:color w:val="auto"/>
                <w:szCs w:val="21"/>
                <w:lang w:val="en-US" w:eastAsia="zh-CN"/>
              </w:rPr>
              <w:t>；沥青储罐区围堰高1.0m，有效容积约150m</w:t>
            </w:r>
            <w:r>
              <w:rPr>
                <w:rFonts w:hint="eastAsia" w:cs="Times New Roman"/>
                <w:b w:val="0"/>
                <w:bCs w:val="0"/>
                <w:color w:val="auto"/>
                <w:szCs w:val="21"/>
                <w:vertAlign w:val="superscript"/>
                <w:lang w:val="en-US" w:eastAsia="zh-CN"/>
              </w:rPr>
              <w:t>3</w:t>
            </w:r>
            <w:r>
              <w:rPr>
                <w:rFonts w:hint="eastAsia" w:cs="Times New Roman"/>
                <w:b w:val="0"/>
                <w:bCs w:val="0"/>
                <w:color w:val="auto"/>
                <w:szCs w:val="21"/>
                <w:lang w:val="en-US" w:eastAsia="zh-CN"/>
              </w:rPr>
              <w:t>，</w:t>
            </w:r>
            <w:r>
              <w:rPr>
                <w:rFonts w:hint="eastAsia" w:ascii="Times New Roman" w:hAnsi="Times New Roman" w:eastAsia="宋体" w:cs="Times New Roman"/>
                <w:b w:val="0"/>
                <w:bCs w:val="0"/>
                <w:color w:val="auto"/>
                <w:szCs w:val="21"/>
                <w:lang w:val="en-US" w:eastAsia="zh-CN"/>
              </w:rPr>
              <w:t>包围的</w:t>
            </w:r>
            <w:r>
              <w:rPr>
                <w:rFonts w:hint="eastAsia" w:cs="Times New Roman"/>
                <w:b w:val="0"/>
                <w:bCs w:val="0"/>
                <w:color w:val="auto"/>
                <w:szCs w:val="21"/>
                <w:lang w:val="en-US" w:eastAsia="zh-CN"/>
              </w:rPr>
              <w:t>容</w:t>
            </w:r>
            <w:r>
              <w:rPr>
                <w:rFonts w:hint="eastAsia" w:ascii="Times New Roman" w:hAnsi="Times New Roman" w:eastAsia="宋体" w:cs="Times New Roman"/>
                <w:b w:val="0"/>
                <w:bCs w:val="0"/>
                <w:color w:val="auto"/>
                <w:szCs w:val="21"/>
                <w:lang w:val="en-US" w:eastAsia="zh-CN"/>
              </w:rPr>
              <w:t>积可以容纳</w:t>
            </w:r>
            <w:r>
              <w:rPr>
                <w:rFonts w:hint="eastAsia" w:cs="Times New Roman"/>
                <w:b w:val="0"/>
                <w:bCs w:val="0"/>
                <w:color w:val="auto"/>
                <w:szCs w:val="21"/>
                <w:lang w:val="en-US" w:eastAsia="zh-CN"/>
              </w:rPr>
              <w:t>最大储存设施</w:t>
            </w:r>
            <w:r>
              <w:rPr>
                <w:rFonts w:hint="eastAsia" w:ascii="Times New Roman" w:hAnsi="Times New Roman" w:eastAsia="宋体" w:cs="Times New Roman"/>
                <w:b w:val="0"/>
                <w:bCs w:val="0"/>
                <w:color w:val="auto"/>
                <w:szCs w:val="21"/>
                <w:lang w:val="en-US" w:eastAsia="zh-CN"/>
              </w:rPr>
              <w:t>泄漏</w:t>
            </w:r>
            <w:r>
              <w:rPr>
                <w:rFonts w:hint="eastAsia" w:cs="Times New Roman"/>
                <w:b w:val="0"/>
                <w:bCs w:val="0"/>
                <w:color w:val="auto"/>
                <w:szCs w:val="21"/>
                <w:lang w:val="en-US" w:eastAsia="zh-CN"/>
              </w:rPr>
              <w:t>油品（150t沥青）</w:t>
            </w:r>
            <w:r>
              <w:rPr>
                <w:rFonts w:hint="eastAsia" w:ascii="Times New Roman" w:hAnsi="Times New Roman" w:eastAsia="宋体" w:cs="Times New Roman"/>
                <w:b w:val="0"/>
                <w:bCs w:val="0"/>
                <w:color w:val="auto"/>
                <w:szCs w:val="21"/>
                <w:lang w:val="en-US" w:eastAsia="zh-CN"/>
              </w:rPr>
              <w:t>的容积</w:t>
            </w:r>
            <w:r>
              <w:rPr>
                <w:rFonts w:hint="eastAsia" w:cs="Times New Roman"/>
                <w:b w:val="0"/>
                <w:bCs w:val="0"/>
                <w:color w:val="auto"/>
                <w:szCs w:val="21"/>
                <w:lang w:val="en-US" w:eastAsia="zh-CN"/>
              </w:rPr>
              <w:t>。储罐区及围堰加设防渗措施，</w:t>
            </w:r>
            <w:r>
              <w:rPr>
                <w:rFonts w:hint="eastAsia" w:ascii="Times New Roman" w:hAnsi="Times New Roman" w:eastAsia="宋体" w:cs="Times New Roman"/>
                <w:b w:val="0"/>
                <w:bCs w:val="0"/>
                <w:color w:val="auto"/>
                <w:szCs w:val="21"/>
                <w:lang w:val="en-US" w:eastAsia="zh-CN"/>
              </w:rPr>
              <w:t>确保</w:t>
            </w:r>
            <w:r>
              <w:rPr>
                <w:rFonts w:hint="eastAsia" w:cs="Times New Roman"/>
                <w:b w:val="0"/>
                <w:bCs w:val="0"/>
                <w:color w:val="auto"/>
                <w:szCs w:val="21"/>
                <w:lang w:val="en-US" w:eastAsia="zh-CN"/>
              </w:rPr>
              <w:t>泄漏油品</w:t>
            </w:r>
            <w:r>
              <w:rPr>
                <w:rFonts w:hint="eastAsia" w:ascii="Times New Roman" w:hAnsi="Times New Roman" w:eastAsia="宋体" w:cs="Times New Roman"/>
                <w:b w:val="0"/>
                <w:bCs w:val="0"/>
                <w:color w:val="auto"/>
                <w:szCs w:val="21"/>
                <w:lang w:val="en-US" w:eastAsia="zh-CN"/>
              </w:rPr>
              <w:t>不外泄。柴油</w:t>
            </w:r>
            <w:r>
              <w:rPr>
                <w:rFonts w:hint="eastAsia" w:cs="Times New Roman"/>
                <w:b w:val="0"/>
                <w:bCs w:val="0"/>
                <w:color w:val="auto"/>
                <w:szCs w:val="21"/>
                <w:lang w:val="en-US" w:eastAsia="zh-CN"/>
              </w:rPr>
              <w:t>储罐</w:t>
            </w:r>
            <w:r>
              <w:rPr>
                <w:rFonts w:hint="eastAsia" w:ascii="Times New Roman" w:hAnsi="Times New Roman" w:eastAsia="宋体" w:cs="Times New Roman"/>
                <w:b w:val="0"/>
                <w:bCs w:val="0"/>
                <w:color w:val="auto"/>
                <w:szCs w:val="21"/>
                <w:lang w:val="en-US" w:eastAsia="zh-CN"/>
              </w:rPr>
              <w:t xml:space="preserve">附近需常备有沙子、碎石等防范物资，一旦发生泄漏，不要直接接触泄漏物，在确保安全情况下堵漏。发生小量的泄漏，用沙土或其他不燃性吸附剂混合吸收，然后收集运至废物处理场所处置。发生大量泄漏，应及时将围堰里物质的抽取到安全不易泄漏的备用装置中。 </w:t>
            </w:r>
          </w:p>
          <w:p w14:paraId="20742B98">
            <w:pPr>
              <w:tabs>
                <w:tab w:val="left" w:pos="720"/>
              </w:tabs>
              <w:snapToGrid w:val="0"/>
              <w:spacing w:line="360" w:lineRule="auto"/>
              <w:ind w:firstLine="420" w:firstLineChars="200"/>
              <w:rPr>
                <w:rFonts w:hint="eastAsia" w:ascii="Times New Roman" w:hAnsi="Times New Roman" w:eastAsia="宋体" w:cs="Times New Roman"/>
                <w:b w:val="0"/>
                <w:bCs w:val="0"/>
                <w:color w:val="auto"/>
                <w:szCs w:val="21"/>
                <w:lang w:val="en-US" w:eastAsia="zh-CN"/>
              </w:rPr>
            </w:pPr>
            <w:r>
              <w:rPr>
                <w:rFonts w:hint="default" w:ascii="Times New Roman" w:hAnsi="Times New Roman" w:eastAsia="宋体" w:cs="Times New Roman"/>
                <w:b w:val="0"/>
                <w:bCs w:val="0"/>
                <w:color w:val="auto"/>
                <w:szCs w:val="21"/>
                <w:lang w:val="en-US" w:eastAsia="zh-CN"/>
              </w:rPr>
              <w:t xml:space="preserve">4.6.5 </w:t>
            </w:r>
            <w:r>
              <w:rPr>
                <w:rFonts w:hint="eastAsia" w:ascii="Times New Roman" w:hAnsi="Times New Roman" w:eastAsia="宋体" w:cs="Times New Roman"/>
                <w:b w:val="0"/>
                <w:bCs w:val="0"/>
                <w:color w:val="auto"/>
                <w:szCs w:val="21"/>
                <w:lang w:val="en-US" w:eastAsia="zh-CN"/>
              </w:rPr>
              <w:t xml:space="preserve">事故废水环境风险防范措施 </w:t>
            </w:r>
          </w:p>
          <w:p w14:paraId="0AB7BD48">
            <w:pPr>
              <w:tabs>
                <w:tab w:val="left" w:pos="720"/>
              </w:tabs>
              <w:snapToGrid w:val="0"/>
              <w:spacing w:line="360" w:lineRule="auto"/>
              <w:ind w:firstLine="420" w:firstLineChars="200"/>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设置</w:t>
            </w:r>
            <w:r>
              <w:rPr>
                <w:rFonts w:hint="eastAsia" w:cs="Times New Roman"/>
                <w:b w:val="0"/>
                <w:bCs w:val="0"/>
                <w:color w:val="auto"/>
                <w:szCs w:val="21"/>
                <w:lang w:val="en-US" w:eastAsia="zh-CN"/>
              </w:rPr>
              <w:t>事故应急水池</w:t>
            </w:r>
            <w:r>
              <w:rPr>
                <w:rFonts w:hint="eastAsia" w:ascii="Times New Roman" w:hAnsi="Times New Roman" w:eastAsia="宋体" w:cs="Times New Roman"/>
                <w:b w:val="0"/>
                <w:bCs w:val="0"/>
                <w:color w:val="auto"/>
                <w:szCs w:val="21"/>
                <w:lang w:val="en-US" w:eastAsia="zh-CN"/>
              </w:rPr>
              <w:t xml:space="preserve">，保证在事故状态下的废油（包括泄漏的物料、消防废水等）能够得到及时收集。 </w:t>
            </w:r>
          </w:p>
          <w:p w14:paraId="3C5422EF">
            <w:pPr>
              <w:tabs>
                <w:tab w:val="left" w:pos="720"/>
              </w:tabs>
              <w:snapToGrid w:val="0"/>
              <w:spacing w:line="360" w:lineRule="auto"/>
              <w:ind w:firstLine="420" w:firstLineChars="200"/>
              <w:rPr>
                <w:rFonts w:hint="eastAsia" w:ascii="Times New Roman" w:hAnsi="Times New Roman" w:eastAsia="宋体" w:cs="Times New Roman"/>
                <w:b w:val="0"/>
                <w:bCs w:val="0"/>
                <w:color w:val="auto"/>
                <w:szCs w:val="21"/>
                <w:lang w:val="en-US" w:eastAsia="zh-CN"/>
              </w:rPr>
            </w:pPr>
            <w:r>
              <w:rPr>
                <w:rFonts w:hint="eastAsia" w:cs="Times New Roman"/>
                <w:b w:val="0"/>
                <w:bCs w:val="0"/>
                <w:color w:val="auto"/>
                <w:szCs w:val="21"/>
                <w:lang w:val="en-US" w:eastAsia="zh-CN"/>
              </w:rPr>
              <w:t>根据项目实际情况而言，2座柴油储罐设置有围堰，围堰有效容积足够接纳1座柴油储罐和2座导热油储罐所有泄漏油品，事故状态下应考虑泄漏物最大容量，本项目储运系统中最大储量的设施为50t的储罐，调整系数1.2~1.5，故本环评</w:t>
            </w:r>
            <w:r>
              <w:rPr>
                <w:rFonts w:hint="eastAsia" w:ascii="Times New Roman" w:hAnsi="Times New Roman" w:eastAsia="宋体" w:cs="Times New Roman"/>
                <w:b w:val="0"/>
                <w:bCs w:val="0"/>
                <w:color w:val="auto"/>
                <w:szCs w:val="21"/>
                <w:lang w:val="en-US" w:eastAsia="zh-CN"/>
              </w:rPr>
              <w:t xml:space="preserve">建议建设一座 </w:t>
            </w:r>
            <w:r>
              <w:rPr>
                <w:rFonts w:hint="eastAsia" w:cs="Times New Roman"/>
                <w:b w:val="0"/>
                <w:bCs w:val="0"/>
                <w:color w:val="auto"/>
                <w:szCs w:val="21"/>
                <w:lang w:val="en-US" w:eastAsia="zh-CN"/>
              </w:rPr>
              <w:t>6</w:t>
            </w:r>
            <w:r>
              <w:rPr>
                <w:rFonts w:hint="default" w:ascii="Times New Roman" w:hAnsi="Times New Roman" w:eastAsia="宋体" w:cs="Times New Roman"/>
                <w:b w:val="0"/>
                <w:bCs w:val="0"/>
                <w:color w:val="auto"/>
                <w:szCs w:val="21"/>
                <w:lang w:val="en-US" w:eastAsia="zh-CN"/>
              </w:rPr>
              <w:t>0m</w:t>
            </w:r>
            <w:r>
              <w:rPr>
                <w:rFonts w:hint="default" w:ascii="Times New Roman" w:hAnsi="Times New Roman" w:eastAsia="宋体" w:cs="Times New Roman"/>
                <w:b w:val="0"/>
                <w:bCs w:val="0"/>
                <w:color w:val="auto"/>
                <w:szCs w:val="21"/>
                <w:vertAlign w:val="superscript"/>
                <w:lang w:val="en-US" w:eastAsia="zh-CN"/>
              </w:rPr>
              <w:t>3</w:t>
            </w:r>
            <w:r>
              <w:rPr>
                <w:rFonts w:hint="eastAsia" w:ascii="Times New Roman" w:hAnsi="Times New Roman" w:eastAsia="宋体" w:cs="Times New Roman"/>
                <w:b w:val="0"/>
                <w:bCs w:val="0"/>
                <w:color w:val="auto"/>
                <w:szCs w:val="21"/>
                <w:lang w:val="en-US" w:eastAsia="zh-CN"/>
              </w:rPr>
              <w:t>应急</w:t>
            </w:r>
            <w:r>
              <w:rPr>
                <w:rFonts w:hint="eastAsia" w:cs="Times New Roman"/>
                <w:b w:val="0"/>
                <w:bCs w:val="0"/>
                <w:color w:val="auto"/>
                <w:szCs w:val="21"/>
                <w:lang w:val="en-US" w:eastAsia="zh-CN"/>
              </w:rPr>
              <w:t>事故应急水池</w:t>
            </w:r>
            <w:r>
              <w:rPr>
                <w:rFonts w:hint="eastAsia" w:ascii="Times New Roman" w:hAnsi="Times New Roman" w:eastAsia="宋体" w:cs="Times New Roman"/>
                <w:b w:val="0"/>
                <w:bCs w:val="0"/>
                <w:color w:val="auto"/>
                <w:szCs w:val="21"/>
                <w:lang w:val="en-US" w:eastAsia="zh-CN"/>
              </w:rPr>
              <w:t>，用于收集事故状态下泄漏物料</w:t>
            </w:r>
            <w:r>
              <w:rPr>
                <w:rFonts w:hint="eastAsia" w:cs="Times New Roman"/>
                <w:b w:val="0"/>
                <w:bCs w:val="0"/>
                <w:color w:val="auto"/>
                <w:szCs w:val="21"/>
                <w:lang w:val="en-US" w:eastAsia="zh-CN"/>
              </w:rPr>
              <w:t>等</w:t>
            </w:r>
            <w:r>
              <w:rPr>
                <w:rFonts w:hint="eastAsia" w:ascii="Times New Roman" w:hAnsi="Times New Roman" w:eastAsia="宋体" w:cs="Times New Roman"/>
                <w:b w:val="0"/>
                <w:bCs w:val="0"/>
                <w:color w:val="auto"/>
                <w:szCs w:val="21"/>
                <w:lang w:val="en-US" w:eastAsia="zh-CN"/>
              </w:rPr>
              <w:t xml:space="preserve">。 </w:t>
            </w:r>
          </w:p>
          <w:p w14:paraId="67177C42">
            <w:pPr>
              <w:tabs>
                <w:tab w:val="left" w:pos="720"/>
              </w:tabs>
              <w:snapToGrid w:val="0"/>
              <w:spacing w:line="360" w:lineRule="auto"/>
              <w:ind w:firstLine="420" w:firstLineChars="200"/>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 w:val="0"/>
                <w:bCs w:val="0"/>
                <w:color w:val="auto"/>
                <w:szCs w:val="21"/>
                <w:lang w:val="en-US" w:eastAsia="zh-CN"/>
              </w:rPr>
              <w:t>本项目在采取防范措施和制定事故应急预案后，对场外环境的风险影响处于可控，但企业仍需要提高风险管理水平和强化风险防范措施，通过相应的技术手段降低风险发生概率，并在风险事故发生后，及时采取风险防范措施及应急预案，可以使风险事故对环境的危害得到有效控制。</w:t>
            </w:r>
          </w:p>
          <w:p w14:paraId="51546AED">
            <w:pPr>
              <w:spacing w:line="360" w:lineRule="auto"/>
              <w:ind w:firstLine="420" w:firstLineChars="200"/>
              <w:rPr>
                <w:bCs/>
                <w:color w:val="auto"/>
                <w:szCs w:val="21"/>
              </w:rPr>
            </w:pPr>
            <w:r>
              <w:rPr>
                <w:bCs/>
                <w:color w:val="auto"/>
                <w:szCs w:val="21"/>
              </w:rPr>
              <w:t>由于自然灾害或人为原因，当事故灾害不可避免的时候，有效的应急救援行动是唯一可以抵御事故灾害蔓延和减缓灾害后果的有力措施。所以，如果在事故灾害发生前建立完善的应急救援系统，制定周密的救援计划，而在灾害发生的时候采取及时有效的应急救援行动，以及系统恢复和善后处理，可以拯救生命、保护财产、保护环境。应尽快完成编制</w:t>
            </w:r>
            <w:r>
              <w:rPr>
                <w:rFonts w:hint="eastAsia"/>
                <w:bCs/>
                <w:color w:val="auto"/>
                <w:szCs w:val="21"/>
              </w:rPr>
              <w:t>（修订）</w:t>
            </w:r>
            <w:r>
              <w:rPr>
                <w:bCs/>
                <w:color w:val="auto"/>
                <w:szCs w:val="21"/>
              </w:rPr>
              <w:t>该项目突发环境事件应急预案工作。</w:t>
            </w:r>
          </w:p>
          <w:p w14:paraId="7100709A">
            <w:pPr>
              <w:spacing w:line="360" w:lineRule="auto"/>
              <w:ind w:firstLine="420" w:firstLineChars="200"/>
              <w:rPr>
                <w:bCs/>
                <w:color w:val="auto"/>
                <w:szCs w:val="21"/>
              </w:rPr>
            </w:pPr>
            <w:r>
              <w:rPr>
                <w:bCs/>
                <w:color w:val="auto"/>
                <w:szCs w:val="21"/>
              </w:rPr>
              <w:t>事故救援计划应包括以下内容：</w:t>
            </w:r>
            <w:r>
              <w:rPr>
                <w:rFonts w:hint="eastAsia"/>
                <w:bCs/>
                <w:color w:val="auto"/>
                <w:szCs w:val="21"/>
              </w:rPr>
              <w:t>①</w:t>
            </w:r>
            <w:r>
              <w:rPr>
                <w:bCs/>
                <w:color w:val="auto"/>
                <w:szCs w:val="21"/>
              </w:rPr>
              <w:t>应急救援系统的建立和组成；</w:t>
            </w:r>
            <w:r>
              <w:rPr>
                <w:rFonts w:hint="eastAsia"/>
                <w:bCs/>
                <w:color w:val="auto"/>
                <w:szCs w:val="21"/>
              </w:rPr>
              <w:t>②</w:t>
            </w:r>
            <w:r>
              <w:rPr>
                <w:bCs/>
                <w:color w:val="auto"/>
                <w:szCs w:val="21"/>
              </w:rPr>
              <w:t>应急救援计划的制定；</w:t>
            </w:r>
            <w:r>
              <w:rPr>
                <w:rFonts w:hint="eastAsia"/>
                <w:bCs/>
                <w:color w:val="auto"/>
                <w:szCs w:val="21"/>
              </w:rPr>
              <w:t>③</w:t>
            </w:r>
            <w:r>
              <w:rPr>
                <w:bCs/>
                <w:color w:val="auto"/>
                <w:szCs w:val="21"/>
              </w:rPr>
              <w:t>应急培训和演习；</w:t>
            </w:r>
            <w:r>
              <w:rPr>
                <w:rFonts w:hint="eastAsia"/>
                <w:bCs/>
                <w:color w:val="auto"/>
                <w:szCs w:val="21"/>
              </w:rPr>
              <w:t>④</w:t>
            </w:r>
            <w:r>
              <w:rPr>
                <w:bCs/>
                <w:color w:val="auto"/>
                <w:szCs w:val="21"/>
              </w:rPr>
              <w:t>应急救援行动；</w:t>
            </w:r>
            <w:r>
              <w:rPr>
                <w:rFonts w:hint="eastAsia"/>
                <w:bCs/>
                <w:color w:val="auto"/>
                <w:szCs w:val="21"/>
              </w:rPr>
              <w:t>⑤</w:t>
            </w:r>
            <w:r>
              <w:rPr>
                <w:bCs/>
                <w:color w:val="auto"/>
                <w:szCs w:val="21"/>
              </w:rPr>
              <w:t>现场清除与净化；</w:t>
            </w:r>
            <w:r>
              <w:rPr>
                <w:rFonts w:hint="eastAsia"/>
                <w:bCs/>
                <w:color w:val="auto"/>
                <w:szCs w:val="21"/>
              </w:rPr>
              <w:t>⑥</w:t>
            </w:r>
            <w:r>
              <w:rPr>
                <w:bCs/>
                <w:color w:val="auto"/>
                <w:szCs w:val="21"/>
              </w:rPr>
              <w:t>系统的恢复和善后处理。</w:t>
            </w:r>
          </w:p>
          <w:p w14:paraId="7108DFB8">
            <w:pPr>
              <w:spacing w:line="360" w:lineRule="auto"/>
              <w:ind w:firstLine="420" w:firstLineChars="200"/>
              <w:rPr>
                <w:color w:val="auto"/>
              </w:rPr>
            </w:pPr>
            <w:r>
              <w:rPr>
                <w:bCs/>
                <w:color w:val="auto"/>
                <w:szCs w:val="21"/>
              </w:rPr>
              <w:t>事故应急预案</w:t>
            </w:r>
            <w:r>
              <w:rPr>
                <w:rFonts w:hint="eastAsia"/>
                <w:bCs/>
                <w:color w:val="auto"/>
                <w:szCs w:val="21"/>
              </w:rPr>
              <w:t>大体要求</w:t>
            </w:r>
            <w:r>
              <w:rPr>
                <w:bCs/>
                <w:color w:val="auto"/>
                <w:szCs w:val="21"/>
              </w:rPr>
              <w:t>见表</w:t>
            </w:r>
            <w:r>
              <w:rPr>
                <w:rFonts w:hint="eastAsia"/>
                <w:bCs/>
                <w:color w:val="auto"/>
                <w:szCs w:val="21"/>
              </w:rPr>
              <w:t>4</w:t>
            </w:r>
            <w:r>
              <w:rPr>
                <w:rFonts w:hint="eastAsia"/>
                <w:bCs/>
                <w:color w:val="auto"/>
                <w:szCs w:val="21"/>
                <w:lang w:val="en-US" w:eastAsia="zh-CN"/>
              </w:rPr>
              <w:t>.6</w:t>
            </w:r>
            <w:r>
              <w:rPr>
                <w:rFonts w:hint="eastAsia"/>
                <w:bCs/>
                <w:color w:val="auto"/>
                <w:szCs w:val="21"/>
              </w:rPr>
              <w:t>-</w:t>
            </w:r>
            <w:r>
              <w:rPr>
                <w:rFonts w:hint="eastAsia"/>
                <w:bCs/>
                <w:color w:val="auto"/>
                <w:szCs w:val="21"/>
                <w:lang w:val="en-US" w:eastAsia="zh-CN"/>
              </w:rPr>
              <w:t>2</w:t>
            </w:r>
            <w:r>
              <w:rPr>
                <w:bCs/>
                <w:color w:val="auto"/>
                <w:szCs w:val="21"/>
              </w:rPr>
              <w:t>。</w:t>
            </w:r>
          </w:p>
          <w:p w14:paraId="4066641A">
            <w:pPr>
              <w:spacing w:line="320" w:lineRule="exact"/>
              <w:jc w:val="center"/>
              <w:rPr>
                <w:b/>
                <w:bCs/>
                <w:color w:val="auto"/>
                <w:sz w:val="18"/>
                <w:szCs w:val="18"/>
              </w:rPr>
            </w:pPr>
            <w:r>
              <w:rPr>
                <w:b/>
                <w:bCs/>
                <w:color w:val="auto"/>
                <w:sz w:val="18"/>
                <w:szCs w:val="18"/>
              </w:rPr>
              <w:t>表</w:t>
            </w:r>
            <w:r>
              <w:rPr>
                <w:rFonts w:hint="eastAsia"/>
                <w:b/>
                <w:bCs/>
                <w:color w:val="auto"/>
                <w:sz w:val="18"/>
                <w:szCs w:val="18"/>
              </w:rPr>
              <w:t>4</w:t>
            </w:r>
            <w:r>
              <w:rPr>
                <w:rFonts w:hint="eastAsia"/>
                <w:b/>
                <w:bCs/>
                <w:color w:val="auto"/>
                <w:sz w:val="18"/>
                <w:szCs w:val="18"/>
                <w:lang w:val="en-US" w:eastAsia="zh-CN"/>
              </w:rPr>
              <w:t>.6</w:t>
            </w:r>
            <w:r>
              <w:rPr>
                <w:rFonts w:hint="eastAsia"/>
                <w:b/>
                <w:bCs/>
                <w:color w:val="auto"/>
                <w:sz w:val="18"/>
                <w:szCs w:val="18"/>
              </w:rPr>
              <w:t>-</w:t>
            </w:r>
            <w:r>
              <w:rPr>
                <w:rFonts w:hint="eastAsia"/>
                <w:b/>
                <w:bCs/>
                <w:color w:val="auto"/>
                <w:sz w:val="18"/>
                <w:szCs w:val="18"/>
                <w:lang w:val="en-US" w:eastAsia="zh-CN"/>
              </w:rPr>
              <w:t>2</w:t>
            </w:r>
            <w:r>
              <w:rPr>
                <w:rFonts w:hint="eastAsia"/>
                <w:b/>
                <w:bCs/>
                <w:color w:val="auto"/>
                <w:sz w:val="18"/>
                <w:szCs w:val="18"/>
              </w:rPr>
              <w:t xml:space="preserve">    </w:t>
            </w:r>
            <w:r>
              <w:rPr>
                <w:b/>
                <w:bCs/>
                <w:color w:val="auto"/>
                <w:sz w:val="18"/>
                <w:szCs w:val="18"/>
              </w:rPr>
              <w:t>事故应急预案</w:t>
            </w:r>
            <w:r>
              <w:rPr>
                <w:rFonts w:hint="eastAsia"/>
                <w:b/>
                <w:bCs/>
                <w:color w:val="auto"/>
                <w:sz w:val="18"/>
                <w:szCs w:val="18"/>
              </w:rPr>
              <w:t>要求</w:t>
            </w:r>
          </w:p>
          <w:tbl>
            <w:tblPr>
              <w:tblStyle w:val="47"/>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70"/>
              <w:gridCol w:w="1746"/>
              <w:gridCol w:w="5837"/>
            </w:tblGrid>
            <w:tr w14:paraId="632ED33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7" w:hRule="atLeast"/>
              </w:trPr>
              <w:tc>
                <w:tcPr>
                  <w:tcW w:w="292" w:type="pct"/>
                  <w:vAlign w:val="center"/>
                </w:tcPr>
                <w:p w14:paraId="1B0288A2">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Cs/>
                      <w:color w:val="auto"/>
                      <w:sz w:val="18"/>
                      <w:szCs w:val="18"/>
                    </w:rPr>
                  </w:pPr>
                  <w:r>
                    <w:rPr>
                      <w:bCs/>
                      <w:color w:val="auto"/>
                      <w:sz w:val="18"/>
                      <w:szCs w:val="18"/>
                    </w:rPr>
                    <w:t>序号</w:t>
                  </w:r>
                </w:p>
              </w:tc>
              <w:tc>
                <w:tcPr>
                  <w:tcW w:w="1084" w:type="pct"/>
                  <w:vAlign w:val="center"/>
                </w:tcPr>
                <w:p w14:paraId="75250645">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Cs/>
                      <w:color w:val="auto"/>
                      <w:sz w:val="18"/>
                      <w:szCs w:val="18"/>
                    </w:rPr>
                  </w:pPr>
                  <w:r>
                    <w:rPr>
                      <w:bCs/>
                      <w:color w:val="auto"/>
                      <w:sz w:val="18"/>
                      <w:szCs w:val="18"/>
                    </w:rPr>
                    <w:t>项目</w:t>
                  </w:r>
                </w:p>
              </w:tc>
              <w:tc>
                <w:tcPr>
                  <w:tcW w:w="3623" w:type="pct"/>
                  <w:vAlign w:val="center"/>
                </w:tcPr>
                <w:p w14:paraId="25DBC7F1">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Cs/>
                      <w:color w:val="auto"/>
                      <w:sz w:val="18"/>
                      <w:szCs w:val="18"/>
                    </w:rPr>
                  </w:pPr>
                  <w:r>
                    <w:rPr>
                      <w:bCs/>
                      <w:color w:val="auto"/>
                      <w:sz w:val="18"/>
                      <w:szCs w:val="18"/>
                    </w:rPr>
                    <w:t>预案</w:t>
                  </w:r>
                </w:p>
              </w:tc>
            </w:tr>
            <w:tr w14:paraId="62DB65E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7" w:hRule="atLeast"/>
              </w:trPr>
              <w:tc>
                <w:tcPr>
                  <w:tcW w:w="292" w:type="pct"/>
                  <w:vAlign w:val="center"/>
                </w:tcPr>
                <w:p w14:paraId="1D42A2EB">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Cs/>
                      <w:color w:val="auto"/>
                      <w:sz w:val="18"/>
                      <w:szCs w:val="18"/>
                    </w:rPr>
                  </w:pPr>
                  <w:r>
                    <w:rPr>
                      <w:bCs/>
                      <w:color w:val="auto"/>
                      <w:sz w:val="18"/>
                      <w:szCs w:val="18"/>
                    </w:rPr>
                    <w:t>1</w:t>
                  </w:r>
                </w:p>
              </w:tc>
              <w:tc>
                <w:tcPr>
                  <w:tcW w:w="1084" w:type="pct"/>
                  <w:vAlign w:val="center"/>
                </w:tcPr>
                <w:p w14:paraId="42D37DDF">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Cs/>
                      <w:color w:val="auto"/>
                      <w:sz w:val="18"/>
                      <w:szCs w:val="18"/>
                    </w:rPr>
                  </w:pPr>
                  <w:r>
                    <w:rPr>
                      <w:bCs/>
                      <w:color w:val="auto"/>
                      <w:sz w:val="18"/>
                      <w:szCs w:val="18"/>
                    </w:rPr>
                    <w:t>应急计划区</w:t>
                  </w:r>
                </w:p>
              </w:tc>
              <w:tc>
                <w:tcPr>
                  <w:tcW w:w="3623" w:type="pct"/>
                  <w:vAlign w:val="center"/>
                </w:tcPr>
                <w:p w14:paraId="7CA96E39">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bCs/>
                      <w:color w:val="auto"/>
                      <w:sz w:val="18"/>
                      <w:szCs w:val="18"/>
                      <w:lang w:val="en-US" w:eastAsia="zh-CN"/>
                    </w:rPr>
                  </w:pPr>
                  <w:r>
                    <w:rPr>
                      <w:rFonts w:hint="eastAsia"/>
                      <w:bCs/>
                      <w:color w:val="auto"/>
                      <w:sz w:val="18"/>
                      <w:szCs w:val="18"/>
                      <w:lang w:val="en-US" w:eastAsia="zh-CN"/>
                    </w:rPr>
                    <w:t>厂区</w:t>
                  </w:r>
                </w:p>
              </w:tc>
            </w:tr>
            <w:tr w14:paraId="4DCB731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7" w:hRule="atLeast"/>
              </w:trPr>
              <w:tc>
                <w:tcPr>
                  <w:tcW w:w="292" w:type="pct"/>
                  <w:vAlign w:val="center"/>
                </w:tcPr>
                <w:p w14:paraId="7E595C14">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Cs/>
                      <w:color w:val="auto"/>
                      <w:sz w:val="18"/>
                      <w:szCs w:val="18"/>
                    </w:rPr>
                  </w:pPr>
                  <w:r>
                    <w:rPr>
                      <w:bCs/>
                      <w:color w:val="auto"/>
                      <w:sz w:val="18"/>
                      <w:szCs w:val="18"/>
                    </w:rPr>
                    <w:t>2</w:t>
                  </w:r>
                </w:p>
              </w:tc>
              <w:tc>
                <w:tcPr>
                  <w:tcW w:w="1084" w:type="pct"/>
                  <w:vAlign w:val="center"/>
                </w:tcPr>
                <w:p w14:paraId="6308843F">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Cs/>
                      <w:color w:val="auto"/>
                      <w:sz w:val="18"/>
                      <w:szCs w:val="18"/>
                    </w:rPr>
                  </w:pPr>
                  <w:r>
                    <w:rPr>
                      <w:bCs/>
                      <w:color w:val="auto"/>
                      <w:sz w:val="18"/>
                      <w:szCs w:val="18"/>
                    </w:rPr>
                    <w:t>应急组织</w:t>
                  </w:r>
                </w:p>
              </w:tc>
              <w:tc>
                <w:tcPr>
                  <w:tcW w:w="3623" w:type="pct"/>
                  <w:vAlign w:val="center"/>
                </w:tcPr>
                <w:p w14:paraId="79B40EDC">
                  <w:pPr>
                    <w:keepNext w:val="0"/>
                    <w:keepLines w:val="0"/>
                    <w:pageBreakBefore w:val="0"/>
                    <w:widowControl w:val="0"/>
                    <w:kinsoku/>
                    <w:wordWrap/>
                    <w:overflowPunct/>
                    <w:topLinePunct w:val="0"/>
                    <w:autoSpaceDE/>
                    <w:autoSpaceDN/>
                    <w:bidi w:val="0"/>
                    <w:adjustRightInd/>
                    <w:snapToGrid/>
                    <w:spacing w:line="240" w:lineRule="exact"/>
                    <w:textAlignment w:val="auto"/>
                    <w:rPr>
                      <w:bCs/>
                      <w:color w:val="auto"/>
                      <w:sz w:val="18"/>
                      <w:szCs w:val="18"/>
                    </w:rPr>
                  </w:pPr>
                  <w:r>
                    <w:rPr>
                      <w:bCs/>
                      <w:color w:val="auto"/>
                      <w:sz w:val="18"/>
                      <w:szCs w:val="18"/>
                    </w:rPr>
                    <w:t>由</w:t>
                  </w:r>
                  <w:r>
                    <w:rPr>
                      <w:rFonts w:hint="eastAsia"/>
                      <w:bCs/>
                      <w:color w:val="auto"/>
                      <w:sz w:val="18"/>
                      <w:szCs w:val="18"/>
                    </w:rPr>
                    <w:t>厂长</w:t>
                  </w:r>
                  <w:r>
                    <w:rPr>
                      <w:bCs/>
                      <w:color w:val="auto"/>
                      <w:sz w:val="18"/>
                      <w:szCs w:val="18"/>
                    </w:rPr>
                    <w:t>负责现场全面指挥，专业救援队伍负责事故控制、救援和善后处理。</w:t>
                  </w:r>
                </w:p>
              </w:tc>
            </w:tr>
            <w:tr w14:paraId="592622F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7" w:hRule="atLeast"/>
              </w:trPr>
              <w:tc>
                <w:tcPr>
                  <w:tcW w:w="292" w:type="pct"/>
                  <w:vAlign w:val="center"/>
                </w:tcPr>
                <w:p w14:paraId="1F44E2E8">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Cs/>
                      <w:color w:val="auto"/>
                      <w:sz w:val="18"/>
                      <w:szCs w:val="18"/>
                    </w:rPr>
                  </w:pPr>
                  <w:r>
                    <w:rPr>
                      <w:bCs/>
                      <w:color w:val="auto"/>
                      <w:sz w:val="18"/>
                      <w:szCs w:val="18"/>
                    </w:rPr>
                    <w:t>3</w:t>
                  </w:r>
                </w:p>
              </w:tc>
              <w:tc>
                <w:tcPr>
                  <w:tcW w:w="1084" w:type="pct"/>
                  <w:vAlign w:val="center"/>
                </w:tcPr>
                <w:p w14:paraId="0FE7F3C4">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Cs/>
                      <w:color w:val="auto"/>
                      <w:sz w:val="18"/>
                      <w:szCs w:val="18"/>
                    </w:rPr>
                  </w:pPr>
                  <w:r>
                    <w:rPr>
                      <w:bCs/>
                      <w:color w:val="auto"/>
                      <w:sz w:val="18"/>
                      <w:szCs w:val="18"/>
                    </w:rPr>
                    <w:t>应急状态分类、应急响应程序</w:t>
                  </w:r>
                </w:p>
              </w:tc>
              <w:tc>
                <w:tcPr>
                  <w:tcW w:w="3623" w:type="pct"/>
                  <w:vAlign w:val="center"/>
                </w:tcPr>
                <w:p w14:paraId="53123A9A">
                  <w:pPr>
                    <w:keepNext w:val="0"/>
                    <w:keepLines w:val="0"/>
                    <w:pageBreakBefore w:val="0"/>
                    <w:widowControl w:val="0"/>
                    <w:kinsoku/>
                    <w:wordWrap/>
                    <w:overflowPunct/>
                    <w:topLinePunct w:val="0"/>
                    <w:autoSpaceDE/>
                    <w:autoSpaceDN/>
                    <w:bidi w:val="0"/>
                    <w:adjustRightInd/>
                    <w:snapToGrid/>
                    <w:spacing w:line="240" w:lineRule="exact"/>
                    <w:textAlignment w:val="auto"/>
                    <w:rPr>
                      <w:bCs/>
                      <w:color w:val="auto"/>
                      <w:sz w:val="18"/>
                      <w:szCs w:val="18"/>
                    </w:rPr>
                  </w:pPr>
                  <w:r>
                    <w:rPr>
                      <w:bCs/>
                      <w:color w:val="auto"/>
                      <w:sz w:val="18"/>
                      <w:szCs w:val="18"/>
                    </w:rPr>
                    <w:t>规定环境风险事故的级别及相应的应急状态分类，以此制定相应的应急响应程序。</w:t>
                  </w:r>
                </w:p>
              </w:tc>
            </w:tr>
            <w:tr w14:paraId="54ACD0F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7" w:hRule="atLeast"/>
              </w:trPr>
              <w:tc>
                <w:tcPr>
                  <w:tcW w:w="292" w:type="pct"/>
                  <w:vAlign w:val="center"/>
                </w:tcPr>
                <w:p w14:paraId="319D1A77">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Cs/>
                      <w:color w:val="auto"/>
                      <w:sz w:val="18"/>
                      <w:szCs w:val="18"/>
                    </w:rPr>
                  </w:pPr>
                  <w:r>
                    <w:rPr>
                      <w:bCs/>
                      <w:color w:val="auto"/>
                      <w:sz w:val="18"/>
                      <w:szCs w:val="18"/>
                    </w:rPr>
                    <w:t>4</w:t>
                  </w:r>
                </w:p>
              </w:tc>
              <w:tc>
                <w:tcPr>
                  <w:tcW w:w="1084" w:type="pct"/>
                  <w:vAlign w:val="center"/>
                </w:tcPr>
                <w:p w14:paraId="1757DE32">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Cs/>
                      <w:color w:val="auto"/>
                      <w:sz w:val="18"/>
                      <w:szCs w:val="18"/>
                    </w:rPr>
                  </w:pPr>
                  <w:r>
                    <w:rPr>
                      <w:bCs/>
                      <w:color w:val="auto"/>
                      <w:sz w:val="18"/>
                      <w:szCs w:val="18"/>
                    </w:rPr>
                    <w:t>应急救援保障</w:t>
                  </w:r>
                </w:p>
              </w:tc>
              <w:tc>
                <w:tcPr>
                  <w:tcW w:w="3623" w:type="pct"/>
                  <w:vAlign w:val="center"/>
                </w:tcPr>
                <w:p w14:paraId="51F70F45">
                  <w:pPr>
                    <w:keepNext w:val="0"/>
                    <w:keepLines w:val="0"/>
                    <w:pageBreakBefore w:val="0"/>
                    <w:widowControl w:val="0"/>
                    <w:kinsoku/>
                    <w:wordWrap/>
                    <w:overflowPunct/>
                    <w:topLinePunct w:val="0"/>
                    <w:autoSpaceDE/>
                    <w:autoSpaceDN/>
                    <w:bidi w:val="0"/>
                    <w:adjustRightInd/>
                    <w:snapToGrid/>
                    <w:spacing w:line="240" w:lineRule="exact"/>
                    <w:textAlignment w:val="auto"/>
                    <w:rPr>
                      <w:bCs/>
                      <w:color w:val="auto"/>
                      <w:sz w:val="18"/>
                      <w:szCs w:val="18"/>
                    </w:rPr>
                  </w:pPr>
                  <w:r>
                    <w:rPr>
                      <w:rFonts w:hint="eastAsia"/>
                      <w:bCs/>
                      <w:color w:val="auto"/>
                      <w:sz w:val="18"/>
                      <w:szCs w:val="18"/>
                      <w:lang w:val="en-US" w:eastAsia="zh-CN"/>
                    </w:rPr>
                    <w:t>作业区</w:t>
                  </w:r>
                  <w:r>
                    <w:rPr>
                      <w:rFonts w:hint="eastAsia"/>
                      <w:bCs/>
                      <w:color w:val="auto"/>
                      <w:sz w:val="18"/>
                      <w:szCs w:val="18"/>
                    </w:rPr>
                    <w:t>：</w:t>
                  </w:r>
                  <w:r>
                    <w:rPr>
                      <w:bCs/>
                      <w:color w:val="auto"/>
                      <w:sz w:val="18"/>
                      <w:szCs w:val="18"/>
                    </w:rPr>
                    <w:t>防火灾事故的应急设施、设备与材料，主要为消防器材、消防服等；人员急救所用的一些药品、器材。</w:t>
                  </w:r>
                </w:p>
                <w:p w14:paraId="0FAA3002">
                  <w:pPr>
                    <w:keepNext w:val="0"/>
                    <w:keepLines w:val="0"/>
                    <w:pageBreakBefore w:val="0"/>
                    <w:widowControl w:val="0"/>
                    <w:kinsoku/>
                    <w:wordWrap/>
                    <w:overflowPunct/>
                    <w:topLinePunct w:val="0"/>
                    <w:autoSpaceDE/>
                    <w:autoSpaceDN/>
                    <w:bidi w:val="0"/>
                    <w:adjustRightInd/>
                    <w:snapToGrid/>
                    <w:spacing w:line="240" w:lineRule="exact"/>
                    <w:textAlignment w:val="auto"/>
                    <w:rPr>
                      <w:bCs/>
                      <w:color w:val="auto"/>
                      <w:sz w:val="18"/>
                      <w:szCs w:val="18"/>
                    </w:rPr>
                  </w:pPr>
                  <w:r>
                    <w:rPr>
                      <w:bCs/>
                      <w:color w:val="auto"/>
                      <w:sz w:val="18"/>
                      <w:szCs w:val="18"/>
                    </w:rPr>
                    <w:t>邻近地区：火灾应急设施与材料，烧伤、中毒人员急救所用一些药品、器材。</w:t>
                  </w:r>
                </w:p>
              </w:tc>
            </w:tr>
            <w:tr w14:paraId="498FE81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7" w:hRule="atLeast"/>
              </w:trPr>
              <w:tc>
                <w:tcPr>
                  <w:tcW w:w="292" w:type="pct"/>
                  <w:vAlign w:val="center"/>
                </w:tcPr>
                <w:p w14:paraId="174A44D4">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Cs/>
                      <w:color w:val="auto"/>
                      <w:sz w:val="18"/>
                      <w:szCs w:val="18"/>
                    </w:rPr>
                  </w:pPr>
                  <w:r>
                    <w:rPr>
                      <w:bCs/>
                      <w:color w:val="auto"/>
                      <w:sz w:val="18"/>
                      <w:szCs w:val="18"/>
                    </w:rPr>
                    <w:t>5</w:t>
                  </w:r>
                </w:p>
              </w:tc>
              <w:tc>
                <w:tcPr>
                  <w:tcW w:w="1084" w:type="pct"/>
                  <w:vAlign w:val="center"/>
                </w:tcPr>
                <w:p w14:paraId="478A11E7">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Cs/>
                      <w:color w:val="auto"/>
                      <w:sz w:val="18"/>
                      <w:szCs w:val="18"/>
                    </w:rPr>
                  </w:pPr>
                  <w:r>
                    <w:rPr>
                      <w:bCs/>
                      <w:color w:val="auto"/>
                      <w:sz w:val="18"/>
                      <w:szCs w:val="18"/>
                    </w:rPr>
                    <w:t>报警、通讯联络方式</w:t>
                  </w:r>
                </w:p>
              </w:tc>
              <w:tc>
                <w:tcPr>
                  <w:tcW w:w="3623" w:type="pct"/>
                  <w:vAlign w:val="center"/>
                </w:tcPr>
                <w:p w14:paraId="21837F95">
                  <w:pPr>
                    <w:keepNext w:val="0"/>
                    <w:keepLines w:val="0"/>
                    <w:pageBreakBefore w:val="0"/>
                    <w:widowControl w:val="0"/>
                    <w:kinsoku/>
                    <w:wordWrap/>
                    <w:overflowPunct/>
                    <w:topLinePunct w:val="0"/>
                    <w:autoSpaceDE/>
                    <w:autoSpaceDN/>
                    <w:bidi w:val="0"/>
                    <w:adjustRightInd/>
                    <w:snapToGrid/>
                    <w:spacing w:line="240" w:lineRule="exact"/>
                    <w:textAlignment w:val="auto"/>
                    <w:rPr>
                      <w:bCs/>
                      <w:color w:val="auto"/>
                      <w:sz w:val="18"/>
                      <w:szCs w:val="18"/>
                    </w:rPr>
                  </w:pPr>
                  <w:r>
                    <w:rPr>
                      <w:bCs/>
                      <w:color w:val="auto"/>
                      <w:sz w:val="18"/>
                      <w:szCs w:val="18"/>
                    </w:rPr>
                    <w:t>规定应急状态下的报警通讯方式、通知方式和交通保障管制</w:t>
                  </w:r>
                </w:p>
              </w:tc>
            </w:tr>
            <w:tr w14:paraId="1D94BC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7" w:hRule="atLeast"/>
              </w:trPr>
              <w:tc>
                <w:tcPr>
                  <w:tcW w:w="292" w:type="pct"/>
                  <w:vAlign w:val="center"/>
                </w:tcPr>
                <w:p w14:paraId="5DC6AB68">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Cs/>
                      <w:color w:val="auto"/>
                      <w:sz w:val="18"/>
                      <w:szCs w:val="18"/>
                    </w:rPr>
                  </w:pPr>
                  <w:r>
                    <w:rPr>
                      <w:bCs/>
                      <w:color w:val="auto"/>
                      <w:sz w:val="18"/>
                      <w:szCs w:val="18"/>
                    </w:rPr>
                    <w:t>6</w:t>
                  </w:r>
                </w:p>
              </w:tc>
              <w:tc>
                <w:tcPr>
                  <w:tcW w:w="1084" w:type="pct"/>
                  <w:vAlign w:val="center"/>
                </w:tcPr>
                <w:p w14:paraId="68E0C87D">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Cs/>
                      <w:color w:val="auto"/>
                      <w:sz w:val="18"/>
                      <w:szCs w:val="18"/>
                    </w:rPr>
                  </w:pPr>
                  <w:r>
                    <w:rPr>
                      <w:bCs/>
                      <w:color w:val="auto"/>
                      <w:sz w:val="18"/>
                      <w:szCs w:val="18"/>
                    </w:rPr>
                    <w:t>应急环境监测、抢险、救援及控制措施</w:t>
                  </w:r>
                </w:p>
              </w:tc>
              <w:tc>
                <w:tcPr>
                  <w:tcW w:w="3623" w:type="pct"/>
                  <w:vAlign w:val="center"/>
                </w:tcPr>
                <w:p w14:paraId="69F95DB0">
                  <w:pPr>
                    <w:keepNext w:val="0"/>
                    <w:keepLines w:val="0"/>
                    <w:pageBreakBefore w:val="0"/>
                    <w:widowControl w:val="0"/>
                    <w:kinsoku/>
                    <w:wordWrap/>
                    <w:overflowPunct/>
                    <w:topLinePunct w:val="0"/>
                    <w:autoSpaceDE/>
                    <w:autoSpaceDN/>
                    <w:bidi w:val="0"/>
                    <w:adjustRightInd/>
                    <w:snapToGrid/>
                    <w:spacing w:line="240" w:lineRule="exact"/>
                    <w:textAlignment w:val="auto"/>
                    <w:rPr>
                      <w:bCs/>
                      <w:color w:val="auto"/>
                      <w:sz w:val="18"/>
                      <w:szCs w:val="18"/>
                    </w:rPr>
                  </w:pPr>
                  <w:r>
                    <w:rPr>
                      <w:bCs/>
                      <w:color w:val="auto"/>
                      <w:sz w:val="18"/>
                      <w:szCs w:val="18"/>
                    </w:rPr>
                    <w:t>由专业人员对环境风险事故现场进行应急监测，对事故性质、严重程度等所造成的环境危害后果进行评估，吸取经验教训避免再次发生事故，为指挥部门提供决策依据。</w:t>
                  </w:r>
                </w:p>
              </w:tc>
            </w:tr>
            <w:tr w14:paraId="04751C8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35" w:hRule="atLeast"/>
              </w:trPr>
              <w:tc>
                <w:tcPr>
                  <w:tcW w:w="292" w:type="pct"/>
                  <w:vAlign w:val="center"/>
                </w:tcPr>
                <w:p w14:paraId="3AF9D9FA">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Cs/>
                      <w:color w:val="auto"/>
                      <w:sz w:val="18"/>
                      <w:szCs w:val="18"/>
                    </w:rPr>
                  </w:pPr>
                  <w:r>
                    <w:rPr>
                      <w:bCs/>
                      <w:color w:val="auto"/>
                      <w:sz w:val="18"/>
                      <w:szCs w:val="18"/>
                    </w:rPr>
                    <w:t>7</w:t>
                  </w:r>
                </w:p>
              </w:tc>
              <w:tc>
                <w:tcPr>
                  <w:tcW w:w="1084" w:type="pct"/>
                  <w:vAlign w:val="center"/>
                </w:tcPr>
                <w:p w14:paraId="468D8431">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Cs/>
                      <w:color w:val="auto"/>
                      <w:sz w:val="18"/>
                      <w:szCs w:val="18"/>
                    </w:rPr>
                  </w:pPr>
                  <w:r>
                    <w:rPr>
                      <w:bCs/>
                      <w:color w:val="auto"/>
                      <w:sz w:val="18"/>
                      <w:szCs w:val="18"/>
                    </w:rPr>
                    <w:t>应急防护措施、消除泄漏措施及使用器材</w:t>
                  </w:r>
                </w:p>
              </w:tc>
              <w:tc>
                <w:tcPr>
                  <w:tcW w:w="3623" w:type="pct"/>
                  <w:vAlign w:val="center"/>
                </w:tcPr>
                <w:p w14:paraId="778FFF38">
                  <w:pPr>
                    <w:keepNext w:val="0"/>
                    <w:keepLines w:val="0"/>
                    <w:pageBreakBefore w:val="0"/>
                    <w:widowControl w:val="0"/>
                    <w:kinsoku/>
                    <w:wordWrap/>
                    <w:overflowPunct/>
                    <w:topLinePunct w:val="0"/>
                    <w:autoSpaceDE/>
                    <w:autoSpaceDN/>
                    <w:bidi w:val="0"/>
                    <w:adjustRightInd/>
                    <w:snapToGrid/>
                    <w:spacing w:line="240" w:lineRule="exact"/>
                    <w:textAlignment w:val="auto"/>
                    <w:rPr>
                      <w:bCs/>
                      <w:color w:val="auto"/>
                      <w:sz w:val="18"/>
                      <w:szCs w:val="18"/>
                    </w:rPr>
                  </w:pPr>
                  <w:r>
                    <w:rPr>
                      <w:bCs/>
                      <w:color w:val="auto"/>
                      <w:sz w:val="18"/>
                      <w:szCs w:val="18"/>
                    </w:rPr>
                    <w:t>事故现场：控制事故发展，防止扩大、蔓延及连锁反应；消除现场泄漏物，降低危害；相应的设施器材配备。</w:t>
                  </w:r>
                </w:p>
                <w:p w14:paraId="38ADB6A6">
                  <w:pPr>
                    <w:keepNext w:val="0"/>
                    <w:keepLines w:val="0"/>
                    <w:pageBreakBefore w:val="0"/>
                    <w:widowControl w:val="0"/>
                    <w:kinsoku/>
                    <w:wordWrap/>
                    <w:overflowPunct/>
                    <w:topLinePunct w:val="0"/>
                    <w:autoSpaceDE/>
                    <w:autoSpaceDN/>
                    <w:bidi w:val="0"/>
                    <w:adjustRightInd/>
                    <w:snapToGrid/>
                    <w:spacing w:line="240" w:lineRule="exact"/>
                    <w:textAlignment w:val="auto"/>
                    <w:rPr>
                      <w:bCs/>
                      <w:color w:val="auto"/>
                      <w:sz w:val="18"/>
                      <w:szCs w:val="18"/>
                    </w:rPr>
                  </w:pPr>
                  <w:r>
                    <w:rPr>
                      <w:bCs/>
                      <w:color w:val="auto"/>
                      <w:sz w:val="18"/>
                      <w:szCs w:val="18"/>
                    </w:rPr>
                    <w:t>邻近地区：控制防火区域，控制和消除环境污染的措施及相应的设备配备。</w:t>
                  </w:r>
                </w:p>
              </w:tc>
            </w:tr>
            <w:tr w14:paraId="735F66B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79" w:hRule="atLeast"/>
              </w:trPr>
              <w:tc>
                <w:tcPr>
                  <w:tcW w:w="292" w:type="pct"/>
                  <w:vAlign w:val="center"/>
                </w:tcPr>
                <w:p w14:paraId="351664B1">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Cs/>
                      <w:color w:val="auto"/>
                      <w:sz w:val="18"/>
                      <w:szCs w:val="18"/>
                    </w:rPr>
                  </w:pPr>
                  <w:r>
                    <w:rPr>
                      <w:bCs/>
                      <w:color w:val="auto"/>
                      <w:sz w:val="18"/>
                      <w:szCs w:val="18"/>
                    </w:rPr>
                    <w:t>8</w:t>
                  </w:r>
                </w:p>
              </w:tc>
              <w:tc>
                <w:tcPr>
                  <w:tcW w:w="1084" w:type="pct"/>
                  <w:vAlign w:val="center"/>
                </w:tcPr>
                <w:p w14:paraId="40722FC1">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Cs/>
                      <w:color w:val="auto"/>
                      <w:sz w:val="18"/>
                      <w:szCs w:val="18"/>
                    </w:rPr>
                  </w:pPr>
                  <w:r>
                    <w:rPr>
                      <w:bCs/>
                      <w:color w:val="auto"/>
                      <w:sz w:val="18"/>
                      <w:szCs w:val="18"/>
                    </w:rPr>
                    <w:t>应急剂量控制、撤离组织计划</w:t>
                  </w:r>
                </w:p>
              </w:tc>
              <w:tc>
                <w:tcPr>
                  <w:tcW w:w="3623" w:type="pct"/>
                  <w:vAlign w:val="center"/>
                </w:tcPr>
                <w:p w14:paraId="652B80EC">
                  <w:pPr>
                    <w:keepNext w:val="0"/>
                    <w:keepLines w:val="0"/>
                    <w:pageBreakBefore w:val="0"/>
                    <w:widowControl w:val="0"/>
                    <w:kinsoku/>
                    <w:wordWrap/>
                    <w:overflowPunct/>
                    <w:topLinePunct w:val="0"/>
                    <w:autoSpaceDE/>
                    <w:autoSpaceDN/>
                    <w:bidi w:val="0"/>
                    <w:adjustRightInd/>
                    <w:snapToGrid/>
                    <w:spacing w:line="240" w:lineRule="exact"/>
                    <w:textAlignment w:val="auto"/>
                    <w:rPr>
                      <w:bCs/>
                      <w:color w:val="auto"/>
                      <w:sz w:val="18"/>
                      <w:szCs w:val="18"/>
                    </w:rPr>
                  </w:pPr>
                  <w:r>
                    <w:rPr>
                      <w:bCs/>
                      <w:color w:val="auto"/>
                      <w:sz w:val="18"/>
                      <w:szCs w:val="18"/>
                    </w:rPr>
                    <w:t>事故现场：控制事故发展，防止扩大、蔓延及连锁反应；及时抽空泄漏</w:t>
                  </w:r>
                  <w:r>
                    <w:rPr>
                      <w:rFonts w:hint="eastAsia"/>
                      <w:bCs/>
                      <w:color w:val="auto"/>
                      <w:sz w:val="18"/>
                      <w:szCs w:val="18"/>
                    </w:rPr>
                    <w:t>设施</w:t>
                  </w:r>
                  <w:r>
                    <w:rPr>
                      <w:bCs/>
                      <w:color w:val="auto"/>
                      <w:sz w:val="18"/>
                      <w:szCs w:val="18"/>
                    </w:rPr>
                    <w:t>的</w:t>
                  </w:r>
                  <w:r>
                    <w:rPr>
                      <w:rFonts w:hint="eastAsia"/>
                      <w:bCs/>
                      <w:color w:val="auto"/>
                      <w:sz w:val="18"/>
                      <w:szCs w:val="18"/>
                    </w:rPr>
                    <w:t>泄漏物质</w:t>
                  </w:r>
                  <w:r>
                    <w:rPr>
                      <w:bCs/>
                      <w:color w:val="auto"/>
                      <w:sz w:val="18"/>
                      <w:szCs w:val="18"/>
                    </w:rPr>
                    <w:t>，并清理渗漏在防渗层的油品，降低危害；相应的设施器材配备。</w:t>
                  </w:r>
                </w:p>
                <w:p w14:paraId="02099B3D">
                  <w:pPr>
                    <w:keepNext w:val="0"/>
                    <w:keepLines w:val="0"/>
                    <w:pageBreakBefore w:val="0"/>
                    <w:widowControl w:val="0"/>
                    <w:kinsoku/>
                    <w:wordWrap/>
                    <w:overflowPunct/>
                    <w:topLinePunct w:val="0"/>
                    <w:autoSpaceDE/>
                    <w:autoSpaceDN/>
                    <w:bidi w:val="0"/>
                    <w:adjustRightInd/>
                    <w:snapToGrid/>
                    <w:spacing w:line="240" w:lineRule="exact"/>
                    <w:textAlignment w:val="auto"/>
                    <w:rPr>
                      <w:bCs/>
                      <w:color w:val="auto"/>
                      <w:sz w:val="18"/>
                      <w:szCs w:val="18"/>
                    </w:rPr>
                  </w:pPr>
                  <w:r>
                    <w:rPr>
                      <w:bCs/>
                      <w:color w:val="auto"/>
                      <w:sz w:val="18"/>
                      <w:szCs w:val="18"/>
                    </w:rPr>
                    <w:t>邻近地区：控制防火区域，控制和消除环境污染的措施及相应的设备配备。</w:t>
                  </w:r>
                </w:p>
              </w:tc>
            </w:tr>
            <w:tr w14:paraId="169DF33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71" w:hRule="atLeast"/>
              </w:trPr>
              <w:tc>
                <w:tcPr>
                  <w:tcW w:w="292" w:type="pct"/>
                  <w:vAlign w:val="center"/>
                </w:tcPr>
                <w:p w14:paraId="1E3DB37C">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Cs/>
                      <w:color w:val="auto"/>
                      <w:sz w:val="18"/>
                      <w:szCs w:val="18"/>
                    </w:rPr>
                  </w:pPr>
                  <w:r>
                    <w:rPr>
                      <w:bCs/>
                      <w:color w:val="auto"/>
                      <w:sz w:val="18"/>
                      <w:szCs w:val="18"/>
                    </w:rPr>
                    <w:t>9</w:t>
                  </w:r>
                </w:p>
              </w:tc>
              <w:tc>
                <w:tcPr>
                  <w:tcW w:w="1084" w:type="pct"/>
                  <w:vAlign w:val="center"/>
                </w:tcPr>
                <w:p w14:paraId="3EEDF1E1">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Cs/>
                      <w:color w:val="auto"/>
                      <w:sz w:val="18"/>
                      <w:szCs w:val="18"/>
                    </w:rPr>
                  </w:pPr>
                  <w:r>
                    <w:rPr>
                      <w:bCs/>
                      <w:color w:val="auto"/>
                      <w:sz w:val="18"/>
                      <w:szCs w:val="18"/>
                    </w:rPr>
                    <w:t>应急状态中止与恢复措施</w:t>
                  </w:r>
                </w:p>
              </w:tc>
              <w:tc>
                <w:tcPr>
                  <w:tcW w:w="3623" w:type="pct"/>
                  <w:vAlign w:val="center"/>
                </w:tcPr>
                <w:p w14:paraId="4066FB87">
                  <w:pPr>
                    <w:keepNext w:val="0"/>
                    <w:keepLines w:val="0"/>
                    <w:pageBreakBefore w:val="0"/>
                    <w:widowControl w:val="0"/>
                    <w:kinsoku/>
                    <w:wordWrap/>
                    <w:overflowPunct/>
                    <w:topLinePunct w:val="0"/>
                    <w:autoSpaceDE/>
                    <w:autoSpaceDN/>
                    <w:bidi w:val="0"/>
                    <w:adjustRightInd/>
                    <w:snapToGrid/>
                    <w:spacing w:line="240" w:lineRule="exact"/>
                    <w:textAlignment w:val="auto"/>
                    <w:rPr>
                      <w:bCs/>
                      <w:color w:val="auto"/>
                      <w:sz w:val="18"/>
                      <w:szCs w:val="18"/>
                    </w:rPr>
                  </w:pPr>
                  <w:r>
                    <w:rPr>
                      <w:bCs/>
                      <w:color w:val="auto"/>
                      <w:sz w:val="18"/>
                      <w:szCs w:val="18"/>
                    </w:rPr>
                    <w:t>事故现场：规定应急状态中止程序；事故现场善后处理，恢复正常运营措施。</w:t>
                  </w:r>
                </w:p>
                <w:p w14:paraId="23F0B44B">
                  <w:pPr>
                    <w:keepNext w:val="0"/>
                    <w:keepLines w:val="0"/>
                    <w:pageBreakBefore w:val="0"/>
                    <w:widowControl w:val="0"/>
                    <w:kinsoku/>
                    <w:wordWrap/>
                    <w:overflowPunct/>
                    <w:topLinePunct w:val="0"/>
                    <w:autoSpaceDE/>
                    <w:autoSpaceDN/>
                    <w:bidi w:val="0"/>
                    <w:adjustRightInd/>
                    <w:snapToGrid/>
                    <w:spacing w:line="240" w:lineRule="exact"/>
                    <w:textAlignment w:val="auto"/>
                    <w:rPr>
                      <w:bCs/>
                      <w:color w:val="auto"/>
                      <w:sz w:val="18"/>
                      <w:szCs w:val="18"/>
                    </w:rPr>
                  </w:pPr>
                  <w:r>
                    <w:rPr>
                      <w:bCs/>
                      <w:color w:val="auto"/>
                      <w:sz w:val="18"/>
                      <w:szCs w:val="18"/>
                    </w:rPr>
                    <w:t>邻近地区：解除事故警戒、公众返回和善后恢复措施。</w:t>
                  </w:r>
                </w:p>
              </w:tc>
            </w:tr>
            <w:tr w14:paraId="3CBFE5A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89" w:hRule="atLeast"/>
              </w:trPr>
              <w:tc>
                <w:tcPr>
                  <w:tcW w:w="292" w:type="pct"/>
                  <w:vAlign w:val="center"/>
                </w:tcPr>
                <w:p w14:paraId="6289BAE6">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Cs/>
                      <w:color w:val="auto"/>
                      <w:sz w:val="18"/>
                      <w:szCs w:val="18"/>
                    </w:rPr>
                  </w:pPr>
                  <w:r>
                    <w:rPr>
                      <w:bCs/>
                      <w:color w:val="auto"/>
                      <w:sz w:val="18"/>
                      <w:szCs w:val="18"/>
                    </w:rPr>
                    <w:t>10</w:t>
                  </w:r>
                </w:p>
              </w:tc>
              <w:tc>
                <w:tcPr>
                  <w:tcW w:w="1084" w:type="pct"/>
                  <w:vAlign w:val="center"/>
                </w:tcPr>
                <w:p w14:paraId="71277D4A">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Cs/>
                      <w:color w:val="auto"/>
                      <w:sz w:val="18"/>
                      <w:szCs w:val="18"/>
                    </w:rPr>
                  </w:pPr>
                  <w:r>
                    <w:rPr>
                      <w:bCs/>
                      <w:color w:val="auto"/>
                      <w:sz w:val="18"/>
                      <w:szCs w:val="18"/>
                    </w:rPr>
                    <w:t>应急培训计划</w:t>
                  </w:r>
                </w:p>
              </w:tc>
              <w:tc>
                <w:tcPr>
                  <w:tcW w:w="3623" w:type="pct"/>
                  <w:vAlign w:val="center"/>
                </w:tcPr>
                <w:p w14:paraId="166A4452">
                  <w:pPr>
                    <w:keepNext w:val="0"/>
                    <w:keepLines w:val="0"/>
                    <w:pageBreakBefore w:val="0"/>
                    <w:widowControl w:val="0"/>
                    <w:kinsoku/>
                    <w:wordWrap/>
                    <w:overflowPunct/>
                    <w:topLinePunct w:val="0"/>
                    <w:autoSpaceDE/>
                    <w:autoSpaceDN/>
                    <w:bidi w:val="0"/>
                    <w:adjustRightInd/>
                    <w:snapToGrid/>
                    <w:spacing w:line="240" w:lineRule="exact"/>
                    <w:textAlignment w:val="auto"/>
                    <w:rPr>
                      <w:bCs/>
                      <w:color w:val="auto"/>
                      <w:sz w:val="18"/>
                      <w:szCs w:val="18"/>
                    </w:rPr>
                  </w:pPr>
                  <w:r>
                    <w:rPr>
                      <w:bCs/>
                      <w:color w:val="auto"/>
                      <w:sz w:val="18"/>
                      <w:szCs w:val="18"/>
                    </w:rPr>
                    <w:t>应急计划制定后，平时应安排事故处理人员进行相关知识培训，进行事故应急处理演练；加强员工的安全教育。</w:t>
                  </w:r>
                </w:p>
              </w:tc>
            </w:tr>
            <w:tr w14:paraId="39DD80D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28" w:hRule="atLeast"/>
              </w:trPr>
              <w:tc>
                <w:tcPr>
                  <w:tcW w:w="292" w:type="pct"/>
                  <w:vAlign w:val="center"/>
                </w:tcPr>
                <w:p w14:paraId="416B8D6C">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Cs/>
                      <w:color w:val="auto"/>
                      <w:sz w:val="18"/>
                      <w:szCs w:val="18"/>
                    </w:rPr>
                  </w:pPr>
                  <w:r>
                    <w:rPr>
                      <w:bCs/>
                      <w:color w:val="auto"/>
                      <w:sz w:val="18"/>
                      <w:szCs w:val="18"/>
                    </w:rPr>
                    <w:t>11</w:t>
                  </w:r>
                </w:p>
              </w:tc>
              <w:tc>
                <w:tcPr>
                  <w:tcW w:w="1084" w:type="pct"/>
                  <w:vAlign w:val="center"/>
                </w:tcPr>
                <w:p w14:paraId="4750B55B">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Cs/>
                      <w:color w:val="auto"/>
                      <w:sz w:val="18"/>
                      <w:szCs w:val="18"/>
                    </w:rPr>
                  </w:pPr>
                  <w:r>
                    <w:rPr>
                      <w:bCs/>
                      <w:color w:val="auto"/>
                      <w:sz w:val="18"/>
                      <w:szCs w:val="18"/>
                    </w:rPr>
                    <w:t>公众教育和信息</w:t>
                  </w:r>
                </w:p>
              </w:tc>
              <w:tc>
                <w:tcPr>
                  <w:tcW w:w="3623" w:type="pct"/>
                  <w:vAlign w:val="center"/>
                </w:tcPr>
                <w:p w14:paraId="2E62A241">
                  <w:pPr>
                    <w:keepNext w:val="0"/>
                    <w:keepLines w:val="0"/>
                    <w:pageBreakBefore w:val="0"/>
                    <w:widowControl w:val="0"/>
                    <w:kinsoku/>
                    <w:wordWrap/>
                    <w:overflowPunct/>
                    <w:topLinePunct w:val="0"/>
                    <w:autoSpaceDE/>
                    <w:autoSpaceDN/>
                    <w:bidi w:val="0"/>
                    <w:adjustRightInd/>
                    <w:snapToGrid/>
                    <w:spacing w:line="240" w:lineRule="exact"/>
                    <w:textAlignment w:val="auto"/>
                    <w:rPr>
                      <w:bCs/>
                      <w:color w:val="auto"/>
                      <w:sz w:val="18"/>
                      <w:szCs w:val="18"/>
                    </w:rPr>
                  </w:pPr>
                  <w:r>
                    <w:rPr>
                      <w:bCs/>
                      <w:color w:val="auto"/>
                      <w:sz w:val="18"/>
                      <w:szCs w:val="18"/>
                    </w:rPr>
                    <w:t>对</w:t>
                  </w:r>
                  <w:r>
                    <w:rPr>
                      <w:rFonts w:hint="eastAsia"/>
                      <w:bCs/>
                      <w:color w:val="auto"/>
                      <w:sz w:val="18"/>
                      <w:szCs w:val="18"/>
                    </w:rPr>
                    <w:t>车间</w:t>
                  </w:r>
                  <w:r>
                    <w:rPr>
                      <w:bCs/>
                      <w:color w:val="auto"/>
                      <w:sz w:val="18"/>
                      <w:szCs w:val="18"/>
                    </w:rPr>
                    <w:t>、邻近地区公众开展环境风险事故预防教育、应急知识培训，并定期发布相关信息。</w:t>
                  </w:r>
                </w:p>
              </w:tc>
            </w:tr>
            <w:tr w14:paraId="30E0C53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37" w:hRule="atLeast"/>
              </w:trPr>
              <w:tc>
                <w:tcPr>
                  <w:tcW w:w="292" w:type="pct"/>
                  <w:vAlign w:val="center"/>
                </w:tcPr>
                <w:p w14:paraId="79A0FC33">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Cs/>
                      <w:color w:val="auto"/>
                      <w:sz w:val="18"/>
                      <w:szCs w:val="18"/>
                    </w:rPr>
                  </w:pPr>
                  <w:r>
                    <w:rPr>
                      <w:bCs/>
                      <w:color w:val="auto"/>
                      <w:sz w:val="18"/>
                      <w:szCs w:val="18"/>
                    </w:rPr>
                    <w:t>12</w:t>
                  </w:r>
                </w:p>
              </w:tc>
              <w:tc>
                <w:tcPr>
                  <w:tcW w:w="1084" w:type="pct"/>
                  <w:vAlign w:val="center"/>
                </w:tcPr>
                <w:p w14:paraId="4B601782">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bCs/>
                      <w:color w:val="auto"/>
                      <w:sz w:val="18"/>
                      <w:szCs w:val="18"/>
                    </w:rPr>
                  </w:pPr>
                  <w:r>
                    <w:rPr>
                      <w:bCs/>
                      <w:color w:val="auto"/>
                      <w:sz w:val="18"/>
                      <w:szCs w:val="18"/>
                    </w:rPr>
                    <w:t>记录和报告</w:t>
                  </w:r>
                </w:p>
              </w:tc>
              <w:tc>
                <w:tcPr>
                  <w:tcW w:w="3623" w:type="pct"/>
                  <w:vAlign w:val="center"/>
                </w:tcPr>
                <w:p w14:paraId="145B15A9">
                  <w:pPr>
                    <w:keepNext w:val="0"/>
                    <w:keepLines w:val="0"/>
                    <w:pageBreakBefore w:val="0"/>
                    <w:widowControl w:val="0"/>
                    <w:kinsoku/>
                    <w:wordWrap/>
                    <w:overflowPunct/>
                    <w:topLinePunct w:val="0"/>
                    <w:autoSpaceDE/>
                    <w:autoSpaceDN/>
                    <w:bidi w:val="0"/>
                    <w:adjustRightInd/>
                    <w:snapToGrid/>
                    <w:spacing w:line="240" w:lineRule="exact"/>
                    <w:textAlignment w:val="auto"/>
                    <w:rPr>
                      <w:bCs/>
                      <w:color w:val="auto"/>
                      <w:sz w:val="18"/>
                      <w:szCs w:val="18"/>
                    </w:rPr>
                  </w:pPr>
                  <w:r>
                    <w:rPr>
                      <w:bCs/>
                      <w:color w:val="auto"/>
                      <w:sz w:val="18"/>
                      <w:szCs w:val="18"/>
                    </w:rPr>
                    <w:t>设应急事故专门记录，建立档案和报告制度，设专门部门负责管理。</w:t>
                  </w:r>
                </w:p>
              </w:tc>
            </w:tr>
          </w:tbl>
          <w:p w14:paraId="78863DF0">
            <w:pPr>
              <w:tabs>
                <w:tab w:val="left" w:pos="720"/>
              </w:tabs>
              <w:snapToGrid w:val="0"/>
              <w:spacing w:line="360" w:lineRule="auto"/>
              <w:ind w:firstLine="420" w:firstLineChars="200"/>
              <w:rPr>
                <w:rFonts w:hint="eastAsia" w:eastAsia="宋体"/>
                <w:b w:val="0"/>
                <w:bCs w:val="0"/>
                <w:color w:val="auto"/>
                <w:szCs w:val="21"/>
                <w:lang w:eastAsia="zh-CN"/>
              </w:rPr>
            </w:pPr>
            <w:r>
              <w:rPr>
                <w:rFonts w:hint="eastAsia"/>
                <w:b w:val="0"/>
                <w:bCs w:val="0"/>
                <w:color w:val="auto"/>
                <w:szCs w:val="21"/>
                <w:lang w:val="en-US" w:eastAsia="zh-CN"/>
              </w:rPr>
              <w:t>4.6.6结论</w:t>
            </w:r>
          </w:p>
          <w:p w14:paraId="5339DF2C">
            <w:pPr>
              <w:spacing w:line="360" w:lineRule="auto"/>
              <w:ind w:firstLine="420" w:firstLineChars="200"/>
              <w:rPr>
                <w:rFonts w:hint="eastAsia"/>
                <w:bCs/>
                <w:color w:val="auto"/>
                <w:szCs w:val="21"/>
                <w:lang w:val="en-US" w:eastAsia="zh-CN"/>
              </w:rPr>
            </w:pPr>
            <w:r>
              <w:rPr>
                <w:rFonts w:hint="eastAsia"/>
                <w:bCs/>
                <w:color w:val="auto"/>
                <w:szCs w:val="21"/>
                <w:lang w:val="en-US" w:eastAsia="zh-CN"/>
              </w:rPr>
              <w:t>综上，在采取相应的风险防范措施防治后，本项目运营期的环境风险可降到最低。</w:t>
            </w:r>
          </w:p>
          <w:p w14:paraId="497C449C">
            <w:pPr>
              <w:spacing w:line="360" w:lineRule="auto"/>
              <w:ind w:firstLine="422" w:firstLineChars="200"/>
              <w:rPr>
                <w:rFonts w:hint="eastAsia"/>
                <w:b/>
                <w:bCs/>
                <w:color w:val="auto"/>
                <w:szCs w:val="21"/>
                <w:lang w:val="en-US" w:eastAsia="zh-CN"/>
              </w:rPr>
            </w:pPr>
            <w:r>
              <w:rPr>
                <w:rFonts w:hint="eastAsia"/>
                <w:b/>
                <w:bCs/>
                <w:color w:val="auto"/>
                <w:szCs w:val="21"/>
                <w:lang w:val="en-US" w:eastAsia="zh-CN"/>
              </w:rPr>
              <w:t>4.7监测计划</w:t>
            </w:r>
          </w:p>
          <w:p w14:paraId="7148329E">
            <w:pPr>
              <w:spacing w:line="360" w:lineRule="auto"/>
              <w:ind w:firstLine="420" w:firstLineChars="200"/>
              <w:rPr>
                <w:bCs/>
                <w:color w:val="auto"/>
                <w:szCs w:val="21"/>
              </w:rPr>
            </w:pPr>
            <w:r>
              <w:rPr>
                <w:rFonts w:hint="eastAsia"/>
                <w:bCs/>
                <w:color w:val="auto"/>
                <w:szCs w:val="21"/>
                <w:lang w:val="en-US" w:eastAsia="zh-CN"/>
              </w:rPr>
              <w:t>本项目运营期污染物监控参照根据《排污单位自行监测技术指南 总则》（</w:t>
            </w:r>
            <w:r>
              <w:rPr>
                <w:rFonts w:hint="default"/>
                <w:bCs/>
                <w:color w:val="auto"/>
                <w:szCs w:val="21"/>
                <w:lang w:val="en-US" w:eastAsia="zh-CN"/>
              </w:rPr>
              <w:t>HJ 819</w:t>
            </w:r>
            <w:r>
              <w:rPr>
                <w:rFonts w:hint="eastAsia"/>
                <w:bCs/>
                <w:color w:val="auto"/>
                <w:szCs w:val="21"/>
                <w:lang w:val="en-US" w:eastAsia="zh-CN"/>
              </w:rPr>
              <w:t>）、《排污许可证申请与核发技术规范 工业炉窑》（</w:t>
            </w:r>
            <w:r>
              <w:rPr>
                <w:rFonts w:hint="default"/>
                <w:bCs/>
                <w:color w:val="auto"/>
                <w:szCs w:val="21"/>
                <w:lang w:val="en-US" w:eastAsia="zh-CN"/>
              </w:rPr>
              <w:t>HJ 1121</w:t>
            </w:r>
            <w:r>
              <w:rPr>
                <w:rFonts w:hint="eastAsia"/>
                <w:bCs/>
                <w:color w:val="auto"/>
                <w:szCs w:val="21"/>
                <w:lang w:val="en-US" w:eastAsia="zh-CN"/>
              </w:rPr>
              <w:t>）、《排污许可证申请与核发技术规范 石墨及其他非金属矿物制品制造》（HJ1119-2020）、《排污许可证申请与核发技术规范 火力发电机锅炉》（HJ820-2017）等要求，制定环境监测计划，企业</w:t>
            </w:r>
            <w:r>
              <w:rPr>
                <w:rFonts w:hint="eastAsia"/>
                <w:bCs/>
                <w:color w:val="auto"/>
                <w:szCs w:val="21"/>
              </w:rPr>
              <w:t>需委托有资质单位进行监测。</w:t>
            </w:r>
          </w:p>
          <w:p w14:paraId="34F722D4">
            <w:pPr>
              <w:pStyle w:val="153"/>
              <w:spacing w:before="0" w:after="0" w:line="240" w:lineRule="auto"/>
              <w:rPr>
                <w:color w:val="auto"/>
                <w:sz w:val="18"/>
                <w:szCs w:val="18"/>
              </w:rPr>
            </w:pPr>
            <w:r>
              <w:rPr>
                <w:color w:val="auto"/>
                <w:sz w:val="18"/>
                <w:szCs w:val="18"/>
              </w:rPr>
              <w:t>表4</w:t>
            </w:r>
            <w:r>
              <w:rPr>
                <w:rFonts w:hint="eastAsia"/>
                <w:color w:val="auto"/>
                <w:sz w:val="18"/>
                <w:szCs w:val="18"/>
                <w:lang w:val="en-US" w:eastAsia="zh-CN"/>
              </w:rPr>
              <w:t>.7</w:t>
            </w:r>
            <w:r>
              <w:rPr>
                <w:color w:val="auto"/>
                <w:sz w:val="18"/>
                <w:szCs w:val="18"/>
              </w:rPr>
              <w:t>-</w:t>
            </w:r>
            <w:r>
              <w:rPr>
                <w:rFonts w:hint="eastAsia"/>
                <w:color w:val="auto"/>
                <w:sz w:val="18"/>
                <w:szCs w:val="18"/>
                <w:lang w:val="en-US" w:eastAsia="zh-CN"/>
              </w:rPr>
              <w:t xml:space="preserve">1 </w:t>
            </w:r>
            <w:r>
              <w:rPr>
                <w:color w:val="auto"/>
                <w:sz w:val="18"/>
                <w:szCs w:val="18"/>
              </w:rPr>
              <w:t xml:space="preserve"> </w:t>
            </w:r>
            <w:r>
              <w:rPr>
                <w:rFonts w:hint="eastAsia"/>
                <w:color w:val="auto"/>
                <w:sz w:val="18"/>
                <w:szCs w:val="18"/>
              </w:rPr>
              <w:t xml:space="preserve">  </w:t>
            </w:r>
            <w:r>
              <w:rPr>
                <w:color w:val="auto"/>
                <w:sz w:val="18"/>
                <w:szCs w:val="18"/>
              </w:rPr>
              <w:t>项目运营期污染源监测计划</w:t>
            </w:r>
          </w:p>
          <w:tbl>
            <w:tblPr>
              <w:tblStyle w:val="4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96"/>
              <w:gridCol w:w="397"/>
              <w:gridCol w:w="907"/>
              <w:gridCol w:w="1821"/>
              <w:gridCol w:w="1575"/>
              <w:gridCol w:w="1112"/>
              <w:gridCol w:w="1845"/>
            </w:tblGrid>
            <w:tr w14:paraId="18F24F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492" w:type="pct"/>
                  <w:gridSpan w:val="2"/>
                  <w:tcBorders>
                    <w:tl2br w:val="nil"/>
                    <w:tr2bl w:val="nil"/>
                  </w:tcBorders>
                  <w:vAlign w:val="center"/>
                </w:tcPr>
                <w:p w14:paraId="4E4A3E8C">
                  <w:pPr>
                    <w:snapToGrid w:val="0"/>
                    <w:jc w:val="center"/>
                    <w:rPr>
                      <w:color w:val="auto"/>
                      <w:sz w:val="18"/>
                      <w:szCs w:val="18"/>
                    </w:rPr>
                  </w:pPr>
                  <w:r>
                    <w:rPr>
                      <w:color w:val="auto"/>
                      <w:sz w:val="18"/>
                      <w:szCs w:val="18"/>
                    </w:rPr>
                    <w:t>类别</w:t>
                  </w:r>
                </w:p>
              </w:tc>
              <w:tc>
                <w:tcPr>
                  <w:tcW w:w="563" w:type="pct"/>
                  <w:tcBorders>
                    <w:tl2br w:val="nil"/>
                    <w:tr2bl w:val="nil"/>
                  </w:tcBorders>
                  <w:vAlign w:val="center"/>
                </w:tcPr>
                <w:p w14:paraId="258D8685">
                  <w:pPr>
                    <w:snapToGrid w:val="0"/>
                    <w:jc w:val="center"/>
                    <w:rPr>
                      <w:color w:val="auto"/>
                      <w:sz w:val="18"/>
                      <w:szCs w:val="18"/>
                    </w:rPr>
                  </w:pPr>
                  <w:r>
                    <w:rPr>
                      <w:color w:val="auto"/>
                      <w:sz w:val="18"/>
                      <w:szCs w:val="18"/>
                    </w:rPr>
                    <w:t>编号</w:t>
                  </w:r>
                </w:p>
              </w:tc>
              <w:tc>
                <w:tcPr>
                  <w:tcW w:w="1130" w:type="pct"/>
                  <w:tcBorders>
                    <w:tl2br w:val="nil"/>
                    <w:tr2bl w:val="nil"/>
                  </w:tcBorders>
                  <w:vAlign w:val="center"/>
                </w:tcPr>
                <w:p w14:paraId="4F1E6D52">
                  <w:pPr>
                    <w:snapToGrid w:val="0"/>
                    <w:jc w:val="center"/>
                    <w:rPr>
                      <w:color w:val="auto"/>
                      <w:sz w:val="18"/>
                      <w:szCs w:val="18"/>
                    </w:rPr>
                  </w:pPr>
                  <w:r>
                    <w:rPr>
                      <w:color w:val="auto"/>
                      <w:sz w:val="18"/>
                      <w:szCs w:val="18"/>
                    </w:rPr>
                    <w:t>监测点位</w:t>
                  </w:r>
                </w:p>
              </w:tc>
              <w:tc>
                <w:tcPr>
                  <w:tcW w:w="977" w:type="pct"/>
                  <w:tcBorders>
                    <w:tl2br w:val="nil"/>
                    <w:tr2bl w:val="nil"/>
                  </w:tcBorders>
                  <w:vAlign w:val="center"/>
                </w:tcPr>
                <w:p w14:paraId="57BAE5A1">
                  <w:pPr>
                    <w:snapToGrid w:val="0"/>
                    <w:jc w:val="center"/>
                    <w:rPr>
                      <w:color w:val="auto"/>
                      <w:sz w:val="18"/>
                      <w:szCs w:val="18"/>
                    </w:rPr>
                  </w:pPr>
                  <w:r>
                    <w:rPr>
                      <w:color w:val="auto"/>
                      <w:sz w:val="18"/>
                      <w:szCs w:val="18"/>
                    </w:rPr>
                    <w:t>监测指标</w:t>
                  </w:r>
                </w:p>
              </w:tc>
              <w:tc>
                <w:tcPr>
                  <w:tcW w:w="690" w:type="pct"/>
                  <w:tcBorders>
                    <w:tl2br w:val="nil"/>
                    <w:tr2bl w:val="nil"/>
                  </w:tcBorders>
                  <w:vAlign w:val="center"/>
                </w:tcPr>
                <w:p w14:paraId="1F43A120">
                  <w:pPr>
                    <w:snapToGrid w:val="0"/>
                    <w:jc w:val="center"/>
                    <w:rPr>
                      <w:color w:val="auto"/>
                      <w:sz w:val="18"/>
                      <w:szCs w:val="18"/>
                    </w:rPr>
                  </w:pPr>
                  <w:r>
                    <w:rPr>
                      <w:color w:val="auto"/>
                      <w:sz w:val="18"/>
                      <w:szCs w:val="18"/>
                    </w:rPr>
                    <w:t>监测频率</w:t>
                  </w:r>
                </w:p>
              </w:tc>
              <w:tc>
                <w:tcPr>
                  <w:tcW w:w="1145" w:type="pct"/>
                  <w:tcBorders>
                    <w:tl2br w:val="nil"/>
                    <w:tr2bl w:val="nil"/>
                  </w:tcBorders>
                  <w:vAlign w:val="center"/>
                </w:tcPr>
                <w:p w14:paraId="334AFD17">
                  <w:pPr>
                    <w:snapToGrid w:val="0"/>
                    <w:jc w:val="center"/>
                    <w:rPr>
                      <w:rFonts w:hint="default" w:eastAsia="宋体"/>
                      <w:color w:val="auto"/>
                      <w:sz w:val="18"/>
                      <w:szCs w:val="18"/>
                      <w:lang w:val="en-US" w:eastAsia="zh-CN"/>
                    </w:rPr>
                  </w:pPr>
                  <w:r>
                    <w:rPr>
                      <w:rFonts w:hint="eastAsia"/>
                      <w:color w:val="auto"/>
                      <w:sz w:val="18"/>
                      <w:szCs w:val="18"/>
                      <w:lang w:val="en-US" w:eastAsia="zh-CN"/>
                    </w:rPr>
                    <w:t>执行标准</w:t>
                  </w:r>
                </w:p>
              </w:tc>
            </w:tr>
            <w:tr w14:paraId="11FE76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6" w:hRule="atLeast"/>
                <w:tblHeader/>
                <w:jc w:val="center"/>
              </w:trPr>
              <w:tc>
                <w:tcPr>
                  <w:tcW w:w="245" w:type="pct"/>
                  <w:vMerge w:val="restart"/>
                  <w:tcBorders>
                    <w:tl2br w:val="nil"/>
                    <w:tr2bl w:val="nil"/>
                  </w:tcBorders>
                  <w:vAlign w:val="center"/>
                </w:tcPr>
                <w:p w14:paraId="1BDA06B6">
                  <w:pPr>
                    <w:snapToGrid w:val="0"/>
                    <w:jc w:val="center"/>
                    <w:rPr>
                      <w:color w:val="auto"/>
                      <w:sz w:val="18"/>
                      <w:szCs w:val="18"/>
                    </w:rPr>
                  </w:pPr>
                  <w:r>
                    <w:rPr>
                      <w:rFonts w:hint="eastAsia"/>
                      <w:color w:val="auto"/>
                      <w:sz w:val="18"/>
                      <w:szCs w:val="18"/>
                      <w:lang w:val="en-US" w:eastAsia="zh-CN"/>
                    </w:rPr>
                    <w:t>废</w:t>
                  </w:r>
                  <w:r>
                    <w:rPr>
                      <w:color w:val="auto"/>
                      <w:sz w:val="18"/>
                      <w:szCs w:val="18"/>
                    </w:rPr>
                    <w:t>气</w:t>
                  </w:r>
                </w:p>
              </w:tc>
              <w:tc>
                <w:tcPr>
                  <w:tcW w:w="246" w:type="pct"/>
                  <w:vMerge w:val="restart"/>
                  <w:tcBorders>
                    <w:tl2br w:val="nil"/>
                    <w:tr2bl w:val="nil"/>
                  </w:tcBorders>
                  <w:vAlign w:val="center"/>
                </w:tcPr>
                <w:p w14:paraId="112A1316">
                  <w:pPr>
                    <w:snapToGrid w:val="0"/>
                    <w:jc w:val="center"/>
                    <w:rPr>
                      <w:rFonts w:hint="eastAsia" w:eastAsia="宋体"/>
                      <w:color w:val="auto"/>
                      <w:sz w:val="18"/>
                      <w:szCs w:val="18"/>
                      <w:lang w:val="en-US" w:eastAsia="zh-CN"/>
                    </w:rPr>
                  </w:pPr>
                  <w:r>
                    <w:rPr>
                      <w:rFonts w:hint="eastAsia"/>
                      <w:color w:val="auto"/>
                      <w:sz w:val="18"/>
                      <w:szCs w:val="18"/>
                      <w:lang w:val="en-US" w:eastAsia="zh-CN"/>
                    </w:rPr>
                    <w:t>有组织</w:t>
                  </w:r>
                </w:p>
              </w:tc>
              <w:tc>
                <w:tcPr>
                  <w:tcW w:w="563" w:type="pct"/>
                  <w:tcBorders>
                    <w:tl2br w:val="nil"/>
                    <w:tr2bl w:val="nil"/>
                  </w:tcBorders>
                  <w:vAlign w:val="center"/>
                </w:tcPr>
                <w:p w14:paraId="011E3335">
                  <w:pPr>
                    <w:snapToGrid w:val="0"/>
                    <w:jc w:val="center"/>
                    <w:rPr>
                      <w:rFonts w:hint="default"/>
                      <w:color w:val="auto"/>
                      <w:sz w:val="18"/>
                      <w:szCs w:val="18"/>
                      <w:lang w:val="en-US" w:eastAsia="zh-CN"/>
                    </w:rPr>
                  </w:pPr>
                  <w:r>
                    <w:rPr>
                      <w:rFonts w:hint="eastAsia"/>
                      <w:color w:val="auto"/>
                      <w:sz w:val="18"/>
                      <w:szCs w:val="18"/>
                      <w:lang w:val="en-US" w:eastAsia="zh-CN"/>
                    </w:rPr>
                    <w:t>DA001</w:t>
                  </w:r>
                </w:p>
              </w:tc>
              <w:tc>
                <w:tcPr>
                  <w:tcW w:w="1130" w:type="pct"/>
                  <w:tcBorders>
                    <w:tl2br w:val="nil"/>
                    <w:tr2bl w:val="nil"/>
                  </w:tcBorders>
                  <w:shd w:val="clear" w:color="auto" w:fill="auto"/>
                  <w:vAlign w:val="center"/>
                </w:tcPr>
                <w:p w14:paraId="1B49CD54">
                  <w:pPr>
                    <w:snapToGrid w:val="0"/>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骨料烘干筛分及燃烧器混合废气除尘器排气筒</w:t>
                  </w:r>
                </w:p>
              </w:tc>
              <w:tc>
                <w:tcPr>
                  <w:tcW w:w="977" w:type="pct"/>
                  <w:tcBorders>
                    <w:tl2br w:val="nil"/>
                    <w:tr2bl w:val="nil"/>
                  </w:tcBorders>
                  <w:shd w:val="clear" w:color="auto" w:fill="auto"/>
                  <w:vAlign w:val="center"/>
                </w:tcPr>
                <w:p w14:paraId="39259A42">
                  <w:pPr>
                    <w:snapToGrid w:val="0"/>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颗粒物、二氧化硫、氮氧化物</w:t>
                  </w:r>
                </w:p>
              </w:tc>
              <w:tc>
                <w:tcPr>
                  <w:tcW w:w="690" w:type="pct"/>
                  <w:tcBorders>
                    <w:tl2br w:val="nil"/>
                    <w:tr2bl w:val="nil"/>
                  </w:tcBorders>
                  <w:shd w:val="clear" w:color="auto" w:fill="auto"/>
                  <w:vAlign w:val="center"/>
                </w:tcPr>
                <w:p w14:paraId="284AFDD7">
                  <w:pPr>
                    <w:snapToGrid w:val="0"/>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1次/半年</w:t>
                  </w:r>
                </w:p>
              </w:tc>
              <w:tc>
                <w:tcPr>
                  <w:tcW w:w="1145" w:type="pct"/>
                  <w:tcBorders>
                    <w:tl2br w:val="nil"/>
                    <w:tr2bl w:val="nil"/>
                  </w:tcBorders>
                  <w:shd w:val="clear" w:color="auto" w:fill="auto"/>
                  <w:vAlign w:val="center"/>
                </w:tcPr>
                <w:p w14:paraId="6865CC8F">
                  <w:pPr>
                    <w:keepNext w:val="0"/>
                    <w:keepLines w:val="0"/>
                    <w:widowControl/>
                    <w:suppressLineNumbers w:val="0"/>
                    <w:jc w:val="center"/>
                  </w:pPr>
                  <w:r>
                    <w:rPr>
                      <w:rFonts w:hint="eastAsia" w:ascii="宋体" w:hAnsi="宋体" w:eastAsia="宋体" w:cs="宋体"/>
                      <w:color w:val="000000"/>
                      <w:kern w:val="0"/>
                      <w:sz w:val="18"/>
                      <w:szCs w:val="18"/>
                      <w:lang w:val="en-US" w:eastAsia="zh-CN" w:bidi="ar"/>
                    </w:rPr>
                    <w:t>《山西省工业炉窑大气污染综合治理实施方案》（晋环</w:t>
                  </w:r>
                </w:p>
                <w:p w14:paraId="0B6E972C">
                  <w:pPr>
                    <w:keepNext w:val="0"/>
                    <w:keepLines w:val="0"/>
                    <w:widowControl/>
                    <w:suppressLineNumbers w:val="0"/>
                    <w:jc w:val="center"/>
                    <w:rPr>
                      <w:rFonts w:hint="eastAsia" w:ascii="Times New Roman" w:hAnsi="Times New Roman" w:eastAsia="宋体" w:cs="Times New Roman"/>
                      <w:color w:val="auto"/>
                      <w:kern w:val="2"/>
                      <w:sz w:val="18"/>
                      <w:szCs w:val="18"/>
                      <w:lang w:val="en-US" w:eastAsia="zh-CN" w:bidi="ar-SA"/>
                    </w:rPr>
                  </w:pPr>
                  <w:r>
                    <w:rPr>
                      <w:rFonts w:hint="eastAsia" w:ascii="宋体" w:hAnsi="宋体" w:eastAsia="宋体" w:cs="宋体"/>
                      <w:color w:val="000000"/>
                      <w:kern w:val="0"/>
                      <w:sz w:val="18"/>
                      <w:szCs w:val="18"/>
                      <w:lang w:val="en-US" w:eastAsia="zh-CN" w:bidi="ar"/>
                    </w:rPr>
                    <w:t>大气〔</w:t>
                  </w:r>
                  <w:r>
                    <w:rPr>
                      <w:rFonts w:hint="default" w:ascii="Times New Roman" w:hAnsi="Times New Roman" w:eastAsia="宋体" w:cs="Times New Roman"/>
                      <w:color w:val="000000"/>
                      <w:kern w:val="0"/>
                      <w:sz w:val="18"/>
                      <w:szCs w:val="18"/>
                      <w:lang w:val="en-US" w:eastAsia="zh-CN" w:bidi="ar"/>
                    </w:rPr>
                    <w:t>2019</w:t>
                  </w:r>
                  <w:r>
                    <w:rPr>
                      <w:rFonts w:hint="eastAsia" w:ascii="宋体" w:hAnsi="宋体" w:eastAsia="宋体" w:cs="宋体"/>
                      <w:color w:val="000000"/>
                      <w:kern w:val="0"/>
                      <w:sz w:val="18"/>
                      <w:szCs w:val="18"/>
                      <w:lang w:val="en-US" w:eastAsia="zh-CN" w:bidi="ar"/>
                    </w:rPr>
                    <w:t>〕）相关要求</w:t>
                  </w:r>
                </w:p>
              </w:tc>
            </w:tr>
            <w:tr w14:paraId="701C11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4" w:hRule="atLeast"/>
                <w:tblHeader/>
                <w:jc w:val="center"/>
              </w:trPr>
              <w:tc>
                <w:tcPr>
                  <w:tcW w:w="245" w:type="pct"/>
                  <w:vMerge w:val="continue"/>
                  <w:tcBorders>
                    <w:tl2br w:val="nil"/>
                    <w:tr2bl w:val="nil"/>
                  </w:tcBorders>
                  <w:vAlign w:val="center"/>
                </w:tcPr>
                <w:p w14:paraId="37860A04">
                  <w:pPr>
                    <w:snapToGrid w:val="0"/>
                    <w:jc w:val="center"/>
                    <w:rPr>
                      <w:rFonts w:hint="eastAsia"/>
                      <w:color w:val="auto"/>
                      <w:sz w:val="18"/>
                      <w:szCs w:val="18"/>
                      <w:lang w:val="en-US" w:eastAsia="zh-CN"/>
                    </w:rPr>
                  </w:pPr>
                </w:p>
              </w:tc>
              <w:tc>
                <w:tcPr>
                  <w:tcW w:w="246" w:type="pct"/>
                  <w:vMerge w:val="continue"/>
                  <w:tcBorders>
                    <w:tl2br w:val="nil"/>
                    <w:tr2bl w:val="nil"/>
                  </w:tcBorders>
                  <w:vAlign w:val="center"/>
                </w:tcPr>
                <w:p w14:paraId="7CEFF636">
                  <w:pPr>
                    <w:snapToGrid w:val="0"/>
                    <w:jc w:val="center"/>
                    <w:rPr>
                      <w:color w:val="auto"/>
                      <w:sz w:val="18"/>
                      <w:szCs w:val="18"/>
                    </w:rPr>
                  </w:pPr>
                </w:p>
              </w:tc>
              <w:tc>
                <w:tcPr>
                  <w:tcW w:w="563" w:type="pct"/>
                  <w:tcBorders>
                    <w:tl2br w:val="nil"/>
                    <w:tr2bl w:val="nil"/>
                  </w:tcBorders>
                  <w:vAlign w:val="center"/>
                </w:tcPr>
                <w:p w14:paraId="038DBD7F">
                  <w:pPr>
                    <w:snapToGrid w:val="0"/>
                    <w:jc w:val="center"/>
                    <w:rPr>
                      <w:rFonts w:hint="default"/>
                      <w:color w:val="auto"/>
                      <w:sz w:val="18"/>
                      <w:szCs w:val="18"/>
                      <w:lang w:val="en-US" w:eastAsia="zh-CN"/>
                    </w:rPr>
                  </w:pPr>
                  <w:r>
                    <w:rPr>
                      <w:rFonts w:hint="eastAsia"/>
                      <w:color w:val="auto"/>
                      <w:sz w:val="18"/>
                      <w:szCs w:val="18"/>
                      <w:lang w:val="en-US" w:eastAsia="zh-CN"/>
                    </w:rPr>
                    <w:t>DA002</w:t>
                  </w:r>
                </w:p>
              </w:tc>
              <w:tc>
                <w:tcPr>
                  <w:tcW w:w="1130" w:type="pct"/>
                  <w:tcBorders>
                    <w:tl2br w:val="nil"/>
                    <w:tr2bl w:val="nil"/>
                  </w:tcBorders>
                  <w:shd w:val="clear" w:color="auto" w:fill="auto"/>
                  <w:vAlign w:val="center"/>
                </w:tcPr>
                <w:p w14:paraId="730E0325">
                  <w:pPr>
                    <w:snapToGrid w:val="0"/>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导热油炉排气筒</w:t>
                  </w:r>
                </w:p>
              </w:tc>
              <w:tc>
                <w:tcPr>
                  <w:tcW w:w="977" w:type="pct"/>
                  <w:tcBorders>
                    <w:tl2br w:val="nil"/>
                    <w:tr2bl w:val="nil"/>
                  </w:tcBorders>
                  <w:shd w:val="clear" w:color="auto" w:fill="auto"/>
                  <w:vAlign w:val="center"/>
                </w:tcPr>
                <w:p w14:paraId="096D98E1">
                  <w:pPr>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颗粒物、二氧化硫、氮氧化物、林格曼黑度</w:t>
                  </w:r>
                </w:p>
              </w:tc>
              <w:tc>
                <w:tcPr>
                  <w:tcW w:w="690" w:type="pct"/>
                  <w:tcBorders>
                    <w:tl2br w:val="nil"/>
                    <w:tr2bl w:val="nil"/>
                  </w:tcBorders>
                  <w:shd w:val="clear" w:color="auto" w:fill="auto"/>
                  <w:vAlign w:val="center"/>
                </w:tcPr>
                <w:p w14:paraId="750CC7A5">
                  <w:pPr>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1次/月</w:t>
                  </w:r>
                </w:p>
              </w:tc>
              <w:tc>
                <w:tcPr>
                  <w:tcW w:w="1145" w:type="pct"/>
                  <w:tcBorders>
                    <w:tl2br w:val="nil"/>
                    <w:tr2bl w:val="nil"/>
                  </w:tcBorders>
                  <w:shd w:val="clear" w:color="auto" w:fill="auto"/>
                  <w:vAlign w:val="center"/>
                </w:tcPr>
                <w:p w14:paraId="4B83C32F">
                  <w:pPr>
                    <w:keepNext w:val="0"/>
                    <w:keepLines w:val="0"/>
                    <w:widowControl/>
                    <w:suppressLineNumbers w:val="0"/>
                    <w:jc w:val="center"/>
                  </w:pPr>
                  <w:r>
                    <w:rPr>
                      <w:rFonts w:hint="eastAsia" w:ascii="宋体" w:hAnsi="宋体" w:eastAsia="宋体" w:cs="宋体"/>
                      <w:color w:val="000000"/>
                      <w:kern w:val="0"/>
                      <w:sz w:val="18"/>
                      <w:szCs w:val="18"/>
                      <w:lang w:val="en-US" w:eastAsia="zh-CN" w:bidi="ar"/>
                    </w:rPr>
                    <w:t>《锅炉大气污染物排放标准》</w:t>
                  </w:r>
                </w:p>
                <w:p w14:paraId="021F88F1">
                  <w:pPr>
                    <w:keepNext w:val="0"/>
                    <w:keepLines w:val="0"/>
                    <w:widowControl/>
                    <w:suppressLineNumbers w:val="0"/>
                    <w:jc w:val="center"/>
                    <w:rPr>
                      <w:rFonts w:hint="eastAsia" w:ascii="Times New Roman" w:hAnsi="Times New Roman" w:eastAsia="宋体" w:cs="Times New Roman"/>
                      <w:color w:val="auto"/>
                      <w:kern w:val="2"/>
                      <w:sz w:val="18"/>
                      <w:szCs w:val="18"/>
                      <w:lang w:val="en-US" w:eastAsia="zh-CN" w:bidi="ar-SA"/>
                    </w:rPr>
                  </w:pPr>
                  <w:r>
                    <w:rPr>
                      <w:rFonts w:hint="eastAsia" w:ascii="宋体" w:hAnsi="宋体" w:eastAsia="宋体" w:cs="宋体"/>
                      <w:color w:val="000000"/>
                      <w:kern w:val="0"/>
                      <w:sz w:val="18"/>
                      <w:szCs w:val="18"/>
                      <w:lang w:val="en-US" w:eastAsia="zh-CN" w:bidi="ar"/>
                    </w:rPr>
                    <w:t>（</w:t>
                  </w:r>
                  <w:r>
                    <w:rPr>
                      <w:rFonts w:hint="default" w:ascii="Times New Roman" w:hAnsi="Times New Roman" w:eastAsia="宋体" w:cs="Times New Roman"/>
                      <w:color w:val="000000"/>
                      <w:kern w:val="0"/>
                      <w:sz w:val="18"/>
                      <w:szCs w:val="18"/>
                      <w:lang w:val="en-US" w:eastAsia="zh-CN" w:bidi="ar"/>
                    </w:rPr>
                    <w:t>DB14/1929-2019</w:t>
                  </w:r>
                  <w:r>
                    <w:rPr>
                      <w:rFonts w:hint="eastAsia" w:ascii="宋体" w:hAnsi="宋体" w:eastAsia="宋体" w:cs="宋体"/>
                      <w:color w:val="000000"/>
                      <w:kern w:val="0"/>
                      <w:sz w:val="18"/>
                      <w:szCs w:val="18"/>
                      <w:lang w:val="en-US" w:eastAsia="zh-CN" w:bidi="ar"/>
                    </w:rPr>
                    <w:t>）</w:t>
                  </w:r>
                  <w:r>
                    <w:rPr>
                      <w:rFonts w:hint="eastAsia" w:ascii="Times New Roman" w:hAnsi="Times New Roman" w:eastAsia="宋体" w:cs="Times New Roman"/>
                      <w:color w:val="000000"/>
                      <w:kern w:val="0"/>
                      <w:sz w:val="18"/>
                      <w:szCs w:val="18"/>
                      <w:lang w:val="en-US" w:eastAsia="zh-CN" w:bidi="ar"/>
                    </w:rPr>
                    <w:t>表4燃油</w:t>
                  </w:r>
                  <w:r>
                    <w:rPr>
                      <w:rFonts w:hint="eastAsia" w:ascii="宋体" w:hAnsi="宋体" w:eastAsia="宋体" w:cs="宋体"/>
                      <w:color w:val="000000"/>
                      <w:kern w:val="0"/>
                      <w:sz w:val="18"/>
                      <w:szCs w:val="18"/>
                      <w:lang w:val="en-US" w:eastAsia="zh-CN" w:bidi="ar"/>
                    </w:rPr>
                    <w:t>锅炉标准</w:t>
                  </w:r>
                </w:p>
              </w:tc>
            </w:tr>
            <w:tr w14:paraId="19B7C9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4" w:hRule="atLeast"/>
                <w:tblHeader/>
                <w:jc w:val="center"/>
              </w:trPr>
              <w:tc>
                <w:tcPr>
                  <w:tcW w:w="245" w:type="pct"/>
                  <w:vMerge w:val="continue"/>
                  <w:tcBorders>
                    <w:tl2br w:val="nil"/>
                    <w:tr2bl w:val="nil"/>
                  </w:tcBorders>
                  <w:vAlign w:val="center"/>
                </w:tcPr>
                <w:p w14:paraId="342CEBA3">
                  <w:pPr>
                    <w:snapToGrid w:val="0"/>
                    <w:jc w:val="center"/>
                    <w:rPr>
                      <w:rFonts w:hint="eastAsia"/>
                      <w:color w:val="auto"/>
                      <w:sz w:val="18"/>
                      <w:szCs w:val="18"/>
                      <w:lang w:val="en-US" w:eastAsia="zh-CN"/>
                    </w:rPr>
                  </w:pPr>
                </w:p>
              </w:tc>
              <w:tc>
                <w:tcPr>
                  <w:tcW w:w="246" w:type="pct"/>
                  <w:vMerge w:val="continue"/>
                  <w:tcBorders>
                    <w:tl2br w:val="nil"/>
                    <w:tr2bl w:val="nil"/>
                  </w:tcBorders>
                  <w:vAlign w:val="center"/>
                </w:tcPr>
                <w:p w14:paraId="46477A4E">
                  <w:pPr>
                    <w:snapToGrid w:val="0"/>
                    <w:jc w:val="center"/>
                    <w:rPr>
                      <w:color w:val="auto"/>
                      <w:sz w:val="18"/>
                      <w:szCs w:val="18"/>
                    </w:rPr>
                  </w:pPr>
                </w:p>
              </w:tc>
              <w:tc>
                <w:tcPr>
                  <w:tcW w:w="563" w:type="pct"/>
                  <w:tcBorders>
                    <w:tl2br w:val="nil"/>
                    <w:tr2bl w:val="nil"/>
                  </w:tcBorders>
                  <w:vAlign w:val="center"/>
                </w:tcPr>
                <w:p w14:paraId="1914B6DC">
                  <w:pPr>
                    <w:snapToGrid w:val="0"/>
                    <w:jc w:val="center"/>
                    <w:rPr>
                      <w:rFonts w:hint="default"/>
                      <w:color w:val="auto"/>
                      <w:sz w:val="18"/>
                      <w:szCs w:val="18"/>
                      <w:lang w:val="en-US" w:eastAsia="zh-CN"/>
                    </w:rPr>
                  </w:pPr>
                  <w:r>
                    <w:rPr>
                      <w:rFonts w:hint="eastAsia"/>
                      <w:color w:val="auto"/>
                      <w:sz w:val="18"/>
                      <w:szCs w:val="18"/>
                      <w:lang w:val="en-US" w:eastAsia="zh-CN"/>
                    </w:rPr>
                    <w:t>DA003</w:t>
                  </w:r>
                </w:p>
              </w:tc>
              <w:tc>
                <w:tcPr>
                  <w:tcW w:w="1130" w:type="pct"/>
                  <w:tcBorders>
                    <w:tl2br w:val="nil"/>
                    <w:tr2bl w:val="nil"/>
                  </w:tcBorders>
                  <w:shd w:val="clear" w:color="auto" w:fill="auto"/>
                  <w:vAlign w:val="center"/>
                </w:tcPr>
                <w:p w14:paraId="57C761AA">
                  <w:pPr>
                    <w:snapToGrid w:val="0"/>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沥青预处理及搅拌冷凝+活性炭吸附装置排气筒</w:t>
                  </w:r>
                </w:p>
              </w:tc>
              <w:tc>
                <w:tcPr>
                  <w:tcW w:w="977" w:type="pct"/>
                  <w:tcBorders>
                    <w:tl2br w:val="nil"/>
                    <w:tr2bl w:val="nil"/>
                  </w:tcBorders>
                  <w:shd w:val="clear" w:color="auto" w:fill="auto"/>
                  <w:vAlign w:val="center"/>
                </w:tcPr>
                <w:p w14:paraId="2F7FF8E6">
                  <w:pPr>
                    <w:snapToGrid w:val="0"/>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沥青烟、苯并[a]芘、非甲烷总烃</w:t>
                  </w:r>
                </w:p>
              </w:tc>
              <w:tc>
                <w:tcPr>
                  <w:tcW w:w="690" w:type="pct"/>
                  <w:tcBorders>
                    <w:tl2br w:val="nil"/>
                    <w:tr2bl w:val="nil"/>
                  </w:tcBorders>
                  <w:shd w:val="clear" w:color="auto" w:fill="auto"/>
                  <w:vAlign w:val="center"/>
                </w:tcPr>
                <w:p w14:paraId="0A6A7817">
                  <w:pPr>
                    <w:snapToGrid w:val="0"/>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1次/年</w:t>
                  </w:r>
                </w:p>
              </w:tc>
              <w:tc>
                <w:tcPr>
                  <w:tcW w:w="1145" w:type="pct"/>
                  <w:tcBorders>
                    <w:tl2br w:val="nil"/>
                    <w:tr2bl w:val="nil"/>
                  </w:tcBorders>
                  <w:shd w:val="clear" w:color="auto" w:fill="auto"/>
                  <w:vAlign w:val="center"/>
                </w:tcPr>
                <w:p w14:paraId="0187AB4B">
                  <w:pPr>
                    <w:snapToGrid w:val="0"/>
                    <w:jc w:val="center"/>
                    <w:rPr>
                      <w:rFonts w:hint="default" w:ascii="Times New Roman" w:hAnsi="Times New Roman" w:eastAsia="宋体" w:cs="Times New Roman"/>
                      <w:color w:val="auto"/>
                      <w:kern w:val="2"/>
                      <w:sz w:val="18"/>
                      <w:szCs w:val="18"/>
                      <w:lang w:val="en-US" w:eastAsia="zh-CN" w:bidi="ar-SA"/>
                    </w:rPr>
                  </w:pPr>
                  <w:r>
                    <w:rPr>
                      <w:rFonts w:hint="eastAsia" w:ascii="宋体" w:hAnsi="宋体" w:eastAsia="宋体" w:cs="宋体"/>
                      <w:color w:val="000000"/>
                      <w:kern w:val="0"/>
                      <w:sz w:val="18"/>
                      <w:szCs w:val="18"/>
                      <w:lang w:val="en-US" w:eastAsia="zh-CN" w:bidi="ar"/>
                    </w:rPr>
                    <w:t>《大气污染物综合排放标准》</w:t>
                  </w:r>
                  <w:r>
                    <w:rPr>
                      <w:rFonts w:hint="default" w:ascii="Times New Roman" w:hAnsi="Times New Roman" w:eastAsia="宋体" w:cs="Times New Roman"/>
                      <w:color w:val="000000"/>
                      <w:kern w:val="0"/>
                      <w:sz w:val="18"/>
                      <w:szCs w:val="18"/>
                      <w:lang w:val="en-US" w:eastAsia="zh-CN" w:bidi="ar"/>
                    </w:rPr>
                    <w:t>(GB16297-1996)</w:t>
                  </w:r>
                  <w:r>
                    <w:rPr>
                      <w:rFonts w:hint="eastAsia" w:ascii="宋体" w:hAnsi="宋体" w:eastAsia="宋体" w:cs="宋体"/>
                      <w:color w:val="000000"/>
                      <w:kern w:val="0"/>
                      <w:sz w:val="18"/>
                      <w:szCs w:val="18"/>
                      <w:lang w:val="en-US" w:eastAsia="zh-CN" w:bidi="ar"/>
                    </w:rPr>
                    <w:t xml:space="preserve">表 </w:t>
                  </w:r>
                  <w:r>
                    <w:rPr>
                      <w:rFonts w:hint="default" w:ascii="Times New Roman" w:hAnsi="Times New Roman" w:eastAsia="宋体" w:cs="Times New Roman"/>
                      <w:color w:val="000000"/>
                      <w:kern w:val="0"/>
                      <w:sz w:val="18"/>
                      <w:szCs w:val="18"/>
                      <w:lang w:val="en-US" w:eastAsia="zh-CN" w:bidi="ar"/>
                    </w:rPr>
                    <w:t xml:space="preserve">2 </w:t>
                  </w:r>
                  <w:r>
                    <w:rPr>
                      <w:rFonts w:hint="eastAsia" w:ascii="宋体" w:hAnsi="宋体" w:eastAsia="宋体" w:cs="宋体"/>
                      <w:color w:val="000000"/>
                      <w:kern w:val="0"/>
                      <w:sz w:val="18"/>
                      <w:szCs w:val="18"/>
                      <w:lang w:val="en-US" w:eastAsia="zh-CN" w:bidi="ar"/>
                    </w:rPr>
                    <w:t>中的二级标准</w:t>
                  </w:r>
                </w:p>
              </w:tc>
            </w:tr>
            <w:tr w14:paraId="6650BF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4" w:hRule="atLeast"/>
                <w:tblHeader/>
                <w:jc w:val="center"/>
              </w:trPr>
              <w:tc>
                <w:tcPr>
                  <w:tcW w:w="245" w:type="pct"/>
                  <w:vMerge w:val="continue"/>
                  <w:tcBorders>
                    <w:tl2br w:val="nil"/>
                    <w:tr2bl w:val="nil"/>
                  </w:tcBorders>
                  <w:vAlign w:val="center"/>
                </w:tcPr>
                <w:p w14:paraId="1166F9BA">
                  <w:pPr>
                    <w:snapToGrid w:val="0"/>
                    <w:jc w:val="center"/>
                    <w:rPr>
                      <w:rFonts w:hint="eastAsia"/>
                      <w:color w:val="auto"/>
                      <w:sz w:val="18"/>
                      <w:szCs w:val="18"/>
                      <w:lang w:val="en-US" w:eastAsia="zh-CN"/>
                    </w:rPr>
                  </w:pPr>
                </w:p>
              </w:tc>
              <w:tc>
                <w:tcPr>
                  <w:tcW w:w="246" w:type="pct"/>
                  <w:vMerge w:val="continue"/>
                  <w:tcBorders>
                    <w:tl2br w:val="nil"/>
                    <w:tr2bl w:val="nil"/>
                  </w:tcBorders>
                  <w:vAlign w:val="center"/>
                </w:tcPr>
                <w:p w14:paraId="3FD0BD9C">
                  <w:pPr>
                    <w:snapToGrid w:val="0"/>
                    <w:jc w:val="center"/>
                    <w:rPr>
                      <w:color w:val="auto"/>
                      <w:sz w:val="18"/>
                      <w:szCs w:val="18"/>
                    </w:rPr>
                  </w:pPr>
                </w:p>
              </w:tc>
              <w:tc>
                <w:tcPr>
                  <w:tcW w:w="563" w:type="pct"/>
                  <w:tcBorders>
                    <w:tl2br w:val="nil"/>
                    <w:tr2bl w:val="nil"/>
                  </w:tcBorders>
                  <w:vAlign w:val="center"/>
                </w:tcPr>
                <w:p w14:paraId="6659A2D2">
                  <w:pPr>
                    <w:snapToGrid w:val="0"/>
                    <w:jc w:val="center"/>
                    <w:rPr>
                      <w:rFonts w:hint="default"/>
                      <w:color w:val="auto"/>
                      <w:sz w:val="18"/>
                      <w:szCs w:val="18"/>
                      <w:lang w:val="en-US" w:eastAsia="zh-CN"/>
                    </w:rPr>
                  </w:pPr>
                  <w:r>
                    <w:rPr>
                      <w:rFonts w:hint="eastAsia"/>
                      <w:color w:val="auto"/>
                      <w:sz w:val="18"/>
                      <w:szCs w:val="18"/>
                      <w:lang w:val="en-US" w:eastAsia="zh-CN"/>
                    </w:rPr>
                    <w:t>DA004</w:t>
                  </w:r>
                </w:p>
              </w:tc>
              <w:tc>
                <w:tcPr>
                  <w:tcW w:w="1130" w:type="pct"/>
                  <w:tcBorders>
                    <w:tl2br w:val="nil"/>
                    <w:tr2bl w:val="nil"/>
                  </w:tcBorders>
                  <w:vAlign w:val="center"/>
                </w:tcPr>
                <w:p w14:paraId="6116C11C">
                  <w:pPr>
                    <w:snapToGrid w:val="0"/>
                    <w:jc w:val="center"/>
                    <w:rPr>
                      <w:rFonts w:hint="default"/>
                      <w:color w:val="auto"/>
                      <w:sz w:val="18"/>
                      <w:szCs w:val="18"/>
                      <w:lang w:val="en-US" w:eastAsia="zh-CN"/>
                    </w:rPr>
                  </w:pPr>
                  <w:r>
                    <w:rPr>
                      <w:rFonts w:hint="eastAsia"/>
                      <w:color w:val="auto"/>
                      <w:sz w:val="18"/>
                      <w:szCs w:val="18"/>
                      <w:lang w:val="en-US" w:eastAsia="zh-CN"/>
                    </w:rPr>
                    <w:t>混凝土搅拌机除尘器排气筒</w:t>
                  </w:r>
                </w:p>
              </w:tc>
              <w:tc>
                <w:tcPr>
                  <w:tcW w:w="977" w:type="pct"/>
                  <w:tcBorders>
                    <w:tl2br w:val="nil"/>
                    <w:tr2bl w:val="nil"/>
                  </w:tcBorders>
                  <w:vAlign w:val="center"/>
                </w:tcPr>
                <w:p w14:paraId="47AC430C">
                  <w:pPr>
                    <w:snapToGrid w:val="0"/>
                    <w:jc w:val="center"/>
                    <w:rPr>
                      <w:rFonts w:hint="eastAsia"/>
                      <w:color w:val="auto"/>
                      <w:sz w:val="18"/>
                      <w:szCs w:val="18"/>
                      <w:lang w:val="en-US" w:eastAsia="zh-CN"/>
                    </w:rPr>
                  </w:pPr>
                  <w:r>
                    <w:rPr>
                      <w:rFonts w:hint="eastAsia"/>
                      <w:color w:val="auto"/>
                      <w:sz w:val="18"/>
                      <w:szCs w:val="18"/>
                      <w:lang w:val="en-US" w:eastAsia="zh-CN"/>
                    </w:rPr>
                    <w:t>颗粒物</w:t>
                  </w:r>
                </w:p>
              </w:tc>
              <w:tc>
                <w:tcPr>
                  <w:tcW w:w="690" w:type="pct"/>
                  <w:tcBorders>
                    <w:tl2br w:val="nil"/>
                    <w:tr2bl w:val="nil"/>
                  </w:tcBorders>
                  <w:vAlign w:val="center"/>
                </w:tcPr>
                <w:p w14:paraId="7D795EB2">
                  <w:pPr>
                    <w:snapToGrid w:val="0"/>
                    <w:jc w:val="center"/>
                    <w:rPr>
                      <w:rFonts w:hint="eastAsia"/>
                      <w:color w:val="auto"/>
                      <w:sz w:val="18"/>
                      <w:szCs w:val="18"/>
                      <w:lang w:val="en-US" w:eastAsia="zh-CN"/>
                    </w:rPr>
                  </w:pPr>
                  <w:r>
                    <w:rPr>
                      <w:rFonts w:hint="eastAsia"/>
                      <w:color w:val="auto"/>
                      <w:sz w:val="18"/>
                      <w:szCs w:val="18"/>
                      <w:lang w:val="en-US" w:eastAsia="zh-CN"/>
                    </w:rPr>
                    <w:t>1次/年</w:t>
                  </w:r>
                </w:p>
              </w:tc>
              <w:tc>
                <w:tcPr>
                  <w:tcW w:w="1145" w:type="pct"/>
                  <w:vMerge w:val="restart"/>
                  <w:tcBorders>
                    <w:tl2br w:val="nil"/>
                    <w:tr2bl w:val="nil"/>
                  </w:tcBorders>
                  <w:vAlign w:val="center"/>
                </w:tcPr>
                <w:p w14:paraId="38B9AC8E">
                  <w:pPr>
                    <w:snapToGrid w:val="0"/>
                    <w:jc w:val="center"/>
                    <w:rPr>
                      <w:rFonts w:hint="default"/>
                      <w:color w:val="auto"/>
                      <w:sz w:val="18"/>
                      <w:szCs w:val="18"/>
                      <w:lang w:val="en-US" w:eastAsia="zh-CN"/>
                    </w:rPr>
                  </w:pPr>
                  <w:r>
                    <w:rPr>
                      <w:rFonts w:hint="eastAsia"/>
                      <w:color w:val="auto"/>
                      <w:sz w:val="18"/>
                      <w:szCs w:val="18"/>
                      <w:lang w:val="en-US" w:eastAsia="zh-CN"/>
                    </w:rPr>
                    <w:t>《水泥工业大气污染物排放标准》（DB143176-2024）表1</w:t>
                  </w:r>
                </w:p>
              </w:tc>
            </w:tr>
            <w:tr w14:paraId="2996EA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4" w:hRule="atLeast"/>
                <w:tblHeader/>
                <w:jc w:val="center"/>
              </w:trPr>
              <w:tc>
                <w:tcPr>
                  <w:tcW w:w="245" w:type="pct"/>
                  <w:vMerge w:val="continue"/>
                  <w:tcBorders>
                    <w:tl2br w:val="nil"/>
                    <w:tr2bl w:val="nil"/>
                  </w:tcBorders>
                  <w:vAlign w:val="center"/>
                </w:tcPr>
                <w:p w14:paraId="0B053766">
                  <w:pPr>
                    <w:snapToGrid w:val="0"/>
                    <w:jc w:val="center"/>
                    <w:rPr>
                      <w:rFonts w:hint="eastAsia"/>
                      <w:color w:val="auto"/>
                      <w:sz w:val="18"/>
                      <w:szCs w:val="18"/>
                      <w:lang w:val="en-US" w:eastAsia="zh-CN"/>
                    </w:rPr>
                  </w:pPr>
                </w:p>
              </w:tc>
              <w:tc>
                <w:tcPr>
                  <w:tcW w:w="246" w:type="pct"/>
                  <w:vMerge w:val="continue"/>
                  <w:tcBorders>
                    <w:tl2br w:val="nil"/>
                    <w:tr2bl w:val="nil"/>
                  </w:tcBorders>
                  <w:vAlign w:val="center"/>
                </w:tcPr>
                <w:p w14:paraId="5D36D044">
                  <w:pPr>
                    <w:snapToGrid w:val="0"/>
                    <w:jc w:val="center"/>
                    <w:rPr>
                      <w:color w:val="auto"/>
                      <w:sz w:val="18"/>
                      <w:szCs w:val="18"/>
                    </w:rPr>
                  </w:pPr>
                </w:p>
              </w:tc>
              <w:tc>
                <w:tcPr>
                  <w:tcW w:w="563" w:type="pct"/>
                  <w:tcBorders>
                    <w:tl2br w:val="nil"/>
                    <w:tr2bl w:val="nil"/>
                  </w:tcBorders>
                  <w:shd w:val="clear" w:color="auto" w:fill="auto"/>
                  <w:vAlign w:val="center"/>
                </w:tcPr>
                <w:p w14:paraId="28598094">
                  <w:pPr>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DA005</w:t>
                  </w:r>
                </w:p>
              </w:tc>
              <w:tc>
                <w:tcPr>
                  <w:tcW w:w="1130" w:type="pct"/>
                  <w:tcBorders>
                    <w:tl2br w:val="nil"/>
                    <w:tr2bl w:val="nil"/>
                  </w:tcBorders>
                  <w:shd w:val="clear" w:color="auto" w:fill="auto"/>
                  <w:vAlign w:val="center"/>
                </w:tcPr>
                <w:p w14:paraId="759FD892">
                  <w:pPr>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水稳土搅拌机除尘器排气筒</w:t>
                  </w:r>
                </w:p>
              </w:tc>
              <w:tc>
                <w:tcPr>
                  <w:tcW w:w="977" w:type="pct"/>
                  <w:tcBorders>
                    <w:tl2br w:val="nil"/>
                    <w:tr2bl w:val="nil"/>
                  </w:tcBorders>
                  <w:shd w:val="clear" w:color="auto" w:fill="auto"/>
                  <w:vAlign w:val="center"/>
                </w:tcPr>
                <w:p w14:paraId="61324CFB">
                  <w:pPr>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颗粒物</w:t>
                  </w:r>
                </w:p>
              </w:tc>
              <w:tc>
                <w:tcPr>
                  <w:tcW w:w="690" w:type="pct"/>
                  <w:tcBorders>
                    <w:tl2br w:val="nil"/>
                    <w:tr2bl w:val="nil"/>
                  </w:tcBorders>
                  <w:shd w:val="clear" w:color="auto" w:fill="auto"/>
                  <w:vAlign w:val="center"/>
                </w:tcPr>
                <w:p w14:paraId="50969AD3">
                  <w:pPr>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1次/年</w:t>
                  </w:r>
                </w:p>
              </w:tc>
              <w:tc>
                <w:tcPr>
                  <w:tcW w:w="1145" w:type="pct"/>
                  <w:vMerge w:val="continue"/>
                  <w:tcBorders>
                    <w:tl2br w:val="nil"/>
                    <w:tr2bl w:val="nil"/>
                  </w:tcBorders>
                  <w:vAlign w:val="center"/>
                </w:tcPr>
                <w:p w14:paraId="0AA2768A">
                  <w:pPr>
                    <w:snapToGrid w:val="0"/>
                    <w:jc w:val="center"/>
                    <w:rPr>
                      <w:rFonts w:hint="eastAsia"/>
                      <w:color w:val="auto"/>
                      <w:sz w:val="18"/>
                      <w:szCs w:val="18"/>
                      <w:lang w:val="en-US" w:eastAsia="zh-CN"/>
                    </w:rPr>
                  </w:pPr>
                </w:p>
              </w:tc>
            </w:tr>
            <w:tr w14:paraId="53BD67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4" w:hRule="atLeast"/>
                <w:tblHeader/>
                <w:jc w:val="center"/>
              </w:trPr>
              <w:tc>
                <w:tcPr>
                  <w:tcW w:w="245" w:type="pct"/>
                  <w:vMerge w:val="continue"/>
                  <w:tcBorders>
                    <w:tl2br w:val="nil"/>
                    <w:tr2bl w:val="nil"/>
                  </w:tcBorders>
                  <w:vAlign w:val="center"/>
                </w:tcPr>
                <w:p w14:paraId="198EB35B">
                  <w:pPr>
                    <w:snapToGrid w:val="0"/>
                    <w:jc w:val="center"/>
                    <w:rPr>
                      <w:rFonts w:hint="eastAsia"/>
                      <w:color w:val="auto"/>
                      <w:sz w:val="18"/>
                      <w:szCs w:val="18"/>
                      <w:lang w:val="en-US" w:eastAsia="zh-CN"/>
                    </w:rPr>
                  </w:pPr>
                </w:p>
              </w:tc>
              <w:tc>
                <w:tcPr>
                  <w:tcW w:w="246" w:type="pct"/>
                  <w:vMerge w:val="continue"/>
                  <w:tcBorders>
                    <w:tl2br w:val="nil"/>
                    <w:tr2bl w:val="nil"/>
                  </w:tcBorders>
                  <w:vAlign w:val="center"/>
                </w:tcPr>
                <w:p w14:paraId="2BFAC46C">
                  <w:pPr>
                    <w:snapToGrid w:val="0"/>
                    <w:jc w:val="center"/>
                    <w:rPr>
                      <w:color w:val="auto"/>
                      <w:sz w:val="18"/>
                      <w:szCs w:val="18"/>
                    </w:rPr>
                  </w:pPr>
                </w:p>
              </w:tc>
              <w:tc>
                <w:tcPr>
                  <w:tcW w:w="563" w:type="pct"/>
                  <w:tcBorders>
                    <w:tl2br w:val="nil"/>
                    <w:tr2bl w:val="nil"/>
                  </w:tcBorders>
                  <w:vAlign w:val="center"/>
                </w:tcPr>
                <w:p w14:paraId="1CA38DA7">
                  <w:pPr>
                    <w:snapToGrid w:val="0"/>
                    <w:jc w:val="center"/>
                    <w:rPr>
                      <w:rFonts w:hint="default"/>
                      <w:color w:val="auto"/>
                      <w:sz w:val="18"/>
                      <w:szCs w:val="18"/>
                      <w:lang w:val="en-US" w:eastAsia="zh-CN"/>
                    </w:rPr>
                  </w:pPr>
                  <w:r>
                    <w:rPr>
                      <w:rFonts w:hint="eastAsia"/>
                      <w:color w:val="auto"/>
                      <w:sz w:val="18"/>
                      <w:szCs w:val="18"/>
                      <w:lang w:val="en-US" w:eastAsia="zh-CN"/>
                    </w:rPr>
                    <w:t>DA006</w:t>
                  </w:r>
                </w:p>
              </w:tc>
              <w:tc>
                <w:tcPr>
                  <w:tcW w:w="1130" w:type="pct"/>
                  <w:tcBorders>
                    <w:tl2br w:val="nil"/>
                    <w:tr2bl w:val="nil"/>
                  </w:tcBorders>
                  <w:vAlign w:val="center"/>
                </w:tcPr>
                <w:p w14:paraId="1A53E3C3">
                  <w:pPr>
                    <w:snapToGrid w:val="0"/>
                    <w:jc w:val="center"/>
                    <w:rPr>
                      <w:rFonts w:hint="default"/>
                      <w:color w:val="auto"/>
                      <w:sz w:val="18"/>
                      <w:szCs w:val="18"/>
                      <w:lang w:val="en-US" w:eastAsia="zh-CN"/>
                    </w:rPr>
                  </w:pPr>
                  <w:r>
                    <w:rPr>
                      <w:rFonts w:hint="eastAsia"/>
                      <w:color w:val="auto"/>
                      <w:sz w:val="18"/>
                      <w:szCs w:val="18"/>
                      <w:lang w:val="en-US" w:eastAsia="zh-CN"/>
                    </w:rPr>
                    <w:t>矿粉筒仓（沥青）仓顶除尘器排气口</w:t>
                  </w:r>
                </w:p>
              </w:tc>
              <w:tc>
                <w:tcPr>
                  <w:tcW w:w="977" w:type="pct"/>
                  <w:tcBorders>
                    <w:tl2br w:val="nil"/>
                    <w:tr2bl w:val="nil"/>
                  </w:tcBorders>
                  <w:vAlign w:val="center"/>
                </w:tcPr>
                <w:p w14:paraId="64CC96CD">
                  <w:pPr>
                    <w:snapToGrid w:val="0"/>
                    <w:jc w:val="center"/>
                    <w:rPr>
                      <w:rFonts w:hint="eastAsia"/>
                      <w:color w:val="auto"/>
                      <w:sz w:val="18"/>
                      <w:szCs w:val="18"/>
                      <w:lang w:val="en-US" w:eastAsia="zh-CN"/>
                    </w:rPr>
                  </w:pPr>
                  <w:r>
                    <w:rPr>
                      <w:rFonts w:hint="eastAsia"/>
                      <w:color w:val="auto"/>
                      <w:sz w:val="18"/>
                      <w:szCs w:val="18"/>
                      <w:lang w:val="en-US" w:eastAsia="zh-CN"/>
                    </w:rPr>
                    <w:t>颗粒物</w:t>
                  </w:r>
                </w:p>
              </w:tc>
              <w:tc>
                <w:tcPr>
                  <w:tcW w:w="690" w:type="pct"/>
                  <w:tcBorders>
                    <w:tl2br w:val="nil"/>
                    <w:tr2bl w:val="nil"/>
                  </w:tcBorders>
                  <w:vAlign w:val="center"/>
                </w:tcPr>
                <w:p w14:paraId="3F37672C">
                  <w:pPr>
                    <w:snapToGrid w:val="0"/>
                    <w:jc w:val="center"/>
                    <w:rPr>
                      <w:rFonts w:hint="eastAsia"/>
                      <w:color w:val="auto"/>
                      <w:sz w:val="18"/>
                      <w:szCs w:val="18"/>
                      <w:lang w:val="en-US" w:eastAsia="zh-CN"/>
                    </w:rPr>
                  </w:pPr>
                  <w:r>
                    <w:rPr>
                      <w:rFonts w:hint="eastAsia"/>
                      <w:color w:val="auto"/>
                      <w:sz w:val="18"/>
                      <w:szCs w:val="18"/>
                      <w:lang w:val="en-US" w:eastAsia="zh-CN"/>
                    </w:rPr>
                    <w:t>1次/年</w:t>
                  </w:r>
                </w:p>
              </w:tc>
              <w:tc>
                <w:tcPr>
                  <w:tcW w:w="1145" w:type="pct"/>
                  <w:vMerge w:val="continue"/>
                  <w:tcBorders>
                    <w:tl2br w:val="nil"/>
                    <w:tr2bl w:val="nil"/>
                  </w:tcBorders>
                  <w:vAlign w:val="center"/>
                </w:tcPr>
                <w:p w14:paraId="51E35800">
                  <w:pPr>
                    <w:snapToGrid w:val="0"/>
                    <w:jc w:val="center"/>
                    <w:rPr>
                      <w:rFonts w:hint="eastAsia"/>
                      <w:color w:val="auto"/>
                      <w:sz w:val="18"/>
                      <w:szCs w:val="18"/>
                      <w:lang w:val="en-US" w:eastAsia="zh-CN"/>
                    </w:rPr>
                  </w:pPr>
                </w:p>
              </w:tc>
            </w:tr>
            <w:tr w14:paraId="20088D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4" w:hRule="atLeast"/>
                <w:tblHeader/>
                <w:jc w:val="center"/>
              </w:trPr>
              <w:tc>
                <w:tcPr>
                  <w:tcW w:w="245" w:type="pct"/>
                  <w:vMerge w:val="continue"/>
                  <w:tcBorders>
                    <w:tl2br w:val="nil"/>
                    <w:tr2bl w:val="nil"/>
                  </w:tcBorders>
                  <w:vAlign w:val="center"/>
                </w:tcPr>
                <w:p w14:paraId="119A8156">
                  <w:pPr>
                    <w:snapToGrid w:val="0"/>
                    <w:jc w:val="center"/>
                    <w:rPr>
                      <w:rFonts w:hint="eastAsia"/>
                      <w:color w:val="auto"/>
                      <w:sz w:val="18"/>
                      <w:szCs w:val="18"/>
                      <w:lang w:val="en-US" w:eastAsia="zh-CN"/>
                    </w:rPr>
                  </w:pPr>
                </w:p>
              </w:tc>
              <w:tc>
                <w:tcPr>
                  <w:tcW w:w="246" w:type="pct"/>
                  <w:vMerge w:val="continue"/>
                  <w:tcBorders>
                    <w:tl2br w:val="nil"/>
                    <w:tr2bl w:val="nil"/>
                  </w:tcBorders>
                  <w:vAlign w:val="center"/>
                </w:tcPr>
                <w:p w14:paraId="7D8A9A22">
                  <w:pPr>
                    <w:snapToGrid w:val="0"/>
                    <w:jc w:val="center"/>
                    <w:rPr>
                      <w:color w:val="auto"/>
                      <w:sz w:val="18"/>
                      <w:szCs w:val="18"/>
                    </w:rPr>
                  </w:pPr>
                </w:p>
              </w:tc>
              <w:tc>
                <w:tcPr>
                  <w:tcW w:w="563" w:type="pct"/>
                  <w:tcBorders>
                    <w:tl2br w:val="nil"/>
                    <w:tr2bl w:val="nil"/>
                  </w:tcBorders>
                  <w:shd w:val="clear" w:color="auto" w:fill="auto"/>
                  <w:vAlign w:val="center"/>
                </w:tcPr>
                <w:p w14:paraId="2C2FEC8D">
                  <w:pPr>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DA007</w:t>
                  </w:r>
                </w:p>
              </w:tc>
              <w:tc>
                <w:tcPr>
                  <w:tcW w:w="1130" w:type="pct"/>
                  <w:tcBorders>
                    <w:tl2br w:val="nil"/>
                    <w:tr2bl w:val="nil"/>
                  </w:tcBorders>
                  <w:shd w:val="clear" w:color="auto" w:fill="auto"/>
                  <w:vAlign w:val="center"/>
                </w:tcPr>
                <w:p w14:paraId="67C0EE5A">
                  <w:pPr>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水泥筒仓仓顶除尘器排气口</w:t>
                  </w:r>
                </w:p>
              </w:tc>
              <w:tc>
                <w:tcPr>
                  <w:tcW w:w="977" w:type="pct"/>
                  <w:tcBorders>
                    <w:tl2br w:val="nil"/>
                    <w:tr2bl w:val="nil"/>
                  </w:tcBorders>
                  <w:shd w:val="clear" w:color="auto" w:fill="auto"/>
                  <w:vAlign w:val="center"/>
                </w:tcPr>
                <w:p w14:paraId="0521CDF3">
                  <w:pPr>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颗粒物</w:t>
                  </w:r>
                </w:p>
              </w:tc>
              <w:tc>
                <w:tcPr>
                  <w:tcW w:w="690" w:type="pct"/>
                  <w:tcBorders>
                    <w:tl2br w:val="nil"/>
                    <w:tr2bl w:val="nil"/>
                  </w:tcBorders>
                  <w:shd w:val="clear" w:color="auto" w:fill="auto"/>
                  <w:vAlign w:val="center"/>
                </w:tcPr>
                <w:p w14:paraId="18C7052E">
                  <w:pPr>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1次/年</w:t>
                  </w:r>
                </w:p>
              </w:tc>
              <w:tc>
                <w:tcPr>
                  <w:tcW w:w="1145" w:type="pct"/>
                  <w:vMerge w:val="continue"/>
                  <w:tcBorders>
                    <w:tl2br w:val="nil"/>
                    <w:tr2bl w:val="nil"/>
                  </w:tcBorders>
                  <w:vAlign w:val="center"/>
                </w:tcPr>
                <w:p w14:paraId="4CA24089">
                  <w:pPr>
                    <w:snapToGrid w:val="0"/>
                    <w:jc w:val="center"/>
                    <w:rPr>
                      <w:rFonts w:hint="eastAsia"/>
                      <w:color w:val="auto"/>
                      <w:sz w:val="18"/>
                      <w:szCs w:val="18"/>
                      <w:lang w:val="en-US" w:eastAsia="zh-CN"/>
                    </w:rPr>
                  </w:pPr>
                </w:p>
              </w:tc>
            </w:tr>
            <w:tr w14:paraId="12A0F1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4" w:hRule="atLeast"/>
                <w:tblHeader/>
                <w:jc w:val="center"/>
              </w:trPr>
              <w:tc>
                <w:tcPr>
                  <w:tcW w:w="245" w:type="pct"/>
                  <w:vMerge w:val="continue"/>
                  <w:tcBorders>
                    <w:tl2br w:val="nil"/>
                    <w:tr2bl w:val="nil"/>
                  </w:tcBorders>
                  <w:vAlign w:val="center"/>
                </w:tcPr>
                <w:p w14:paraId="2F3B9E63">
                  <w:pPr>
                    <w:snapToGrid w:val="0"/>
                    <w:jc w:val="center"/>
                    <w:rPr>
                      <w:rFonts w:hint="eastAsia"/>
                      <w:color w:val="auto"/>
                      <w:sz w:val="18"/>
                      <w:szCs w:val="18"/>
                      <w:lang w:val="en-US" w:eastAsia="zh-CN"/>
                    </w:rPr>
                  </w:pPr>
                </w:p>
              </w:tc>
              <w:tc>
                <w:tcPr>
                  <w:tcW w:w="246" w:type="pct"/>
                  <w:vMerge w:val="continue"/>
                  <w:tcBorders>
                    <w:tl2br w:val="nil"/>
                    <w:tr2bl w:val="nil"/>
                  </w:tcBorders>
                  <w:vAlign w:val="center"/>
                </w:tcPr>
                <w:p w14:paraId="25D729EC">
                  <w:pPr>
                    <w:snapToGrid w:val="0"/>
                    <w:jc w:val="center"/>
                    <w:rPr>
                      <w:color w:val="auto"/>
                      <w:sz w:val="18"/>
                      <w:szCs w:val="18"/>
                    </w:rPr>
                  </w:pPr>
                </w:p>
              </w:tc>
              <w:tc>
                <w:tcPr>
                  <w:tcW w:w="563" w:type="pct"/>
                  <w:tcBorders>
                    <w:tl2br w:val="nil"/>
                    <w:tr2bl w:val="nil"/>
                  </w:tcBorders>
                  <w:shd w:val="clear" w:color="auto" w:fill="auto"/>
                  <w:vAlign w:val="center"/>
                </w:tcPr>
                <w:p w14:paraId="6AA73592">
                  <w:pPr>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DA008</w:t>
                  </w:r>
                </w:p>
              </w:tc>
              <w:tc>
                <w:tcPr>
                  <w:tcW w:w="1130" w:type="pct"/>
                  <w:tcBorders>
                    <w:tl2br w:val="nil"/>
                    <w:tr2bl w:val="nil"/>
                  </w:tcBorders>
                  <w:shd w:val="clear" w:color="auto" w:fill="auto"/>
                  <w:vAlign w:val="center"/>
                </w:tcPr>
                <w:p w14:paraId="59C66F99">
                  <w:pPr>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粉煤灰筒仓（混凝土）仓顶除尘器排气口</w:t>
                  </w:r>
                </w:p>
              </w:tc>
              <w:tc>
                <w:tcPr>
                  <w:tcW w:w="977" w:type="pct"/>
                  <w:tcBorders>
                    <w:tl2br w:val="nil"/>
                    <w:tr2bl w:val="nil"/>
                  </w:tcBorders>
                  <w:shd w:val="clear" w:color="auto" w:fill="auto"/>
                  <w:vAlign w:val="center"/>
                </w:tcPr>
                <w:p w14:paraId="4B4F241E">
                  <w:pPr>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颗粒物</w:t>
                  </w:r>
                </w:p>
              </w:tc>
              <w:tc>
                <w:tcPr>
                  <w:tcW w:w="690" w:type="pct"/>
                  <w:tcBorders>
                    <w:tl2br w:val="nil"/>
                    <w:tr2bl w:val="nil"/>
                  </w:tcBorders>
                  <w:shd w:val="clear" w:color="auto" w:fill="auto"/>
                  <w:vAlign w:val="center"/>
                </w:tcPr>
                <w:p w14:paraId="7B8726F9">
                  <w:pPr>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1次/年</w:t>
                  </w:r>
                </w:p>
              </w:tc>
              <w:tc>
                <w:tcPr>
                  <w:tcW w:w="1145" w:type="pct"/>
                  <w:vMerge w:val="continue"/>
                  <w:tcBorders>
                    <w:tl2br w:val="nil"/>
                    <w:tr2bl w:val="nil"/>
                  </w:tcBorders>
                  <w:vAlign w:val="center"/>
                </w:tcPr>
                <w:p w14:paraId="3158BB6F">
                  <w:pPr>
                    <w:snapToGrid w:val="0"/>
                    <w:jc w:val="center"/>
                    <w:rPr>
                      <w:rFonts w:hint="eastAsia"/>
                      <w:color w:val="auto"/>
                      <w:sz w:val="18"/>
                      <w:szCs w:val="18"/>
                      <w:lang w:val="en-US" w:eastAsia="zh-CN"/>
                    </w:rPr>
                  </w:pPr>
                </w:p>
              </w:tc>
            </w:tr>
            <w:tr w14:paraId="027710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4" w:hRule="atLeast"/>
                <w:tblHeader/>
                <w:jc w:val="center"/>
              </w:trPr>
              <w:tc>
                <w:tcPr>
                  <w:tcW w:w="245" w:type="pct"/>
                  <w:vMerge w:val="continue"/>
                  <w:tcBorders>
                    <w:tl2br w:val="nil"/>
                    <w:tr2bl w:val="nil"/>
                  </w:tcBorders>
                  <w:vAlign w:val="center"/>
                </w:tcPr>
                <w:p w14:paraId="37328FE8">
                  <w:pPr>
                    <w:snapToGrid w:val="0"/>
                    <w:jc w:val="center"/>
                    <w:rPr>
                      <w:rFonts w:hint="eastAsia"/>
                      <w:color w:val="auto"/>
                      <w:sz w:val="18"/>
                      <w:szCs w:val="18"/>
                      <w:lang w:val="en-US" w:eastAsia="zh-CN"/>
                    </w:rPr>
                  </w:pPr>
                </w:p>
              </w:tc>
              <w:tc>
                <w:tcPr>
                  <w:tcW w:w="246" w:type="pct"/>
                  <w:vMerge w:val="continue"/>
                  <w:tcBorders>
                    <w:tl2br w:val="nil"/>
                    <w:tr2bl w:val="nil"/>
                  </w:tcBorders>
                  <w:vAlign w:val="center"/>
                </w:tcPr>
                <w:p w14:paraId="7EADB3D0">
                  <w:pPr>
                    <w:snapToGrid w:val="0"/>
                    <w:jc w:val="center"/>
                    <w:rPr>
                      <w:color w:val="auto"/>
                      <w:sz w:val="18"/>
                      <w:szCs w:val="18"/>
                    </w:rPr>
                  </w:pPr>
                </w:p>
              </w:tc>
              <w:tc>
                <w:tcPr>
                  <w:tcW w:w="563" w:type="pct"/>
                  <w:tcBorders>
                    <w:tl2br w:val="nil"/>
                    <w:tr2bl w:val="nil"/>
                  </w:tcBorders>
                  <w:shd w:val="clear" w:color="auto" w:fill="auto"/>
                  <w:vAlign w:val="center"/>
                </w:tcPr>
                <w:p w14:paraId="14177097">
                  <w:pPr>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DA009</w:t>
                  </w:r>
                </w:p>
              </w:tc>
              <w:tc>
                <w:tcPr>
                  <w:tcW w:w="1130" w:type="pct"/>
                  <w:tcBorders>
                    <w:tl2br w:val="nil"/>
                    <w:tr2bl w:val="nil"/>
                  </w:tcBorders>
                  <w:shd w:val="clear" w:color="auto" w:fill="auto"/>
                  <w:vAlign w:val="center"/>
                </w:tcPr>
                <w:p w14:paraId="6E97150D">
                  <w:pPr>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矿粉筒仓（混凝土）仓顶除尘器排气口</w:t>
                  </w:r>
                </w:p>
              </w:tc>
              <w:tc>
                <w:tcPr>
                  <w:tcW w:w="977" w:type="pct"/>
                  <w:tcBorders>
                    <w:tl2br w:val="nil"/>
                    <w:tr2bl w:val="nil"/>
                  </w:tcBorders>
                  <w:shd w:val="clear" w:color="auto" w:fill="auto"/>
                  <w:vAlign w:val="center"/>
                </w:tcPr>
                <w:p w14:paraId="1118A556">
                  <w:pPr>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颗粒物</w:t>
                  </w:r>
                </w:p>
              </w:tc>
              <w:tc>
                <w:tcPr>
                  <w:tcW w:w="690" w:type="pct"/>
                  <w:tcBorders>
                    <w:tl2br w:val="nil"/>
                    <w:tr2bl w:val="nil"/>
                  </w:tcBorders>
                  <w:shd w:val="clear" w:color="auto" w:fill="auto"/>
                  <w:vAlign w:val="center"/>
                </w:tcPr>
                <w:p w14:paraId="45560BFD">
                  <w:pPr>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1次/年</w:t>
                  </w:r>
                </w:p>
              </w:tc>
              <w:tc>
                <w:tcPr>
                  <w:tcW w:w="1145" w:type="pct"/>
                  <w:vMerge w:val="continue"/>
                  <w:tcBorders>
                    <w:tl2br w:val="nil"/>
                    <w:tr2bl w:val="nil"/>
                  </w:tcBorders>
                  <w:vAlign w:val="center"/>
                </w:tcPr>
                <w:p w14:paraId="2F19A705">
                  <w:pPr>
                    <w:snapToGrid w:val="0"/>
                    <w:jc w:val="center"/>
                    <w:rPr>
                      <w:rFonts w:hint="eastAsia"/>
                      <w:color w:val="auto"/>
                      <w:sz w:val="18"/>
                      <w:szCs w:val="18"/>
                      <w:lang w:val="en-US" w:eastAsia="zh-CN"/>
                    </w:rPr>
                  </w:pPr>
                </w:p>
              </w:tc>
            </w:tr>
            <w:tr w14:paraId="0E93DC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4" w:hRule="atLeast"/>
                <w:tblHeader/>
                <w:jc w:val="center"/>
              </w:trPr>
              <w:tc>
                <w:tcPr>
                  <w:tcW w:w="245" w:type="pct"/>
                  <w:vMerge w:val="continue"/>
                  <w:tcBorders>
                    <w:tl2br w:val="nil"/>
                    <w:tr2bl w:val="nil"/>
                  </w:tcBorders>
                  <w:vAlign w:val="center"/>
                </w:tcPr>
                <w:p w14:paraId="7B740DAB">
                  <w:pPr>
                    <w:snapToGrid w:val="0"/>
                    <w:jc w:val="center"/>
                    <w:rPr>
                      <w:rFonts w:hint="eastAsia"/>
                      <w:color w:val="auto"/>
                      <w:sz w:val="18"/>
                      <w:szCs w:val="18"/>
                      <w:lang w:val="en-US" w:eastAsia="zh-CN"/>
                    </w:rPr>
                  </w:pPr>
                </w:p>
              </w:tc>
              <w:tc>
                <w:tcPr>
                  <w:tcW w:w="246" w:type="pct"/>
                  <w:vMerge w:val="continue"/>
                  <w:tcBorders>
                    <w:tl2br w:val="nil"/>
                    <w:tr2bl w:val="nil"/>
                  </w:tcBorders>
                  <w:vAlign w:val="center"/>
                </w:tcPr>
                <w:p w14:paraId="2F0ABF75">
                  <w:pPr>
                    <w:snapToGrid w:val="0"/>
                    <w:jc w:val="center"/>
                    <w:rPr>
                      <w:color w:val="auto"/>
                      <w:sz w:val="18"/>
                      <w:szCs w:val="18"/>
                    </w:rPr>
                  </w:pPr>
                </w:p>
              </w:tc>
              <w:tc>
                <w:tcPr>
                  <w:tcW w:w="563" w:type="pct"/>
                  <w:tcBorders>
                    <w:tl2br w:val="nil"/>
                    <w:tr2bl w:val="nil"/>
                  </w:tcBorders>
                  <w:shd w:val="clear" w:color="auto" w:fill="auto"/>
                  <w:vAlign w:val="center"/>
                </w:tcPr>
                <w:p w14:paraId="632EC4D7">
                  <w:pPr>
                    <w:snapToGrid w:val="0"/>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DA010</w:t>
                  </w:r>
                </w:p>
              </w:tc>
              <w:tc>
                <w:tcPr>
                  <w:tcW w:w="1130" w:type="pct"/>
                  <w:tcBorders>
                    <w:tl2br w:val="nil"/>
                    <w:tr2bl w:val="nil"/>
                  </w:tcBorders>
                  <w:shd w:val="clear" w:color="auto" w:fill="auto"/>
                  <w:vAlign w:val="center"/>
                </w:tcPr>
                <w:p w14:paraId="3B41D368">
                  <w:pPr>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水泥筒仓（水稳土）仓顶除尘器排气口</w:t>
                  </w:r>
                </w:p>
              </w:tc>
              <w:tc>
                <w:tcPr>
                  <w:tcW w:w="977" w:type="pct"/>
                  <w:tcBorders>
                    <w:tl2br w:val="nil"/>
                    <w:tr2bl w:val="nil"/>
                  </w:tcBorders>
                  <w:shd w:val="clear" w:color="auto" w:fill="auto"/>
                  <w:vAlign w:val="center"/>
                </w:tcPr>
                <w:p w14:paraId="1429A699">
                  <w:pPr>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颗粒物</w:t>
                  </w:r>
                </w:p>
              </w:tc>
              <w:tc>
                <w:tcPr>
                  <w:tcW w:w="690" w:type="pct"/>
                  <w:tcBorders>
                    <w:tl2br w:val="nil"/>
                    <w:tr2bl w:val="nil"/>
                  </w:tcBorders>
                  <w:shd w:val="clear" w:color="auto" w:fill="auto"/>
                  <w:vAlign w:val="center"/>
                </w:tcPr>
                <w:p w14:paraId="388D3CAE">
                  <w:pPr>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1次/年</w:t>
                  </w:r>
                </w:p>
              </w:tc>
              <w:tc>
                <w:tcPr>
                  <w:tcW w:w="1145" w:type="pct"/>
                  <w:vMerge w:val="continue"/>
                  <w:tcBorders>
                    <w:tl2br w:val="nil"/>
                    <w:tr2bl w:val="nil"/>
                  </w:tcBorders>
                  <w:vAlign w:val="center"/>
                </w:tcPr>
                <w:p w14:paraId="39A83602">
                  <w:pPr>
                    <w:snapToGrid w:val="0"/>
                    <w:jc w:val="center"/>
                    <w:rPr>
                      <w:rFonts w:hint="eastAsia"/>
                      <w:color w:val="auto"/>
                      <w:sz w:val="18"/>
                      <w:szCs w:val="18"/>
                      <w:lang w:val="en-US" w:eastAsia="zh-CN"/>
                    </w:rPr>
                  </w:pPr>
                </w:p>
              </w:tc>
            </w:tr>
            <w:tr w14:paraId="3C0405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89" w:hRule="atLeast"/>
                <w:tblHeader/>
                <w:jc w:val="center"/>
              </w:trPr>
              <w:tc>
                <w:tcPr>
                  <w:tcW w:w="245" w:type="pct"/>
                  <w:vMerge w:val="continue"/>
                  <w:tcBorders>
                    <w:tl2br w:val="nil"/>
                    <w:tr2bl w:val="nil"/>
                  </w:tcBorders>
                  <w:vAlign w:val="center"/>
                </w:tcPr>
                <w:p w14:paraId="789118A9">
                  <w:pPr>
                    <w:snapToGrid w:val="0"/>
                    <w:jc w:val="center"/>
                    <w:rPr>
                      <w:rFonts w:hint="eastAsia"/>
                      <w:color w:val="auto"/>
                      <w:sz w:val="18"/>
                      <w:szCs w:val="18"/>
                      <w:lang w:val="en-US" w:eastAsia="zh-CN"/>
                    </w:rPr>
                  </w:pPr>
                </w:p>
              </w:tc>
              <w:tc>
                <w:tcPr>
                  <w:tcW w:w="246" w:type="pct"/>
                  <w:vMerge w:val="restart"/>
                  <w:tcBorders>
                    <w:tl2br w:val="nil"/>
                    <w:tr2bl w:val="nil"/>
                  </w:tcBorders>
                  <w:shd w:val="clear" w:color="auto" w:fill="auto"/>
                  <w:vAlign w:val="center"/>
                </w:tcPr>
                <w:p w14:paraId="7882E53A">
                  <w:pPr>
                    <w:snapToGrid w:val="0"/>
                    <w:jc w:val="center"/>
                    <w:rPr>
                      <w:rFonts w:ascii="Times New Roman" w:hAnsi="Times New Roman" w:eastAsia="宋体" w:cs="Times New Roman"/>
                      <w:color w:val="auto"/>
                      <w:kern w:val="2"/>
                      <w:sz w:val="18"/>
                      <w:szCs w:val="18"/>
                      <w:lang w:val="en-US" w:eastAsia="zh-CN" w:bidi="ar-SA"/>
                    </w:rPr>
                  </w:pPr>
                  <w:r>
                    <w:rPr>
                      <w:color w:val="auto"/>
                      <w:sz w:val="18"/>
                      <w:szCs w:val="18"/>
                    </w:rPr>
                    <w:t>无组织</w:t>
                  </w:r>
                </w:p>
              </w:tc>
              <w:tc>
                <w:tcPr>
                  <w:tcW w:w="563" w:type="pct"/>
                  <w:vMerge w:val="restart"/>
                  <w:tcBorders>
                    <w:tl2br w:val="nil"/>
                    <w:tr2bl w:val="nil"/>
                  </w:tcBorders>
                  <w:shd w:val="clear" w:color="auto" w:fill="auto"/>
                  <w:vAlign w:val="center"/>
                </w:tcPr>
                <w:p w14:paraId="05773B06">
                  <w:pPr>
                    <w:snapToGrid w:val="0"/>
                    <w:jc w:val="center"/>
                    <w:rPr>
                      <w:rFonts w:hint="eastAsia"/>
                      <w:color w:val="auto"/>
                      <w:sz w:val="18"/>
                      <w:szCs w:val="18"/>
                      <w:lang w:val="en-US" w:eastAsia="zh-CN"/>
                    </w:rPr>
                  </w:pPr>
                  <w:r>
                    <w:rPr>
                      <w:rFonts w:hint="eastAsia"/>
                      <w:color w:val="auto"/>
                      <w:sz w:val="18"/>
                      <w:szCs w:val="18"/>
                      <w:lang w:val="en-US" w:eastAsia="zh-CN"/>
                    </w:rPr>
                    <w:t>-</w:t>
                  </w:r>
                </w:p>
              </w:tc>
              <w:tc>
                <w:tcPr>
                  <w:tcW w:w="1130" w:type="pct"/>
                  <w:vMerge w:val="restart"/>
                  <w:tcBorders>
                    <w:tl2br w:val="nil"/>
                    <w:tr2bl w:val="nil"/>
                  </w:tcBorders>
                  <w:shd w:val="clear" w:color="auto" w:fill="auto"/>
                  <w:vAlign w:val="center"/>
                </w:tcPr>
                <w:p w14:paraId="3014202E">
                  <w:pPr>
                    <w:snapToGrid w:val="0"/>
                    <w:jc w:val="center"/>
                    <w:rPr>
                      <w:rFonts w:hint="eastAsia"/>
                      <w:color w:val="auto"/>
                      <w:sz w:val="18"/>
                      <w:szCs w:val="18"/>
                      <w:lang w:val="en-US" w:eastAsia="zh-CN"/>
                    </w:rPr>
                  </w:pPr>
                  <w:r>
                    <w:rPr>
                      <w:rFonts w:hint="eastAsia"/>
                      <w:color w:val="auto"/>
                      <w:sz w:val="18"/>
                      <w:szCs w:val="18"/>
                      <w:lang w:val="en-US" w:eastAsia="zh-CN"/>
                    </w:rPr>
                    <w:t>厂界</w:t>
                  </w:r>
                </w:p>
              </w:tc>
              <w:tc>
                <w:tcPr>
                  <w:tcW w:w="977" w:type="pct"/>
                  <w:tcBorders>
                    <w:tl2br w:val="nil"/>
                    <w:tr2bl w:val="nil"/>
                  </w:tcBorders>
                  <w:shd w:val="clear" w:color="auto" w:fill="auto"/>
                  <w:vAlign w:val="center"/>
                </w:tcPr>
                <w:p w14:paraId="52800345">
                  <w:pPr>
                    <w:snapToGrid w:val="0"/>
                    <w:jc w:val="center"/>
                    <w:rPr>
                      <w:rFonts w:hint="eastAsia"/>
                      <w:color w:val="auto"/>
                      <w:sz w:val="18"/>
                      <w:szCs w:val="18"/>
                      <w:lang w:val="en-US" w:eastAsia="zh-CN"/>
                    </w:rPr>
                  </w:pPr>
                  <w:r>
                    <w:rPr>
                      <w:rFonts w:hint="eastAsia"/>
                      <w:color w:val="auto"/>
                      <w:sz w:val="18"/>
                      <w:szCs w:val="18"/>
                      <w:lang w:val="en-US" w:eastAsia="zh-CN"/>
                    </w:rPr>
                    <w:t>颗粒物</w:t>
                  </w:r>
                </w:p>
              </w:tc>
              <w:tc>
                <w:tcPr>
                  <w:tcW w:w="690" w:type="pct"/>
                  <w:tcBorders>
                    <w:tl2br w:val="nil"/>
                    <w:tr2bl w:val="nil"/>
                  </w:tcBorders>
                  <w:shd w:val="clear" w:color="auto" w:fill="auto"/>
                  <w:vAlign w:val="center"/>
                </w:tcPr>
                <w:p w14:paraId="534F2C1A">
                  <w:pPr>
                    <w:snapToGrid w:val="0"/>
                    <w:jc w:val="center"/>
                    <w:rPr>
                      <w:rFonts w:hint="eastAsia"/>
                      <w:color w:val="auto"/>
                      <w:sz w:val="18"/>
                      <w:szCs w:val="18"/>
                      <w:lang w:val="en-US" w:eastAsia="zh-CN"/>
                    </w:rPr>
                  </w:pPr>
                  <w:r>
                    <w:rPr>
                      <w:rFonts w:hint="eastAsia"/>
                      <w:color w:val="auto"/>
                      <w:sz w:val="18"/>
                      <w:szCs w:val="18"/>
                      <w:lang w:val="en-US" w:eastAsia="zh-CN"/>
                    </w:rPr>
                    <w:t>1次/年</w:t>
                  </w:r>
                </w:p>
              </w:tc>
              <w:tc>
                <w:tcPr>
                  <w:tcW w:w="1145" w:type="pct"/>
                  <w:tcBorders>
                    <w:tl2br w:val="nil"/>
                    <w:tr2bl w:val="nil"/>
                  </w:tcBorders>
                  <w:shd w:val="clear" w:color="auto" w:fill="auto"/>
                  <w:vAlign w:val="center"/>
                </w:tcPr>
                <w:p w14:paraId="36FB607F">
                  <w:pPr>
                    <w:snapToGrid w:val="0"/>
                    <w:jc w:val="center"/>
                    <w:rPr>
                      <w:rFonts w:hint="default"/>
                      <w:color w:val="auto"/>
                      <w:sz w:val="18"/>
                      <w:szCs w:val="18"/>
                      <w:lang w:val="en-US" w:eastAsia="zh-CN"/>
                    </w:rPr>
                  </w:pPr>
                  <w:r>
                    <w:rPr>
                      <w:rFonts w:hint="eastAsia" w:ascii="宋体" w:hAnsi="宋体" w:eastAsia="宋体" w:cs="宋体"/>
                      <w:color w:val="000000"/>
                      <w:kern w:val="0"/>
                      <w:sz w:val="18"/>
                      <w:szCs w:val="18"/>
                      <w:lang w:val="en-US" w:eastAsia="zh-CN" w:bidi="ar"/>
                    </w:rPr>
                    <w:t>《大气污染物综合排放标准》</w:t>
                  </w:r>
                  <w:r>
                    <w:rPr>
                      <w:rFonts w:hint="default" w:ascii="Times New Roman" w:hAnsi="Times New Roman" w:eastAsia="宋体" w:cs="Times New Roman"/>
                      <w:color w:val="000000"/>
                      <w:kern w:val="0"/>
                      <w:sz w:val="18"/>
                      <w:szCs w:val="18"/>
                      <w:lang w:val="en-US" w:eastAsia="zh-CN" w:bidi="ar"/>
                    </w:rPr>
                    <w:t>(GB16297-1996)</w:t>
                  </w:r>
                  <w:r>
                    <w:rPr>
                      <w:rFonts w:hint="eastAsia" w:ascii="宋体" w:hAnsi="宋体" w:eastAsia="宋体" w:cs="宋体"/>
                      <w:color w:val="000000"/>
                      <w:kern w:val="0"/>
                      <w:sz w:val="18"/>
                      <w:szCs w:val="18"/>
                      <w:lang w:val="en-US" w:eastAsia="zh-CN" w:bidi="ar"/>
                    </w:rPr>
                    <w:t xml:space="preserve">表 </w:t>
                  </w:r>
                  <w:r>
                    <w:rPr>
                      <w:rFonts w:hint="default" w:ascii="Times New Roman" w:hAnsi="Times New Roman" w:eastAsia="宋体" w:cs="Times New Roman"/>
                      <w:color w:val="000000"/>
                      <w:kern w:val="0"/>
                      <w:sz w:val="18"/>
                      <w:szCs w:val="18"/>
                      <w:lang w:val="en-US" w:eastAsia="zh-CN" w:bidi="ar"/>
                    </w:rPr>
                    <w:t xml:space="preserve">2 </w:t>
                  </w:r>
                  <w:r>
                    <w:rPr>
                      <w:rFonts w:hint="eastAsia" w:ascii="宋体" w:hAnsi="宋体" w:eastAsia="宋体" w:cs="宋体"/>
                      <w:color w:val="000000"/>
                      <w:kern w:val="0"/>
                      <w:sz w:val="18"/>
                      <w:szCs w:val="18"/>
                      <w:lang w:val="en-US" w:eastAsia="zh-CN" w:bidi="ar"/>
                    </w:rPr>
                    <w:t>中的二级标准、</w:t>
                  </w:r>
                  <w:r>
                    <w:rPr>
                      <w:rFonts w:hint="eastAsia"/>
                      <w:color w:val="auto"/>
                      <w:sz w:val="18"/>
                      <w:szCs w:val="18"/>
                      <w:lang w:val="en-US" w:eastAsia="zh-CN"/>
                    </w:rPr>
                    <w:t>《水泥工业大气污染物排放标准》（DB143176-2024）表4</w:t>
                  </w:r>
                </w:p>
              </w:tc>
            </w:tr>
            <w:tr w14:paraId="55534B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89" w:hRule="atLeast"/>
                <w:tblHeader/>
                <w:jc w:val="center"/>
              </w:trPr>
              <w:tc>
                <w:tcPr>
                  <w:tcW w:w="245" w:type="pct"/>
                  <w:vMerge w:val="continue"/>
                  <w:tcBorders>
                    <w:tl2br w:val="nil"/>
                    <w:tr2bl w:val="nil"/>
                  </w:tcBorders>
                  <w:vAlign w:val="center"/>
                </w:tcPr>
                <w:p w14:paraId="23B97F1E">
                  <w:pPr>
                    <w:snapToGrid w:val="0"/>
                    <w:jc w:val="center"/>
                    <w:rPr>
                      <w:rFonts w:hint="eastAsia"/>
                      <w:color w:val="auto"/>
                      <w:sz w:val="18"/>
                      <w:szCs w:val="18"/>
                      <w:lang w:val="en-US" w:eastAsia="zh-CN"/>
                    </w:rPr>
                  </w:pPr>
                </w:p>
              </w:tc>
              <w:tc>
                <w:tcPr>
                  <w:tcW w:w="246" w:type="pct"/>
                  <w:vMerge w:val="continue"/>
                  <w:tcBorders>
                    <w:tl2br w:val="nil"/>
                    <w:tr2bl w:val="nil"/>
                  </w:tcBorders>
                  <w:shd w:val="clear" w:color="auto" w:fill="auto"/>
                  <w:vAlign w:val="center"/>
                </w:tcPr>
                <w:p w14:paraId="1B4A31CB">
                  <w:pPr>
                    <w:snapToGrid w:val="0"/>
                    <w:jc w:val="center"/>
                    <w:rPr>
                      <w:color w:val="auto"/>
                      <w:sz w:val="18"/>
                      <w:szCs w:val="18"/>
                    </w:rPr>
                  </w:pPr>
                </w:p>
              </w:tc>
              <w:tc>
                <w:tcPr>
                  <w:tcW w:w="563" w:type="pct"/>
                  <w:vMerge w:val="continue"/>
                  <w:tcBorders>
                    <w:tl2br w:val="nil"/>
                    <w:tr2bl w:val="nil"/>
                  </w:tcBorders>
                  <w:shd w:val="clear" w:color="auto" w:fill="auto"/>
                  <w:vAlign w:val="center"/>
                </w:tcPr>
                <w:p w14:paraId="44B08364">
                  <w:pPr>
                    <w:snapToGrid w:val="0"/>
                    <w:jc w:val="center"/>
                    <w:rPr>
                      <w:rFonts w:hint="eastAsia"/>
                      <w:color w:val="auto"/>
                      <w:sz w:val="18"/>
                      <w:szCs w:val="18"/>
                      <w:lang w:val="en-US" w:eastAsia="zh-CN"/>
                    </w:rPr>
                  </w:pPr>
                </w:p>
              </w:tc>
              <w:tc>
                <w:tcPr>
                  <w:tcW w:w="1130" w:type="pct"/>
                  <w:vMerge w:val="continue"/>
                  <w:tcBorders>
                    <w:tl2br w:val="nil"/>
                    <w:tr2bl w:val="nil"/>
                  </w:tcBorders>
                  <w:shd w:val="clear" w:color="auto" w:fill="auto"/>
                  <w:vAlign w:val="center"/>
                </w:tcPr>
                <w:p w14:paraId="5C712FF7">
                  <w:pPr>
                    <w:snapToGrid w:val="0"/>
                    <w:jc w:val="center"/>
                    <w:rPr>
                      <w:rFonts w:hint="eastAsia"/>
                      <w:color w:val="auto"/>
                      <w:sz w:val="18"/>
                      <w:szCs w:val="18"/>
                      <w:lang w:val="en-US" w:eastAsia="zh-CN"/>
                    </w:rPr>
                  </w:pPr>
                </w:p>
              </w:tc>
              <w:tc>
                <w:tcPr>
                  <w:tcW w:w="977" w:type="pct"/>
                  <w:tcBorders>
                    <w:tl2br w:val="nil"/>
                    <w:tr2bl w:val="nil"/>
                  </w:tcBorders>
                  <w:shd w:val="clear" w:color="auto" w:fill="auto"/>
                  <w:vAlign w:val="center"/>
                </w:tcPr>
                <w:p w14:paraId="619A547E">
                  <w:pPr>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苯并[a]芘</w:t>
                  </w:r>
                </w:p>
              </w:tc>
              <w:tc>
                <w:tcPr>
                  <w:tcW w:w="690" w:type="pct"/>
                  <w:tcBorders>
                    <w:tl2br w:val="nil"/>
                    <w:tr2bl w:val="nil"/>
                  </w:tcBorders>
                  <w:shd w:val="clear" w:color="auto" w:fill="auto"/>
                  <w:vAlign w:val="center"/>
                </w:tcPr>
                <w:p w14:paraId="54ACBD42">
                  <w:pPr>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1次/年</w:t>
                  </w:r>
                </w:p>
              </w:tc>
              <w:tc>
                <w:tcPr>
                  <w:tcW w:w="1145" w:type="pct"/>
                  <w:tcBorders>
                    <w:tl2br w:val="nil"/>
                    <w:tr2bl w:val="nil"/>
                  </w:tcBorders>
                  <w:shd w:val="clear" w:color="auto" w:fill="auto"/>
                  <w:vAlign w:val="center"/>
                </w:tcPr>
                <w:p w14:paraId="4B5377AF">
                  <w:pPr>
                    <w:snapToGrid w:val="0"/>
                    <w:jc w:val="center"/>
                    <w:rPr>
                      <w:rFonts w:hint="eastAsia" w:ascii="宋体" w:hAnsi="宋体" w:eastAsia="宋体" w:cs="宋体"/>
                      <w:color w:val="000000"/>
                      <w:kern w:val="0"/>
                      <w:sz w:val="18"/>
                      <w:szCs w:val="18"/>
                      <w:lang w:val="en-US" w:eastAsia="zh-CN" w:bidi="ar"/>
                    </w:rPr>
                  </w:pPr>
                  <w:r>
                    <w:rPr>
                      <w:rFonts w:hint="eastAsia" w:ascii="宋体" w:hAnsi="宋体" w:eastAsia="宋体" w:cs="宋体"/>
                      <w:color w:val="000000"/>
                      <w:kern w:val="0"/>
                      <w:sz w:val="18"/>
                      <w:szCs w:val="18"/>
                      <w:lang w:val="en-US" w:eastAsia="zh-CN" w:bidi="ar"/>
                    </w:rPr>
                    <w:t>《大气污染物综合排放标准》</w:t>
                  </w:r>
                  <w:r>
                    <w:rPr>
                      <w:rFonts w:hint="default" w:ascii="Times New Roman" w:hAnsi="Times New Roman" w:eastAsia="宋体" w:cs="Times New Roman"/>
                      <w:color w:val="000000"/>
                      <w:kern w:val="0"/>
                      <w:sz w:val="18"/>
                      <w:szCs w:val="18"/>
                      <w:lang w:val="en-US" w:eastAsia="zh-CN" w:bidi="ar"/>
                    </w:rPr>
                    <w:t>(GB16297-1996)</w:t>
                  </w:r>
                  <w:r>
                    <w:rPr>
                      <w:rFonts w:hint="eastAsia" w:ascii="宋体" w:hAnsi="宋体" w:eastAsia="宋体" w:cs="宋体"/>
                      <w:color w:val="000000"/>
                      <w:kern w:val="0"/>
                      <w:sz w:val="18"/>
                      <w:szCs w:val="18"/>
                      <w:lang w:val="en-US" w:eastAsia="zh-CN" w:bidi="ar"/>
                    </w:rPr>
                    <w:t xml:space="preserve">表 </w:t>
                  </w:r>
                  <w:r>
                    <w:rPr>
                      <w:rFonts w:hint="default" w:ascii="Times New Roman" w:hAnsi="Times New Roman" w:eastAsia="宋体" w:cs="Times New Roman"/>
                      <w:color w:val="000000"/>
                      <w:kern w:val="0"/>
                      <w:sz w:val="18"/>
                      <w:szCs w:val="18"/>
                      <w:lang w:val="en-US" w:eastAsia="zh-CN" w:bidi="ar"/>
                    </w:rPr>
                    <w:t xml:space="preserve">2 </w:t>
                  </w:r>
                  <w:r>
                    <w:rPr>
                      <w:rFonts w:hint="eastAsia" w:ascii="宋体" w:hAnsi="宋体" w:eastAsia="宋体" w:cs="宋体"/>
                      <w:color w:val="000000"/>
                      <w:kern w:val="0"/>
                      <w:sz w:val="18"/>
                      <w:szCs w:val="18"/>
                      <w:lang w:val="en-US" w:eastAsia="zh-CN" w:bidi="ar"/>
                    </w:rPr>
                    <w:t>中的二级标准</w:t>
                  </w:r>
                </w:p>
              </w:tc>
            </w:tr>
            <w:tr w14:paraId="661822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3" w:hRule="atLeast"/>
                <w:tblHeader/>
                <w:jc w:val="center"/>
              </w:trPr>
              <w:tc>
                <w:tcPr>
                  <w:tcW w:w="245" w:type="pct"/>
                  <w:vMerge w:val="continue"/>
                  <w:tcBorders>
                    <w:tl2br w:val="nil"/>
                    <w:tr2bl w:val="nil"/>
                  </w:tcBorders>
                  <w:vAlign w:val="center"/>
                </w:tcPr>
                <w:p w14:paraId="5857850E">
                  <w:pPr>
                    <w:snapToGrid w:val="0"/>
                    <w:jc w:val="center"/>
                    <w:rPr>
                      <w:rFonts w:hint="eastAsia"/>
                      <w:color w:val="auto"/>
                      <w:sz w:val="18"/>
                      <w:szCs w:val="18"/>
                      <w:lang w:val="en-US" w:eastAsia="zh-CN"/>
                    </w:rPr>
                  </w:pPr>
                </w:p>
              </w:tc>
              <w:tc>
                <w:tcPr>
                  <w:tcW w:w="246" w:type="pct"/>
                  <w:vMerge w:val="continue"/>
                  <w:tcBorders>
                    <w:tl2br w:val="nil"/>
                    <w:tr2bl w:val="nil"/>
                  </w:tcBorders>
                  <w:shd w:val="clear" w:color="auto" w:fill="auto"/>
                  <w:vAlign w:val="center"/>
                </w:tcPr>
                <w:p w14:paraId="53F5A4B8">
                  <w:pPr>
                    <w:snapToGrid w:val="0"/>
                    <w:jc w:val="center"/>
                    <w:rPr>
                      <w:color w:val="auto"/>
                      <w:sz w:val="18"/>
                      <w:szCs w:val="18"/>
                    </w:rPr>
                  </w:pPr>
                </w:p>
              </w:tc>
              <w:tc>
                <w:tcPr>
                  <w:tcW w:w="563" w:type="pct"/>
                  <w:vMerge w:val="continue"/>
                  <w:tcBorders>
                    <w:tl2br w:val="nil"/>
                    <w:tr2bl w:val="nil"/>
                  </w:tcBorders>
                  <w:shd w:val="clear" w:color="auto" w:fill="auto"/>
                  <w:vAlign w:val="center"/>
                </w:tcPr>
                <w:p w14:paraId="35F86EBA">
                  <w:pPr>
                    <w:snapToGrid w:val="0"/>
                    <w:jc w:val="center"/>
                    <w:rPr>
                      <w:rFonts w:hint="eastAsia"/>
                      <w:color w:val="auto"/>
                      <w:sz w:val="18"/>
                      <w:szCs w:val="18"/>
                      <w:lang w:val="en-US" w:eastAsia="zh-CN"/>
                    </w:rPr>
                  </w:pPr>
                </w:p>
              </w:tc>
              <w:tc>
                <w:tcPr>
                  <w:tcW w:w="1130" w:type="pct"/>
                  <w:vMerge w:val="continue"/>
                  <w:tcBorders>
                    <w:tl2br w:val="nil"/>
                    <w:tr2bl w:val="nil"/>
                  </w:tcBorders>
                  <w:shd w:val="clear" w:color="auto" w:fill="auto"/>
                  <w:vAlign w:val="center"/>
                </w:tcPr>
                <w:p w14:paraId="50DB76AB">
                  <w:pPr>
                    <w:snapToGrid w:val="0"/>
                    <w:jc w:val="center"/>
                    <w:rPr>
                      <w:rFonts w:hint="eastAsia"/>
                      <w:color w:val="auto"/>
                      <w:sz w:val="18"/>
                      <w:szCs w:val="18"/>
                      <w:lang w:val="en-US" w:eastAsia="zh-CN"/>
                    </w:rPr>
                  </w:pPr>
                </w:p>
              </w:tc>
              <w:tc>
                <w:tcPr>
                  <w:tcW w:w="977" w:type="pct"/>
                  <w:tcBorders>
                    <w:tl2br w:val="nil"/>
                    <w:tr2bl w:val="nil"/>
                  </w:tcBorders>
                  <w:shd w:val="clear" w:color="auto" w:fill="auto"/>
                  <w:vAlign w:val="center"/>
                </w:tcPr>
                <w:p w14:paraId="1CDE25FD">
                  <w:pPr>
                    <w:snapToGrid w:val="0"/>
                    <w:jc w:val="center"/>
                    <w:rPr>
                      <w:rFonts w:hint="default"/>
                      <w:color w:val="auto"/>
                      <w:sz w:val="18"/>
                      <w:szCs w:val="18"/>
                      <w:lang w:val="en-US" w:eastAsia="zh-CN"/>
                    </w:rPr>
                  </w:pPr>
                  <w:r>
                    <w:rPr>
                      <w:rFonts w:hint="eastAsia"/>
                      <w:color w:val="auto"/>
                      <w:sz w:val="18"/>
                      <w:szCs w:val="18"/>
                      <w:lang w:val="en-US" w:eastAsia="zh-CN"/>
                    </w:rPr>
                    <w:t>非甲烷总烃</w:t>
                  </w:r>
                </w:p>
              </w:tc>
              <w:tc>
                <w:tcPr>
                  <w:tcW w:w="690" w:type="pct"/>
                  <w:tcBorders>
                    <w:tl2br w:val="nil"/>
                    <w:tr2bl w:val="nil"/>
                  </w:tcBorders>
                  <w:shd w:val="clear" w:color="auto" w:fill="auto"/>
                  <w:vAlign w:val="center"/>
                </w:tcPr>
                <w:p w14:paraId="42242CA0">
                  <w:pPr>
                    <w:snapToGrid w:val="0"/>
                    <w:jc w:val="center"/>
                    <w:rPr>
                      <w:rFonts w:hint="default"/>
                      <w:color w:val="auto"/>
                      <w:sz w:val="18"/>
                      <w:szCs w:val="18"/>
                      <w:lang w:val="en-US" w:eastAsia="zh-CN"/>
                    </w:rPr>
                  </w:pPr>
                  <w:r>
                    <w:rPr>
                      <w:rFonts w:hint="eastAsia"/>
                      <w:color w:val="auto"/>
                      <w:sz w:val="18"/>
                      <w:szCs w:val="18"/>
                      <w:lang w:val="en-US" w:eastAsia="zh-CN"/>
                    </w:rPr>
                    <w:t>1次/年</w:t>
                  </w:r>
                </w:p>
              </w:tc>
              <w:tc>
                <w:tcPr>
                  <w:tcW w:w="1145" w:type="pct"/>
                  <w:tcBorders>
                    <w:tl2br w:val="nil"/>
                    <w:tr2bl w:val="nil"/>
                  </w:tcBorders>
                  <w:shd w:val="clear" w:color="auto" w:fill="auto"/>
                  <w:vAlign w:val="center"/>
                </w:tcPr>
                <w:p w14:paraId="1C89C2E9">
                  <w:pPr>
                    <w:snapToGrid w:val="0"/>
                    <w:jc w:val="center"/>
                    <w:rPr>
                      <w:rFonts w:hint="default" w:ascii="宋体" w:hAnsi="宋体" w:eastAsia="宋体" w:cs="宋体"/>
                      <w:color w:val="000000"/>
                      <w:kern w:val="0"/>
                      <w:sz w:val="18"/>
                      <w:szCs w:val="18"/>
                      <w:lang w:val="en-US" w:eastAsia="zh-CN" w:bidi="ar"/>
                    </w:rPr>
                  </w:pPr>
                  <w:r>
                    <w:rPr>
                      <w:rFonts w:hint="eastAsia"/>
                      <w:color w:val="auto"/>
                      <w:sz w:val="18"/>
                      <w:szCs w:val="18"/>
                      <w:lang w:val="en-US" w:eastAsia="zh-CN"/>
                    </w:rPr>
                    <w:t>企业边界执行</w:t>
                  </w:r>
                  <w:r>
                    <w:rPr>
                      <w:color w:val="auto"/>
                      <w:sz w:val="18"/>
                      <w:szCs w:val="18"/>
                    </w:rPr>
                    <w:t>《山西省重点行业挥发性有机物（VOCs）2017年专项治理方案》中</w:t>
                  </w:r>
                  <w:r>
                    <w:rPr>
                      <w:rFonts w:hint="eastAsia"/>
                      <w:color w:val="auto"/>
                      <w:sz w:val="18"/>
                      <w:szCs w:val="18"/>
                    </w:rPr>
                    <w:t>规定的</w:t>
                  </w:r>
                  <w:r>
                    <w:rPr>
                      <w:color w:val="auto"/>
                      <w:sz w:val="18"/>
                      <w:szCs w:val="18"/>
                    </w:rPr>
                    <w:t>排放限值</w:t>
                  </w:r>
                  <w:r>
                    <w:rPr>
                      <w:rFonts w:hint="eastAsia"/>
                      <w:color w:val="auto"/>
                      <w:sz w:val="18"/>
                      <w:szCs w:val="18"/>
                      <w:lang w:eastAsia="zh-CN"/>
                    </w:rPr>
                    <w:t>（</w:t>
                  </w:r>
                  <w:r>
                    <w:rPr>
                      <w:rFonts w:hint="eastAsia"/>
                      <w:color w:val="auto"/>
                      <w:sz w:val="18"/>
                      <w:szCs w:val="18"/>
                      <w:lang w:val="en-US" w:eastAsia="zh-CN"/>
                    </w:rPr>
                    <w:t>2.0mg/m</w:t>
                  </w:r>
                  <w:r>
                    <w:rPr>
                      <w:rFonts w:hint="eastAsia"/>
                      <w:color w:val="auto"/>
                      <w:sz w:val="18"/>
                      <w:szCs w:val="18"/>
                      <w:vertAlign w:val="superscript"/>
                      <w:lang w:val="en-US" w:eastAsia="zh-CN"/>
                    </w:rPr>
                    <w:t>3</w:t>
                  </w:r>
                  <w:r>
                    <w:rPr>
                      <w:rFonts w:hint="eastAsia"/>
                      <w:color w:val="auto"/>
                      <w:sz w:val="18"/>
                      <w:szCs w:val="18"/>
                      <w:lang w:eastAsia="zh-CN"/>
                    </w:rPr>
                    <w:t>）</w:t>
                  </w:r>
                  <w:r>
                    <w:rPr>
                      <w:rFonts w:hint="eastAsia"/>
                      <w:color w:val="auto"/>
                      <w:sz w:val="18"/>
                      <w:szCs w:val="18"/>
                      <w:lang w:val="en-US" w:eastAsia="zh-CN"/>
                    </w:rPr>
                    <w:t>的管控</w:t>
                  </w:r>
                  <w:r>
                    <w:rPr>
                      <w:rFonts w:hint="eastAsia"/>
                      <w:color w:val="auto"/>
                      <w:sz w:val="18"/>
                      <w:szCs w:val="18"/>
                    </w:rPr>
                    <w:t>要求</w:t>
                  </w:r>
                  <w:r>
                    <w:rPr>
                      <w:rFonts w:hint="eastAsia"/>
                      <w:color w:val="auto"/>
                      <w:sz w:val="18"/>
                      <w:szCs w:val="18"/>
                      <w:lang w:eastAsia="zh-CN"/>
                    </w:rPr>
                    <w:t>；</w:t>
                  </w:r>
                  <w:r>
                    <w:rPr>
                      <w:rFonts w:hint="eastAsia"/>
                      <w:color w:val="auto"/>
                      <w:sz w:val="18"/>
                      <w:szCs w:val="18"/>
                      <w:lang w:val="en-US" w:eastAsia="zh-CN"/>
                    </w:rPr>
                    <w:t>厂区内执行《挥发性有机物无组织排放控制标准》（GB37822-2019）表A.1</w:t>
                  </w:r>
                </w:p>
              </w:tc>
            </w:tr>
            <w:tr w14:paraId="6A0307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492" w:type="pct"/>
                  <w:gridSpan w:val="2"/>
                  <w:tcBorders>
                    <w:tl2br w:val="nil"/>
                    <w:tr2bl w:val="nil"/>
                  </w:tcBorders>
                  <w:vAlign w:val="center"/>
                </w:tcPr>
                <w:p w14:paraId="48129BFB">
                  <w:pPr>
                    <w:snapToGrid w:val="0"/>
                    <w:jc w:val="center"/>
                    <w:rPr>
                      <w:color w:val="auto"/>
                      <w:sz w:val="18"/>
                      <w:szCs w:val="18"/>
                    </w:rPr>
                  </w:pPr>
                  <w:r>
                    <w:rPr>
                      <w:rFonts w:hint="eastAsia"/>
                      <w:color w:val="auto"/>
                      <w:sz w:val="18"/>
                      <w:szCs w:val="18"/>
                      <w:lang w:val="en-US" w:eastAsia="zh-CN"/>
                    </w:rPr>
                    <w:t>噪声</w:t>
                  </w:r>
                </w:p>
              </w:tc>
              <w:tc>
                <w:tcPr>
                  <w:tcW w:w="563" w:type="pct"/>
                  <w:tcBorders>
                    <w:tl2br w:val="nil"/>
                    <w:tr2bl w:val="nil"/>
                  </w:tcBorders>
                  <w:vAlign w:val="center"/>
                </w:tcPr>
                <w:p w14:paraId="74CF71C2">
                  <w:pPr>
                    <w:snapToGrid w:val="0"/>
                    <w:jc w:val="center"/>
                    <w:rPr>
                      <w:rFonts w:hint="eastAsia" w:eastAsia="宋体"/>
                      <w:color w:val="auto"/>
                      <w:sz w:val="18"/>
                      <w:szCs w:val="18"/>
                      <w:lang w:val="en-US" w:eastAsia="zh-CN"/>
                    </w:rPr>
                  </w:pPr>
                  <w:r>
                    <w:rPr>
                      <w:rFonts w:hint="eastAsia"/>
                      <w:color w:val="auto"/>
                      <w:sz w:val="18"/>
                      <w:szCs w:val="18"/>
                      <w:lang w:val="en-US" w:eastAsia="zh-CN"/>
                    </w:rPr>
                    <w:t>-</w:t>
                  </w:r>
                </w:p>
              </w:tc>
              <w:tc>
                <w:tcPr>
                  <w:tcW w:w="1130" w:type="pct"/>
                  <w:tcBorders>
                    <w:tl2br w:val="nil"/>
                    <w:tr2bl w:val="nil"/>
                  </w:tcBorders>
                  <w:vAlign w:val="center"/>
                </w:tcPr>
                <w:p w14:paraId="74795647">
                  <w:pPr>
                    <w:snapToGrid w:val="0"/>
                    <w:jc w:val="center"/>
                    <w:rPr>
                      <w:rFonts w:hint="eastAsia" w:eastAsia="宋体"/>
                      <w:color w:val="auto"/>
                      <w:sz w:val="18"/>
                      <w:szCs w:val="18"/>
                      <w:lang w:val="en-US" w:eastAsia="zh-CN"/>
                    </w:rPr>
                  </w:pPr>
                  <w:r>
                    <w:rPr>
                      <w:rFonts w:hint="eastAsia"/>
                      <w:color w:val="auto"/>
                      <w:sz w:val="18"/>
                      <w:szCs w:val="18"/>
                    </w:rPr>
                    <w:t>厂界</w:t>
                  </w:r>
                </w:p>
              </w:tc>
              <w:tc>
                <w:tcPr>
                  <w:tcW w:w="977" w:type="pct"/>
                  <w:tcBorders>
                    <w:tl2br w:val="nil"/>
                    <w:tr2bl w:val="nil"/>
                  </w:tcBorders>
                  <w:vAlign w:val="center"/>
                </w:tcPr>
                <w:p w14:paraId="3B60EA68">
                  <w:pPr>
                    <w:snapToGrid w:val="0"/>
                    <w:jc w:val="center"/>
                    <w:rPr>
                      <w:rFonts w:hint="eastAsia"/>
                      <w:color w:val="auto"/>
                      <w:sz w:val="18"/>
                      <w:szCs w:val="18"/>
                      <w:lang w:val="en-US" w:eastAsia="zh-CN"/>
                    </w:rPr>
                  </w:pPr>
                  <w:r>
                    <w:rPr>
                      <w:rFonts w:hint="eastAsia"/>
                      <w:color w:val="auto"/>
                      <w:sz w:val="18"/>
                      <w:szCs w:val="18"/>
                    </w:rPr>
                    <w:t>Leq</w:t>
                  </w:r>
                </w:p>
              </w:tc>
              <w:tc>
                <w:tcPr>
                  <w:tcW w:w="690" w:type="pct"/>
                  <w:tcBorders>
                    <w:tl2br w:val="nil"/>
                    <w:tr2bl w:val="nil"/>
                  </w:tcBorders>
                  <w:vAlign w:val="center"/>
                </w:tcPr>
                <w:p w14:paraId="39C16B87">
                  <w:pPr>
                    <w:snapToGrid w:val="0"/>
                    <w:jc w:val="center"/>
                    <w:rPr>
                      <w:rFonts w:hint="eastAsia"/>
                      <w:color w:val="auto"/>
                      <w:sz w:val="18"/>
                      <w:szCs w:val="18"/>
                      <w:lang w:val="en-US" w:eastAsia="zh-CN"/>
                    </w:rPr>
                  </w:pPr>
                  <w:r>
                    <w:rPr>
                      <w:rFonts w:hint="eastAsia"/>
                      <w:color w:val="auto"/>
                      <w:sz w:val="18"/>
                      <w:szCs w:val="18"/>
                    </w:rPr>
                    <w:t>每季度</w:t>
                  </w:r>
                  <w:r>
                    <w:rPr>
                      <w:color w:val="auto"/>
                      <w:sz w:val="18"/>
                      <w:szCs w:val="18"/>
                    </w:rPr>
                    <w:t>1次，每次1天，昼夜各监测1次</w:t>
                  </w:r>
                </w:p>
              </w:tc>
              <w:tc>
                <w:tcPr>
                  <w:tcW w:w="1145" w:type="pct"/>
                  <w:tcBorders>
                    <w:tl2br w:val="nil"/>
                    <w:tr2bl w:val="nil"/>
                  </w:tcBorders>
                  <w:vAlign w:val="center"/>
                </w:tcPr>
                <w:p w14:paraId="3DC4E4DA">
                  <w:pPr>
                    <w:snapToGrid w:val="0"/>
                    <w:jc w:val="center"/>
                    <w:rPr>
                      <w:rFonts w:hint="eastAsia"/>
                      <w:color w:val="auto"/>
                      <w:sz w:val="18"/>
                      <w:szCs w:val="18"/>
                    </w:rPr>
                  </w:pPr>
                  <w:r>
                    <w:rPr>
                      <w:color w:val="auto"/>
                      <w:sz w:val="18"/>
                      <w:szCs w:val="18"/>
                    </w:rPr>
                    <w:t>《工业企业厂界环境噪声排放标准》（GB12348-2008）中2类标准要求</w:t>
                  </w:r>
                </w:p>
              </w:tc>
            </w:tr>
          </w:tbl>
          <w:p w14:paraId="3A40D5E2">
            <w:pPr>
              <w:spacing w:line="360" w:lineRule="auto"/>
              <w:ind w:firstLine="422" w:firstLineChars="200"/>
              <w:rPr>
                <w:b/>
                <w:bCs/>
                <w:color w:val="auto"/>
                <w:szCs w:val="21"/>
              </w:rPr>
            </w:pPr>
            <w:r>
              <w:rPr>
                <w:rFonts w:hint="eastAsia"/>
                <w:b/>
                <w:bCs/>
                <w:color w:val="auto"/>
                <w:szCs w:val="21"/>
                <w:lang w:val="en-US" w:eastAsia="zh-CN"/>
              </w:rPr>
              <w:t>4.8</w:t>
            </w:r>
            <w:r>
              <w:rPr>
                <w:rFonts w:hint="eastAsia"/>
                <w:b/>
                <w:bCs/>
                <w:color w:val="auto"/>
                <w:szCs w:val="21"/>
              </w:rPr>
              <w:t>环保投资</w:t>
            </w:r>
          </w:p>
          <w:p w14:paraId="49856523">
            <w:pPr>
              <w:spacing w:line="360" w:lineRule="auto"/>
              <w:ind w:firstLine="420" w:firstLineChars="200"/>
              <w:rPr>
                <w:bCs/>
                <w:color w:val="auto"/>
                <w:szCs w:val="21"/>
              </w:rPr>
            </w:pPr>
            <w:r>
              <w:rPr>
                <w:bCs/>
                <w:color w:val="auto"/>
                <w:szCs w:val="21"/>
              </w:rPr>
              <w:t>项目环保投资</w:t>
            </w:r>
            <w:r>
              <w:rPr>
                <w:rFonts w:hint="eastAsia"/>
                <w:bCs/>
                <w:color w:val="auto"/>
                <w:szCs w:val="21"/>
                <w:lang w:val="en-US" w:eastAsia="zh-CN"/>
              </w:rPr>
              <w:t>120</w:t>
            </w:r>
            <w:r>
              <w:rPr>
                <w:bCs/>
                <w:color w:val="auto"/>
                <w:szCs w:val="21"/>
              </w:rPr>
              <w:t>万元，占总投资的</w:t>
            </w:r>
            <w:r>
              <w:rPr>
                <w:rFonts w:hint="eastAsia"/>
                <w:bCs/>
                <w:color w:val="auto"/>
                <w:szCs w:val="21"/>
                <w:lang w:val="en-US" w:eastAsia="zh-CN"/>
              </w:rPr>
              <w:t>4.8</w:t>
            </w:r>
            <w:r>
              <w:rPr>
                <w:bCs/>
                <w:color w:val="auto"/>
                <w:szCs w:val="21"/>
              </w:rPr>
              <w:t>%。环保投资见表</w:t>
            </w:r>
            <w:r>
              <w:rPr>
                <w:rFonts w:hint="eastAsia"/>
                <w:bCs/>
                <w:color w:val="auto"/>
                <w:szCs w:val="21"/>
              </w:rPr>
              <w:t>4</w:t>
            </w:r>
            <w:r>
              <w:rPr>
                <w:rFonts w:hint="eastAsia"/>
                <w:bCs/>
                <w:color w:val="auto"/>
                <w:szCs w:val="21"/>
                <w:lang w:val="en-US" w:eastAsia="zh-CN"/>
              </w:rPr>
              <w:t>.8</w:t>
            </w:r>
            <w:r>
              <w:rPr>
                <w:rFonts w:hint="eastAsia"/>
                <w:bCs/>
                <w:color w:val="auto"/>
                <w:szCs w:val="21"/>
              </w:rPr>
              <w:t>-</w:t>
            </w:r>
            <w:r>
              <w:rPr>
                <w:rFonts w:hint="eastAsia"/>
                <w:bCs/>
                <w:color w:val="auto"/>
                <w:szCs w:val="21"/>
                <w:lang w:val="en-US" w:eastAsia="zh-CN"/>
              </w:rPr>
              <w:t>1</w:t>
            </w:r>
            <w:r>
              <w:rPr>
                <w:bCs/>
                <w:color w:val="auto"/>
                <w:szCs w:val="21"/>
              </w:rPr>
              <w:t>。</w:t>
            </w:r>
          </w:p>
          <w:p w14:paraId="74FF901B">
            <w:pPr>
              <w:jc w:val="center"/>
              <w:rPr>
                <w:b/>
                <w:bCs/>
                <w:color w:val="auto"/>
                <w:sz w:val="18"/>
                <w:szCs w:val="18"/>
              </w:rPr>
            </w:pPr>
            <w:r>
              <w:rPr>
                <w:b/>
                <w:bCs/>
                <w:color w:val="auto"/>
                <w:sz w:val="18"/>
                <w:szCs w:val="18"/>
              </w:rPr>
              <w:t>表</w:t>
            </w:r>
            <w:r>
              <w:rPr>
                <w:rFonts w:hint="eastAsia"/>
                <w:b/>
                <w:bCs/>
                <w:color w:val="auto"/>
                <w:sz w:val="18"/>
                <w:szCs w:val="18"/>
              </w:rPr>
              <w:t>4</w:t>
            </w:r>
            <w:r>
              <w:rPr>
                <w:rFonts w:hint="eastAsia"/>
                <w:b/>
                <w:bCs/>
                <w:color w:val="auto"/>
                <w:sz w:val="18"/>
                <w:szCs w:val="18"/>
                <w:lang w:val="en-US" w:eastAsia="zh-CN"/>
              </w:rPr>
              <w:t>.8</w:t>
            </w:r>
            <w:r>
              <w:rPr>
                <w:rFonts w:hint="eastAsia"/>
                <w:b/>
                <w:bCs/>
                <w:color w:val="auto"/>
                <w:sz w:val="18"/>
                <w:szCs w:val="18"/>
              </w:rPr>
              <w:t>-</w:t>
            </w:r>
            <w:r>
              <w:rPr>
                <w:rFonts w:hint="eastAsia"/>
                <w:b/>
                <w:bCs/>
                <w:color w:val="auto"/>
                <w:sz w:val="18"/>
                <w:szCs w:val="18"/>
                <w:lang w:val="en-US" w:eastAsia="zh-CN"/>
              </w:rPr>
              <w:t>1</w:t>
            </w:r>
            <w:r>
              <w:rPr>
                <w:b/>
                <w:bCs/>
                <w:color w:val="auto"/>
                <w:sz w:val="18"/>
                <w:szCs w:val="18"/>
              </w:rPr>
              <w:t xml:space="preserve"> </w:t>
            </w:r>
            <w:r>
              <w:rPr>
                <w:rFonts w:hint="eastAsia"/>
                <w:b/>
                <w:bCs/>
                <w:color w:val="auto"/>
                <w:sz w:val="18"/>
                <w:szCs w:val="18"/>
              </w:rPr>
              <w:t xml:space="preserve">  </w:t>
            </w:r>
            <w:r>
              <w:rPr>
                <w:b/>
                <w:bCs/>
                <w:color w:val="auto"/>
                <w:sz w:val="18"/>
                <w:szCs w:val="18"/>
              </w:rPr>
              <w:t xml:space="preserve"> 环保投资一览表</w:t>
            </w:r>
          </w:p>
          <w:tbl>
            <w:tblPr>
              <w:tblStyle w:val="4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567"/>
              <w:gridCol w:w="1142"/>
              <w:gridCol w:w="5398"/>
              <w:gridCol w:w="946"/>
            </w:tblGrid>
            <w:tr w14:paraId="4407AB5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352" w:type="pct"/>
                  <w:vAlign w:val="center"/>
                </w:tcPr>
                <w:p w14:paraId="08756A5F">
                  <w:pPr>
                    <w:jc w:val="center"/>
                    <w:rPr>
                      <w:bCs/>
                      <w:color w:val="auto"/>
                      <w:sz w:val="18"/>
                      <w:szCs w:val="18"/>
                    </w:rPr>
                  </w:pPr>
                  <w:r>
                    <w:rPr>
                      <w:bCs/>
                      <w:color w:val="auto"/>
                      <w:sz w:val="18"/>
                      <w:szCs w:val="18"/>
                    </w:rPr>
                    <w:t>类别</w:t>
                  </w:r>
                </w:p>
              </w:tc>
              <w:tc>
                <w:tcPr>
                  <w:tcW w:w="709" w:type="pct"/>
                  <w:vAlign w:val="center"/>
                </w:tcPr>
                <w:p w14:paraId="3957E589">
                  <w:pPr>
                    <w:jc w:val="center"/>
                    <w:rPr>
                      <w:bCs/>
                      <w:color w:val="auto"/>
                      <w:sz w:val="18"/>
                      <w:szCs w:val="18"/>
                    </w:rPr>
                  </w:pPr>
                  <w:r>
                    <w:rPr>
                      <w:bCs/>
                      <w:color w:val="auto"/>
                      <w:sz w:val="18"/>
                      <w:szCs w:val="18"/>
                    </w:rPr>
                    <w:t>污染源</w:t>
                  </w:r>
                </w:p>
              </w:tc>
              <w:tc>
                <w:tcPr>
                  <w:tcW w:w="3351" w:type="pct"/>
                  <w:vAlign w:val="center"/>
                </w:tcPr>
                <w:p w14:paraId="4EA889EA">
                  <w:pPr>
                    <w:jc w:val="center"/>
                    <w:rPr>
                      <w:bCs/>
                      <w:color w:val="auto"/>
                      <w:sz w:val="18"/>
                      <w:szCs w:val="18"/>
                    </w:rPr>
                  </w:pPr>
                  <w:r>
                    <w:rPr>
                      <w:bCs/>
                      <w:color w:val="auto"/>
                      <w:sz w:val="18"/>
                      <w:szCs w:val="18"/>
                    </w:rPr>
                    <w:t>防治措施</w:t>
                  </w:r>
                </w:p>
              </w:tc>
              <w:tc>
                <w:tcPr>
                  <w:tcW w:w="587" w:type="pct"/>
                  <w:vAlign w:val="center"/>
                </w:tcPr>
                <w:p w14:paraId="7E203997">
                  <w:pPr>
                    <w:jc w:val="center"/>
                    <w:rPr>
                      <w:bCs/>
                      <w:color w:val="auto"/>
                      <w:sz w:val="18"/>
                      <w:szCs w:val="18"/>
                    </w:rPr>
                  </w:pPr>
                  <w:r>
                    <w:rPr>
                      <w:bCs/>
                      <w:color w:val="auto"/>
                      <w:sz w:val="18"/>
                      <w:szCs w:val="18"/>
                    </w:rPr>
                    <w:t>投资</w:t>
                  </w:r>
                </w:p>
                <w:p w14:paraId="3D6C4A98">
                  <w:pPr>
                    <w:jc w:val="center"/>
                    <w:rPr>
                      <w:bCs/>
                      <w:color w:val="auto"/>
                      <w:sz w:val="18"/>
                      <w:szCs w:val="18"/>
                    </w:rPr>
                  </w:pPr>
                  <w:r>
                    <w:rPr>
                      <w:bCs/>
                      <w:color w:val="auto"/>
                      <w:sz w:val="18"/>
                      <w:szCs w:val="18"/>
                    </w:rPr>
                    <w:t>（万元）</w:t>
                  </w:r>
                </w:p>
              </w:tc>
            </w:tr>
            <w:tr w14:paraId="6C4192E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352" w:type="pct"/>
                  <w:vMerge w:val="restart"/>
                  <w:vAlign w:val="center"/>
                </w:tcPr>
                <w:p w14:paraId="5A11D893">
                  <w:pPr>
                    <w:jc w:val="center"/>
                    <w:rPr>
                      <w:bCs/>
                      <w:color w:val="auto"/>
                      <w:sz w:val="18"/>
                      <w:szCs w:val="18"/>
                    </w:rPr>
                  </w:pPr>
                  <w:r>
                    <w:rPr>
                      <w:bCs/>
                      <w:color w:val="auto"/>
                      <w:sz w:val="18"/>
                      <w:szCs w:val="18"/>
                    </w:rPr>
                    <w:t>废气</w:t>
                  </w:r>
                </w:p>
              </w:tc>
              <w:tc>
                <w:tcPr>
                  <w:tcW w:w="709" w:type="pct"/>
                  <w:vAlign w:val="center"/>
                </w:tcPr>
                <w:p w14:paraId="47EFFA80">
                  <w:pPr>
                    <w:pStyle w:val="19"/>
                    <w:spacing w:after="0"/>
                    <w:ind w:left="0" w:leftChars="0"/>
                    <w:jc w:val="center"/>
                    <w:rPr>
                      <w:rFonts w:hint="eastAsia"/>
                      <w:bCs/>
                      <w:color w:val="auto"/>
                      <w:kern w:val="2"/>
                      <w:sz w:val="18"/>
                      <w:szCs w:val="18"/>
                      <w:lang w:val="en-US" w:eastAsia="zh-CN"/>
                    </w:rPr>
                  </w:pPr>
                  <w:r>
                    <w:rPr>
                      <w:rFonts w:hint="eastAsia"/>
                      <w:bCs/>
                      <w:color w:val="auto"/>
                      <w:kern w:val="2"/>
                      <w:sz w:val="18"/>
                      <w:szCs w:val="18"/>
                      <w:lang w:val="en-US" w:eastAsia="zh-CN"/>
                    </w:rPr>
                    <w:t>原料堆存</w:t>
                  </w:r>
                </w:p>
                <w:p w14:paraId="0DCB3311">
                  <w:pPr>
                    <w:pStyle w:val="19"/>
                    <w:spacing w:after="0"/>
                    <w:ind w:left="0" w:leftChars="0"/>
                    <w:jc w:val="center"/>
                    <w:rPr>
                      <w:rFonts w:hint="default" w:eastAsia="宋体"/>
                      <w:bCs/>
                      <w:color w:val="auto"/>
                      <w:kern w:val="2"/>
                      <w:sz w:val="18"/>
                      <w:szCs w:val="18"/>
                      <w:lang w:val="en-US" w:eastAsia="zh-CN"/>
                    </w:rPr>
                  </w:pPr>
                  <w:r>
                    <w:rPr>
                      <w:rFonts w:hint="eastAsia"/>
                      <w:bCs/>
                      <w:color w:val="auto"/>
                      <w:kern w:val="2"/>
                      <w:sz w:val="18"/>
                      <w:szCs w:val="18"/>
                      <w:lang w:val="en-US" w:eastAsia="zh-CN"/>
                    </w:rPr>
                    <w:t>装卸</w:t>
                  </w:r>
                </w:p>
              </w:tc>
              <w:tc>
                <w:tcPr>
                  <w:tcW w:w="3351" w:type="pct"/>
                  <w:vAlign w:val="center"/>
                </w:tcPr>
                <w:p w14:paraId="3BC00137">
                  <w:pPr>
                    <w:jc w:val="center"/>
                    <w:rPr>
                      <w:rFonts w:hint="default" w:eastAsia="宋体"/>
                      <w:bCs/>
                      <w:color w:val="auto"/>
                      <w:sz w:val="18"/>
                      <w:szCs w:val="18"/>
                      <w:lang w:val="en-US" w:eastAsia="zh-CN"/>
                    </w:rPr>
                  </w:pPr>
                  <w:r>
                    <w:rPr>
                      <w:rFonts w:hint="eastAsia"/>
                      <w:bCs/>
                      <w:color w:val="auto"/>
                      <w:sz w:val="18"/>
                      <w:szCs w:val="18"/>
                      <w:lang w:val="en-US" w:eastAsia="zh-CN"/>
                    </w:rPr>
                    <w:t>1座封闭式储料库，地面硬化，总占地面积5000m</w:t>
                  </w:r>
                  <w:r>
                    <w:rPr>
                      <w:rFonts w:hint="eastAsia"/>
                      <w:bCs/>
                      <w:color w:val="auto"/>
                      <w:sz w:val="18"/>
                      <w:szCs w:val="18"/>
                      <w:vertAlign w:val="superscript"/>
                      <w:lang w:val="en-US" w:eastAsia="zh-CN"/>
                    </w:rPr>
                    <w:t>2</w:t>
                  </w:r>
                </w:p>
              </w:tc>
              <w:tc>
                <w:tcPr>
                  <w:tcW w:w="587" w:type="pct"/>
                  <w:vAlign w:val="center"/>
                </w:tcPr>
                <w:p w14:paraId="63E941F2">
                  <w:pPr>
                    <w:jc w:val="center"/>
                    <w:rPr>
                      <w:rFonts w:hint="default" w:eastAsia="宋体"/>
                      <w:bCs/>
                      <w:color w:val="auto"/>
                      <w:sz w:val="18"/>
                      <w:szCs w:val="18"/>
                      <w:lang w:val="en-US" w:eastAsia="zh-CN"/>
                    </w:rPr>
                  </w:pPr>
                  <w:r>
                    <w:rPr>
                      <w:rFonts w:hint="eastAsia"/>
                      <w:bCs/>
                      <w:color w:val="auto"/>
                      <w:sz w:val="18"/>
                      <w:szCs w:val="18"/>
                      <w:lang w:val="en-US" w:eastAsia="zh-CN"/>
                    </w:rPr>
                    <w:t>纳入施工费用</w:t>
                  </w:r>
                </w:p>
              </w:tc>
            </w:tr>
            <w:tr w14:paraId="23880EC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352" w:type="pct"/>
                  <w:vMerge w:val="continue"/>
                  <w:vAlign w:val="center"/>
                </w:tcPr>
                <w:p w14:paraId="730A9CE3">
                  <w:pPr>
                    <w:jc w:val="center"/>
                    <w:rPr>
                      <w:bCs/>
                      <w:color w:val="auto"/>
                      <w:sz w:val="18"/>
                      <w:szCs w:val="18"/>
                    </w:rPr>
                  </w:pPr>
                </w:p>
              </w:tc>
              <w:tc>
                <w:tcPr>
                  <w:tcW w:w="709" w:type="pct"/>
                  <w:vAlign w:val="center"/>
                </w:tcPr>
                <w:p w14:paraId="37166F37">
                  <w:pPr>
                    <w:pStyle w:val="19"/>
                    <w:spacing w:after="0"/>
                    <w:ind w:left="0" w:leftChars="0"/>
                    <w:jc w:val="center"/>
                    <w:rPr>
                      <w:rFonts w:hint="default"/>
                      <w:bCs/>
                      <w:color w:val="auto"/>
                      <w:kern w:val="2"/>
                      <w:sz w:val="18"/>
                      <w:szCs w:val="18"/>
                      <w:lang w:val="en-US" w:eastAsia="zh-CN"/>
                    </w:rPr>
                  </w:pPr>
                  <w:r>
                    <w:rPr>
                      <w:rFonts w:hint="eastAsia"/>
                      <w:bCs/>
                      <w:color w:val="auto"/>
                      <w:kern w:val="2"/>
                      <w:sz w:val="18"/>
                      <w:szCs w:val="18"/>
                      <w:lang w:val="en-US" w:eastAsia="zh-CN"/>
                    </w:rPr>
                    <w:t>骨料烘干筛分及燃烧器</w:t>
                  </w:r>
                </w:p>
              </w:tc>
              <w:tc>
                <w:tcPr>
                  <w:tcW w:w="3351" w:type="pct"/>
                  <w:vAlign w:val="center"/>
                </w:tcPr>
                <w:p w14:paraId="766182EC">
                  <w:pPr>
                    <w:jc w:val="center"/>
                    <w:rPr>
                      <w:rFonts w:hint="default"/>
                      <w:bCs/>
                      <w:color w:val="auto"/>
                      <w:sz w:val="18"/>
                      <w:szCs w:val="18"/>
                      <w:lang w:val="en-US" w:eastAsia="zh-CN"/>
                    </w:rPr>
                  </w:pPr>
                  <w:r>
                    <w:rPr>
                      <w:rFonts w:hint="eastAsia"/>
                      <w:bCs/>
                      <w:color w:val="auto"/>
                      <w:sz w:val="18"/>
                      <w:szCs w:val="18"/>
                      <w:lang w:val="en-US" w:eastAsia="zh-CN"/>
                    </w:rPr>
                    <w:t>1套旋风+布袋除尘器；1根排气筒DA001（H15m，φ1.5m）</w:t>
                  </w:r>
                </w:p>
              </w:tc>
              <w:tc>
                <w:tcPr>
                  <w:tcW w:w="587" w:type="pct"/>
                  <w:vAlign w:val="center"/>
                </w:tcPr>
                <w:p w14:paraId="54A87C40">
                  <w:pPr>
                    <w:jc w:val="center"/>
                    <w:rPr>
                      <w:rFonts w:hint="default"/>
                      <w:bCs/>
                      <w:color w:val="auto"/>
                      <w:sz w:val="18"/>
                      <w:szCs w:val="18"/>
                      <w:lang w:val="en-US" w:eastAsia="zh-CN"/>
                    </w:rPr>
                  </w:pPr>
                  <w:r>
                    <w:rPr>
                      <w:rFonts w:hint="eastAsia"/>
                      <w:bCs/>
                      <w:color w:val="auto"/>
                      <w:sz w:val="18"/>
                      <w:szCs w:val="18"/>
                      <w:lang w:val="en-US" w:eastAsia="zh-CN"/>
                    </w:rPr>
                    <w:t>10</w:t>
                  </w:r>
                </w:p>
              </w:tc>
            </w:tr>
            <w:tr w14:paraId="212997F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352" w:type="pct"/>
                  <w:vMerge w:val="continue"/>
                  <w:vAlign w:val="center"/>
                </w:tcPr>
                <w:p w14:paraId="00003130">
                  <w:pPr>
                    <w:jc w:val="center"/>
                    <w:rPr>
                      <w:bCs/>
                      <w:color w:val="auto"/>
                      <w:sz w:val="18"/>
                      <w:szCs w:val="18"/>
                    </w:rPr>
                  </w:pPr>
                </w:p>
              </w:tc>
              <w:tc>
                <w:tcPr>
                  <w:tcW w:w="709" w:type="pct"/>
                  <w:vAlign w:val="center"/>
                </w:tcPr>
                <w:p w14:paraId="17DE4A51">
                  <w:pPr>
                    <w:pStyle w:val="19"/>
                    <w:spacing w:after="0"/>
                    <w:ind w:left="0" w:leftChars="0"/>
                    <w:jc w:val="center"/>
                    <w:rPr>
                      <w:rFonts w:hint="default"/>
                      <w:bCs/>
                      <w:color w:val="auto"/>
                      <w:kern w:val="2"/>
                      <w:sz w:val="18"/>
                      <w:szCs w:val="18"/>
                      <w:lang w:val="en-US" w:eastAsia="zh-CN"/>
                    </w:rPr>
                  </w:pPr>
                  <w:r>
                    <w:rPr>
                      <w:rFonts w:hint="eastAsia"/>
                      <w:bCs/>
                      <w:color w:val="auto"/>
                      <w:kern w:val="2"/>
                      <w:sz w:val="18"/>
                      <w:szCs w:val="18"/>
                      <w:lang w:val="en-US" w:eastAsia="zh-CN"/>
                    </w:rPr>
                    <w:t>导热油炉</w:t>
                  </w:r>
                </w:p>
              </w:tc>
              <w:tc>
                <w:tcPr>
                  <w:tcW w:w="3351" w:type="pct"/>
                  <w:vAlign w:val="center"/>
                </w:tcPr>
                <w:p w14:paraId="43B4B88B">
                  <w:pPr>
                    <w:jc w:val="center"/>
                    <w:rPr>
                      <w:rFonts w:hint="default"/>
                      <w:bCs/>
                      <w:color w:val="auto"/>
                      <w:sz w:val="18"/>
                      <w:szCs w:val="18"/>
                      <w:lang w:val="en-US" w:eastAsia="zh-CN"/>
                    </w:rPr>
                  </w:pPr>
                  <w:r>
                    <w:rPr>
                      <w:rFonts w:hint="eastAsia"/>
                      <w:bCs/>
                      <w:color w:val="auto"/>
                      <w:sz w:val="18"/>
                      <w:szCs w:val="18"/>
                      <w:lang w:val="en-US" w:eastAsia="zh-CN"/>
                    </w:rPr>
                    <w:t>低氮燃烧，1套布袋除尘器；1根排气筒DA002（H8m，φ0.3m）</w:t>
                  </w:r>
                </w:p>
              </w:tc>
              <w:tc>
                <w:tcPr>
                  <w:tcW w:w="587" w:type="pct"/>
                  <w:vAlign w:val="center"/>
                </w:tcPr>
                <w:p w14:paraId="5191B929">
                  <w:pPr>
                    <w:jc w:val="center"/>
                    <w:rPr>
                      <w:rFonts w:hint="default"/>
                      <w:bCs/>
                      <w:color w:val="auto"/>
                      <w:sz w:val="18"/>
                      <w:szCs w:val="18"/>
                      <w:lang w:val="en-US" w:eastAsia="zh-CN"/>
                    </w:rPr>
                  </w:pPr>
                  <w:r>
                    <w:rPr>
                      <w:rFonts w:hint="eastAsia"/>
                      <w:bCs/>
                      <w:color w:val="auto"/>
                      <w:sz w:val="18"/>
                      <w:szCs w:val="18"/>
                      <w:lang w:val="en-US" w:eastAsia="zh-CN"/>
                    </w:rPr>
                    <w:t>5</w:t>
                  </w:r>
                </w:p>
              </w:tc>
            </w:tr>
            <w:tr w14:paraId="5A4F0E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352" w:type="pct"/>
                  <w:vMerge w:val="continue"/>
                  <w:vAlign w:val="center"/>
                </w:tcPr>
                <w:p w14:paraId="66879A8C">
                  <w:pPr>
                    <w:jc w:val="center"/>
                    <w:rPr>
                      <w:bCs/>
                      <w:color w:val="auto"/>
                      <w:sz w:val="18"/>
                      <w:szCs w:val="18"/>
                    </w:rPr>
                  </w:pPr>
                </w:p>
              </w:tc>
              <w:tc>
                <w:tcPr>
                  <w:tcW w:w="709" w:type="pct"/>
                  <w:vAlign w:val="center"/>
                </w:tcPr>
                <w:p w14:paraId="086BD120">
                  <w:pPr>
                    <w:pStyle w:val="19"/>
                    <w:spacing w:after="0"/>
                    <w:ind w:left="0" w:leftChars="0"/>
                    <w:jc w:val="center"/>
                    <w:rPr>
                      <w:rFonts w:hint="default"/>
                      <w:bCs/>
                      <w:color w:val="auto"/>
                      <w:kern w:val="2"/>
                      <w:sz w:val="18"/>
                      <w:szCs w:val="18"/>
                      <w:lang w:val="en-US" w:eastAsia="zh-CN"/>
                    </w:rPr>
                  </w:pPr>
                  <w:r>
                    <w:rPr>
                      <w:rFonts w:hint="eastAsia"/>
                      <w:bCs/>
                      <w:color w:val="auto"/>
                      <w:kern w:val="2"/>
                      <w:sz w:val="18"/>
                      <w:szCs w:val="18"/>
                      <w:lang w:val="en-US" w:eastAsia="zh-CN"/>
                    </w:rPr>
                    <w:t>沥青预处理及搅拌</w:t>
                  </w:r>
                </w:p>
              </w:tc>
              <w:tc>
                <w:tcPr>
                  <w:tcW w:w="3351" w:type="pct"/>
                  <w:vAlign w:val="center"/>
                </w:tcPr>
                <w:p w14:paraId="14EC4DA9">
                  <w:pPr>
                    <w:jc w:val="center"/>
                    <w:rPr>
                      <w:rFonts w:hint="default"/>
                      <w:bCs/>
                      <w:color w:val="auto"/>
                      <w:sz w:val="18"/>
                      <w:szCs w:val="18"/>
                      <w:lang w:val="en-US" w:eastAsia="zh-CN"/>
                    </w:rPr>
                  </w:pPr>
                  <w:r>
                    <w:rPr>
                      <w:rFonts w:hint="eastAsia"/>
                      <w:bCs/>
                      <w:color w:val="auto"/>
                      <w:sz w:val="18"/>
                      <w:szCs w:val="18"/>
                      <w:lang w:val="en-US" w:eastAsia="zh-CN"/>
                    </w:rPr>
                    <w:t>沥青储罐排气孔和沥青混凝土储存仓出料口设置集气罩，共2套；1套冷凝器+活性炭吸附装置；1根排气筒DA003（H15m，φ0.3m）</w:t>
                  </w:r>
                </w:p>
              </w:tc>
              <w:tc>
                <w:tcPr>
                  <w:tcW w:w="587" w:type="pct"/>
                  <w:vAlign w:val="center"/>
                </w:tcPr>
                <w:p w14:paraId="6C2890C5">
                  <w:pPr>
                    <w:jc w:val="center"/>
                    <w:rPr>
                      <w:rFonts w:hint="default"/>
                      <w:bCs/>
                      <w:color w:val="auto"/>
                      <w:sz w:val="18"/>
                      <w:szCs w:val="18"/>
                      <w:lang w:val="en-US" w:eastAsia="zh-CN"/>
                    </w:rPr>
                  </w:pPr>
                  <w:r>
                    <w:rPr>
                      <w:rFonts w:hint="eastAsia"/>
                      <w:bCs/>
                      <w:color w:val="auto"/>
                      <w:sz w:val="18"/>
                      <w:szCs w:val="18"/>
                      <w:lang w:val="en-US" w:eastAsia="zh-CN"/>
                    </w:rPr>
                    <w:t>18</w:t>
                  </w:r>
                </w:p>
              </w:tc>
            </w:tr>
            <w:tr w14:paraId="2BBD6F2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352" w:type="pct"/>
                  <w:vMerge w:val="continue"/>
                  <w:vAlign w:val="center"/>
                </w:tcPr>
                <w:p w14:paraId="36D18BB8">
                  <w:pPr>
                    <w:jc w:val="center"/>
                    <w:rPr>
                      <w:bCs/>
                      <w:color w:val="auto"/>
                      <w:sz w:val="18"/>
                      <w:szCs w:val="18"/>
                    </w:rPr>
                  </w:pPr>
                </w:p>
              </w:tc>
              <w:tc>
                <w:tcPr>
                  <w:tcW w:w="709" w:type="pct"/>
                  <w:vAlign w:val="center"/>
                </w:tcPr>
                <w:p w14:paraId="0D784B08">
                  <w:pPr>
                    <w:pStyle w:val="19"/>
                    <w:spacing w:after="0"/>
                    <w:ind w:left="0" w:leftChars="0"/>
                    <w:jc w:val="center"/>
                    <w:rPr>
                      <w:rFonts w:hint="default"/>
                      <w:bCs/>
                      <w:color w:val="auto"/>
                      <w:kern w:val="2"/>
                      <w:sz w:val="18"/>
                      <w:szCs w:val="18"/>
                      <w:lang w:val="en-US" w:eastAsia="zh-CN"/>
                    </w:rPr>
                  </w:pPr>
                  <w:r>
                    <w:rPr>
                      <w:rFonts w:hint="eastAsia"/>
                      <w:bCs/>
                      <w:color w:val="auto"/>
                      <w:kern w:val="2"/>
                      <w:sz w:val="18"/>
                      <w:szCs w:val="18"/>
                      <w:lang w:val="en-US" w:eastAsia="zh-CN"/>
                    </w:rPr>
                    <w:t>混凝土搅拌</w:t>
                  </w:r>
                </w:p>
              </w:tc>
              <w:tc>
                <w:tcPr>
                  <w:tcW w:w="3351" w:type="pct"/>
                  <w:vAlign w:val="center"/>
                </w:tcPr>
                <w:p w14:paraId="0BE89CD6">
                  <w:pPr>
                    <w:jc w:val="center"/>
                    <w:rPr>
                      <w:rFonts w:hint="default"/>
                      <w:bCs/>
                      <w:color w:val="auto"/>
                      <w:sz w:val="18"/>
                      <w:szCs w:val="18"/>
                      <w:lang w:val="en-US" w:eastAsia="zh-CN"/>
                    </w:rPr>
                  </w:pPr>
                  <w:r>
                    <w:rPr>
                      <w:rFonts w:hint="eastAsia"/>
                      <w:bCs/>
                      <w:color w:val="auto"/>
                      <w:sz w:val="18"/>
                      <w:szCs w:val="18"/>
                      <w:lang w:val="en-US" w:eastAsia="zh-CN"/>
                    </w:rPr>
                    <w:t>1套布袋除尘器；1根排气筒DA004（H15m，φ0.5m）</w:t>
                  </w:r>
                </w:p>
              </w:tc>
              <w:tc>
                <w:tcPr>
                  <w:tcW w:w="587" w:type="pct"/>
                  <w:vAlign w:val="center"/>
                </w:tcPr>
                <w:p w14:paraId="0A8FFE01">
                  <w:pPr>
                    <w:jc w:val="center"/>
                    <w:rPr>
                      <w:rFonts w:hint="default"/>
                      <w:bCs/>
                      <w:color w:val="auto"/>
                      <w:sz w:val="18"/>
                      <w:szCs w:val="18"/>
                      <w:lang w:val="en-US" w:eastAsia="zh-CN"/>
                    </w:rPr>
                  </w:pPr>
                  <w:r>
                    <w:rPr>
                      <w:rFonts w:hint="eastAsia"/>
                      <w:bCs/>
                      <w:color w:val="auto"/>
                      <w:sz w:val="18"/>
                      <w:szCs w:val="18"/>
                      <w:lang w:val="en-US" w:eastAsia="zh-CN"/>
                    </w:rPr>
                    <w:t>6</w:t>
                  </w:r>
                </w:p>
              </w:tc>
            </w:tr>
            <w:tr w14:paraId="0773265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352" w:type="pct"/>
                  <w:vMerge w:val="continue"/>
                  <w:vAlign w:val="center"/>
                </w:tcPr>
                <w:p w14:paraId="1EB4D6E2">
                  <w:pPr>
                    <w:jc w:val="center"/>
                    <w:rPr>
                      <w:bCs/>
                      <w:color w:val="auto"/>
                      <w:sz w:val="18"/>
                      <w:szCs w:val="18"/>
                    </w:rPr>
                  </w:pPr>
                </w:p>
              </w:tc>
              <w:tc>
                <w:tcPr>
                  <w:tcW w:w="709" w:type="pct"/>
                  <w:shd w:val="clear" w:color="auto" w:fill="auto"/>
                  <w:vAlign w:val="center"/>
                </w:tcPr>
                <w:p w14:paraId="297ACFE7">
                  <w:pPr>
                    <w:pStyle w:val="19"/>
                    <w:spacing w:after="0"/>
                    <w:ind w:left="0" w:leftChars="0"/>
                    <w:jc w:val="center"/>
                    <w:rPr>
                      <w:rFonts w:hint="eastAsia" w:ascii="Times New Roman" w:hAnsi="Times New Roman" w:eastAsia="宋体" w:cs="Times New Roman"/>
                      <w:bCs/>
                      <w:color w:val="auto"/>
                      <w:kern w:val="2"/>
                      <w:sz w:val="18"/>
                      <w:szCs w:val="18"/>
                      <w:lang w:val="en-US" w:eastAsia="zh-CN" w:bidi="ar-SA"/>
                    </w:rPr>
                  </w:pPr>
                  <w:r>
                    <w:rPr>
                      <w:rFonts w:hint="eastAsia"/>
                      <w:bCs/>
                      <w:color w:val="auto"/>
                      <w:kern w:val="2"/>
                      <w:sz w:val="18"/>
                      <w:szCs w:val="18"/>
                      <w:lang w:val="en-US" w:eastAsia="zh-CN"/>
                    </w:rPr>
                    <w:t>水稳土搅拌</w:t>
                  </w:r>
                </w:p>
              </w:tc>
              <w:tc>
                <w:tcPr>
                  <w:tcW w:w="3351" w:type="pct"/>
                  <w:shd w:val="clear" w:color="auto" w:fill="auto"/>
                  <w:vAlign w:val="center"/>
                </w:tcPr>
                <w:p w14:paraId="03867518">
                  <w:pPr>
                    <w:jc w:val="center"/>
                    <w:rPr>
                      <w:rFonts w:hint="eastAsia" w:ascii="Times New Roman" w:hAnsi="Times New Roman" w:eastAsia="宋体" w:cs="Times New Roman"/>
                      <w:bCs/>
                      <w:color w:val="auto"/>
                      <w:kern w:val="2"/>
                      <w:sz w:val="18"/>
                      <w:szCs w:val="18"/>
                      <w:lang w:val="en-US" w:eastAsia="zh-CN" w:bidi="ar-SA"/>
                    </w:rPr>
                  </w:pPr>
                  <w:r>
                    <w:rPr>
                      <w:rFonts w:hint="eastAsia"/>
                      <w:bCs/>
                      <w:color w:val="auto"/>
                      <w:sz w:val="18"/>
                      <w:szCs w:val="18"/>
                      <w:lang w:val="en-US" w:eastAsia="zh-CN"/>
                    </w:rPr>
                    <w:t>1套布袋除尘器；1根排气筒DA005（H15m，φ0.5m）</w:t>
                  </w:r>
                </w:p>
              </w:tc>
              <w:tc>
                <w:tcPr>
                  <w:tcW w:w="587" w:type="pct"/>
                  <w:shd w:val="clear" w:color="auto" w:fill="auto"/>
                  <w:vAlign w:val="center"/>
                </w:tcPr>
                <w:p w14:paraId="2E7480AD">
                  <w:pPr>
                    <w:jc w:val="center"/>
                    <w:rPr>
                      <w:rFonts w:hint="eastAsia" w:ascii="Times New Roman" w:hAnsi="Times New Roman" w:eastAsia="宋体" w:cs="Times New Roman"/>
                      <w:bCs/>
                      <w:color w:val="auto"/>
                      <w:kern w:val="2"/>
                      <w:sz w:val="18"/>
                      <w:szCs w:val="18"/>
                      <w:lang w:val="en-US" w:eastAsia="zh-CN" w:bidi="ar-SA"/>
                    </w:rPr>
                  </w:pPr>
                  <w:r>
                    <w:rPr>
                      <w:rFonts w:hint="eastAsia"/>
                      <w:bCs/>
                      <w:color w:val="auto"/>
                      <w:sz w:val="18"/>
                      <w:szCs w:val="18"/>
                      <w:lang w:val="en-US" w:eastAsia="zh-CN"/>
                    </w:rPr>
                    <w:t>6</w:t>
                  </w:r>
                </w:p>
              </w:tc>
            </w:tr>
            <w:tr w14:paraId="3D5F8EB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352" w:type="pct"/>
                  <w:vMerge w:val="continue"/>
                  <w:vAlign w:val="center"/>
                </w:tcPr>
                <w:p w14:paraId="22AB996B">
                  <w:pPr>
                    <w:jc w:val="center"/>
                    <w:rPr>
                      <w:bCs/>
                      <w:color w:val="auto"/>
                      <w:sz w:val="18"/>
                      <w:szCs w:val="18"/>
                    </w:rPr>
                  </w:pPr>
                </w:p>
              </w:tc>
              <w:tc>
                <w:tcPr>
                  <w:tcW w:w="709" w:type="pct"/>
                  <w:vAlign w:val="center"/>
                </w:tcPr>
                <w:p w14:paraId="16459B99">
                  <w:pPr>
                    <w:pStyle w:val="19"/>
                    <w:spacing w:after="0"/>
                    <w:ind w:left="0" w:leftChars="0"/>
                    <w:jc w:val="center"/>
                    <w:rPr>
                      <w:rFonts w:hint="default" w:eastAsia="宋体"/>
                      <w:bCs/>
                      <w:color w:val="auto"/>
                      <w:kern w:val="2"/>
                      <w:sz w:val="18"/>
                      <w:szCs w:val="18"/>
                      <w:lang w:val="en-US" w:eastAsia="zh-CN"/>
                    </w:rPr>
                  </w:pPr>
                  <w:r>
                    <w:rPr>
                      <w:rFonts w:hint="eastAsia"/>
                      <w:bCs/>
                      <w:color w:val="auto"/>
                      <w:kern w:val="2"/>
                      <w:sz w:val="18"/>
                      <w:szCs w:val="18"/>
                      <w:lang w:val="en-US" w:eastAsia="zh-CN"/>
                    </w:rPr>
                    <w:t>矿粉、水泥筒仓</w:t>
                  </w:r>
                </w:p>
              </w:tc>
              <w:tc>
                <w:tcPr>
                  <w:tcW w:w="3351" w:type="pct"/>
                  <w:vAlign w:val="center"/>
                </w:tcPr>
                <w:p w14:paraId="1F68D68A">
                  <w:pPr>
                    <w:jc w:val="center"/>
                    <w:rPr>
                      <w:rFonts w:hint="default"/>
                      <w:bCs/>
                      <w:color w:val="auto"/>
                      <w:sz w:val="18"/>
                      <w:szCs w:val="18"/>
                      <w:lang w:val="en-US" w:eastAsia="zh-CN"/>
                    </w:rPr>
                  </w:pPr>
                  <w:r>
                    <w:rPr>
                      <w:rFonts w:hint="eastAsia"/>
                      <w:bCs/>
                      <w:color w:val="auto"/>
                      <w:sz w:val="18"/>
                      <w:szCs w:val="18"/>
                      <w:lang w:val="en-US" w:eastAsia="zh-CN"/>
                    </w:rPr>
                    <w:t>7套仓顶除尘器及排气筒（DA006、DA007、DA008、DA009、DA010）</w:t>
                  </w:r>
                </w:p>
              </w:tc>
              <w:tc>
                <w:tcPr>
                  <w:tcW w:w="587" w:type="pct"/>
                  <w:vAlign w:val="center"/>
                </w:tcPr>
                <w:p w14:paraId="3306E180">
                  <w:pPr>
                    <w:jc w:val="center"/>
                    <w:rPr>
                      <w:rFonts w:hint="default"/>
                      <w:bCs/>
                      <w:color w:val="auto"/>
                      <w:sz w:val="18"/>
                      <w:szCs w:val="18"/>
                      <w:lang w:val="en-US" w:eastAsia="zh-CN"/>
                    </w:rPr>
                  </w:pPr>
                  <w:r>
                    <w:rPr>
                      <w:rFonts w:hint="eastAsia"/>
                      <w:bCs/>
                      <w:color w:val="auto"/>
                      <w:sz w:val="18"/>
                      <w:szCs w:val="18"/>
                      <w:lang w:val="en-US" w:eastAsia="zh-CN"/>
                    </w:rPr>
                    <w:t>12</w:t>
                  </w:r>
                </w:p>
              </w:tc>
            </w:tr>
            <w:tr w14:paraId="7C34D92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352" w:type="pct"/>
                  <w:vMerge w:val="restart"/>
                  <w:vAlign w:val="center"/>
                </w:tcPr>
                <w:p w14:paraId="303948A2">
                  <w:pPr>
                    <w:jc w:val="center"/>
                    <w:rPr>
                      <w:rFonts w:hint="eastAsia" w:eastAsia="宋体"/>
                      <w:bCs/>
                      <w:color w:val="auto"/>
                      <w:sz w:val="18"/>
                      <w:szCs w:val="18"/>
                      <w:lang w:val="en-US" w:eastAsia="zh-CN"/>
                    </w:rPr>
                  </w:pPr>
                  <w:r>
                    <w:rPr>
                      <w:rFonts w:hint="eastAsia"/>
                      <w:bCs/>
                      <w:color w:val="auto"/>
                      <w:sz w:val="18"/>
                      <w:szCs w:val="18"/>
                      <w:lang w:val="en-US" w:eastAsia="zh-CN"/>
                    </w:rPr>
                    <w:t>废水</w:t>
                  </w:r>
                </w:p>
              </w:tc>
              <w:tc>
                <w:tcPr>
                  <w:tcW w:w="709" w:type="pct"/>
                  <w:vAlign w:val="center"/>
                </w:tcPr>
                <w:p w14:paraId="2D0E395D">
                  <w:pPr>
                    <w:pStyle w:val="19"/>
                    <w:spacing w:after="0"/>
                    <w:ind w:left="0" w:leftChars="0"/>
                    <w:jc w:val="center"/>
                    <w:rPr>
                      <w:rFonts w:hint="default"/>
                      <w:bCs/>
                      <w:color w:val="auto"/>
                      <w:kern w:val="2"/>
                      <w:sz w:val="18"/>
                      <w:szCs w:val="18"/>
                      <w:lang w:val="en-US" w:eastAsia="zh-CN"/>
                    </w:rPr>
                  </w:pPr>
                  <w:r>
                    <w:rPr>
                      <w:rFonts w:hint="eastAsia"/>
                      <w:bCs/>
                      <w:color w:val="auto"/>
                      <w:kern w:val="2"/>
                      <w:sz w:val="18"/>
                      <w:szCs w:val="18"/>
                      <w:lang w:val="en-US" w:eastAsia="zh-CN"/>
                    </w:rPr>
                    <w:t>办公区</w:t>
                  </w:r>
                </w:p>
              </w:tc>
              <w:tc>
                <w:tcPr>
                  <w:tcW w:w="3351" w:type="pct"/>
                  <w:vAlign w:val="center"/>
                </w:tcPr>
                <w:p w14:paraId="0611FD26">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bCs/>
                      <w:color w:val="auto"/>
                      <w:sz w:val="18"/>
                      <w:szCs w:val="18"/>
                      <w:lang w:val="en-US" w:eastAsia="zh-CN"/>
                    </w:rPr>
                  </w:pPr>
                  <w:r>
                    <w:rPr>
                      <w:rFonts w:hint="eastAsia"/>
                      <w:bCs/>
                      <w:color w:val="auto"/>
                      <w:sz w:val="18"/>
                      <w:szCs w:val="18"/>
                      <w:lang w:val="en-US" w:eastAsia="zh-CN"/>
                    </w:rPr>
                    <w:t>1座20m</w:t>
                  </w:r>
                  <w:r>
                    <w:rPr>
                      <w:rFonts w:hint="eastAsia"/>
                      <w:bCs/>
                      <w:color w:val="auto"/>
                      <w:sz w:val="18"/>
                      <w:szCs w:val="18"/>
                      <w:vertAlign w:val="superscript"/>
                      <w:lang w:val="en-US" w:eastAsia="zh-CN"/>
                    </w:rPr>
                    <w:t>3</w:t>
                  </w:r>
                  <w:r>
                    <w:rPr>
                      <w:rFonts w:hint="eastAsia"/>
                      <w:bCs/>
                      <w:color w:val="auto"/>
                      <w:sz w:val="18"/>
                      <w:szCs w:val="18"/>
                      <w:lang w:val="en-US" w:eastAsia="zh-CN"/>
                    </w:rPr>
                    <w:t>化粪池</w:t>
                  </w:r>
                </w:p>
              </w:tc>
              <w:tc>
                <w:tcPr>
                  <w:tcW w:w="587" w:type="pct"/>
                  <w:vAlign w:val="center"/>
                </w:tcPr>
                <w:p w14:paraId="0B87E158">
                  <w:pPr>
                    <w:jc w:val="center"/>
                    <w:rPr>
                      <w:rFonts w:hint="default"/>
                      <w:bCs/>
                      <w:color w:val="auto"/>
                      <w:sz w:val="18"/>
                      <w:szCs w:val="18"/>
                      <w:lang w:val="en-US" w:eastAsia="zh-CN"/>
                    </w:rPr>
                  </w:pPr>
                  <w:r>
                    <w:rPr>
                      <w:rFonts w:hint="eastAsia"/>
                      <w:bCs/>
                      <w:color w:val="auto"/>
                      <w:sz w:val="18"/>
                      <w:szCs w:val="18"/>
                      <w:lang w:val="en-US" w:eastAsia="zh-CN"/>
                    </w:rPr>
                    <w:t>2</w:t>
                  </w:r>
                </w:p>
              </w:tc>
            </w:tr>
            <w:tr w14:paraId="7EC3A91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352" w:type="pct"/>
                  <w:vMerge w:val="continue"/>
                  <w:vAlign w:val="center"/>
                </w:tcPr>
                <w:p w14:paraId="6E2B2FDA">
                  <w:pPr>
                    <w:jc w:val="center"/>
                    <w:rPr>
                      <w:rFonts w:hint="eastAsia"/>
                      <w:bCs/>
                      <w:color w:val="auto"/>
                      <w:sz w:val="18"/>
                      <w:szCs w:val="18"/>
                      <w:lang w:val="en-US" w:eastAsia="zh-CN"/>
                    </w:rPr>
                  </w:pPr>
                </w:p>
              </w:tc>
              <w:tc>
                <w:tcPr>
                  <w:tcW w:w="709" w:type="pct"/>
                  <w:vAlign w:val="center"/>
                </w:tcPr>
                <w:p w14:paraId="45B5AF45">
                  <w:pPr>
                    <w:pStyle w:val="19"/>
                    <w:spacing w:after="0"/>
                    <w:ind w:left="0" w:leftChars="0"/>
                    <w:jc w:val="center"/>
                    <w:rPr>
                      <w:rFonts w:hint="default"/>
                      <w:bCs/>
                      <w:color w:val="auto"/>
                      <w:kern w:val="2"/>
                      <w:sz w:val="18"/>
                      <w:szCs w:val="18"/>
                      <w:lang w:val="en-US" w:eastAsia="zh-CN"/>
                    </w:rPr>
                  </w:pPr>
                  <w:r>
                    <w:rPr>
                      <w:rFonts w:hint="eastAsia"/>
                      <w:bCs/>
                      <w:color w:val="auto"/>
                      <w:kern w:val="2"/>
                      <w:sz w:val="18"/>
                      <w:szCs w:val="18"/>
                      <w:lang w:val="en-US" w:eastAsia="zh-CN"/>
                    </w:rPr>
                    <w:t>搅拌场地</w:t>
                  </w:r>
                </w:p>
              </w:tc>
              <w:tc>
                <w:tcPr>
                  <w:tcW w:w="3351" w:type="pct"/>
                  <w:vAlign w:val="center"/>
                </w:tcPr>
                <w:p w14:paraId="7DEA7E8E">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bCs/>
                      <w:color w:val="auto"/>
                      <w:sz w:val="18"/>
                      <w:szCs w:val="18"/>
                      <w:lang w:val="en-US" w:eastAsia="zh-CN"/>
                    </w:rPr>
                  </w:pPr>
                  <w:r>
                    <w:rPr>
                      <w:rFonts w:hint="eastAsia"/>
                      <w:bCs/>
                      <w:color w:val="auto"/>
                      <w:sz w:val="18"/>
                      <w:szCs w:val="18"/>
                      <w:lang w:val="en-US" w:eastAsia="zh-CN"/>
                    </w:rPr>
                    <w:t>1座40m</w:t>
                  </w:r>
                  <w:r>
                    <w:rPr>
                      <w:rFonts w:hint="eastAsia"/>
                      <w:bCs/>
                      <w:color w:val="auto"/>
                      <w:sz w:val="18"/>
                      <w:szCs w:val="18"/>
                      <w:vertAlign w:val="superscript"/>
                      <w:lang w:val="en-US" w:eastAsia="zh-CN"/>
                    </w:rPr>
                    <w:t>3</w:t>
                  </w:r>
                  <w:r>
                    <w:rPr>
                      <w:rFonts w:hint="eastAsia"/>
                      <w:bCs/>
                      <w:color w:val="auto"/>
                      <w:sz w:val="18"/>
                      <w:szCs w:val="18"/>
                      <w:lang w:val="en-US" w:eastAsia="zh-CN"/>
                    </w:rPr>
                    <w:t>沉淀池</w:t>
                  </w:r>
                </w:p>
              </w:tc>
              <w:tc>
                <w:tcPr>
                  <w:tcW w:w="587" w:type="pct"/>
                  <w:vAlign w:val="center"/>
                </w:tcPr>
                <w:p w14:paraId="50E91BB1">
                  <w:pPr>
                    <w:jc w:val="center"/>
                    <w:rPr>
                      <w:rFonts w:hint="default"/>
                      <w:bCs/>
                      <w:color w:val="auto"/>
                      <w:sz w:val="18"/>
                      <w:szCs w:val="18"/>
                      <w:lang w:val="en-US" w:eastAsia="zh-CN"/>
                    </w:rPr>
                  </w:pPr>
                  <w:r>
                    <w:rPr>
                      <w:rFonts w:hint="eastAsia"/>
                      <w:bCs/>
                      <w:color w:val="auto"/>
                      <w:sz w:val="18"/>
                      <w:szCs w:val="18"/>
                      <w:lang w:val="en-US" w:eastAsia="zh-CN"/>
                    </w:rPr>
                    <w:t>10</w:t>
                  </w:r>
                </w:p>
              </w:tc>
            </w:tr>
            <w:tr w14:paraId="17AC196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352" w:type="pct"/>
                  <w:vMerge w:val="continue"/>
                  <w:vAlign w:val="center"/>
                </w:tcPr>
                <w:p w14:paraId="30998800">
                  <w:pPr>
                    <w:jc w:val="center"/>
                    <w:rPr>
                      <w:rFonts w:hint="eastAsia"/>
                      <w:bCs/>
                      <w:color w:val="auto"/>
                      <w:sz w:val="18"/>
                      <w:szCs w:val="18"/>
                      <w:lang w:val="en-US" w:eastAsia="zh-CN"/>
                    </w:rPr>
                  </w:pPr>
                </w:p>
              </w:tc>
              <w:tc>
                <w:tcPr>
                  <w:tcW w:w="709" w:type="pct"/>
                  <w:vAlign w:val="center"/>
                </w:tcPr>
                <w:p w14:paraId="073FB484">
                  <w:pPr>
                    <w:pStyle w:val="19"/>
                    <w:spacing w:after="0"/>
                    <w:ind w:left="0" w:leftChars="0"/>
                    <w:jc w:val="center"/>
                    <w:rPr>
                      <w:rFonts w:hint="eastAsia"/>
                      <w:bCs/>
                      <w:color w:val="auto"/>
                      <w:kern w:val="2"/>
                      <w:sz w:val="18"/>
                      <w:szCs w:val="18"/>
                      <w:lang w:val="en-US" w:eastAsia="zh-CN"/>
                    </w:rPr>
                  </w:pPr>
                  <w:r>
                    <w:rPr>
                      <w:rFonts w:hint="eastAsia"/>
                      <w:bCs/>
                      <w:color w:val="auto"/>
                      <w:kern w:val="2"/>
                      <w:sz w:val="18"/>
                      <w:szCs w:val="18"/>
                      <w:lang w:val="en-US" w:eastAsia="zh-CN"/>
                    </w:rPr>
                    <w:t>初期雨水池</w:t>
                  </w:r>
                </w:p>
              </w:tc>
              <w:tc>
                <w:tcPr>
                  <w:tcW w:w="3351" w:type="pct"/>
                  <w:vAlign w:val="center"/>
                </w:tcPr>
                <w:p w14:paraId="72F7181F">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bCs/>
                      <w:color w:val="auto"/>
                      <w:sz w:val="18"/>
                      <w:szCs w:val="18"/>
                      <w:lang w:val="en-US" w:eastAsia="zh-CN"/>
                    </w:rPr>
                  </w:pPr>
                  <w:r>
                    <w:rPr>
                      <w:rFonts w:hint="eastAsia"/>
                      <w:bCs/>
                      <w:color w:val="auto"/>
                      <w:sz w:val="18"/>
                      <w:szCs w:val="18"/>
                      <w:lang w:val="en-US" w:eastAsia="zh-CN"/>
                    </w:rPr>
                    <w:t>1座100m</w:t>
                  </w:r>
                  <w:r>
                    <w:rPr>
                      <w:rFonts w:hint="eastAsia"/>
                      <w:bCs/>
                      <w:color w:val="auto"/>
                      <w:sz w:val="18"/>
                      <w:szCs w:val="18"/>
                      <w:vertAlign w:val="superscript"/>
                      <w:lang w:val="en-US" w:eastAsia="zh-CN"/>
                    </w:rPr>
                    <w:t>3</w:t>
                  </w:r>
                  <w:r>
                    <w:rPr>
                      <w:rFonts w:hint="eastAsia"/>
                      <w:bCs/>
                      <w:color w:val="auto"/>
                      <w:sz w:val="18"/>
                      <w:szCs w:val="18"/>
                      <w:vertAlign w:val="baseline"/>
                      <w:lang w:val="en-US" w:eastAsia="zh-CN"/>
                    </w:rPr>
                    <w:t>初期雨水</w:t>
                  </w:r>
                  <w:r>
                    <w:rPr>
                      <w:rFonts w:hint="eastAsia"/>
                      <w:bCs/>
                      <w:color w:val="auto"/>
                      <w:sz w:val="18"/>
                      <w:szCs w:val="18"/>
                      <w:lang w:val="en-US" w:eastAsia="zh-CN"/>
                    </w:rPr>
                    <w:t>池</w:t>
                  </w:r>
                </w:p>
              </w:tc>
              <w:tc>
                <w:tcPr>
                  <w:tcW w:w="587" w:type="pct"/>
                  <w:vAlign w:val="center"/>
                </w:tcPr>
                <w:p w14:paraId="2D4A17F6">
                  <w:pPr>
                    <w:jc w:val="center"/>
                    <w:rPr>
                      <w:rFonts w:hint="default"/>
                      <w:bCs/>
                      <w:color w:val="auto"/>
                      <w:sz w:val="18"/>
                      <w:szCs w:val="18"/>
                      <w:lang w:val="en-US" w:eastAsia="zh-CN"/>
                    </w:rPr>
                  </w:pPr>
                  <w:r>
                    <w:rPr>
                      <w:rFonts w:hint="eastAsia"/>
                      <w:bCs/>
                      <w:color w:val="auto"/>
                      <w:sz w:val="18"/>
                      <w:szCs w:val="18"/>
                      <w:lang w:val="en-US" w:eastAsia="zh-CN"/>
                    </w:rPr>
                    <w:t>6</w:t>
                  </w:r>
                </w:p>
              </w:tc>
            </w:tr>
            <w:tr w14:paraId="612350D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352" w:type="pct"/>
                  <w:vMerge w:val="continue"/>
                  <w:vAlign w:val="center"/>
                </w:tcPr>
                <w:p w14:paraId="36DB7040">
                  <w:pPr>
                    <w:jc w:val="center"/>
                    <w:rPr>
                      <w:rFonts w:hint="eastAsia"/>
                      <w:bCs/>
                      <w:color w:val="auto"/>
                      <w:sz w:val="18"/>
                      <w:szCs w:val="18"/>
                      <w:lang w:val="en-US" w:eastAsia="zh-CN"/>
                    </w:rPr>
                  </w:pPr>
                </w:p>
              </w:tc>
              <w:tc>
                <w:tcPr>
                  <w:tcW w:w="709" w:type="pct"/>
                  <w:vAlign w:val="center"/>
                </w:tcPr>
                <w:p w14:paraId="6AC715D9">
                  <w:pPr>
                    <w:pStyle w:val="19"/>
                    <w:spacing w:after="0"/>
                    <w:ind w:left="0" w:leftChars="0"/>
                    <w:jc w:val="center"/>
                    <w:rPr>
                      <w:rFonts w:hint="eastAsia"/>
                      <w:bCs/>
                      <w:color w:val="auto"/>
                      <w:kern w:val="2"/>
                      <w:sz w:val="18"/>
                      <w:szCs w:val="18"/>
                      <w:lang w:val="en-US" w:eastAsia="zh-CN"/>
                    </w:rPr>
                  </w:pPr>
                  <w:r>
                    <w:rPr>
                      <w:rFonts w:hint="eastAsia"/>
                      <w:bCs/>
                      <w:color w:val="auto"/>
                      <w:kern w:val="2"/>
                      <w:sz w:val="18"/>
                      <w:szCs w:val="18"/>
                      <w:lang w:val="en-US" w:eastAsia="zh-CN"/>
                    </w:rPr>
                    <w:t>洗车平台</w:t>
                  </w:r>
                </w:p>
                <w:p w14:paraId="33633B29">
                  <w:pPr>
                    <w:pStyle w:val="19"/>
                    <w:spacing w:after="0"/>
                    <w:ind w:left="0" w:leftChars="0"/>
                    <w:jc w:val="center"/>
                    <w:rPr>
                      <w:rFonts w:hint="eastAsia"/>
                      <w:bCs/>
                      <w:color w:val="auto"/>
                      <w:kern w:val="2"/>
                      <w:sz w:val="18"/>
                      <w:szCs w:val="18"/>
                      <w:lang w:val="en-US" w:eastAsia="zh-CN"/>
                    </w:rPr>
                  </w:pPr>
                  <w:r>
                    <w:rPr>
                      <w:rFonts w:hint="eastAsia"/>
                      <w:bCs/>
                      <w:color w:val="auto"/>
                      <w:kern w:val="2"/>
                      <w:sz w:val="18"/>
                      <w:szCs w:val="18"/>
                      <w:lang w:val="en-US" w:eastAsia="zh-CN"/>
                    </w:rPr>
                    <w:t>及配套循</w:t>
                  </w:r>
                </w:p>
                <w:p w14:paraId="3911593C">
                  <w:pPr>
                    <w:pStyle w:val="19"/>
                    <w:spacing w:after="0"/>
                    <w:ind w:left="0" w:leftChars="0"/>
                    <w:jc w:val="center"/>
                    <w:rPr>
                      <w:rFonts w:hint="default"/>
                      <w:bCs/>
                      <w:color w:val="auto"/>
                      <w:kern w:val="2"/>
                      <w:sz w:val="18"/>
                      <w:szCs w:val="18"/>
                      <w:lang w:val="en-US" w:eastAsia="zh-CN"/>
                    </w:rPr>
                  </w:pPr>
                  <w:r>
                    <w:rPr>
                      <w:rFonts w:hint="eastAsia"/>
                      <w:bCs/>
                      <w:color w:val="auto"/>
                      <w:kern w:val="2"/>
                      <w:sz w:val="18"/>
                      <w:szCs w:val="18"/>
                      <w:lang w:val="en-US" w:eastAsia="zh-CN"/>
                    </w:rPr>
                    <w:t>环水池</w:t>
                  </w:r>
                </w:p>
              </w:tc>
              <w:tc>
                <w:tcPr>
                  <w:tcW w:w="3351" w:type="pct"/>
                  <w:vAlign w:val="center"/>
                </w:tcPr>
                <w:p w14:paraId="2F6EF38E">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bCs/>
                      <w:color w:val="auto"/>
                      <w:sz w:val="18"/>
                      <w:szCs w:val="18"/>
                      <w:lang w:val="en-US" w:eastAsia="zh-CN"/>
                    </w:rPr>
                  </w:pPr>
                  <w:r>
                    <w:rPr>
                      <w:rFonts w:hint="eastAsia"/>
                      <w:bCs/>
                      <w:color w:val="auto"/>
                      <w:sz w:val="18"/>
                      <w:szCs w:val="18"/>
                      <w:lang w:val="en-US" w:eastAsia="zh-CN"/>
                    </w:rPr>
                    <w:t>1座洗车平台及配套循环水池（由沉淀池兼顾）</w:t>
                  </w:r>
                </w:p>
              </w:tc>
              <w:tc>
                <w:tcPr>
                  <w:tcW w:w="587" w:type="pct"/>
                  <w:vAlign w:val="center"/>
                </w:tcPr>
                <w:p w14:paraId="472ABF33">
                  <w:pPr>
                    <w:jc w:val="center"/>
                    <w:rPr>
                      <w:rFonts w:hint="default"/>
                      <w:bCs/>
                      <w:color w:val="auto"/>
                      <w:sz w:val="18"/>
                      <w:szCs w:val="18"/>
                      <w:lang w:val="en-US" w:eastAsia="zh-CN"/>
                    </w:rPr>
                  </w:pPr>
                  <w:r>
                    <w:rPr>
                      <w:rFonts w:hint="eastAsia"/>
                      <w:bCs/>
                      <w:color w:val="auto"/>
                      <w:sz w:val="18"/>
                      <w:szCs w:val="18"/>
                      <w:lang w:val="en-US" w:eastAsia="zh-CN"/>
                    </w:rPr>
                    <w:t>2</w:t>
                  </w:r>
                </w:p>
              </w:tc>
            </w:tr>
            <w:tr w14:paraId="3EC544B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352" w:type="pct"/>
                  <w:vMerge w:val="restart"/>
                  <w:vAlign w:val="center"/>
                </w:tcPr>
                <w:p w14:paraId="344798A4">
                  <w:pPr>
                    <w:jc w:val="center"/>
                    <w:rPr>
                      <w:bCs/>
                      <w:color w:val="auto"/>
                      <w:sz w:val="18"/>
                      <w:szCs w:val="18"/>
                    </w:rPr>
                  </w:pPr>
                  <w:r>
                    <w:rPr>
                      <w:bCs/>
                      <w:color w:val="auto"/>
                      <w:sz w:val="18"/>
                      <w:szCs w:val="18"/>
                    </w:rPr>
                    <w:t>固废</w:t>
                  </w:r>
                </w:p>
              </w:tc>
              <w:tc>
                <w:tcPr>
                  <w:tcW w:w="709" w:type="pct"/>
                  <w:vAlign w:val="center"/>
                </w:tcPr>
                <w:p w14:paraId="5B30999C">
                  <w:pPr>
                    <w:pStyle w:val="19"/>
                    <w:spacing w:after="0"/>
                    <w:ind w:left="0" w:leftChars="0"/>
                    <w:jc w:val="center"/>
                    <w:rPr>
                      <w:bCs/>
                      <w:color w:val="auto"/>
                      <w:kern w:val="2"/>
                      <w:sz w:val="18"/>
                      <w:szCs w:val="18"/>
                    </w:rPr>
                  </w:pPr>
                  <w:r>
                    <w:rPr>
                      <w:rFonts w:hint="eastAsia"/>
                      <w:bCs/>
                      <w:color w:val="auto"/>
                      <w:kern w:val="2"/>
                      <w:sz w:val="18"/>
                      <w:szCs w:val="18"/>
                    </w:rPr>
                    <w:t>生活垃圾</w:t>
                  </w:r>
                </w:p>
              </w:tc>
              <w:tc>
                <w:tcPr>
                  <w:tcW w:w="3351" w:type="pct"/>
                  <w:vAlign w:val="center"/>
                </w:tcPr>
                <w:p w14:paraId="5ADFF71E">
                  <w:pPr>
                    <w:pStyle w:val="19"/>
                    <w:spacing w:after="0"/>
                    <w:ind w:left="0" w:leftChars="0"/>
                    <w:jc w:val="center"/>
                    <w:rPr>
                      <w:rFonts w:hint="default" w:eastAsia="宋体"/>
                      <w:bCs/>
                      <w:color w:val="auto"/>
                      <w:kern w:val="2"/>
                      <w:sz w:val="18"/>
                      <w:szCs w:val="18"/>
                      <w:lang w:val="en-US" w:eastAsia="zh-CN"/>
                    </w:rPr>
                  </w:pPr>
                  <w:r>
                    <w:rPr>
                      <w:rFonts w:hint="eastAsia"/>
                      <w:bCs/>
                      <w:color w:val="auto"/>
                      <w:kern w:val="2"/>
                      <w:sz w:val="18"/>
                      <w:szCs w:val="18"/>
                      <w:lang w:val="en-US" w:eastAsia="zh-CN"/>
                    </w:rPr>
                    <w:t>设置多处封闭式垃圾箱</w:t>
                  </w:r>
                </w:p>
              </w:tc>
              <w:tc>
                <w:tcPr>
                  <w:tcW w:w="587" w:type="pct"/>
                  <w:vAlign w:val="center"/>
                </w:tcPr>
                <w:p w14:paraId="71DF5F55">
                  <w:pPr>
                    <w:jc w:val="center"/>
                    <w:rPr>
                      <w:rFonts w:hint="default" w:eastAsia="宋体"/>
                      <w:bCs/>
                      <w:color w:val="auto"/>
                      <w:sz w:val="18"/>
                      <w:szCs w:val="18"/>
                      <w:lang w:val="en-US" w:eastAsia="zh-CN"/>
                    </w:rPr>
                  </w:pPr>
                  <w:r>
                    <w:rPr>
                      <w:rFonts w:hint="eastAsia"/>
                      <w:bCs/>
                      <w:color w:val="auto"/>
                      <w:sz w:val="18"/>
                      <w:szCs w:val="18"/>
                      <w:lang w:val="en-US" w:eastAsia="zh-CN"/>
                    </w:rPr>
                    <w:t>1</w:t>
                  </w:r>
                </w:p>
              </w:tc>
            </w:tr>
            <w:tr w14:paraId="101BD4F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352" w:type="pct"/>
                  <w:vMerge w:val="continue"/>
                  <w:vAlign w:val="center"/>
                </w:tcPr>
                <w:p w14:paraId="1D4F7A3D">
                  <w:pPr>
                    <w:jc w:val="center"/>
                    <w:rPr>
                      <w:bCs/>
                      <w:color w:val="auto"/>
                      <w:sz w:val="18"/>
                      <w:szCs w:val="18"/>
                    </w:rPr>
                  </w:pPr>
                </w:p>
              </w:tc>
              <w:tc>
                <w:tcPr>
                  <w:tcW w:w="709" w:type="pct"/>
                  <w:vAlign w:val="center"/>
                </w:tcPr>
                <w:p w14:paraId="08DF7563">
                  <w:pPr>
                    <w:pStyle w:val="19"/>
                    <w:spacing w:after="0"/>
                    <w:ind w:left="0" w:leftChars="0"/>
                    <w:jc w:val="center"/>
                    <w:rPr>
                      <w:bCs/>
                      <w:color w:val="auto"/>
                      <w:kern w:val="2"/>
                      <w:sz w:val="18"/>
                      <w:szCs w:val="18"/>
                    </w:rPr>
                  </w:pPr>
                  <w:r>
                    <w:rPr>
                      <w:rFonts w:hint="eastAsia"/>
                      <w:bCs/>
                      <w:color w:val="auto"/>
                      <w:kern w:val="2"/>
                      <w:sz w:val="18"/>
                      <w:szCs w:val="18"/>
                    </w:rPr>
                    <w:t>危险废物</w:t>
                  </w:r>
                </w:p>
              </w:tc>
              <w:tc>
                <w:tcPr>
                  <w:tcW w:w="3351" w:type="pct"/>
                  <w:vAlign w:val="center"/>
                </w:tcPr>
                <w:p w14:paraId="5E0DD15C">
                  <w:pPr>
                    <w:keepNext w:val="0"/>
                    <w:keepLines w:val="0"/>
                    <w:widowControl/>
                    <w:suppressLineNumbers w:val="0"/>
                    <w:jc w:val="center"/>
                    <w:rPr>
                      <w:bCs/>
                      <w:color w:val="auto"/>
                      <w:kern w:val="2"/>
                      <w:sz w:val="18"/>
                      <w:szCs w:val="18"/>
                    </w:rPr>
                  </w:pPr>
                  <w:r>
                    <w:rPr>
                      <w:rFonts w:hint="eastAsia" w:ascii="Times New Roman" w:hAnsi="Times New Roman" w:eastAsia="宋体" w:cs="Times New Roman"/>
                      <w:bCs/>
                      <w:color w:val="auto"/>
                      <w:kern w:val="2"/>
                      <w:sz w:val="18"/>
                      <w:szCs w:val="18"/>
                      <w:lang w:val="en-US" w:eastAsia="zh-CN" w:bidi="ar-SA"/>
                    </w:rPr>
                    <w:t>设置</w:t>
                  </w:r>
                  <w:r>
                    <w:rPr>
                      <w:rFonts w:hint="default" w:ascii="Times New Roman" w:hAnsi="Times New Roman" w:eastAsia="宋体" w:cs="Times New Roman"/>
                      <w:bCs/>
                      <w:color w:val="auto"/>
                      <w:kern w:val="2"/>
                      <w:sz w:val="18"/>
                      <w:szCs w:val="18"/>
                      <w:lang w:val="en-US" w:eastAsia="zh-CN" w:bidi="ar-SA"/>
                    </w:rPr>
                    <w:t>1</w:t>
                  </w:r>
                  <w:r>
                    <w:rPr>
                      <w:rFonts w:hint="eastAsia" w:ascii="Times New Roman" w:hAnsi="Times New Roman" w:eastAsia="宋体" w:cs="Times New Roman"/>
                      <w:bCs/>
                      <w:color w:val="auto"/>
                      <w:kern w:val="2"/>
                      <w:sz w:val="18"/>
                      <w:szCs w:val="18"/>
                      <w:lang w:val="en-US" w:eastAsia="zh-CN" w:bidi="ar-SA"/>
                    </w:rPr>
                    <w:t>座</w:t>
                  </w:r>
                  <w:r>
                    <w:rPr>
                      <w:rFonts w:hint="eastAsia" w:cs="Times New Roman"/>
                      <w:bCs/>
                      <w:color w:val="auto"/>
                      <w:kern w:val="2"/>
                      <w:sz w:val="18"/>
                      <w:szCs w:val="18"/>
                      <w:lang w:val="en-US" w:eastAsia="zh-CN" w:bidi="ar-SA"/>
                    </w:rPr>
                    <w:t>1</w:t>
                  </w:r>
                  <w:r>
                    <w:rPr>
                      <w:rFonts w:hint="default" w:ascii="Times New Roman" w:hAnsi="Times New Roman" w:eastAsia="宋体" w:cs="Times New Roman"/>
                      <w:bCs/>
                      <w:color w:val="auto"/>
                      <w:kern w:val="2"/>
                      <w:sz w:val="18"/>
                      <w:szCs w:val="18"/>
                      <w:lang w:val="en-US" w:eastAsia="zh-CN" w:bidi="ar-SA"/>
                    </w:rPr>
                    <w:t>0m</w:t>
                  </w:r>
                  <w:r>
                    <w:rPr>
                      <w:rFonts w:hint="default" w:ascii="Times New Roman" w:hAnsi="Times New Roman" w:eastAsia="宋体" w:cs="Times New Roman"/>
                      <w:bCs/>
                      <w:color w:val="auto"/>
                      <w:kern w:val="2"/>
                      <w:sz w:val="18"/>
                      <w:szCs w:val="18"/>
                      <w:vertAlign w:val="superscript"/>
                      <w:lang w:val="en-US" w:eastAsia="zh-CN" w:bidi="ar-SA"/>
                    </w:rPr>
                    <w:t>2</w:t>
                  </w:r>
                  <w:r>
                    <w:rPr>
                      <w:rFonts w:hint="default" w:ascii="Times New Roman" w:hAnsi="Times New Roman" w:eastAsia="宋体" w:cs="Times New Roman"/>
                      <w:bCs/>
                      <w:color w:val="auto"/>
                      <w:kern w:val="2"/>
                      <w:sz w:val="18"/>
                      <w:szCs w:val="18"/>
                      <w:lang w:val="en-US" w:eastAsia="zh-CN" w:bidi="ar-SA"/>
                    </w:rPr>
                    <w:t xml:space="preserve"> </w:t>
                  </w:r>
                  <w:r>
                    <w:rPr>
                      <w:rFonts w:hint="eastAsia" w:cs="Times New Roman"/>
                      <w:bCs/>
                      <w:color w:val="auto"/>
                      <w:kern w:val="2"/>
                      <w:sz w:val="18"/>
                      <w:szCs w:val="18"/>
                      <w:lang w:val="en-US" w:eastAsia="zh-CN" w:bidi="ar-SA"/>
                    </w:rPr>
                    <w:t>危险废物贮存库</w:t>
                  </w:r>
                  <w:r>
                    <w:rPr>
                      <w:rFonts w:hint="eastAsia" w:ascii="Times New Roman" w:hAnsi="Times New Roman" w:eastAsia="宋体" w:cs="Times New Roman"/>
                      <w:bCs/>
                      <w:color w:val="auto"/>
                      <w:kern w:val="2"/>
                      <w:sz w:val="18"/>
                      <w:szCs w:val="18"/>
                      <w:lang w:val="en-US" w:eastAsia="zh-CN" w:bidi="ar-SA"/>
                    </w:rPr>
                    <w:t>，</w:t>
                  </w:r>
                  <w:r>
                    <w:rPr>
                      <w:rFonts w:hint="eastAsia" w:cs="Times New Roman"/>
                      <w:bCs/>
                      <w:color w:val="auto"/>
                      <w:kern w:val="2"/>
                      <w:sz w:val="18"/>
                      <w:szCs w:val="18"/>
                      <w:lang w:val="en-US" w:eastAsia="zh-CN" w:bidi="ar-SA"/>
                    </w:rPr>
                    <w:t>危险废物暂存</w:t>
                  </w:r>
                  <w:r>
                    <w:rPr>
                      <w:rFonts w:hint="eastAsia" w:ascii="Times New Roman" w:hAnsi="Times New Roman" w:eastAsia="宋体" w:cs="Times New Roman"/>
                      <w:bCs/>
                      <w:color w:val="auto"/>
                      <w:kern w:val="2"/>
                      <w:sz w:val="18"/>
                      <w:szCs w:val="18"/>
                      <w:lang w:val="en-US" w:eastAsia="zh-CN" w:bidi="ar-SA"/>
                    </w:rPr>
                    <w:t>，委托有资质单位清运处理</w:t>
                  </w:r>
                </w:p>
              </w:tc>
              <w:tc>
                <w:tcPr>
                  <w:tcW w:w="587" w:type="pct"/>
                  <w:vAlign w:val="center"/>
                </w:tcPr>
                <w:p w14:paraId="3B906A2B">
                  <w:pPr>
                    <w:jc w:val="center"/>
                    <w:rPr>
                      <w:rFonts w:hint="default" w:eastAsia="宋体"/>
                      <w:bCs/>
                      <w:color w:val="auto"/>
                      <w:sz w:val="18"/>
                      <w:szCs w:val="18"/>
                      <w:lang w:val="en-US" w:eastAsia="zh-CN"/>
                    </w:rPr>
                  </w:pPr>
                  <w:r>
                    <w:rPr>
                      <w:rFonts w:hint="eastAsia"/>
                      <w:bCs/>
                      <w:color w:val="auto"/>
                      <w:sz w:val="18"/>
                      <w:szCs w:val="18"/>
                      <w:lang w:val="en-US" w:eastAsia="zh-CN"/>
                    </w:rPr>
                    <w:t>10</w:t>
                  </w:r>
                </w:p>
              </w:tc>
            </w:tr>
            <w:tr w14:paraId="34F94A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352" w:type="pct"/>
                  <w:vAlign w:val="center"/>
                </w:tcPr>
                <w:p w14:paraId="41FFA998">
                  <w:pPr>
                    <w:jc w:val="center"/>
                    <w:rPr>
                      <w:bCs/>
                      <w:color w:val="auto"/>
                      <w:sz w:val="18"/>
                      <w:szCs w:val="18"/>
                    </w:rPr>
                  </w:pPr>
                  <w:r>
                    <w:rPr>
                      <w:bCs/>
                      <w:color w:val="auto"/>
                      <w:sz w:val="18"/>
                      <w:szCs w:val="18"/>
                    </w:rPr>
                    <w:t>噪声</w:t>
                  </w:r>
                </w:p>
              </w:tc>
              <w:tc>
                <w:tcPr>
                  <w:tcW w:w="709" w:type="pct"/>
                  <w:vAlign w:val="center"/>
                </w:tcPr>
                <w:p w14:paraId="66DF8AF1">
                  <w:pPr>
                    <w:pStyle w:val="19"/>
                    <w:spacing w:after="0"/>
                    <w:ind w:left="0" w:leftChars="0"/>
                    <w:jc w:val="center"/>
                    <w:rPr>
                      <w:bCs/>
                      <w:color w:val="auto"/>
                      <w:kern w:val="2"/>
                      <w:sz w:val="18"/>
                      <w:szCs w:val="18"/>
                    </w:rPr>
                  </w:pPr>
                  <w:r>
                    <w:rPr>
                      <w:bCs/>
                      <w:color w:val="auto"/>
                      <w:kern w:val="2"/>
                      <w:sz w:val="18"/>
                      <w:szCs w:val="18"/>
                    </w:rPr>
                    <w:t>生产设备</w:t>
                  </w:r>
                </w:p>
              </w:tc>
              <w:tc>
                <w:tcPr>
                  <w:tcW w:w="3351" w:type="pct"/>
                  <w:vAlign w:val="center"/>
                </w:tcPr>
                <w:p w14:paraId="2EF14C9B">
                  <w:pPr>
                    <w:pStyle w:val="19"/>
                    <w:spacing w:after="0"/>
                    <w:ind w:left="0" w:leftChars="0"/>
                    <w:jc w:val="center"/>
                    <w:rPr>
                      <w:bCs/>
                      <w:color w:val="auto"/>
                      <w:kern w:val="2"/>
                      <w:sz w:val="18"/>
                      <w:szCs w:val="18"/>
                    </w:rPr>
                  </w:pPr>
                  <w:r>
                    <w:rPr>
                      <w:bCs/>
                      <w:color w:val="auto"/>
                      <w:kern w:val="2"/>
                      <w:sz w:val="18"/>
                      <w:szCs w:val="18"/>
                    </w:rPr>
                    <w:t>选用低噪设备，基础减振，消声，厂房隔声等措施</w:t>
                  </w:r>
                </w:p>
              </w:tc>
              <w:tc>
                <w:tcPr>
                  <w:tcW w:w="587" w:type="pct"/>
                  <w:vAlign w:val="center"/>
                </w:tcPr>
                <w:p w14:paraId="23133E1E">
                  <w:pPr>
                    <w:jc w:val="center"/>
                    <w:rPr>
                      <w:rFonts w:hint="default" w:eastAsia="宋体"/>
                      <w:bCs/>
                      <w:color w:val="auto"/>
                      <w:sz w:val="18"/>
                      <w:szCs w:val="18"/>
                      <w:lang w:val="en-US" w:eastAsia="zh-CN"/>
                    </w:rPr>
                  </w:pPr>
                  <w:r>
                    <w:rPr>
                      <w:rFonts w:hint="eastAsia"/>
                      <w:bCs/>
                      <w:color w:val="auto"/>
                      <w:sz w:val="18"/>
                      <w:szCs w:val="18"/>
                      <w:lang w:val="en-US" w:eastAsia="zh-CN"/>
                    </w:rPr>
                    <w:t>10</w:t>
                  </w:r>
                </w:p>
              </w:tc>
            </w:tr>
            <w:tr w14:paraId="10AEC80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1061" w:type="pct"/>
                  <w:gridSpan w:val="2"/>
                  <w:vAlign w:val="center"/>
                </w:tcPr>
                <w:p w14:paraId="4432E50F">
                  <w:pPr>
                    <w:pStyle w:val="19"/>
                    <w:spacing w:after="0"/>
                    <w:ind w:left="0" w:leftChars="0"/>
                    <w:jc w:val="center"/>
                    <w:rPr>
                      <w:bCs/>
                      <w:color w:val="auto"/>
                      <w:kern w:val="2"/>
                      <w:sz w:val="18"/>
                      <w:szCs w:val="18"/>
                    </w:rPr>
                  </w:pPr>
                  <w:r>
                    <w:rPr>
                      <w:rFonts w:hint="eastAsia"/>
                      <w:bCs/>
                      <w:color w:val="auto"/>
                      <w:sz w:val="18"/>
                      <w:szCs w:val="18"/>
                      <w:lang w:val="en-US" w:eastAsia="zh-CN"/>
                    </w:rPr>
                    <w:t>防渗</w:t>
                  </w:r>
                </w:p>
              </w:tc>
              <w:tc>
                <w:tcPr>
                  <w:tcW w:w="3351" w:type="pct"/>
                  <w:vAlign w:val="center"/>
                </w:tcPr>
                <w:p w14:paraId="08D1A93C">
                  <w:pPr>
                    <w:jc w:val="center"/>
                    <w:rPr>
                      <w:rFonts w:hint="eastAsia"/>
                      <w:bCs/>
                      <w:color w:val="auto"/>
                      <w:sz w:val="18"/>
                      <w:szCs w:val="18"/>
                      <w:lang w:val="en-US" w:eastAsia="zh-CN"/>
                    </w:rPr>
                  </w:pPr>
                  <w:r>
                    <w:rPr>
                      <w:rFonts w:hint="eastAsia"/>
                      <w:bCs/>
                      <w:color w:val="auto"/>
                      <w:sz w:val="18"/>
                      <w:szCs w:val="18"/>
                      <w:lang w:val="en-US" w:eastAsia="zh-CN"/>
                    </w:rPr>
                    <w:t>分区防渗：重点防渗区包括危险废物贮存库、储罐区；</w:t>
                  </w:r>
                </w:p>
                <w:p w14:paraId="0AE56104">
                  <w:pPr>
                    <w:jc w:val="center"/>
                    <w:rPr>
                      <w:rFonts w:hint="default"/>
                      <w:bCs/>
                      <w:color w:val="auto"/>
                      <w:sz w:val="18"/>
                      <w:szCs w:val="18"/>
                      <w:lang w:val="en-US" w:eastAsia="zh-CN"/>
                    </w:rPr>
                  </w:pPr>
                  <w:r>
                    <w:rPr>
                      <w:rFonts w:hint="eastAsia"/>
                      <w:bCs/>
                      <w:color w:val="auto"/>
                      <w:sz w:val="18"/>
                      <w:szCs w:val="18"/>
                      <w:lang w:val="en-US" w:eastAsia="zh-CN"/>
                    </w:rPr>
                    <w:t>一般防渗区包括搅拌机组场地等</w:t>
                  </w:r>
                </w:p>
              </w:tc>
              <w:tc>
                <w:tcPr>
                  <w:tcW w:w="587" w:type="pct"/>
                  <w:vAlign w:val="center"/>
                </w:tcPr>
                <w:p w14:paraId="4C48930D">
                  <w:pPr>
                    <w:jc w:val="center"/>
                    <w:rPr>
                      <w:rFonts w:hint="default"/>
                      <w:bCs/>
                      <w:color w:val="auto"/>
                      <w:sz w:val="18"/>
                      <w:szCs w:val="18"/>
                      <w:lang w:val="en-US" w:eastAsia="zh-CN"/>
                    </w:rPr>
                  </w:pPr>
                  <w:r>
                    <w:rPr>
                      <w:rFonts w:hint="eastAsia"/>
                      <w:bCs/>
                      <w:color w:val="auto"/>
                      <w:sz w:val="18"/>
                      <w:szCs w:val="18"/>
                      <w:lang w:val="en-US" w:eastAsia="zh-CN"/>
                    </w:rPr>
                    <w:t>8</w:t>
                  </w:r>
                </w:p>
              </w:tc>
            </w:tr>
            <w:tr w14:paraId="182AF02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1061" w:type="pct"/>
                  <w:gridSpan w:val="2"/>
                  <w:vAlign w:val="center"/>
                </w:tcPr>
                <w:p w14:paraId="53C7B84B">
                  <w:pPr>
                    <w:pStyle w:val="19"/>
                    <w:spacing w:after="0"/>
                    <w:ind w:left="0" w:leftChars="0"/>
                    <w:jc w:val="center"/>
                    <w:rPr>
                      <w:rFonts w:hint="default"/>
                      <w:bCs/>
                      <w:color w:val="auto"/>
                      <w:sz w:val="18"/>
                      <w:szCs w:val="18"/>
                      <w:lang w:val="en-US" w:eastAsia="zh-CN"/>
                    </w:rPr>
                  </w:pPr>
                  <w:r>
                    <w:rPr>
                      <w:rFonts w:hint="eastAsia"/>
                      <w:bCs/>
                      <w:color w:val="auto"/>
                      <w:sz w:val="18"/>
                      <w:szCs w:val="18"/>
                      <w:lang w:val="en-US" w:eastAsia="zh-CN"/>
                    </w:rPr>
                    <w:t>其他</w:t>
                  </w:r>
                </w:p>
              </w:tc>
              <w:tc>
                <w:tcPr>
                  <w:tcW w:w="3351" w:type="pct"/>
                  <w:vAlign w:val="center"/>
                </w:tcPr>
                <w:p w14:paraId="16BDD8E5">
                  <w:pPr>
                    <w:jc w:val="center"/>
                    <w:rPr>
                      <w:rFonts w:hint="default"/>
                      <w:bCs/>
                      <w:color w:val="auto"/>
                      <w:sz w:val="18"/>
                      <w:szCs w:val="18"/>
                      <w:lang w:val="en-US" w:eastAsia="zh-CN"/>
                    </w:rPr>
                  </w:pPr>
                  <w:r>
                    <w:rPr>
                      <w:rFonts w:hint="eastAsia"/>
                      <w:bCs/>
                      <w:color w:val="auto"/>
                      <w:sz w:val="18"/>
                      <w:szCs w:val="18"/>
                      <w:lang w:val="en-US" w:eastAsia="zh-CN"/>
                    </w:rPr>
                    <w:t>一座60m</w:t>
                  </w:r>
                  <w:r>
                    <w:rPr>
                      <w:rFonts w:hint="eastAsia"/>
                      <w:bCs/>
                      <w:color w:val="auto"/>
                      <w:sz w:val="18"/>
                      <w:szCs w:val="18"/>
                      <w:vertAlign w:val="superscript"/>
                      <w:lang w:val="en-US" w:eastAsia="zh-CN"/>
                    </w:rPr>
                    <w:t>3</w:t>
                  </w:r>
                  <w:r>
                    <w:rPr>
                      <w:rFonts w:hint="eastAsia"/>
                      <w:bCs/>
                      <w:color w:val="auto"/>
                      <w:sz w:val="18"/>
                      <w:szCs w:val="18"/>
                      <w:lang w:val="en-US" w:eastAsia="zh-CN"/>
                    </w:rPr>
                    <w:t>事故应急池；绿化面积200m</w:t>
                  </w:r>
                  <w:r>
                    <w:rPr>
                      <w:rFonts w:hint="eastAsia"/>
                      <w:bCs/>
                      <w:color w:val="auto"/>
                      <w:sz w:val="18"/>
                      <w:szCs w:val="18"/>
                      <w:vertAlign w:val="superscript"/>
                      <w:lang w:val="en-US" w:eastAsia="zh-CN"/>
                    </w:rPr>
                    <w:t>2</w:t>
                  </w:r>
                </w:p>
              </w:tc>
              <w:tc>
                <w:tcPr>
                  <w:tcW w:w="587" w:type="pct"/>
                  <w:vAlign w:val="center"/>
                </w:tcPr>
                <w:p w14:paraId="59D7874B">
                  <w:pPr>
                    <w:jc w:val="center"/>
                    <w:rPr>
                      <w:rFonts w:hint="default"/>
                      <w:bCs/>
                      <w:color w:val="auto"/>
                      <w:sz w:val="18"/>
                      <w:szCs w:val="18"/>
                      <w:lang w:val="en-US" w:eastAsia="zh-CN"/>
                    </w:rPr>
                  </w:pPr>
                  <w:r>
                    <w:rPr>
                      <w:rFonts w:hint="eastAsia"/>
                      <w:bCs/>
                      <w:color w:val="auto"/>
                      <w:sz w:val="18"/>
                      <w:szCs w:val="18"/>
                      <w:lang w:val="en-US" w:eastAsia="zh-CN"/>
                    </w:rPr>
                    <w:t>6</w:t>
                  </w:r>
                </w:p>
              </w:tc>
            </w:tr>
            <w:tr w14:paraId="22402F7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1061" w:type="pct"/>
                  <w:gridSpan w:val="2"/>
                  <w:vAlign w:val="center"/>
                </w:tcPr>
                <w:p w14:paraId="7D2A190E">
                  <w:pPr>
                    <w:pStyle w:val="19"/>
                    <w:spacing w:after="0"/>
                    <w:ind w:left="0" w:leftChars="0"/>
                    <w:jc w:val="center"/>
                    <w:rPr>
                      <w:rFonts w:hint="default"/>
                      <w:bCs/>
                      <w:color w:val="auto"/>
                      <w:sz w:val="18"/>
                      <w:szCs w:val="18"/>
                      <w:lang w:val="en-US" w:eastAsia="zh-CN"/>
                    </w:rPr>
                  </w:pPr>
                  <w:r>
                    <w:rPr>
                      <w:rFonts w:hint="eastAsia"/>
                      <w:bCs/>
                      <w:color w:val="auto"/>
                      <w:sz w:val="18"/>
                      <w:szCs w:val="18"/>
                      <w:lang w:val="en-US" w:eastAsia="zh-CN"/>
                    </w:rPr>
                    <w:t>总计</w:t>
                  </w:r>
                </w:p>
              </w:tc>
              <w:tc>
                <w:tcPr>
                  <w:tcW w:w="3351" w:type="pct"/>
                  <w:vAlign w:val="center"/>
                </w:tcPr>
                <w:p w14:paraId="25A5E3C4">
                  <w:pPr>
                    <w:jc w:val="center"/>
                    <w:rPr>
                      <w:rFonts w:hint="default"/>
                      <w:bCs/>
                      <w:color w:val="auto"/>
                      <w:sz w:val="18"/>
                      <w:szCs w:val="18"/>
                      <w:lang w:val="en-US" w:eastAsia="zh-CN"/>
                    </w:rPr>
                  </w:pPr>
                  <w:r>
                    <w:rPr>
                      <w:rFonts w:hint="eastAsia"/>
                      <w:bCs/>
                      <w:color w:val="auto"/>
                      <w:sz w:val="18"/>
                      <w:szCs w:val="18"/>
                      <w:lang w:val="en-US" w:eastAsia="zh-CN"/>
                    </w:rPr>
                    <w:t>-</w:t>
                  </w:r>
                </w:p>
              </w:tc>
              <w:tc>
                <w:tcPr>
                  <w:tcW w:w="587" w:type="pct"/>
                  <w:vAlign w:val="center"/>
                </w:tcPr>
                <w:p w14:paraId="6A4767EC">
                  <w:pPr>
                    <w:jc w:val="center"/>
                    <w:rPr>
                      <w:rFonts w:hint="default"/>
                      <w:bCs/>
                      <w:color w:val="auto"/>
                      <w:sz w:val="18"/>
                      <w:szCs w:val="18"/>
                      <w:lang w:val="en-US" w:eastAsia="zh-CN"/>
                    </w:rPr>
                  </w:pPr>
                  <w:r>
                    <w:rPr>
                      <w:rFonts w:hint="eastAsia"/>
                      <w:bCs/>
                      <w:color w:val="auto"/>
                      <w:sz w:val="18"/>
                      <w:szCs w:val="18"/>
                      <w:lang w:val="en-US" w:eastAsia="zh-CN"/>
                    </w:rPr>
                    <w:t>120</w:t>
                  </w:r>
                </w:p>
              </w:tc>
            </w:tr>
          </w:tbl>
          <w:p w14:paraId="6BF90643">
            <w:pPr>
              <w:rPr>
                <w:color w:val="auto"/>
                <w:szCs w:val="21"/>
              </w:rPr>
            </w:pPr>
          </w:p>
        </w:tc>
      </w:tr>
    </w:tbl>
    <w:p w14:paraId="59746489">
      <w:pPr>
        <w:adjustRightInd w:val="0"/>
        <w:snapToGrid w:val="0"/>
        <w:spacing w:line="360" w:lineRule="auto"/>
        <w:rPr>
          <w:b/>
          <w:color w:val="auto"/>
          <w:kern w:val="0"/>
          <w:sz w:val="28"/>
          <w:szCs w:val="28"/>
        </w:rPr>
        <w:sectPr>
          <w:pgSz w:w="11907" w:h="16840"/>
          <w:pgMar w:top="1701" w:right="1531" w:bottom="2127"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329B43C0">
      <w:pPr>
        <w:pStyle w:val="41"/>
        <w:jc w:val="center"/>
        <w:outlineLvl w:val="0"/>
        <w:rPr>
          <w:rFonts w:ascii="Times New Roman" w:hAnsi="Times New Roman" w:eastAsia="黑体"/>
          <w:snapToGrid w:val="0"/>
          <w:color w:val="auto"/>
          <w:sz w:val="30"/>
          <w:szCs w:val="30"/>
        </w:rPr>
      </w:pPr>
      <w:bookmarkStart w:id="5" w:name="_Toc6666"/>
      <w:r>
        <w:rPr>
          <w:rFonts w:ascii="Times New Roman" w:hAnsi="Times New Roman" w:eastAsia="黑体"/>
          <w:snapToGrid w:val="0"/>
          <w:color w:val="auto"/>
          <w:sz w:val="30"/>
          <w:szCs w:val="30"/>
        </w:rPr>
        <w:t>五、</w:t>
      </w:r>
      <w:bookmarkStart w:id="6" w:name="_Hlk54167917"/>
      <w:r>
        <w:rPr>
          <w:rFonts w:ascii="Times New Roman" w:hAnsi="Times New Roman" w:eastAsia="黑体"/>
          <w:snapToGrid w:val="0"/>
          <w:color w:val="auto"/>
          <w:sz w:val="30"/>
          <w:szCs w:val="30"/>
        </w:rPr>
        <w:t>环境保护措施监督检查清单</w:t>
      </w:r>
      <w:bookmarkEnd w:id="5"/>
      <w:bookmarkEnd w:id="6"/>
    </w:p>
    <w:tbl>
      <w:tblPr>
        <w:tblStyle w:val="4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760"/>
        <w:gridCol w:w="1731"/>
        <w:gridCol w:w="1389"/>
        <w:gridCol w:w="2074"/>
        <w:gridCol w:w="2106"/>
      </w:tblGrid>
      <w:tr w14:paraId="405EF3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60" w:type="dxa"/>
            <w:tcBorders>
              <w:tl2br w:val="single" w:color="auto" w:sz="4" w:space="0"/>
            </w:tcBorders>
          </w:tcPr>
          <w:p w14:paraId="0362DB93">
            <w:pPr>
              <w:adjustRightInd w:val="0"/>
              <w:snapToGrid w:val="0"/>
              <w:ind w:firstLine="840"/>
              <w:rPr>
                <w:color w:val="auto"/>
                <w:szCs w:val="21"/>
              </w:rPr>
            </w:pPr>
            <w:r>
              <w:rPr>
                <w:color w:val="auto"/>
                <w:szCs w:val="21"/>
              </w:rPr>
              <w:t>内容</w:t>
            </w:r>
          </w:p>
          <w:p w14:paraId="2C774736">
            <w:pPr>
              <w:adjustRightInd w:val="0"/>
              <w:snapToGrid w:val="0"/>
              <w:rPr>
                <w:color w:val="auto"/>
                <w:szCs w:val="21"/>
              </w:rPr>
            </w:pPr>
            <w:r>
              <w:rPr>
                <w:color w:val="auto"/>
                <w:szCs w:val="21"/>
              </w:rPr>
              <w:t>要素</w:t>
            </w:r>
          </w:p>
        </w:tc>
        <w:tc>
          <w:tcPr>
            <w:tcW w:w="1731" w:type="dxa"/>
            <w:vAlign w:val="center"/>
          </w:tcPr>
          <w:p w14:paraId="5FBCE108">
            <w:pPr>
              <w:adjustRightInd w:val="0"/>
              <w:snapToGrid w:val="0"/>
              <w:jc w:val="center"/>
              <w:rPr>
                <w:color w:val="auto"/>
                <w:szCs w:val="21"/>
              </w:rPr>
            </w:pPr>
            <w:r>
              <w:rPr>
                <w:color w:val="auto"/>
                <w:szCs w:val="21"/>
              </w:rPr>
              <w:t>排放口(编号、</w:t>
            </w:r>
          </w:p>
          <w:p w14:paraId="61CA2578">
            <w:pPr>
              <w:adjustRightInd w:val="0"/>
              <w:snapToGrid w:val="0"/>
              <w:jc w:val="center"/>
              <w:rPr>
                <w:color w:val="auto"/>
                <w:szCs w:val="21"/>
              </w:rPr>
            </w:pPr>
            <w:r>
              <w:rPr>
                <w:color w:val="auto"/>
                <w:szCs w:val="21"/>
              </w:rPr>
              <w:t>名称)/污染源</w:t>
            </w:r>
          </w:p>
        </w:tc>
        <w:tc>
          <w:tcPr>
            <w:tcW w:w="1389" w:type="dxa"/>
            <w:vAlign w:val="center"/>
          </w:tcPr>
          <w:p w14:paraId="7BA177AC">
            <w:pPr>
              <w:adjustRightInd w:val="0"/>
              <w:snapToGrid w:val="0"/>
              <w:jc w:val="center"/>
              <w:rPr>
                <w:color w:val="auto"/>
                <w:szCs w:val="21"/>
              </w:rPr>
            </w:pPr>
            <w:r>
              <w:rPr>
                <w:color w:val="auto"/>
                <w:szCs w:val="21"/>
              </w:rPr>
              <w:t>污染物项目</w:t>
            </w:r>
          </w:p>
        </w:tc>
        <w:tc>
          <w:tcPr>
            <w:tcW w:w="2074" w:type="dxa"/>
            <w:vAlign w:val="center"/>
          </w:tcPr>
          <w:p w14:paraId="1B0C73DC">
            <w:pPr>
              <w:adjustRightInd w:val="0"/>
              <w:snapToGrid w:val="0"/>
              <w:jc w:val="center"/>
              <w:rPr>
                <w:color w:val="auto"/>
                <w:szCs w:val="21"/>
              </w:rPr>
            </w:pPr>
            <w:r>
              <w:rPr>
                <w:color w:val="auto"/>
                <w:szCs w:val="21"/>
              </w:rPr>
              <w:t>环境保护措施</w:t>
            </w:r>
          </w:p>
        </w:tc>
        <w:tc>
          <w:tcPr>
            <w:tcW w:w="2106" w:type="dxa"/>
            <w:vAlign w:val="center"/>
          </w:tcPr>
          <w:p w14:paraId="3C7D222E">
            <w:pPr>
              <w:adjustRightInd w:val="0"/>
              <w:snapToGrid w:val="0"/>
              <w:jc w:val="center"/>
              <w:rPr>
                <w:color w:val="auto"/>
                <w:szCs w:val="21"/>
              </w:rPr>
            </w:pPr>
            <w:r>
              <w:rPr>
                <w:color w:val="auto"/>
                <w:szCs w:val="21"/>
              </w:rPr>
              <w:t>执行标准</w:t>
            </w:r>
          </w:p>
        </w:tc>
      </w:tr>
      <w:tr w14:paraId="68DC69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71" w:hRule="atLeast"/>
          <w:jc w:val="center"/>
        </w:trPr>
        <w:tc>
          <w:tcPr>
            <w:tcW w:w="1760" w:type="dxa"/>
            <w:vMerge w:val="restart"/>
            <w:vAlign w:val="center"/>
          </w:tcPr>
          <w:p w14:paraId="329813F3">
            <w:pPr>
              <w:adjustRightInd w:val="0"/>
              <w:snapToGrid w:val="0"/>
              <w:jc w:val="center"/>
              <w:rPr>
                <w:color w:val="auto"/>
                <w:szCs w:val="21"/>
              </w:rPr>
            </w:pPr>
            <w:r>
              <w:rPr>
                <w:color w:val="auto"/>
                <w:szCs w:val="21"/>
              </w:rPr>
              <w:t>大气环境</w:t>
            </w:r>
          </w:p>
        </w:tc>
        <w:tc>
          <w:tcPr>
            <w:tcW w:w="1731" w:type="dxa"/>
            <w:vAlign w:val="center"/>
          </w:tcPr>
          <w:p w14:paraId="5CDBA7A1">
            <w:pPr>
              <w:snapToGrid w:val="0"/>
              <w:jc w:val="center"/>
              <w:rPr>
                <w:rFonts w:hint="default"/>
                <w:color w:val="auto"/>
                <w:szCs w:val="21"/>
                <w:lang w:val="en-US" w:eastAsia="zh-CN"/>
              </w:rPr>
            </w:pPr>
            <w:r>
              <w:rPr>
                <w:rFonts w:hint="eastAsia"/>
                <w:color w:val="auto"/>
                <w:szCs w:val="21"/>
                <w:lang w:val="en-US" w:eastAsia="zh-CN"/>
              </w:rPr>
              <w:t>DA001/骨料烘干筛分及燃烧器燃烧</w:t>
            </w:r>
          </w:p>
        </w:tc>
        <w:tc>
          <w:tcPr>
            <w:tcW w:w="1389" w:type="dxa"/>
            <w:vAlign w:val="center"/>
          </w:tcPr>
          <w:p w14:paraId="1AFD466C">
            <w:pPr>
              <w:snapToGrid w:val="0"/>
              <w:jc w:val="center"/>
              <w:rPr>
                <w:rFonts w:hint="default" w:eastAsia="宋体"/>
                <w:color w:val="auto"/>
                <w:szCs w:val="21"/>
                <w:lang w:val="en-US" w:eastAsia="zh-CN"/>
              </w:rPr>
            </w:pPr>
            <w:r>
              <w:rPr>
                <w:rFonts w:hint="eastAsia"/>
                <w:color w:val="auto"/>
                <w:szCs w:val="21"/>
                <w:lang w:val="en-US" w:eastAsia="zh-CN"/>
              </w:rPr>
              <w:t>颗粒物、</w:t>
            </w:r>
            <w:r>
              <w:rPr>
                <w:rFonts w:hint="default"/>
                <w:color w:val="auto"/>
                <w:szCs w:val="21"/>
                <w:lang w:val="en-US" w:eastAsia="zh-CN"/>
              </w:rPr>
              <w:t>S</w:t>
            </w:r>
            <w:r>
              <w:rPr>
                <w:rFonts w:hint="eastAsia"/>
                <w:color w:val="auto"/>
                <w:szCs w:val="21"/>
                <w:lang w:val="en-US" w:eastAsia="zh-CN"/>
              </w:rPr>
              <w:t>O</w:t>
            </w:r>
            <w:r>
              <w:rPr>
                <w:rFonts w:hint="eastAsia"/>
                <w:color w:val="auto"/>
                <w:szCs w:val="21"/>
                <w:vertAlign w:val="subscript"/>
                <w:lang w:val="en-US" w:eastAsia="zh-CN"/>
              </w:rPr>
              <w:t>2</w:t>
            </w:r>
            <w:r>
              <w:rPr>
                <w:rFonts w:hint="eastAsia"/>
                <w:color w:val="auto"/>
                <w:szCs w:val="21"/>
                <w:lang w:val="en-US" w:eastAsia="zh-CN"/>
              </w:rPr>
              <w:t>、NOx</w:t>
            </w:r>
          </w:p>
        </w:tc>
        <w:tc>
          <w:tcPr>
            <w:tcW w:w="2074" w:type="dxa"/>
            <w:vAlign w:val="center"/>
          </w:tcPr>
          <w:p w14:paraId="1698E8F1">
            <w:pPr>
              <w:snapToGrid w:val="0"/>
              <w:jc w:val="center"/>
              <w:rPr>
                <w:rFonts w:hint="default"/>
                <w:color w:val="auto"/>
                <w:sz w:val="21"/>
                <w:szCs w:val="21"/>
                <w:lang w:val="en-US" w:eastAsia="zh-CN"/>
              </w:rPr>
            </w:pPr>
            <w:r>
              <w:rPr>
                <w:rFonts w:hint="eastAsia"/>
                <w:color w:val="auto"/>
                <w:sz w:val="21"/>
                <w:szCs w:val="21"/>
                <w:lang w:val="en-US" w:eastAsia="zh-CN"/>
              </w:rPr>
              <w:t>混合废气经旋风+布袋除尘器去除废气中的颗粒物，除尘效率70%，经处理后的废气由DA001（H15m，φ1.5m）排放</w:t>
            </w:r>
          </w:p>
        </w:tc>
        <w:tc>
          <w:tcPr>
            <w:tcW w:w="2106" w:type="dxa"/>
            <w:vAlign w:val="center"/>
          </w:tcPr>
          <w:p w14:paraId="54DACF87">
            <w:pPr>
              <w:keepNext w:val="0"/>
              <w:keepLines w:val="0"/>
              <w:widowControl/>
              <w:suppressLineNumbers w:val="0"/>
              <w:jc w:val="center"/>
              <w:rPr>
                <w:sz w:val="21"/>
                <w:szCs w:val="21"/>
              </w:rPr>
            </w:pPr>
            <w:r>
              <w:rPr>
                <w:rFonts w:hint="eastAsia" w:ascii="宋体" w:hAnsi="宋体" w:eastAsia="宋体" w:cs="宋体"/>
                <w:color w:val="000000"/>
                <w:kern w:val="0"/>
                <w:sz w:val="21"/>
                <w:szCs w:val="21"/>
                <w:lang w:val="en-US" w:eastAsia="zh-CN" w:bidi="ar"/>
              </w:rPr>
              <w:t>《山西省工业炉窑大气污染综合治理实施方案》（晋环</w:t>
            </w:r>
          </w:p>
          <w:p w14:paraId="07BAFAB4">
            <w:pPr>
              <w:snapToGrid w:val="0"/>
              <w:jc w:val="center"/>
              <w:rPr>
                <w:rFonts w:hint="default"/>
                <w:color w:val="auto"/>
                <w:sz w:val="21"/>
                <w:szCs w:val="21"/>
                <w:lang w:val="en-US" w:eastAsia="zh-CN"/>
              </w:rPr>
            </w:pPr>
            <w:r>
              <w:rPr>
                <w:rFonts w:hint="eastAsia" w:ascii="宋体" w:hAnsi="宋体" w:eastAsia="宋体" w:cs="宋体"/>
                <w:color w:val="000000"/>
                <w:kern w:val="0"/>
                <w:sz w:val="21"/>
                <w:szCs w:val="21"/>
                <w:lang w:val="en-US" w:eastAsia="zh-CN" w:bidi="ar"/>
              </w:rPr>
              <w:t>大气〔</w:t>
            </w:r>
            <w:r>
              <w:rPr>
                <w:rFonts w:hint="default" w:ascii="Times New Roman" w:hAnsi="Times New Roman" w:eastAsia="宋体" w:cs="Times New Roman"/>
                <w:color w:val="000000"/>
                <w:kern w:val="0"/>
                <w:sz w:val="21"/>
                <w:szCs w:val="21"/>
                <w:lang w:val="en-US" w:eastAsia="zh-CN" w:bidi="ar"/>
              </w:rPr>
              <w:t>2019</w:t>
            </w:r>
            <w:r>
              <w:rPr>
                <w:rFonts w:hint="eastAsia" w:ascii="宋体" w:hAnsi="宋体" w:eastAsia="宋体" w:cs="宋体"/>
                <w:color w:val="000000"/>
                <w:kern w:val="0"/>
                <w:sz w:val="21"/>
                <w:szCs w:val="21"/>
                <w:lang w:val="en-US" w:eastAsia="zh-CN" w:bidi="ar"/>
              </w:rPr>
              <w:t>〕）相关要求</w:t>
            </w:r>
          </w:p>
        </w:tc>
      </w:tr>
      <w:tr w14:paraId="5C6271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0" w:hRule="atLeast"/>
          <w:jc w:val="center"/>
        </w:trPr>
        <w:tc>
          <w:tcPr>
            <w:tcW w:w="1760" w:type="dxa"/>
            <w:vMerge w:val="continue"/>
            <w:vAlign w:val="center"/>
          </w:tcPr>
          <w:p w14:paraId="752D0547">
            <w:pPr>
              <w:adjustRightInd w:val="0"/>
              <w:snapToGrid w:val="0"/>
              <w:jc w:val="center"/>
              <w:rPr>
                <w:color w:val="auto"/>
                <w:szCs w:val="21"/>
              </w:rPr>
            </w:pPr>
          </w:p>
        </w:tc>
        <w:tc>
          <w:tcPr>
            <w:tcW w:w="1731" w:type="dxa"/>
            <w:vAlign w:val="center"/>
          </w:tcPr>
          <w:p w14:paraId="5C9A7E5D">
            <w:pPr>
              <w:snapToGrid w:val="0"/>
              <w:jc w:val="center"/>
              <w:rPr>
                <w:rFonts w:hint="default"/>
                <w:color w:val="auto"/>
                <w:szCs w:val="21"/>
                <w:lang w:val="en-US" w:eastAsia="zh-CN"/>
              </w:rPr>
            </w:pPr>
            <w:r>
              <w:rPr>
                <w:rFonts w:hint="eastAsia"/>
                <w:color w:val="auto"/>
                <w:szCs w:val="21"/>
                <w:lang w:val="en-US" w:eastAsia="zh-CN"/>
              </w:rPr>
              <w:t>DA002/导热油炉</w:t>
            </w:r>
          </w:p>
        </w:tc>
        <w:tc>
          <w:tcPr>
            <w:tcW w:w="1389" w:type="dxa"/>
            <w:vAlign w:val="center"/>
          </w:tcPr>
          <w:p w14:paraId="5F5EC108">
            <w:pPr>
              <w:snapToGrid w:val="0"/>
              <w:jc w:val="center"/>
              <w:rPr>
                <w:rFonts w:hint="eastAsia"/>
                <w:color w:val="auto"/>
                <w:szCs w:val="21"/>
                <w:lang w:val="en-US" w:eastAsia="zh-CN"/>
              </w:rPr>
            </w:pPr>
            <w:r>
              <w:rPr>
                <w:rFonts w:hint="eastAsia"/>
                <w:color w:val="auto"/>
                <w:szCs w:val="21"/>
                <w:lang w:val="en-US" w:eastAsia="zh-CN"/>
              </w:rPr>
              <w:t>颗粒物、</w:t>
            </w:r>
            <w:r>
              <w:rPr>
                <w:rFonts w:hint="default"/>
                <w:color w:val="auto"/>
                <w:szCs w:val="21"/>
                <w:lang w:val="en-US" w:eastAsia="zh-CN"/>
              </w:rPr>
              <w:t>S</w:t>
            </w:r>
            <w:r>
              <w:rPr>
                <w:rFonts w:hint="eastAsia"/>
                <w:color w:val="auto"/>
                <w:szCs w:val="21"/>
                <w:lang w:val="en-US" w:eastAsia="zh-CN"/>
              </w:rPr>
              <w:t>O</w:t>
            </w:r>
            <w:r>
              <w:rPr>
                <w:rFonts w:hint="eastAsia"/>
                <w:color w:val="auto"/>
                <w:szCs w:val="21"/>
                <w:vertAlign w:val="subscript"/>
                <w:lang w:val="en-US" w:eastAsia="zh-CN"/>
              </w:rPr>
              <w:t>2</w:t>
            </w:r>
            <w:r>
              <w:rPr>
                <w:rFonts w:hint="eastAsia"/>
                <w:color w:val="auto"/>
                <w:szCs w:val="21"/>
                <w:lang w:val="en-US" w:eastAsia="zh-CN"/>
              </w:rPr>
              <w:t>、NOx</w:t>
            </w:r>
          </w:p>
        </w:tc>
        <w:tc>
          <w:tcPr>
            <w:tcW w:w="2074" w:type="dxa"/>
            <w:vAlign w:val="center"/>
          </w:tcPr>
          <w:p w14:paraId="4CC7CE1F">
            <w:pPr>
              <w:snapToGrid w:val="0"/>
              <w:jc w:val="center"/>
              <w:rPr>
                <w:rFonts w:hint="default"/>
                <w:color w:val="auto"/>
                <w:sz w:val="21"/>
                <w:szCs w:val="21"/>
                <w:lang w:val="en-US" w:eastAsia="zh-CN"/>
              </w:rPr>
            </w:pPr>
            <w:r>
              <w:rPr>
                <w:rFonts w:hint="eastAsia"/>
                <w:color w:val="auto"/>
                <w:sz w:val="21"/>
                <w:szCs w:val="21"/>
                <w:lang w:val="en-US" w:eastAsia="zh-CN"/>
              </w:rPr>
              <w:t>废气通入1套布袋除尘器，燃烧采用低氮燃烧技术，经处理后由DA002（H8m，φ0.3m）排放</w:t>
            </w:r>
          </w:p>
        </w:tc>
        <w:tc>
          <w:tcPr>
            <w:tcW w:w="2106" w:type="dxa"/>
            <w:vAlign w:val="center"/>
          </w:tcPr>
          <w:p w14:paraId="0B88168F">
            <w:pPr>
              <w:snapToGrid w:val="0"/>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《锅炉大气污染物排放标准》</w:t>
            </w:r>
          </w:p>
          <w:p w14:paraId="39D4C5F0">
            <w:pPr>
              <w:snapToGrid w:val="0"/>
              <w:jc w:val="center"/>
              <w:rPr>
                <w:rFonts w:hint="default"/>
                <w:color w:val="auto"/>
                <w:sz w:val="21"/>
                <w:szCs w:val="21"/>
                <w:lang w:val="en-US" w:eastAsia="zh-CN"/>
              </w:rPr>
            </w:pPr>
            <w:r>
              <w:rPr>
                <w:rFonts w:hint="default" w:ascii="Times New Roman" w:hAnsi="Times New Roman" w:eastAsia="宋体" w:cs="Times New Roman"/>
                <w:color w:val="000000"/>
                <w:kern w:val="0"/>
                <w:sz w:val="21"/>
                <w:szCs w:val="21"/>
                <w:lang w:val="en-US" w:eastAsia="zh-CN" w:bidi="ar"/>
              </w:rPr>
              <w:t>（DB14/1929-2019）表4燃油锅炉标准</w:t>
            </w:r>
          </w:p>
        </w:tc>
      </w:tr>
      <w:tr w14:paraId="43E134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60" w:type="dxa"/>
            <w:vMerge w:val="continue"/>
            <w:vAlign w:val="center"/>
          </w:tcPr>
          <w:p w14:paraId="48BBE5D9">
            <w:pPr>
              <w:adjustRightInd w:val="0"/>
              <w:snapToGrid w:val="0"/>
              <w:jc w:val="center"/>
              <w:rPr>
                <w:color w:val="auto"/>
                <w:szCs w:val="21"/>
              </w:rPr>
            </w:pPr>
          </w:p>
        </w:tc>
        <w:tc>
          <w:tcPr>
            <w:tcW w:w="1731" w:type="dxa"/>
            <w:vAlign w:val="center"/>
          </w:tcPr>
          <w:p w14:paraId="13A94461">
            <w:pPr>
              <w:snapToGrid w:val="0"/>
              <w:jc w:val="center"/>
              <w:rPr>
                <w:rFonts w:hint="default"/>
                <w:color w:val="auto"/>
                <w:szCs w:val="21"/>
                <w:lang w:val="en-US" w:eastAsia="zh-CN"/>
              </w:rPr>
            </w:pPr>
            <w:r>
              <w:rPr>
                <w:rFonts w:hint="eastAsia"/>
                <w:color w:val="auto"/>
                <w:szCs w:val="21"/>
                <w:lang w:val="en-US" w:eastAsia="zh-CN"/>
              </w:rPr>
              <w:t>DA003/沥青预处理及搅拌</w:t>
            </w:r>
          </w:p>
        </w:tc>
        <w:tc>
          <w:tcPr>
            <w:tcW w:w="1389" w:type="dxa"/>
            <w:vAlign w:val="center"/>
          </w:tcPr>
          <w:p w14:paraId="2479B14A">
            <w:pPr>
              <w:snapToGrid w:val="0"/>
              <w:jc w:val="center"/>
              <w:rPr>
                <w:rFonts w:hint="default"/>
                <w:color w:val="auto"/>
                <w:szCs w:val="21"/>
                <w:lang w:val="en-US" w:eastAsia="zh-CN"/>
              </w:rPr>
            </w:pPr>
            <w:r>
              <w:rPr>
                <w:rFonts w:hint="eastAsia"/>
                <w:color w:val="auto"/>
                <w:szCs w:val="21"/>
                <w:lang w:val="en-US" w:eastAsia="zh-CN"/>
              </w:rPr>
              <w:t>沥青烟、苯并[a]芘、非甲烷总烃</w:t>
            </w:r>
          </w:p>
        </w:tc>
        <w:tc>
          <w:tcPr>
            <w:tcW w:w="2074" w:type="dxa"/>
            <w:vAlign w:val="center"/>
          </w:tcPr>
          <w:p w14:paraId="02D00FAF">
            <w:pPr>
              <w:snapToGrid w:val="0"/>
              <w:jc w:val="center"/>
              <w:rPr>
                <w:rFonts w:hint="default"/>
                <w:color w:val="auto"/>
                <w:sz w:val="21"/>
                <w:szCs w:val="21"/>
                <w:lang w:val="en-US" w:eastAsia="zh-CN"/>
              </w:rPr>
            </w:pPr>
            <w:r>
              <w:rPr>
                <w:rFonts w:hint="eastAsia"/>
                <w:color w:val="auto"/>
                <w:sz w:val="21"/>
                <w:szCs w:val="21"/>
                <w:lang w:val="en-US" w:eastAsia="zh-CN"/>
              </w:rPr>
              <w:t>将沥青搅拌机组封闭，并在沥青储罐呼吸孔和成品沥青混凝土储存仓出料口处设置集气罩，通过风管将废气通入1套冷凝器+活性炭吸附装置，去除效率90%，经处理后由DA003（H15m，φ0.3m）排放</w:t>
            </w:r>
          </w:p>
        </w:tc>
        <w:tc>
          <w:tcPr>
            <w:tcW w:w="2106" w:type="dxa"/>
            <w:vAlign w:val="center"/>
          </w:tcPr>
          <w:p w14:paraId="6F8C4C9C">
            <w:pPr>
              <w:snapToGrid w:val="0"/>
              <w:jc w:val="center"/>
              <w:rPr>
                <w:rFonts w:hint="eastAsia"/>
                <w:color w:val="auto"/>
                <w:sz w:val="21"/>
                <w:szCs w:val="21"/>
                <w:lang w:val="en-US" w:eastAsia="zh-CN"/>
              </w:rPr>
            </w:pPr>
            <w:r>
              <w:rPr>
                <w:rFonts w:hint="eastAsia" w:ascii="宋体" w:hAnsi="宋体" w:eastAsia="宋体" w:cs="宋体"/>
                <w:color w:val="000000"/>
                <w:kern w:val="0"/>
                <w:sz w:val="21"/>
                <w:szCs w:val="21"/>
                <w:lang w:val="en-US" w:eastAsia="zh-CN" w:bidi="ar"/>
              </w:rPr>
              <w:t>《大气污染物综合排放标准》</w:t>
            </w:r>
            <w:r>
              <w:rPr>
                <w:rFonts w:hint="default" w:ascii="Times New Roman" w:hAnsi="Times New Roman" w:eastAsia="宋体" w:cs="Times New Roman"/>
                <w:color w:val="000000"/>
                <w:kern w:val="0"/>
                <w:sz w:val="21"/>
                <w:szCs w:val="21"/>
                <w:lang w:val="en-US" w:eastAsia="zh-CN" w:bidi="ar"/>
              </w:rPr>
              <w:t>(GB16297-1996)</w:t>
            </w:r>
            <w:r>
              <w:rPr>
                <w:rFonts w:hint="eastAsia" w:ascii="宋体" w:hAnsi="宋体" w:eastAsia="宋体" w:cs="宋体"/>
                <w:color w:val="000000"/>
                <w:kern w:val="0"/>
                <w:sz w:val="21"/>
                <w:szCs w:val="21"/>
                <w:lang w:val="en-US" w:eastAsia="zh-CN" w:bidi="ar"/>
              </w:rPr>
              <w:t xml:space="preserve">表 </w:t>
            </w:r>
            <w:r>
              <w:rPr>
                <w:rFonts w:hint="default" w:ascii="Times New Roman" w:hAnsi="Times New Roman" w:eastAsia="宋体" w:cs="Times New Roman"/>
                <w:color w:val="000000"/>
                <w:kern w:val="0"/>
                <w:sz w:val="21"/>
                <w:szCs w:val="21"/>
                <w:lang w:val="en-US" w:eastAsia="zh-CN" w:bidi="ar"/>
              </w:rPr>
              <w:t xml:space="preserve">2 </w:t>
            </w:r>
            <w:r>
              <w:rPr>
                <w:rFonts w:hint="eastAsia" w:ascii="宋体" w:hAnsi="宋体" w:eastAsia="宋体" w:cs="宋体"/>
                <w:color w:val="000000"/>
                <w:kern w:val="0"/>
                <w:sz w:val="21"/>
                <w:szCs w:val="21"/>
                <w:lang w:val="en-US" w:eastAsia="zh-CN" w:bidi="ar"/>
              </w:rPr>
              <w:t>中的二级标准</w:t>
            </w:r>
          </w:p>
        </w:tc>
      </w:tr>
      <w:tr w14:paraId="7B170E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60" w:type="dxa"/>
            <w:vMerge w:val="continue"/>
            <w:vAlign w:val="center"/>
          </w:tcPr>
          <w:p w14:paraId="18E92BA2">
            <w:pPr>
              <w:adjustRightInd w:val="0"/>
              <w:snapToGrid w:val="0"/>
              <w:jc w:val="center"/>
              <w:rPr>
                <w:color w:val="auto"/>
                <w:szCs w:val="21"/>
              </w:rPr>
            </w:pPr>
          </w:p>
        </w:tc>
        <w:tc>
          <w:tcPr>
            <w:tcW w:w="1731" w:type="dxa"/>
            <w:shd w:val="clear" w:color="auto" w:fill="auto"/>
            <w:vAlign w:val="center"/>
          </w:tcPr>
          <w:p w14:paraId="1A77DEA0">
            <w:pPr>
              <w:snapToGrid w:val="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DA004/混您土搅拌</w:t>
            </w:r>
          </w:p>
        </w:tc>
        <w:tc>
          <w:tcPr>
            <w:tcW w:w="1389" w:type="dxa"/>
            <w:shd w:val="clear" w:color="auto" w:fill="auto"/>
            <w:vAlign w:val="center"/>
          </w:tcPr>
          <w:p w14:paraId="68579EE8">
            <w:pPr>
              <w:snapToGrid w:val="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颗粒物</w:t>
            </w:r>
          </w:p>
        </w:tc>
        <w:tc>
          <w:tcPr>
            <w:tcW w:w="2074" w:type="dxa"/>
            <w:shd w:val="clear" w:color="auto" w:fill="auto"/>
            <w:vAlign w:val="center"/>
          </w:tcPr>
          <w:p w14:paraId="2A045102">
            <w:pPr>
              <w:snapToGrid w:val="0"/>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封闭搅拌机组，将废气引入1套布袋除尘器，除尘效率99%，经处理后由DA004（H15m，φ0.5m）排放</w:t>
            </w:r>
          </w:p>
        </w:tc>
        <w:tc>
          <w:tcPr>
            <w:tcW w:w="2106" w:type="dxa"/>
            <w:vMerge w:val="restart"/>
            <w:vAlign w:val="center"/>
          </w:tcPr>
          <w:p w14:paraId="1F5431EE">
            <w:pPr>
              <w:snapToGrid w:val="0"/>
              <w:jc w:val="center"/>
              <w:rPr>
                <w:rFonts w:hint="eastAsia"/>
                <w:color w:val="auto"/>
                <w:sz w:val="21"/>
                <w:szCs w:val="21"/>
                <w:lang w:val="en-US" w:eastAsia="zh-CN"/>
              </w:rPr>
            </w:pPr>
            <w:r>
              <w:rPr>
                <w:rFonts w:hint="eastAsia"/>
                <w:color w:val="auto"/>
                <w:sz w:val="21"/>
                <w:szCs w:val="21"/>
                <w:lang w:val="en-US" w:eastAsia="zh-CN"/>
              </w:rPr>
              <w:t>《水泥工业大气污染物排放标准》（DB143176-2024）表1</w:t>
            </w:r>
          </w:p>
        </w:tc>
      </w:tr>
      <w:tr w14:paraId="76E3B9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60" w:type="dxa"/>
            <w:vMerge w:val="continue"/>
            <w:vAlign w:val="center"/>
          </w:tcPr>
          <w:p w14:paraId="6C1B3403">
            <w:pPr>
              <w:adjustRightInd w:val="0"/>
              <w:snapToGrid w:val="0"/>
              <w:jc w:val="center"/>
              <w:rPr>
                <w:color w:val="auto"/>
                <w:szCs w:val="21"/>
              </w:rPr>
            </w:pPr>
          </w:p>
        </w:tc>
        <w:tc>
          <w:tcPr>
            <w:tcW w:w="1731" w:type="dxa"/>
            <w:vAlign w:val="center"/>
          </w:tcPr>
          <w:p w14:paraId="10BCC045">
            <w:pPr>
              <w:snapToGrid w:val="0"/>
              <w:jc w:val="center"/>
              <w:rPr>
                <w:rFonts w:hint="default"/>
                <w:color w:val="auto"/>
                <w:szCs w:val="21"/>
                <w:lang w:val="en-US" w:eastAsia="zh-CN"/>
              </w:rPr>
            </w:pPr>
            <w:r>
              <w:rPr>
                <w:rFonts w:hint="eastAsia"/>
                <w:color w:val="auto"/>
                <w:szCs w:val="21"/>
                <w:lang w:val="en-US" w:eastAsia="zh-CN"/>
              </w:rPr>
              <w:t>DA005/水稳土搅拌</w:t>
            </w:r>
          </w:p>
        </w:tc>
        <w:tc>
          <w:tcPr>
            <w:tcW w:w="1389" w:type="dxa"/>
            <w:vAlign w:val="center"/>
          </w:tcPr>
          <w:p w14:paraId="58D5868B">
            <w:pPr>
              <w:snapToGrid w:val="0"/>
              <w:jc w:val="center"/>
              <w:rPr>
                <w:rFonts w:hint="default"/>
                <w:color w:val="auto"/>
                <w:szCs w:val="21"/>
                <w:lang w:val="en-US" w:eastAsia="zh-CN"/>
              </w:rPr>
            </w:pPr>
            <w:r>
              <w:rPr>
                <w:rFonts w:hint="eastAsia"/>
                <w:color w:val="auto"/>
                <w:szCs w:val="21"/>
                <w:lang w:val="en-US" w:eastAsia="zh-CN"/>
              </w:rPr>
              <w:t>颗粒物</w:t>
            </w:r>
          </w:p>
        </w:tc>
        <w:tc>
          <w:tcPr>
            <w:tcW w:w="2074" w:type="dxa"/>
            <w:vAlign w:val="center"/>
          </w:tcPr>
          <w:p w14:paraId="0B38CC67">
            <w:pPr>
              <w:snapToGrid w:val="0"/>
              <w:jc w:val="center"/>
              <w:rPr>
                <w:rFonts w:hint="default"/>
                <w:color w:val="auto"/>
                <w:sz w:val="21"/>
                <w:szCs w:val="21"/>
                <w:lang w:val="en-US" w:eastAsia="zh-CN"/>
              </w:rPr>
            </w:pPr>
            <w:r>
              <w:rPr>
                <w:rFonts w:hint="eastAsia"/>
                <w:color w:val="auto"/>
                <w:sz w:val="21"/>
                <w:szCs w:val="21"/>
                <w:lang w:val="en-US" w:eastAsia="zh-CN"/>
              </w:rPr>
              <w:t>封闭搅拌机组，将废气引入1套布袋除尘器，除尘效率99%，经处理后由DA005（H15m，φ0.5m）排放</w:t>
            </w:r>
          </w:p>
        </w:tc>
        <w:tc>
          <w:tcPr>
            <w:tcW w:w="2106" w:type="dxa"/>
            <w:vMerge w:val="continue"/>
            <w:vAlign w:val="center"/>
          </w:tcPr>
          <w:p w14:paraId="127E343D">
            <w:pPr>
              <w:snapToGrid w:val="0"/>
              <w:jc w:val="center"/>
              <w:rPr>
                <w:rFonts w:hint="eastAsia"/>
                <w:color w:val="auto"/>
                <w:sz w:val="21"/>
                <w:szCs w:val="21"/>
                <w:lang w:val="en-US" w:eastAsia="zh-CN"/>
              </w:rPr>
            </w:pPr>
          </w:p>
        </w:tc>
      </w:tr>
      <w:tr w14:paraId="7B8183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60" w:type="dxa"/>
            <w:vMerge w:val="continue"/>
            <w:vAlign w:val="center"/>
          </w:tcPr>
          <w:p w14:paraId="38976875">
            <w:pPr>
              <w:adjustRightInd w:val="0"/>
              <w:snapToGrid w:val="0"/>
              <w:jc w:val="center"/>
              <w:rPr>
                <w:color w:val="auto"/>
                <w:szCs w:val="21"/>
              </w:rPr>
            </w:pPr>
          </w:p>
        </w:tc>
        <w:tc>
          <w:tcPr>
            <w:tcW w:w="1731" w:type="dxa"/>
            <w:vAlign w:val="center"/>
          </w:tcPr>
          <w:p w14:paraId="01F17952">
            <w:pPr>
              <w:snapToGrid w:val="0"/>
              <w:jc w:val="center"/>
              <w:rPr>
                <w:rFonts w:hint="default"/>
                <w:color w:val="auto"/>
                <w:szCs w:val="21"/>
                <w:lang w:val="en-US" w:eastAsia="zh-CN"/>
              </w:rPr>
            </w:pPr>
            <w:r>
              <w:rPr>
                <w:rFonts w:hint="eastAsia"/>
                <w:color w:val="auto"/>
                <w:szCs w:val="21"/>
                <w:lang w:val="en-US" w:eastAsia="zh-CN"/>
              </w:rPr>
              <w:t>DA006、DA007、DA008、DA009、DA010/粉料储存（筒仓）</w:t>
            </w:r>
          </w:p>
        </w:tc>
        <w:tc>
          <w:tcPr>
            <w:tcW w:w="1389" w:type="dxa"/>
            <w:vAlign w:val="center"/>
          </w:tcPr>
          <w:p w14:paraId="0E4F04B3">
            <w:pPr>
              <w:snapToGrid w:val="0"/>
              <w:jc w:val="center"/>
              <w:rPr>
                <w:rFonts w:hint="default"/>
                <w:color w:val="auto"/>
                <w:szCs w:val="21"/>
                <w:lang w:val="en-US" w:eastAsia="zh-CN"/>
              </w:rPr>
            </w:pPr>
            <w:r>
              <w:rPr>
                <w:rFonts w:hint="eastAsia"/>
                <w:color w:val="auto"/>
                <w:szCs w:val="21"/>
                <w:lang w:val="en-US" w:eastAsia="zh-CN"/>
              </w:rPr>
              <w:t>颗粒物</w:t>
            </w:r>
          </w:p>
        </w:tc>
        <w:tc>
          <w:tcPr>
            <w:tcW w:w="2074" w:type="dxa"/>
            <w:vAlign w:val="center"/>
          </w:tcPr>
          <w:p w14:paraId="03A0EB4C">
            <w:pPr>
              <w:snapToGrid w:val="0"/>
              <w:jc w:val="center"/>
              <w:rPr>
                <w:rFonts w:hint="default"/>
                <w:color w:val="auto"/>
                <w:sz w:val="21"/>
                <w:szCs w:val="21"/>
                <w:lang w:val="en-US" w:eastAsia="zh-CN"/>
              </w:rPr>
            </w:pPr>
            <w:r>
              <w:rPr>
                <w:rFonts w:hint="eastAsia"/>
                <w:color w:val="auto"/>
                <w:sz w:val="21"/>
                <w:szCs w:val="21"/>
                <w:lang w:val="en-US" w:eastAsia="zh-CN"/>
              </w:rPr>
              <w:t>设置仓顶除尘器，除尘效率99.7-99.8%，经处理后由排气筒排放</w:t>
            </w:r>
          </w:p>
        </w:tc>
        <w:tc>
          <w:tcPr>
            <w:tcW w:w="2106" w:type="dxa"/>
            <w:vMerge w:val="continue"/>
            <w:vAlign w:val="center"/>
          </w:tcPr>
          <w:p w14:paraId="02A1DAB9">
            <w:pPr>
              <w:snapToGrid w:val="0"/>
              <w:jc w:val="center"/>
              <w:rPr>
                <w:rFonts w:hint="eastAsia"/>
                <w:color w:val="auto"/>
                <w:sz w:val="21"/>
                <w:szCs w:val="21"/>
                <w:lang w:val="en-US" w:eastAsia="zh-CN"/>
              </w:rPr>
            </w:pPr>
          </w:p>
        </w:tc>
      </w:tr>
      <w:tr w14:paraId="2D1FCF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60" w:type="dxa"/>
            <w:vMerge w:val="continue"/>
            <w:vAlign w:val="center"/>
          </w:tcPr>
          <w:p w14:paraId="304B4FAE">
            <w:pPr>
              <w:adjustRightInd w:val="0"/>
              <w:snapToGrid w:val="0"/>
              <w:jc w:val="center"/>
              <w:rPr>
                <w:color w:val="auto"/>
                <w:szCs w:val="21"/>
              </w:rPr>
            </w:pPr>
          </w:p>
        </w:tc>
        <w:tc>
          <w:tcPr>
            <w:tcW w:w="1731" w:type="dxa"/>
            <w:vAlign w:val="center"/>
          </w:tcPr>
          <w:p w14:paraId="5300D12A">
            <w:pPr>
              <w:snapToGrid w:val="0"/>
              <w:jc w:val="center"/>
              <w:rPr>
                <w:rFonts w:hint="default"/>
                <w:color w:val="auto"/>
                <w:szCs w:val="21"/>
                <w:lang w:val="en-US" w:eastAsia="zh-CN"/>
              </w:rPr>
            </w:pPr>
            <w:r>
              <w:rPr>
                <w:rFonts w:hint="eastAsia"/>
                <w:color w:val="auto"/>
                <w:szCs w:val="21"/>
                <w:lang w:val="en-US" w:eastAsia="zh-CN"/>
              </w:rPr>
              <w:t>上料输送</w:t>
            </w:r>
          </w:p>
        </w:tc>
        <w:tc>
          <w:tcPr>
            <w:tcW w:w="1389" w:type="dxa"/>
            <w:vAlign w:val="center"/>
          </w:tcPr>
          <w:p w14:paraId="437A5487">
            <w:pPr>
              <w:snapToGrid w:val="0"/>
              <w:jc w:val="center"/>
              <w:rPr>
                <w:rFonts w:hint="default" w:eastAsia="宋体"/>
                <w:color w:val="auto"/>
                <w:szCs w:val="21"/>
                <w:lang w:val="en-US" w:eastAsia="zh-CN"/>
              </w:rPr>
            </w:pPr>
            <w:r>
              <w:rPr>
                <w:rFonts w:hint="eastAsia"/>
                <w:color w:val="auto"/>
                <w:szCs w:val="21"/>
                <w:lang w:val="en-US" w:eastAsia="zh-CN"/>
              </w:rPr>
              <w:t>颗粒物</w:t>
            </w:r>
          </w:p>
        </w:tc>
        <w:tc>
          <w:tcPr>
            <w:tcW w:w="2074" w:type="dxa"/>
            <w:vAlign w:val="center"/>
          </w:tcPr>
          <w:p w14:paraId="074F5457">
            <w:pPr>
              <w:snapToGrid w:val="0"/>
              <w:jc w:val="center"/>
              <w:rPr>
                <w:rFonts w:hint="eastAsia"/>
                <w:color w:val="auto"/>
                <w:szCs w:val="21"/>
                <w:lang w:val="en-US" w:eastAsia="zh-CN"/>
              </w:rPr>
            </w:pPr>
            <w:r>
              <w:rPr>
                <w:rFonts w:hint="eastAsia"/>
                <w:color w:val="auto"/>
                <w:szCs w:val="21"/>
                <w:lang w:val="en-US" w:eastAsia="zh-CN"/>
              </w:rPr>
              <w:t>封闭输送皮带以及上料设施等</w:t>
            </w:r>
          </w:p>
        </w:tc>
        <w:tc>
          <w:tcPr>
            <w:tcW w:w="2106" w:type="dxa"/>
            <w:vMerge w:val="restart"/>
            <w:vAlign w:val="center"/>
          </w:tcPr>
          <w:p w14:paraId="05631226">
            <w:pPr>
              <w:snapToGrid w:val="0"/>
              <w:jc w:val="center"/>
              <w:rPr>
                <w:rFonts w:hint="eastAsia"/>
                <w:color w:val="auto"/>
                <w:sz w:val="21"/>
                <w:szCs w:val="21"/>
                <w:lang w:val="en-US" w:eastAsia="zh-CN"/>
              </w:rPr>
            </w:pPr>
            <w:r>
              <w:rPr>
                <w:rFonts w:hint="eastAsia" w:ascii="宋体" w:hAnsi="宋体" w:eastAsia="宋体" w:cs="宋体"/>
                <w:color w:val="000000"/>
                <w:kern w:val="0"/>
                <w:sz w:val="21"/>
                <w:szCs w:val="21"/>
                <w:lang w:val="en-US" w:eastAsia="zh-CN" w:bidi="ar"/>
              </w:rPr>
              <w:t>《大气污染物综合排放标准》</w:t>
            </w:r>
            <w:r>
              <w:rPr>
                <w:rFonts w:hint="default" w:ascii="Times New Roman" w:hAnsi="Times New Roman" w:eastAsia="宋体" w:cs="Times New Roman"/>
                <w:color w:val="000000"/>
                <w:kern w:val="0"/>
                <w:sz w:val="21"/>
                <w:szCs w:val="21"/>
                <w:lang w:val="en-US" w:eastAsia="zh-CN" w:bidi="ar"/>
              </w:rPr>
              <w:t>(GB16297-1996)</w:t>
            </w:r>
            <w:r>
              <w:rPr>
                <w:rFonts w:hint="eastAsia" w:ascii="宋体" w:hAnsi="宋体" w:eastAsia="宋体" w:cs="宋体"/>
                <w:color w:val="000000"/>
                <w:kern w:val="0"/>
                <w:sz w:val="21"/>
                <w:szCs w:val="21"/>
                <w:lang w:val="en-US" w:eastAsia="zh-CN" w:bidi="ar"/>
              </w:rPr>
              <w:t xml:space="preserve">表 </w:t>
            </w:r>
            <w:r>
              <w:rPr>
                <w:rFonts w:hint="default" w:ascii="Times New Roman" w:hAnsi="Times New Roman" w:eastAsia="宋体" w:cs="Times New Roman"/>
                <w:color w:val="000000"/>
                <w:kern w:val="0"/>
                <w:sz w:val="21"/>
                <w:szCs w:val="21"/>
                <w:lang w:val="en-US" w:eastAsia="zh-CN" w:bidi="ar"/>
              </w:rPr>
              <w:t xml:space="preserve">2 </w:t>
            </w:r>
            <w:r>
              <w:rPr>
                <w:rFonts w:hint="eastAsia" w:ascii="宋体" w:hAnsi="宋体" w:eastAsia="宋体" w:cs="宋体"/>
                <w:color w:val="000000"/>
                <w:kern w:val="0"/>
                <w:sz w:val="21"/>
                <w:szCs w:val="21"/>
                <w:lang w:val="en-US" w:eastAsia="zh-CN" w:bidi="ar"/>
              </w:rPr>
              <w:t>中的二级标准、</w:t>
            </w:r>
            <w:r>
              <w:rPr>
                <w:rFonts w:hint="eastAsia"/>
                <w:color w:val="auto"/>
                <w:sz w:val="21"/>
                <w:szCs w:val="21"/>
                <w:lang w:val="en-US" w:eastAsia="zh-CN"/>
              </w:rPr>
              <w:t>《水泥工业大气污染物排放标准》（DB143176-2024）表4</w:t>
            </w:r>
          </w:p>
        </w:tc>
      </w:tr>
      <w:tr w14:paraId="126413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60" w:type="dxa"/>
            <w:vMerge w:val="continue"/>
            <w:vAlign w:val="center"/>
          </w:tcPr>
          <w:p w14:paraId="3F0342FF">
            <w:pPr>
              <w:adjustRightInd w:val="0"/>
              <w:snapToGrid w:val="0"/>
              <w:jc w:val="center"/>
              <w:rPr>
                <w:color w:val="auto"/>
                <w:szCs w:val="21"/>
              </w:rPr>
            </w:pPr>
          </w:p>
        </w:tc>
        <w:tc>
          <w:tcPr>
            <w:tcW w:w="1731" w:type="dxa"/>
            <w:vAlign w:val="center"/>
          </w:tcPr>
          <w:p w14:paraId="0359962D">
            <w:pPr>
              <w:snapToGrid w:val="0"/>
              <w:jc w:val="center"/>
              <w:rPr>
                <w:rFonts w:hint="eastAsia"/>
                <w:color w:val="auto"/>
                <w:szCs w:val="21"/>
                <w:lang w:val="en-US" w:eastAsia="zh-CN"/>
              </w:rPr>
            </w:pPr>
            <w:r>
              <w:rPr>
                <w:rFonts w:hint="eastAsia"/>
                <w:color w:val="auto"/>
                <w:szCs w:val="21"/>
                <w:lang w:val="en-US" w:eastAsia="zh-CN"/>
              </w:rPr>
              <w:t>汽车运输</w:t>
            </w:r>
          </w:p>
        </w:tc>
        <w:tc>
          <w:tcPr>
            <w:tcW w:w="1389" w:type="dxa"/>
            <w:vAlign w:val="center"/>
          </w:tcPr>
          <w:p w14:paraId="70ACC2AB">
            <w:pPr>
              <w:snapToGrid w:val="0"/>
              <w:jc w:val="center"/>
              <w:rPr>
                <w:rFonts w:hint="eastAsia"/>
                <w:color w:val="auto"/>
                <w:szCs w:val="21"/>
                <w:lang w:val="en-US" w:eastAsia="zh-CN"/>
              </w:rPr>
            </w:pPr>
            <w:r>
              <w:rPr>
                <w:rFonts w:hint="eastAsia"/>
                <w:color w:val="auto"/>
                <w:szCs w:val="21"/>
                <w:lang w:val="en-US" w:eastAsia="zh-CN"/>
              </w:rPr>
              <w:t>颗粒物</w:t>
            </w:r>
          </w:p>
        </w:tc>
        <w:tc>
          <w:tcPr>
            <w:tcW w:w="2074" w:type="dxa"/>
            <w:vAlign w:val="center"/>
          </w:tcPr>
          <w:p w14:paraId="6298FE90">
            <w:pPr>
              <w:snapToGrid w:val="0"/>
              <w:jc w:val="center"/>
              <w:rPr>
                <w:rFonts w:hint="default"/>
                <w:color w:val="auto"/>
                <w:szCs w:val="21"/>
                <w:lang w:val="en-US" w:eastAsia="zh-CN"/>
              </w:rPr>
            </w:pPr>
            <w:r>
              <w:rPr>
                <w:rFonts w:hint="eastAsia"/>
                <w:color w:val="auto"/>
                <w:szCs w:val="21"/>
                <w:lang w:val="en-US" w:eastAsia="zh-CN"/>
              </w:rPr>
              <w:t>硬化场地及道路、洒水降尘、绿化</w:t>
            </w:r>
          </w:p>
        </w:tc>
        <w:tc>
          <w:tcPr>
            <w:tcW w:w="2106" w:type="dxa"/>
            <w:vMerge w:val="continue"/>
            <w:vAlign w:val="center"/>
          </w:tcPr>
          <w:p w14:paraId="2AE39491">
            <w:pPr>
              <w:snapToGrid w:val="0"/>
              <w:jc w:val="center"/>
              <w:rPr>
                <w:rFonts w:hint="eastAsia"/>
                <w:color w:val="auto"/>
                <w:szCs w:val="21"/>
                <w:lang w:val="en-US" w:eastAsia="zh-CN"/>
              </w:rPr>
            </w:pPr>
          </w:p>
        </w:tc>
      </w:tr>
      <w:tr w14:paraId="095ED2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60" w:type="dxa"/>
            <w:vMerge w:val="continue"/>
            <w:vAlign w:val="center"/>
          </w:tcPr>
          <w:p w14:paraId="0A0E0DE2">
            <w:pPr>
              <w:adjustRightInd w:val="0"/>
              <w:snapToGrid w:val="0"/>
              <w:jc w:val="center"/>
              <w:rPr>
                <w:color w:val="auto"/>
                <w:szCs w:val="21"/>
              </w:rPr>
            </w:pPr>
          </w:p>
        </w:tc>
        <w:tc>
          <w:tcPr>
            <w:tcW w:w="1731" w:type="dxa"/>
            <w:vAlign w:val="center"/>
          </w:tcPr>
          <w:p w14:paraId="76FF9457">
            <w:pPr>
              <w:snapToGrid w:val="0"/>
              <w:jc w:val="center"/>
              <w:rPr>
                <w:rFonts w:hint="default" w:eastAsia="宋体"/>
                <w:color w:val="auto"/>
                <w:szCs w:val="21"/>
                <w:lang w:val="en-US" w:eastAsia="zh-CN"/>
              </w:rPr>
            </w:pPr>
            <w:r>
              <w:rPr>
                <w:rFonts w:hint="eastAsia"/>
                <w:color w:val="auto"/>
                <w:szCs w:val="21"/>
                <w:lang w:val="en-US" w:eastAsia="zh-CN"/>
              </w:rPr>
              <w:t>原料堆存装卸</w:t>
            </w:r>
          </w:p>
        </w:tc>
        <w:tc>
          <w:tcPr>
            <w:tcW w:w="1389" w:type="dxa"/>
            <w:vAlign w:val="center"/>
          </w:tcPr>
          <w:p w14:paraId="0A569F76">
            <w:pPr>
              <w:snapToGrid w:val="0"/>
              <w:jc w:val="center"/>
              <w:rPr>
                <w:rFonts w:hint="default" w:eastAsia="宋体"/>
                <w:color w:val="auto"/>
                <w:szCs w:val="21"/>
                <w:lang w:val="en-US" w:eastAsia="zh-CN"/>
              </w:rPr>
            </w:pPr>
            <w:r>
              <w:rPr>
                <w:rFonts w:hint="eastAsia"/>
                <w:color w:val="auto"/>
                <w:szCs w:val="21"/>
                <w:lang w:val="en-US" w:eastAsia="zh-CN"/>
              </w:rPr>
              <w:t>颗粒物</w:t>
            </w:r>
          </w:p>
        </w:tc>
        <w:tc>
          <w:tcPr>
            <w:tcW w:w="2074" w:type="dxa"/>
            <w:vAlign w:val="center"/>
          </w:tcPr>
          <w:p w14:paraId="0B1F4AED">
            <w:pPr>
              <w:snapToGrid w:val="0"/>
              <w:jc w:val="center"/>
              <w:rPr>
                <w:rFonts w:hint="default"/>
                <w:color w:val="auto"/>
                <w:szCs w:val="21"/>
                <w:lang w:val="en-US" w:eastAsia="zh-CN"/>
              </w:rPr>
            </w:pPr>
            <w:r>
              <w:rPr>
                <w:rFonts w:hint="eastAsia"/>
                <w:color w:val="auto"/>
                <w:szCs w:val="21"/>
                <w:lang w:val="en-US" w:eastAsia="zh-CN"/>
              </w:rPr>
              <w:t>建设1座封闭式储料库，总占地面积5000m</w:t>
            </w:r>
            <w:r>
              <w:rPr>
                <w:rFonts w:hint="eastAsia"/>
                <w:color w:val="auto"/>
                <w:szCs w:val="21"/>
                <w:vertAlign w:val="superscript"/>
                <w:lang w:val="en-US" w:eastAsia="zh-CN"/>
              </w:rPr>
              <w:t>2</w:t>
            </w:r>
            <w:r>
              <w:rPr>
                <w:rFonts w:hint="eastAsia"/>
                <w:color w:val="auto"/>
                <w:szCs w:val="21"/>
                <w:lang w:val="en-US" w:eastAsia="zh-CN"/>
              </w:rPr>
              <w:t>，硬化地面，设置固定装卸点，定期洒水降尘</w:t>
            </w:r>
          </w:p>
        </w:tc>
        <w:tc>
          <w:tcPr>
            <w:tcW w:w="2106" w:type="dxa"/>
            <w:vMerge w:val="continue"/>
            <w:vAlign w:val="center"/>
          </w:tcPr>
          <w:p w14:paraId="6EC8761E">
            <w:pPr>
              <w:snapToGrid w:val="0"/>
              <w:jc w:val="center"/>
              <w:rPr>
                <w:rFonts w:hint="default"/>
                <w:color w:val="auto"/>
                <w:szCs w:val="21"/>
                <w:lang w:val="en-US" w:eastAsia="zh-CN"/>
              </w:rPr>
            </w:pPr>
          </w:p>
        </w:tc>
      </w:tr>
      <w:tr w14:paraId="314FC8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21" w:hRule="atLeast"/>
          <w:jc w:val="center"/>
        </w:trPr>
        <w:tc>
          <w:tcPr>
            <w:tcW w:w="1760" w:type="dxa"/>
            <w:vMerge w:val="restart"/>
            <w:vAlign w:val="center"/>
          </w:tcPr>
          <w:p w14:paraId="5D47C07E">
            <w:pPr>
              <w:adjustRightInd w:val="0"/>
              <w:snapToGrid w:val="0"/>
              <w:jc w:val="center"/>
              <w:rPr>
                <w:color w:val="auto"/>
                <w:szCs w:val="21"/>
              </w:rPr>
            </w:pPr>
            <w:r>
              <w:rPr>
                <w:color w:val="auto"/>
                <w:szCs w:val="21"/>
              </w:rPr>
              <w:t>地表水环境</w:t>
            </w:r>
          </w:p>
        </w:tc>
        <w:tc>
          <w:tcPr>
            <w:tcW w:w="1731" w:type="dxa"/>
            <w:vAlign w:val="center"/>
          </w:tcPr>
          <w:p w14:paraId="27ACCCD0">
            <w:pPr>
              <w:jc w:val="center"/>
              <w:rPr>
                <w:rFonts w:hint="default" w:eastAsia="宋体"/>
                <w:color w:val="auto"/>
                <w:szCs w:val="21"/>
                <w:lang w:val="en-US" w:eastAsia="zh-CN"/>
              </w:rPr>
            </w:pPr>
            <w:r>
              <w:rPr>
                <w:rFonts w:hint="eastAsia"/>
                <w:color w:val="auto"/>
                <w:szCs w:val="21"/>
                <w:lang w:val="en-US" w:eastAsia="zh-CN"/>
              </w:rPr>
              <w:t>办公生活</w:t>
            </w:r>
          </w:p>
        </w:tc>
        <w:tc>
          <w:tcPr>
            <w:tcW w:w="1389" w:type="dxa"/>
            <w:vAlign w:val="center"/>
          </w:tcPr>
          <w:p w14:paraId="30F2246D">
            <w:pPr>
              <w:snapToGrid w:val="0"/>
              <w:jc w:val="center"/>
              <w:rPr>
                <w:rFonts w:hint="default"/>
                <w:color w:val="auto"/>
                <w:szCs w:val="21"/>
                <w:lang w:val="en-US" w:eastAsia="zh-CN"/>
              </w:rPr>
            </w:pPr>
            <w:r>
              <w:rPr>
                <w:rFonts w:hint="default"/>
                <w:color w:val="auto"/>
                <w:szCs w:val="21"/>
                <w:lang w:val="en-US" w:eastAsia="zh-CN"/>
              </w:rPr>
              <w:t>COD</w:t>
            </w:r>
            <w:r>
              <w:rPr>
                <w:rFonts w:hint="eastAsia"/>
                <w:color w:val="auto"/>
                <w:szCs w:val="21"/>
                <w:lang w:val="en-US" w:eastAsia="zh-CN"/>
              </w:rPr>
              <w:t>、</w:t>
            </w:r>
            <w:r>
              <w:rPr>
                <w:rFonts w:hint="default"/>
                <w:color w:val="auto"/>
                <w:szCs w:val="21"/>
                <w:lang w:val="en-US" w:eastAsia="zh-CN"/>
              </w:rPr>
              <w:t>SS</w:t>
            </w:r>
            <w:r>
              <w:rPr>
                <w:rFonts w:hint="eastAsia"/>
                <w:color w:val="auto"/>
                <w:szCs w:val="21"/>
                <w:lang w:val="en-US" w:eastAsia="zh-CN"/>
              </w:rPr>
              <w:t>、氨氮、BOD</w:t>
            </w:r>
            <w:r>
              <w:rPr>
                <w:rFonts w:hint="eastAsia"/>
                <w:color w:val="auto"/>
                <w:szCs w:val="21"/>
                <w:vertAlign w:val="subscript"/>
                <w:lang w:val="en-US" w:eastAsia="zh-CN"/>
              </w:rPr>
              <w:t>5</w:t>
            </w:r>
          </w:p>
        </w:tc>
        <w:tc>
          <w:tcPr>
            <w:tcW w:w="2074" w:type="dxa"/>
            <w:vAlign w:val="center"/>
          </w:tcPr>
          <w:p w14:paraId="7BD95575">
            <w:pPr>
              <w:snapToGrid w:val="0"/>
              <w:jc w:val="center"/>
              <w:rPr>
                <w:rFonts w:hint="default"/>
                <w:color w:val="auto"/>
                <w:szCs w:val="21"/>
                <w:lang w:val="en-US" w:eastAsia="zh-CN"/>
              </w:rPr>
            </w:pPr>
            <w:r>
              <w:rPr>
                <w:rFonts w:hint="eastAsia"/>
                <w:color w:val="auto"/>
                <w:szCs w:val="21"/>
                <w:lang w:val="en-US" w:eastAsia="zh-CN"/>
              </w:rPr>
              <w:t>生活污水经化粪池（20m</w:t>
            </w:r>
            <w:r>
              <w:rPr>
                <w:rFonts w:hint="eastAsia"/>
                <w:color w:val="auto"/>
                <w:szCs w:val="21"/>
                <w:vertAlign w:val="superscript"/>
                <w:lang w:val="en-US" w:eastAsia="zh-CN"/>
              </w:rPr>
              <w:t>3</w:t>
            </w:r>
            <w:r>
              <w:rPr>
                <w:rFonts w:hint="eastAsia"/>
                <w:color w:val="auto"/>
                <w:szCs w:val="21"/>
                <w:lang w:val="en-US" w:eastAsia="zh-CN"/>
              </w:rPr>
              <w:t>）沉淀后，定期清掏由附近村民拉走施肥</w:t>
            </w:r>
          </w:p>
        </w:tc>
        <w:tc>
          <w:tcPr>
            <w:tcW w:w="2106" w:type="dxa"/>
            <w:vAlign w:val="center"/>
          </w:tcPr>
          <w:p w14:paraId="415F442D">
            <w:pPr>
              <w:snapToGrid w:val="0"/>
              <w:jc w:val="center"/>
              <w:rPr>
                <w:rFonts w:hint="default"/>
                <w:color w:val="auto"/>
                <w:szCs w:val="21"/>
                <w:lang w:val="en-US" w:eastAsia="zh-CN"/>
              </w:rPr>
            </w:pPr>
            <w:r>
              <w:rPr>
                <w:rFonts w:hint="eastAsia"/>
                <w:color w:val="auto"/>
                <w:szCs w:val="21"/>
                <w:lang w:val="en-US" w:eastAsia="zh-CN"/>
              </w:rPr>
              <w:t>不外排</w:t>
            </w:r>
          </w:p>
        </w:tc>
      </w:tr>
      <w:tr w14:paraId="03681D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1760" w:type="dxa"/>
            <w:vMerge w:val="continue"/>
            <w:vAlign w:val="center"/>
          </w:tcPr>
          <w:p w14:paraId="39618F99">
            <w:pPr>
              <w:adjustRightInd w:val="0"/>
              <w:snapToGrid w:val="0"/>
              <w:jc w:val="center"/>
              <w:rPr>
                <w:color w:val="auto"/>
                <w:szCs w:val="21"/>
              </w:rPr>
            </w:pPr>
          </w:p>
        </w:tc>
        <w:tc>
          <w:tcPr>
            <w:tcW w:w="1731" w:type="dxa"/>
            <w:shd w:val="clear" w:color="auto" w:fill="auto"/>
            <w:vAlign w:val="center"/>
          </w:tcPr>
          <w:p w14:paraId="2B5BE786">
            <w:pPr>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生产废水</w:t>
            </w:r>
          </w:p>
        </w:tc>
        <w:tc>
          <w:tcPr>
            <w:tcW w:w="1389" w:type="dxa"/>
            <w:shd w:val="clear" w:color="auto" w:fill="auto"/>
            <w:vAlign w:val="center"/>
          </w:tcPr>
          <w:p w14:paraId="44BF0370">
            <w:pPr>
              <w:snapToGrid w:val="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SS</w:t>
            </w:r>
          </w:p>
        </w:tc>
        <w:tc>
          <w:tcPr>
            <w:tcW w:w="2074" w:type="dxa"/>
            <w:vMerge w:val="restart"/>
            <w:vAlign w:val="center"/>
          </w:tcPr>
          <w:p w14:paraId="1DD66FF9">
            <w:pPr>
              <w:snapToGrid w:val="0"/>
              <w:jc w:val="center"/>
              <w:rPr>
                <w:rFonts w:hint="default"/>
                <w:color w:val="auto"/>
                <w:szCs w:val="21"/>
                <w:lang w:val="en-US" w:eastAsia="zh-CN"/>
              </w:rPr>
            </w:pPr>
            <w:r>
              <w:rPr>
                <w:rFonts w:hint="eastAsia"/>
                <w:color w:val="auto"/>
                <w:szCs w:val="21"/>
                <w:lang w:val="en-US" w:eastAsia="zh-CN"/>
              </w:rPr>
              <w:t>经收集后汇入1座沉淀池（40m</w:t>
            </w:r>
            <w:r>
              <w:rPr>
                <w:rFonts w:hint="eastAsia"/>
                <w:color w:val="auto"/>
                <w:szCs w:val="21"/>
                <w:vertAlign w:val="superscript"/>
                <w:lang w:val="en-US" w:eastAsia="zh-CN"/>
              </w:rPr>
              <w:t>3</w:t>
            </w:r>
            <w:r>
              <w:rPr>
                <w:rFonts w:hint="eastAsia"/>
                <w:color w:val="auto"/>
                <w:szCs w:val="21"/>
                <w:lang w:val="en-US" w:eastAsia="zh-CN"/>
              </w:rPr>
              <w:t>）内沉淀，初期雨水经雨水池（100m</w:t>
            </w:r>
            <w:r>
              <w:rPr>
                <w:rFonts w:hint="eastAsia"/>
                <w:color w:val="auto"/>
                <w:szCs w:val="21"/>
                <w:vertAlign w:val="superscript"/>
                <w:lang w:val="en-US" w:eastAsia="zh-CN"/>
              </w:rPr>
              <w:t>3</w:t>
            </w:r>
            <w:r>
              <w:rPr>
                <w:rFonts w:hint="eastAsia"/>
                <w:color w:val="auto"/>
                <w:szCs w:val="21"/>
                <w:lang w:val="en-US" w:eastAsia="zh-CN"/>
              </w:rPr>
              <w:t>）沉淀，经沉淀后的废水回用于混凝土、水稳土生产线</w:t>
            </w:r>
          </w:p>
        </w:tc>
        <w:tc>
          <w:tcPr>
            <w:tcW w:w="2106" w:type="dxa"/>
            <w:vMerge w:val="restart"/>
            <w:vAlign w:val="center"/>
          </w:tcPr>
          <w:p w14:paraId="5E4139C7">
            <w:pPr>
              <w:snapToGrid w:val="0"/>
              <w:jc w:val="center"/>
              <w:rPr>
                <w:rFonts w:hint="default"/>
                <w:color w:val="auto"/>
                <w:szCs w:val="21"/>
                <w:lang w:val="en-US" w:eastAsia="zh-CN"/>
              </w:rPr>
            </w:pPr>
            <w:r>
              <w:rPr>
                <w:rFonts w:hint="eastAsia"/>
                <w:color w:val="auto"/>
                <w:szCs w:val="21"/>
                <w:lang w:val="en-US" w:eastAsia="zh-CN"/>
              </w:rPr>
              <w:t>不外排</w:t>
            </w:r>
          </w:p>
        </w:tc>
      </w:tr>
      <w:tr w14:paraId="03F310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1760" w:type="dxa"/>
            <w:vMerge w:val="continue"/>
            <w:vAlign w:val="center"/>
          </w:tcPr>
          <w:p w14:paraId="51E021C9">
            <w:pPr>
              <w:adjustRightInd w:val="0"/>
              <w:snapToGrid w:val="0"/>
              <w:jc w:val="center"/>
              <w:rPr>
                <w:color w:val="auto"/>
                <w:szCs w:val="21"/>
              </w:rPr>
            </w:pPr>
          </w:p>
        </w:tc>
        <w:tc>
          <w:tcPr>
            <w:tcW w:w="1731" w:type="dxa"/>
            <w:vAlign w:val="center"/>
          </w:tcPr>
          <w:p w14:paraId="2540331C">
            <w:pPr>
              <w:jc w:val="center"/>
              <w:rPr>
                <w:rFonts w:hint="default"/>
                <w:color w:val="auto"/>
                <w:szCs w:val="21"/>
                <w:lang w:val="en-US" w:eastAsia="zh-CN"/>
              </w:rPr>
            </w:pPr>
            <w:r>
              <w:rPr>
                <w:rFonts w:hint="eastAsia"/>
                <w:color w:val="auto"/>
                <w:szCs w:val="21"/>
                <w:lang w:val="en-US" w:eastAsia="zh-CN"/>
              </w:rPr>
              <w:t>洗车废水</w:t>
            </w:r>
          </w:p>
        </w:tc>
        <w:tc>
          <w:tcPr>
            <w:tcW w:w="1389" w:type="dxa"/>
            <w:vAlign w:val="center"/>
          </w:tcPr>
          <w:p w14:paraId="6D645ADA">
            <w:pPr>
              <w:snapToGrid w:val="0"/>
              <w:jc w:val="center"/>
              <w:rPr>
                <w:rFonts w:hint="default"/>
                <w:color w:val="auto"/>
                <w:szCs w:val="21"/>
                <w:lang w:val="en-US" w:eastAsia="zh-CN"/>
              </w:rPr>
            </w:pPr>
            <w:r>
              <w:rPr>
                <w:rFonts w:hint="eastAsia"/>
                <w:color w:val="auto"/>
                <w:szCs w:val="21"/>
                <w:lang w:val="en-US" w:eastAsia="zh-CN"/>
              </w:rPr>
              <w:t>SS</w:t>
            </w:r>
          </w:p>
        </w:tc>
        <w:tc>
          <w:tcPr>
            <w:tcW w:w="2074" w:type="dxa"/>
            <w:vMerge w:val="continue"/>
            <w:vAlign w:val="center"/>
          </w:tcPr>
          <w:p w14:paraId="484908FF">
            <w:pPr>
              <w:snapToGrid w:val="0"/>
              <w:jc w:val="center"/>
              <w:rPr>
                <w:rFonts w:hint="eastAsia"/>
                <w:color w:val="auto"/>
                <w:szCs w:val="21"/>
                <w:lang w:val="en-US" w:eastAsia="zh-CN"/>
              </w:rPr>
            </w:pPr>
          </w:p>
        </w:tc>
        <w:tc>
          <w:tcPr>
            <w:tcW w:w="2106" w:type="dxa"/>
            <w:vMerge w:val="continue"/>
            <w:vAlign w:val="center"/>
          </w:tcPr>
          <w:p w14:paraId="1A0FD091">
            <w:pPr>
              <w:snapToGrid w:val="0"/>
              <w:jc w:val="center"/>
              <w:rPr>
                <w:rFonts w:hint="eastAsia"/>
                <w:color w:val="auto"/>
                <w:szCs w:val="21"/>
                <w:lang w:val="en-US" w:eastAsia="zh-CN"/>
              </w:rPr>
            </w:pPr>
          </w:p>
        </w:tc>
      </w:tr>
      <w:tr w14:paraId="0AC07B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1760" w:type="dxa"/>
            <w:vMerge w:val="continue"/>
            <w:vAlign w:val="center"/>
          </w:tcPr>
          <w:p w14:paraId="632E613D">
            <w:pPr>
              <w:adjustRightInd w:val="0"/>
              <w:snapToGrid w:val="0"/>
              <w:jc w:val="center"/>
              <w:rPr>
                <w:color w:val="auto"/>
                <w:szCs w:val="21"/>
              </w:rPr>
            </w:pPr>
          </w:p>
        </w:tc>
        <w:tc>
          <w:tcPr>
            <w:tcW w:w="1731" w:type="dxa"/>
            <w:vAlign w:val="center"/>
          </w:tcPr>
          <w:p w14:paraId="6697809E">
            <w:pPr>
              <w:jc w:val="center"/>
              <w:rPr>
                <w:rFonts w:hint="default"/>
                <w:color w:val="auto"/>
                <w:szCs w:val="21"/>
                <w:lang w:val="en-US" w:eastAsia="zh-CN"/>
              </w:rPr>
            </w:pPr>
            <w:r>
              <w:rPr>
                <w:rFonts w:hint="eastAsia"/>
                <w:color w:val="auto"/>
                <w:szCs w:val="21"/>
                <w:lang w:val="en-US" w:eastAsia="zh-CN"/>
              </w:rPr>
              <w:t>初期雨水</w:t>
            </w:r>
          </w:p>
        </w:tc>
        <w:tc>
          <w:tcPr>
            <w:tcW w:w="1389" w:type="dxa"/>
            <w:vAlign w:val="center"/>
          </w:tcPr>
          <w:p w14:paraId="71EA3E72">
            <w:pPr>
              <w:snapToGrid w:val="0"/>
              <w:jc w:val="center"/>
              <w:rPr>
                <w:rFonts w:hint="default"/>
                <w:color w:val="auto"/>
                <w:szCs w:val="21"/>
                <w:lang w:val="en-US" w:eastAsia="zh-CN"/>
              </w:rPr>
            </w:pPr>
            <w:r>
              <w:rPr>
                <w:rFonts w:hint="eastAsia"/>
                <w:color w:val="auto"/>
                <w:szCs w:val="21"/>
                <w:lang w:val="en-US" w:eastAsia="zh-CN"/>
              </w:rPr>
              <w:t>SS</w:t>
            </w:r>
          </w:p>
        </w:tc>
        <w:tc>
          <w:tcPr>
            <w:tcW w:w="2074" w:type="dxa"/>
            <w:vMerge w:val="continue"/>
            <w:vAlign w:val="center"/>
          </w:tcPr>
          <w:p w14:paraId="66360559">
            <w:pPr>
              <w:snapToGrid w:val="0"/>
              <w:jc w:val="center"/>
              <w:rPr>
                <w:rFonts w:hint="eastAsia"/>
                <w:color w:val="auto"/>
                <w:szCs w:val="21"/>
                <w:lang w:val="en-US" w:eastAsia="zh-CN"/>
              </w:rPr>
            </w:pPr>
          </w:p>
        </w:tc>
        <w:tc>
          <w:tcPr>
            <w:tcW w:w="2106" w:type="dxa"/>
            <w:vMerge w:val="continue"/>
            <w:vAlign w:val="center"/>
          </w:tcPr>
          <w:p w14:paraId="33F6AEEF">
            <w:pPr>
              <w:snapToGrid w:val="0"/>
              <w:jc w:val="center"/>
              <w:rPr>
                <w:color w:val="auto"/>
                <w:szCs w:val="21"/>
                <w:highlight w:val="none"/>
              </w:rPr>
            </w:pPr>
          </w:p>
        </w:tc>
      </w:tr>
      <w:tr w14:paraId="097A5E1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44" w:hRule="atLeast"/>
          <w:jc w:val="center"/>
        </w:trPr>
        <w:tc>
          <w:tcPr>
            <w:tcW w:w="1760" w:type="dxa"/>
            <w:vAlign w:val="center"/>
          </w:tcPr>
          <w:p w14:paraId="76C01E5A">
            <w:pPr>
              <w:adjustRightInd w:val="0"/>
              <w:snapToGrid w:val="0"/>
              <w:jc w:val="center"/>
              <w:rPr>
                <w:color w:val="auto"/>
                <w:szCs w:val="21"/>
              </w:rPr>
            </w:pPr>
            <w:r>
              <w:rPr>
                <w:color w:val="auto"/>
                <w:szCs w:val="21"/>
              </w:rPr>
              <w:t>声环境</w:t>
            </w:r>
          </w:p>
        </w:tc>
        <w:tc>
          <w:tcPr>
            <w:tcW w:w="1731" w:type="dxa"/>
            <w:vAlign w:val="center"/>
          </w:tcPr>
          <w:p w14:paraId="2ED18553">
            <w:pPr>
              <w:jc w:val="center"/>
              <w:rPr>
                <w:rFonts w:hint="eastAsia" w:eastAsia="宋体"/>
                <w:color w:val="auto"/>
                <w:szCs w:val="21"/>
                <w:lang w:eastAsia="zh-CN"/>
              </w:rPr>
            </w:pPr>
            <w:r>
              <w:rPr>
                <w:rFonts w:hint="eastAsia"/>
                <w:color w:val="auto"/>
                <w:szCs w:val="21"/>
                <w:lang w:val="en-US" w:eastAsia="zh-CN"/>
              </w:rPr>
              <w:t>厂界</w:t>
            </w:r>
          </w:p>
        </w:tc>
        <w:tc>
          <w:tcPr>
            <w:tcW w:w="1389" w:type="dxa"/>
            <w:vAlign w:val="center"/>
          </w:tcPr>
          <w:p w14:paraId="1423BE25">
            <w:pPr>
              <w:adjustRightInd w:val="0"/>
              <w:snapToGrid w:val="0"/>
              <w:jc w:val="center"/>
              <w:rPr>
                <w:color w:val="auto"/>
                <w:szCs w:val="21"/>
              </w:rPr>
            </w:pPr>
            <w:r>
              <w:rPr>
                <w:color w:val="auto"/>
                <w:szCs w:val="21"/>
              </w:rPr>
              <w:t>噪声</w:t>
            </w:r>
          </w:p>
        </w:tc>
        <w:tc>
          <w:tcPr>
            <w:tcW w:w="2074" w:type="dxa"/>
            <w:vAlign w:val="center"/>
          </w:tcPr>
          <w:p w14:paraId="44A7023F">
            <w:pPr>
              <w:snapToGrid w:val="0"/>
              <w:jc w:val="center"/>
              <w:rPr>
                <w:color w:val="auto"/>
                <w:szCs w:val="21"/>
              </w:rPr>
            </w:pPr>
            <w:r>
              <w:rPr>
                <w:rFonts w:hint="eastAsia"/>
                <w:color w:val="auto"/>
                <w:szCs w:val="21"/>
                <w:lang w:val="en-US" w:eastAsia="zh-CN"/>
              </w:rPr>
              <w:t>选用低噪设备、隔声减振、消声，加强车辆管理、加强绿化</w:t>
            </w:r>
          </w:p>
        </w:tc>
        <w:tc>
          <w:tcPr>
            <w:tcW w:w="2106" w:type="dxa"/>
            <w:vAlign w:val="center"/>
          </w:tcPr>
          <w:p w14:paraId="5D8A18D8">
            <w:pPr>
              <w:adjustRightInd w:val="0"/>
              <w:snapToGrid w:val="0"/>
              <w:jc w:val="center"/>
              <w:rPr>
                <w:rFonts w:hint="eastAsia" w:eastAsia="宋体"/>
                <w:color w:val="auto"/>
                <w:szCs w:val="21"/>
                <w:lang w:val="en-US" w:eastAsia="zh-CN"/>
              </w:rPr>
            </w:pPr>
            <w:r>
              <w:rPr>
                <w:color w:val="auto"/>
                <w:szCs w:val="21"/>
              </w:rPr>
              <w:t>厂界执行《工业企业厂界环境噪声排放标准》（GB12348—2008）中的</w:t>
            </w:r>
            <w:r>
              <w:rPr>
                <w:rFonts w:hint="eastAsia"/>
                <w:color w:val="auto"/>
                <w:szCs w:val="21"/>
                <w:lang w:val="en-US" w:eastAsia="zh-CN"/>
              </w:rPr>
              <w:t>2</w:t>
            </w:r>
            <w:r>
              <w:rPr>
                <w:color w:val="auto"/>
                <w:szCs w:val="21"/>
              </w:rPr>
              <w:t>类标准</w:t>
            </w:r>
          </w:p>
        </w:tc>
      </w:tr>
      <w:tr w14:paraId="316213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760" w:type="dxa"/>
            <w:vAlign w:val="center"/>
          </w:tcPr>
          <w:p w14:paraId="4D67A907">
            <w:pPr>
              <w:adjustRightInd w:val="0"/>
              <w:snapToGrid w:val="0"/>
              <w:jc w:val="center"/>
              <w:rPr>
                <w:rFonts w:ascii="宋体" w:hAnsi="宋体" w:cs="宋体"/>
                <w:color w:val="auto"/>
                <w:szCs w:val="21"/>
              </w:rPr>
            </w:pPr>
            <w:r>
              <w:rPr>
                <w:rFonts w:hint="eastAsia" w:ascii="宋体" w:hAnsi="宋体" w:cs="宋体"/>
                <w:color w:val="auto"/>
                <w:szCs w:val="21"/>
              </w:rPr>
              <w:t>电磁辐射</w:t>
            </w:r>
          </w:p>
        </w:tc>
        <w:tc>
          <w:tcPr>
            <w:tcW w:w="1731" w:type="dxa"/>
            <w:vAlign w:val="center"/>
          </w:tcPr>
          <w:p w14:paraId="6BABA098">
            <w:pPr>
              <w:adjustRightInd w:val="0"/>
              <w:snapToGrid w:val="0"/>
              <w:jc w:val="center"/>
              <w:rPr>
                <w:rFonts w:ascii="宋体" w:hAnsi="宋体" w:cs="宋体"/>
                <w:color w:val="auto"/>
                <w:szCs w:val="21"/>
              </w:rPr>
            </w:pPr>
            <w:r>
              <w:rPr>
                <w:rFonts w:hint="eastAsia" w:ascii="宋体" w:hAnsi="宋体" w:cs="宋体"/>
                <w:color w:val="auto"/>
                <w:szCs w:val="21"/>
              </w:rPr>
              <w:t>/</w:t>
            </w:r>
          </w:p>
        </w:tc>
        <w:tc>
          <w:tcPr>
            <w:tcW w:w="1389" w:type="dxa"/>
            <w:vAlign w:val="center"/>
          </w:tcPr>
          <w:p w14:paraId="3A62D166">
            <w:pPr>
              <w:adjustRightInd w:val="0"/>
              <w:snapToGrid w:val="0"/>
              <w:jc w:val="center"/>
              <w:rPr>
                <w:rFonts w:ascii="宋体" w:hAnsi="宋体" w:cs="宋体"/>
                <w:color w:val="auto"/>
                <w:szCs w:val="21"/>
              </w:rPr>
            </w:pPr>
            <w:r>
              <w:rPr>
                <w:rFonts w:hint="eastAsia" w:ascii="宋体" w:hAnsi="宋体" w:cs="宋体"/>
                <w:color w:val="auto"/>
                <w:szCs w:val="21"/>
              </w:rPr>
              <w:t>/</w:t>
            </w:r>
          </w:p>
        </w:tc>
        <w:tc>
          <w:tcPr>
            <w:tcW w:w="2074" w:type="dxa"/>
            <w:vAlign w:val="center"/>
          </w:tcPr>
          <w:p w14:paraId="3CA3CC96">
            <w:pPr>
              <w:adjustRightInd w:val="0"/>
              <w:snapToGrid w:val="0"/>
              <w:jc w:val="center"/>
              <w:rPr>
                <w:rFonts w:ascii="宋体" w:hAnsi="宋体" w:cs="宋体"/>
                <w:color w:val="auto"/>
                <w:szCs w:val="21"/>
              </w:rPr>
            </w:pPr>
            <w:r>
              <w:rPr>
                <w:rFonts w:hint="eastAsia" w:ascii="宋体" w:hAnsi="宋体" w:cs="宋体"/>
                <w:color w:val="auto"/>
                <w:szCs w:val="21"/>
              </w:rPr>
              <w:t>/</w:t>
            </w:r>
          </w:p>
        </w:tc>
        <w:tc>
          <w:tcPr>
            <w:tcW w:w="2106" w:type="dxa"/>
            <w:vAlign w:val="center"/>
          </w:tcPr>
          <w:p w14:paraId="44878D02">
            <w:pPr>
              <w:adjustRightInd w:val="0"/>
              <w:snapToGrid w:val="0"/>
              <w:jc w:val="center"/>
              <w:rPr>
                <w:rFonts w:ascii="宋体" w:hAnsi="宋体" w:cs="宋体"/>
                <w:color w:val="auto"/>
                <w:szCs w:val="21"/>
              </w:rPr>
            </w:pPr>
            <w:r>
              <w:rPr>
                <w:rFonts w:hint="eastAsia" w:ascii="宋体" w:hAnsi="宋体" w:cs="宋体"/>
                <w:color w:val="auto"/>
                <w:szCs w:val="21"/>
              </w:rPr>
              <w:t>/</w:t>
            </w:r>
          </w:p>
        </w:tc>
      </w:tr>
      <w:tr w14:paraId="7F5432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60" w:type="dxa"/>
            <w:vAlign w:val="center"/>
          </w:tcPr>
          <w:p w14:paraId="30CF4046">
            <w:pPr>
              <w:adjustRightInd w:val="0"/>
              <w:snapToGrid w:val="0"/>
              <w:jc w:val="center"/>
              <w:rPr>
                <w:color w:val="auto"/>
                <w:szCs w:val="21"/>
              </w:rPr>
            </w:pPr>
            <w:r>
              <w:rPr>
                <w:color w:val="auto"/>
                <w:szCs w:val="21"/>
              </w:rPr>
              <w:t>固体废物</w:t>
            </w:r>
          </w:p>
        </w:tc>
        <w:tc>
          <w:tcPr>
            <w:tcW w:w="7300" w:type="dxa"/>
            <w:gridSpan w:val="4"/>
            <w:vAlign w:val="center"/>
          </w:tcPr>
          <w:p w14:paraId="45170782">
            <w:pPr>
              <w:adjustRightInd w:val="0"/>
              <w:snapToGrid w:val="0"/>
              <w:ind w:firstLine="420" w:firstLineChars="200"/>
              <w:rPr>
                <w:color w:val="auto"/>
                <w:szCs w:val="21"/>
              </w:rPr>
            </w:pPr>
            <w:r>
              <w:rPr>
                <w:rFonts w:hint="eastAsia"/>
                <w:snapToGrid w:val="0"/>
                <w:color w:val="auto"/>
                <w:kern w:val="0"/>
                <w:szCs w:val="21"/>
                <w:lang w:val="en-US" w:eastAsia="zh-CN"/>
              </w:rPr>
              <w:t>项目运营期产生的除尘灰、废石料、滴漏沥青及拌合残渣、废渣、沉渣等定期清理，并返回生产系统，不外排；项目储料库内东南侧设1座1</w:t>
            </w:r>
            <w:r>
              <w:rPr>
                <w:rFonts w:hint="default"/>
                <w:snapToGrid w:val="0"/>
                <w:color w:val="auto"/>
                <w:kern w:val="0"/>
                <w:szCs w:val="21"/>
                <w:lang w:val="en-US" w:eastAsia="zh-CN"/>
              </w:rPr>
              <w:t>0m</w:t>
            </w:r>
            <w:r>
              <w:rPr>
                <w:rFonts w:hint="default"/>
                <w:snapToGrid w:val="0"/>
                <w:color w:val="auto"/>
                <w:kern w:val="0"/>
                <w:szCs w:val="21"/>
                <w:vertAlign w:val="superscript"/>
                <w:lang w:val="en-US" w:eastAsia="zh-CN"/>
              </w:rPr>
              <w:t>2</w:t>
            </w:r>
            <w:r>
              <w:rPr>
                <w:rFonts w:hint="eastAsia"/>
                <w:snapToGrid w:val="0"/>
                <w:color w:val="auto"/>
                <w:kern w:val="0"/>
                <w:szCs w:val="21"/>
                <w:lang w:val="en-US" w:eastAsia="zh-CN"/>
              </w:rPr>
              <w:t>危险废物贮存库，危险废物经收集后暂存，委托有资质单位进行处置；生活垃圾收集后由环卫部门处置。</w:t>
            </w:r>
          </w:p>
        </w:tc>
      </w:tr>
      <w:tr w14:paraId="1B4894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60" w:type="dxa"/>
            <w:vAlign w:val="center"/>
          </w:tcPr>
          <w:p w14:paraId="249F2CBB">
            <w:pPr>
              <w:adjustRightInd w:val="0"/>
              <w:snapToGrid w:val="0"/>
              <w:jc w:val="center"/>
              <w:rPr>
                <w:color w:val="auto"/>
                <w:szCs w:val="21"/>
              </w:rPr>
            </w:pPr>
            <w:r>
              <w:rPr>
                <w:color w:val="auto"/>
                <w:szCs w:val="21"/>
              </w:rPr>
              <w:t>土壤及地下水</w:t>
            </w:r>
          </w:p>
          <w:p w14:paraId="6DA7022E">
            <w:pPr>
              <w:adjustRightInd w:val="0"/>
              <w:snapToGrid w:val="0"/>
              <w:jc w:val="center"/>
              <w:rPr>
                <w:color w:val="auto"/>
                <w:szCs w:val="21"/>
              </w:rPr>
            </w:pPr>
            <w:r>
              <w:rPr>
                <w:color w:val="auto"/>
                <w:szCs w:val="21"/>
              </w:rPr>
              <w:t>污染防治措施</w:t>
            </w:r>
          </w:p>
        </w:tc>
        <w:tc>
          <w:tcPr>
            <w:tcW w:w="7300" w:type="dxa"/>
            <w:gridSpan w:val="4"/>
            <w:vAlign w:val="center"/>
          </w:tcPr>
          <w:p w14:paraId="59E4E239">
            <w:pPr>
              <w:adjustRightInd w:val="0"/>
              <w:snapToGrid w:val="0"/>
              <w:ind w:firstLine="420" w:firstLineChars="200"/>
              <w:rPr>
                <w:rFonts w:hint="default"/>
                <w:color w:val="auto"/>
                <w:szCs w:val="21"/>
                <w:lang w:val="en-US"/>
              </w:rPr>
            </w:pPr>
            <w:r>
              <w:rPr>
                <w:rFonts w:hint="eastAsia"/>
                <w:snapToGrid w:val="0"/>
                <w:color w:val="auto"/>
                <w:kern w:val="0"/>
                <w:szCs w:val="21"/>
                <w:lang w:val="en-US" w:eastAsia="zh-CN"/>
              </w:rPr>
              <w:t>危险废物贮存库、各储罐区（柴油储罐及围堰、沥青储罐及围堰、导热油储罐）、事故应急池设为重点防渗区；沉淀池、化粪池、洗车平台以及相应管道区域等设置为一般防渗区；其他区域（储料库、场地、停车场、道路及其他）区设为简单防渗区。</w:t>
            </w:r>
          </w:p>
        </w:tc>
      </w:tr>
      <w:tr w14:paraId="4F689D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60" w:type="dxa"/>
            <w:vAlign w:val="center"/>
          </w:tcPr>
          <w:p w14:paraId="52775FB4">
            <w:pPr>
              <w:adjustRightInd w:val="0"/>
              <w:snapToGrid w:val="0"/>
              <w:jc w:val="center"/>
              <w:rPr>
                <w:color w:val="auto"/>
                <w:szCs w:val="21"/>
              </w:rPr>
            </w:pPr>
            <w:r>
              <w:rPr>
                <w:color w:val="auto"/>
                <w:szCs w:val="21"/>
              </w:rPr>
              <w:t>生态保护措施</w:t>
            </w:r>
          </w:p>
        </w:tc>
        <w:tc>
          <w:tcPr>
            <w:tcW w:w="7300" w:type="dxa"/>
            <w:gridSpan w:val="4"/>
            <w:vAlign w:val="center"/>
          </w:tcPr>
          <w:p w14:paraId="073BE12D">
            <w:pPr>
              <w:adjustRightInd w:val="0"/>
              <w:snapToGrid w:val="0"/>
              <w:ind w:firstLine="420" w:firstLineChars="200"/>
              <w:rPr>
                <w:color w:val="auto"/>
                <w:szCs w:val="21"/>
              </w:rPr>
            </w:pPr>
            <w:r>
              <w:rPr>
                <w:snapToGrid w:val="0"/>
                <w:color w:val="auto"/>
                <w:kern w:val="0"/>
                <w:szCs w:val="21"/>
              </w:rPr>
              <w:t>在</w:t>
            </w:r>
            <w:r>
              <w:rPr>
                <w:rFonts w:hint="eastAsia"/>
                <w:snapToGrid w:val="0"/>
                <w:color w:val="auto"/>
                <w:kern w:val="0"/>
                <w:szCs w:val="21"/>
                <w:lang w:val="en-US" w:eastAsia="zh-CN"/>
              </w:rPr>
              <w:t>厂</w:t>
            </w:r>
            <w:r>
              <w:rPr>
                <w:snapToGrid w:val="0"/>
                <w:color w:val="auto"/>
                <w:kern w:val="0"/>
                <w:szCs w:val="21"/>
              </w:rPr>
              <w:t>区内空闲地带进行绿化种植，在项目区空地及道路两侧种植树木、草皮，以改善和美化环境。项目运营后，废气通过治理后达标排放，固体废物合理处置，正常情况下项目不会对周围生态环境造成大的影响。</w:t>
            </w:r>
          </w:p>
        </w:tc>
      </w:tr>
      <w:tr w14:paraId="7DC282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60" w:type="dxa"/>
            <w:vAlign w:val="center"/>
          </w:tcPr>
          <w:p w14:paraId="5DC297A4">
            <w:pPr>
              <w:adjustRightInd w:val="0"/>
              <w:snapToGrid w:val="0"/>
              <w:jc w:val="center"/>
              <w:rPr>
                <w:snapToGrid w:val="0"/>
                <w:color w:val="auto"/>
                <w:kern w:val="0"/>
                <w:szCs w:val="21"/>
              </w:rPr>
            </w:pPr>
            <w:r>
              <w:rPr>
                <w:snapToGrid w:val="0"/>
                <w:color w:val="auto"/>
                <w:kern w:val="0"/>
                <w:szCs w:val="21"/>
              </w:rPr>
              <w:t>环境风险</w:t>
            </w:r>
          </w:p>
          <w:p w14:paraId="559A1720">
            <w:pPr>
              <w:adjustRightInd w:val="0"/>
              <w:snapToGrid w:val="0"/>
              <w:jc w:val="center"/>
              <w:rPr>
                <w:snapToGrid w:val="0"/>
                <w:color w:val="auto"/>
                <w:kern w:val="0"/>
                <w:szCs w:val="21"/>
              </w:rPr>
            </w:pPr>
            <w:r>
              <w:rPr>
                <w:snapToGrid w:val="0"/>
                <w:color w:val="auto"/>
                <w:kern w:val="0"/>
                <w:szCs w:val="21"/>
              </w:rPr>
              <w:t>防范措施</w:t>
            </w:r>
          </w:p>
        </w:tc>
        <w:tc>
          <w:tcPr>
            <w:tcW w:w="7300" w:type="dxa"/>
            <w:gridSpan w:val="4"/>
            <w:vAlign w:val="center"/>
          </w:tcPr>
          <w:p w14:paraId="04D11B80">
            <w:pPr>
              <w:adjustRightInd w:val="0"/>
              <w:snapToGrid w:val="0"/>
              <w:ind w:firstLine="420" w:firstLineChars="200"/>
              <w:rPr>
                <w:rFonts w:hint="default" w:eastAsia="宋体"/>
                <w:snapToGrid w:val="0"/>
                <w:color w:val="auto"/>
                <w:kern w:val="0"/>
                <w:szCs w:val="21"/>
                <w:lang w:val="en-US" w:eastAsia="zh-CN"/>
              </w:rPr>
            </w:pPr>
            <w:r>
              <w:rPr>
                <w:rFonts w:hint="eastAsia"/>
                <w:snapToGrid w:val="0"/>
                <w:color w:val="auto"/>
                <w:kern w:val="0"/>
                <w:szCs w:val="21"/>
                <w:lang w:val="en-US" w:eastAsia="zh-CN"/>
              </w:rPr>
              <w:t>加强危险废物等的贮存和管理；企业应制定突发环境事件应急预案并备案。设置1座容积约60m</w:t>
            </w:r>
            <w:r>
              <w:rPr>
                <w:rFonts w:hint="eastAsia"/>
                <w:snapToGrid w:val="0"/>
                <w:color w:val="auto"/>
                <w:kern w:val="0"/>
                <w:szCs w:val="21"/>
                <w:vertAlign w:val="superscript"/>
                <w:lang w:val="en-US" w:eastAsia="zh-CN"/>
              </w:rPr>
              <w:t>3</w:t>
            </w:r>
            <w:r>
              <w:rPr>
                <w:rFonts w:hint="eastAsia"/>
                <w:snapToGrid w:val="0"/>
                <w:color w:val="auto"/>
                <w:kern w:val="0"/>
                <w:szCs w:val="21"/>
                <w:lang w:val="en-US" w:eastAsia="zh-CN"/>
              </w:rPr>
              <w:t>的事故应急水池。</w:t>
            </w:r>
          </w:p>
        </w:tc>
      </w:tr>
      <w:tr w14:paraId="34883E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1760" w:type="dxa"/>
            <w:vAlign w:val="center"/>
          </w:tcPr>
          <w:p w14:paraId="15D4859B">
            <w:pPr>
              <w:adjustRightInd w:val="0"/>
              <w:snapToGrid w:val="0"/>
              <w:jc w:val="center"/>
              <w:rPr>
                <w:color w:val="auto"/>
                <w:spacing w:val="-8"/>
                <w:szCs w:val="21"/>
              </w:rPr>
            </w:pPr>
            <w:r>
              <w:rPr>
                <w:color w:val="auto"/>
                <w:spacing w:val="-8"/>
                <w:szCs w:val="21"/>
              </w:rPr>
              <w:t>其他环境</w:t>
            </w:r>
          </w:p>
          <w:p w14:paraId="36CD19DB">
            <w:pPr>
              <w:adjustRightInd w:val="0"/>
              <w:snapToGrid w:val="0"/>
              <w:jc w:val="center"/>
              <w:rPr>
                <w:color w:val="auto"/>
                <w:spacing w:val="-8"/>
                <w:szCs w:val="21"/>
              </w:rPr>
            </w:pPr>
            <w:r>
              <w:rPr>
                <w:color w:val="auto"/>
                <w:spacing w:val="-8"/>
                <w:szCs w:val="21"/>
              </w:rPr>
              <w:t>管理要求</w:t>
            </w:r>
          </w:p>
        </w:tc>
        <w:tc>
          <w:tcPr>
            <w:tcW w:w="7300" w:type="dxa"/>
            <w:gridSpan w:val="4"/>
            <w:vAlign w:val="center"/>
          </w:tcPr>
          <w:p w14:paraId="7514F225">
            <w:pPr>
              <w:spacing w:line="360" w:lineRule="auto"/>
              <w:ind w:firstLine="422" w:firstLineChars="200"/>
              <w:rPr>
                <w:b/>
                <w:color w:val="auto"/>
                <w:szCs w:val="21"/>
              </w:rPr>
            </w:pPr>
            <w:r>
              <w:rPr>
                <w:rFonts w:hint="eastAsia"/>
                <w:b/>
                <w:snapToGrid w:val="0"/>
                <w:color w:val="auto"/>
                <w:kern w:val="0"/>
                <w:szCs w:val="21"/>
              </w:rPr>
              <w:t>1、</w:t>
            </w:r>
            <w:r>
              <w:rPr>
                <w:b/>
                <w:snapToGrid w:val="0"/>
                <w:color w:val="auto"/>
                <w:kern w:val="0"/>
                <w:szCs w:val="21"/>
              </w:rPr>
              <w:t>环境管理制度</w:t>
            </w:r>
          </w:p>
          <w:p w14:paraId="5E77EE0A">
            <w:pPr>
              <w:spacing w:line="360" w:lineRule="auto"/>
              <w:ind w:firstLine="420" w:firstLineChars="200"/>
              <w:rPr>
                <w:color w:val="auto"/>
                <w:szCs w:val="21"/>
              </w:rPr>
            </w:pPr>
            <w:r>
              <w:rPr>
                <w:snapToGrid w:val="0"/>
                <w:color w:val="auto"/>
                <w:kern w:val="0"/>
                <w:szCs w:val="21"/>
              </w:rPr>
              <w:t>企业在健全了环境管理体制与管理机构的基础上，还必须健全环保管理规章制度。各项规章制度应体现环境管理的任务、内容和准则，使环境管理的特点和要求渗透到企业的各项管理工作中。相应的环境管理制度包括：（1）环境保护管理条例；（2）环境管理的经济责任制；（3）环保设施运行与管理制度；（4）环境管理岗位责任制；（5）环境管理技术规范；（6）环境保护的考核制度；（7）环境保护严惩办法；（8）污染防治控制措施实施方法；（9）环境污染事故管理规定；（10）清洁生产审计制度；（11）环境保护质量管理规程。</w:t>
            </w:r>
          </w:p>
          <w:p w14:paraId="712A94C6">
            <w:pPr>
              <w:adjustRightInd w:val="0"/>
              <w:snapToGrid w:val="0"/>
              <w:spacing w:line="360" w:lineRule="auto"/>
              <w:ind w:firstLine="422" w:firstLineChars="200"/>
              <w:rPr>
                <w:b/>
                <w:snapToGrid w:val="0"/>
                <w:color w:val="auto"/>
                <w:kern w:val="0"/>
                <w:szCs w:val="21"/>
              </w:rPr>
            </w:pPr>
            <w:r>
              <w:rPr>
                <w:b/>
                <w:snapToGrid w:val="0"/>
                <w:color w:val="auto"/>
                <w:kern w:val="0"/>
                <w:szCs w:val="21"/>
              </w:rPr>
              <w:t>2</w:t>
            </w:r>
            <w:r>
              <w:rPr>
                <w:rFonts w:hint="eastAsia"/>
                <w:b/>
                <w:snapToGrid w:val="0"/>
                <w:color w:val="auto"/>
                <w:kern w:val="0"/>
                <w:szCs w:val="21"/>
              </w:rPr>
              <w:t>、</w:t>
            </w:r>
            <w:r>
              <w:rPr>
                <w:b/>
                <w:snapToGrid w:val="0"/>
                <w:color w:val="auto"/>
                <w:kern w:val="0"/>
                <w:szCs w:val="21"/>
              </w:rPr>
              <w:t>运营期环境管理计划</w:t>
            </w:r>
          </w:p>
          <w:p w14:paraId="1593D9CE">
            <w:pPr>
              <w:adjustRightInd w:val="0"/>
              <w:snapToGrid w:val="0"/>
              <w:spacing w:line="360" w:lineRule="auto"/>
              <w:ind w:firstLine="420" w:firstLineChars="200"/>
              <w:rPr>
                <w:snapToGrid w:val="0"/>
                <w:color w:val="auto"/>
                <w:kern w:val="0"/>
                <w:szCs w:val="21"/>
              </w:rPr>
            </w:pPr>
            <w:r>
              <w:rPr>
                <w:rFonts w:hint="eastAsia" w:ascii="宋体" w:hAnsi="宋体" w:cs="宋体"/>
                <w:snapToGrid w:val="0"/>
                <w:color w:val="auto"/>
                <w:kern w:val="0"/>
                <w:szCs w:val="21"/>
              </w:rPr>
              <w:t>①</w:t>
            </w:r>
            <w:r>
              <w:rPr>
                <w:snapToGrid w:val="0"/>
                <w:color w:val="auto"/>
                <w:kern w:val="0"/>
                <w:szCs w:val="21"/>
              </w:rPr>
              <w:t>管理机构</w:t>
            </w:r>
          </w:p>
          <w:p w14:paraId="6F703C7B">
            <w:pPr>
              <w:adjustRightInd w:val="0"/>
              <w:snapToGrid w:val="0"/>
              <w:spacing w:line="360" w:lineRule="auto"/>
              <w:ind w:firstLine="420" w:firstLineChars="200"/>
              <w:rPr>
                <w:snapToGrid w:val="0"/>
                <w:color w:val="auto"/>
                <w:kern w:val="0"/>
                <w:szCs w:val="21"/>
              </w:rPr>
            </w:pPr>
            <w:r>
              <w:rPr>
                <w:snapToGrid w:val="0"/>
                <w:color w:val="auto"/>
                <w:kern w:val="0"/>
                <w:szCs w:val="21"/>
              </w:rPr>
              <w:t>本</w:t>
            </w:r>
            <w:r>
              <w:rPr>
                <w:rFonts w:hint="eastAsia"/>
                <w:snapToGrid w:val="0"/>
                <w:color w:val="auto"/>
                <w:kern w:val="0"/>
                <w:szCs w:val="21"/>
              </w:rPr>
              <w:t>项目</w:t>
            </w:r>
            <w:r>
              <w:rPr>
                <w:snapToGrid w:val="0"/>
                <w:color w:val="auto"/>
                <w:kern w:val="0"/>
                <w:szCs w:val="21"/>
              </w:rPr>
              <w:t>应成立环保组，负责运营期的环境管理工作，于当地环保部门及其授权监测部门直接监管厂内污染物的排放情况，并对其污染事故、纠纷进行处理。</w:t>
            </w:r>
          </w:p>
          <w:p w14:paraId="2A507DDE">
            <w:pPr>
              <w:adjustRightInd w:val="0"/>
              <w:snapToGrid w:val="0"/>
              <w:spacing w:line="360" w:lineRule="auto"/>
              <w:ind w:firstLine="420" w:firstLineChars="200"/>
              <w:rPr>
                <w:snapToGrid w:val="0"/>
                <w:color w:val="auto"/>
                <w:kern w:val="0"/>
                <w:szCs w:val="21"/>
              </w:rPr>
            </w:pPr>
            <w:r>
              <w:rPr>
                <w:rFonts w:hint="eastAsia" w:ascii="宋体" w:hAnsi="宋体" w:cs="宋体"/>
                <w:snapToGrid w:val="0"/>
                <w:color w:val="auto"/>
                <w:kern w:val="0"/>
                <w:szCs w:val="21"/>
              </w:rPr>
              <w:t>②</w:t>
            </w:r>
            <w:r>
              <w:rPr>
                <w:snapToGrid w:val="0"/>
                <w:color w:val="auto"/>
                <w:kern w:val="0"/>
                <w:szCs w:val="21"/>
              </w:rPr>
              <w:t>运营期环境管理职责</w:t>
            </w:r>
          </w:p>
          <w:p w14:paraId="1DB6DD96">
            <w:pPr>
              <w:spacing w:line="360" w:lineRule="auto"/>
              <w:ind w:firstLine="420" w:firstLineChars="200"/>
              <w:rPr>
                <w:snapToGrid w:val="0"/>
                <w:color w:val="auto"/>
                <w:kern w:val="0"/>
                <w:szCs w:val="21"/>
              </w:rPr>
            </w:pPr>
            <w:r>
              <w:rPr>
                <w:snapToGrid w:val="0"/>
                <w:color w:val="auto"/>
                <w:kern w:val="0"/>
                <w:szCs w:val="21"/>
              </w:rPr>
              <w:t>由</w:t>
            </w:r>
            <w:r>
              <w:rPr>
                <w:rFonts w:hint="eastAsia"/>
                <w:snapToGrid w:val="0"/>
                <w:color w:val="auto"/>
                <w:kern w:val="0"/>
                <w:szCs w:val="21"/>
              </w:rPr>
              <w:t>厂长</w:t>
            </w:r>
            <w:r>
              <w:rPr>
                <w:snapToGrid w:val="0"/>
                <w:color w:val="auto"/>
                <w:kern w:val="0"/>
                <w:szCs w:val="21"/>
              </w:rPr>
              <w:t>负责环保指标的落实，将环保指标逐级分解到生产区、班组、个人，下属具体负责其附属环保设备的运转和维护，确保其正常运转和达标排放，充分发挥其作用；配合地方环保部门监测部门进行日常环境监测，记录并及时上报污染源及环保措施运转状态。在项目实施全过程中，本工程都应以《中华人民共和国环境保护法》及相关环保法律、法规为依据，通过对项目前后的环境审核，制定环境方针，建立环境目标和指标，设计环境方案，以达到“清洁生产”的良好效果，以达到长远、持久的发展。</w:t>
            </w:r>
          </w:p>
          <w:p w14:paraId="3259B838">
            <w:pPr>
              <w:spacing w:line="360" w:lineRule="auto"/>
              <w:ind w:firstLine="420" w:firstLineChars="200"/>
              <w:rPr>
                <w:bCs/>
                <w:color w:val="auto"/>
                <w:szCs w:val="21"/>
              </w:rPr>
            </w:pPr>
            <w:r>
              <w:rPr>
                <w:snapToGrid w:val="0"/>
                <w:color w:val="auto"/>
                <w:kern w:val="0"/>
                <w:szCs w:val="21"/>
              </w:rPr>
              <w:t>本工程环境管理工作计划见表5-1。</w:t>
            </w:r>
          </w:p>
          <w:p w14:paraId="73C15A2E">
            <w:pPr>
              <w:autoSpaceDE w:val="0"/>
              <w:autoSpaceDN w:val="0"/>
              <w:adjustRightInd w:val="0"/>
              <w:snapToGrid w:val="0"/>
              <w:jc w:val="center"/>
              <w:rPr>
                <w:color w:val="auto"/>
                <w:sz w:val="18"/>
                <w:szCs w:val="18"/>
              </w:rPr>
            </w:pPr>
            <w:r>
              <w:rPr>
                <w:b/>
                <w:color w:val="auto"/>
                <w:sz w:val="18"/>
                <w:szCs w:val="18"/>
              </w:rPr>
              <w:t>表5-1</w:t>
            </w:r>
            <w:r>
              <w:rPr>
                <w:rFonts w:hint="eastAsia"/>
                <w:b/>
                <w:color w:val="auto"/>
                <w:sz w:val="18"/>
                <w:szCs w:val="18"/>
              </w:rPr>
              <w:t xml:space="preserve">   </w:t>
            </w:r>
            <w:r>
              <w:rPr>
                <w:b/>
                <w:color w:val="auto"/>
                <w:sz w:val="18"/>
                <w:szCs w:val="18"/>
              </w:rPr>
              <w:t>环境管理工作计划表</w:t>
            </w:r>
          </w:p>
          <w:tbl>
            <w:tblPr>
              <w:tblStyle w:val="4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158"/>
              <w:gridCol w:w="5896"/>
            </w:tblGrid>
            <w:tr w14:paraId="7ED8A90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blHeader/>
                <w:jc w:val="center"/>
              </w:trPr>
              <w:tc>
                <w:tcPr>
                  <w:tcW w:w="821" w:type="pct"/>
                  <w:vAlign w:val="center"/>
                </w:tcPr>
                <w:p w14:paraId="78AAD473">
                  <w:pPr>
                    <w:pStyle w:val="24"/>
                    <w:jc w:val="center"/>
                    <w:rPr>
                      <w:rFonts w:ascii="Times New Roman" w:hAnsi="Times New Roman"/>
                      <w:bCs/>
                      <w:color w:val="auto"/>
                      <w:sz w:val="18"/>
                      <w:szCs w:val="18"/>
                    </w:rPr>
                  </w:pPr>
                  <w:r>
                    <w:rPr>
                      <w:rFonts w:ascii="Times New Roman" w:hAnsi="Times New Roman"/>
                      <w:bCs/>
                      <w:color w:val="auto"/>
                      <w:sz w:val="18"/>
                      <w:szCs w:val="18"/>
                    </w:rPr>
                    <w:t>阶段</w:t>
                  </w:r>
                </w:p>
              </w:tc>
              <w:tc>
                <w:tcPr>
                  <w:tcW w:w="4179" w:type="pct"/>
                  <w:vAlign w:val="center"/>
                </w:tcPr>
                <w:p w14:paraId="6FE2C9AF">
                  <w:pPr>
                    <w:pStyle w:val="24"/>
                    <w:rPr>
                      <w:rFonts w:ascii="Times New Roman" w:hAnsi="Times New Roman"/>
                      <w:bCs/>
                      <w:color w:val="auto"/>
                      <w:sz w:val="18"/>
                      <w:szCs w:val="18"/>
                    </w:rPr>
                  </w:pPr>
                  <w:r>
                    <w:rPr>
                      <w:rFonts w:ascii="Times New Roman" w:hAnsi="Times New Roman"/>
                      <w:bCs/>
                      <w:color w:val="auto"/>
                      <w:sz w:val="18"/>
                      <w:szCs w:val="18"/>
                    </w:rPr>
                    <w:t>环境管理工作主要内容</w:t>
                  </w:r>
                </w:p>
              </w:tc>
            </w:tr>
            <w:tr w14:paraId="153F0FA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90" w:hRule="atLeast"/>
                <w:jc w:val="center"/>
              </w:trPr>
              <w:tc>
                <w:tcPr>
                  <w:tcW w:w="821" w:type="pct"/>
                  <w:vAlign w:val="center"/>
                </w:tcPr>
                <w:p w14:paraId="5C31FECC">
                  <w:pPr>
                    <w:pStyle w:val="24"/>
                    <w:jc w:val="center"/>
                    <w:rPr>
                      <w:rFonts w:ascii="Times New Roman" w:hAnsi="Times New Roman"/>
                      <w:bCs/>
                      <w:color w:val="auto"/>
                      <w:sz w:val="18"/>
                      <w:szCs w:val="18"/>
                    </w:rPr>
                  </w:pPr>
                  <w:r>
                    <w:rPr>
                      <w:rFonts w:ascii="Times New Roman" w:hAnsi="Times New Roman"/>
                      <w:bCs/>
                      <w:color w:val="auto"/>
                      <w:sz w:val="18"/>
                      <w:szCs w:val="18"/>
                    </w:rPr>
                    <w:t>环境管理</w:t>
                  </w:r>
                </w:p>
                <w:p w14:paraId="3308B46D">
                  <w:pPr>
                    <w:pStyle w:val="24"/>
                    <w:jc w:val="center"/>
                    <w:rPr>
                      <w:rFonts w:ascii="Times New Roman" w:hAnsi="Times New Roman"/>
                      <w:bCs/>
                      <w:color w:val="auto"/>
                      <w:sz w:val="18"/>
                      <w:szCs w:val="18"/>
                    </w:rPr>
                  </w:pPr>
                  <w:r>
                    <w:rPr>
                      <w:rFonts w:ascii="Times New Roman" w:hAnsi="Times New Roman"/>
                      <w:bCs/>
                      <w:color w:val="auto"/>
                      <w:sz w:val="18"/>
                      <w:szCs w:val="18"/>
                    </w:rPr>
                    <w:t>机构的职能</w:t>
                  </w:r>
                </w:p>
              </w:tc>
              <w:tc>
                <w:tcPr>
                  <w:tcW w:w="4179" w:type="pct"/>
                  <w:vAlign w:val="center"/>
                </w:tcPr>
                <w:p w14:paraId="01EACE7C">
                  <w:pPr>
                    <w:pStyle w:val="24"/>
                    <w:rPr>
                      <w:rFonts w:ascii="Times New Roman" w:hAnsi="Times New Roman"/>
                      <w:bCs/>
                      <w:color w:val="auto"/>
                      <w:sz w:val="18"/>
                      <w:szCs w:val="18"/>
                    </w:rPr>
                  </w:pPr>
                  <w:r>
                    <w:rPr>
                      <w:rFonts w:ascii="Times New Roman" w:hAnsi="Times New Roman"/>
                      <w:bCs/>
                      <w:color w:val="auto"/>
                      <w:sz w:val="18"/>
                      <w:szCs w:val="18"/>
                    </w:rPr>
                    <w:t>根据国家建设</w:t>
                  </w:r>
                  <w:r>
                    <w:rPr>
                      <w:rFonts w:hint="eastAsia" w:ascii="Times New Roman" w:hAnsi="Times New Roman"/>
                      <w:bCs/>
                      <w:color w:val="auto"/>
                      <w:sz w:val="18"/>
                      <w:szCs w:val="18"/>
                      <w:lang w:val="en-US" w:eastAsia="zh-CN"/>
                    </w:rPr>
                    <w:t>项</w:t>
                  </w:r>
                  <w:r>
                    <w:rPr>
                      <w:rFonts w:ascii="Times New Roman" w:hAnsi="Times New Roman"/>
                      <w:bCs/>
                      <w:color w:val="auto"/>
                      <w:sz w:val="18"/>
                      <w:szCs w:val="18"/>
                    </w:rPr>
                    <w:t>目环境管理规定，认真落实各项环保手续，完成各级环保主管部门对企业提出的环境要求，对企业内部各项管理计划的执行及完成情况进行监督，确保环境管理工作真正发挥作用。</w:t>
                  </w:r>
                </w:p>
              </w:tc>
            </w:tr>
            <w:tr w14:paraId="4F82388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17" w:hRule="atLeast"/>
                <w:jc w:val="center"/>
              </w:trPr>
              <w:tc>
                <w:tcPr>
                  <w:tcW w:w="821" w:type="pct"/>
                  <w:vAlign w:val="center"/>
                </w:tcPr>
                <w:p w14:paraId="021148BE">
                  <w:pPr>
                    <w:pStyle w:val="24"/>
                    <w:jc w:val="center"/>
                    <w:rPr>
                      <w:rFonts w:ascii="Times New Roman" w:hAnsi="Times New Roman"/>
                      <w:bCs/>
                      <w:color w:val="auto"/>
                      <w:sz w:val="18"/>
                      <w:szCs w:val="18"/>
                    </w:rPr>
                  </w:pPr>
                  <w:r>
                    <w:rPr>
                      <w:rFonts w:ascii="Times New Roman" w:hAnsi="Times New Roman"/>
                      <w:bCs/>
                      <w:color w:val="auto"/>
                      <w:sz w:val="18"/>
                      <w:szCs w:val="18"/>
                    </w:rPr>
                    <w:t>建设期</w:t>
                  </w:r>
                </w:p>
              </w:tc>
              <w:tc>
                <w:tcPr>
                  <w:tcW w:w="4179" w:type="pct"/>
                  <w:vAlign w:val="center"/>
                </w:tcPr>
                <w:p w14:paraId="2D017D68">
                  <w:pPr>
                    <w:pStyle w:val="24"/>
                    <w:rPr>
                      <w:rFonts w:ascii="Times New Roman" w:hAnsi="Times New Roman"/>
                      <w:bCs/>
                      <w:color w:val="auto"/>
                      <w:sz w:val="18"/>
                      <w:szCs w:val="18"/>
                    </w:rPr>
                  </w:pPr>
                  <w:r>
                    <w:rPr>
                      <w:rFonts w:ascii="Times New Roman" w:hAnsi="Times New Roman"/>
                      <w:bCs/>
                      <w:color w:val="auto"/>
                      <w:sz w:val="18"/>
                      <w:szCs w:val="18"/>
                    </w:rPr>
                    <w:t>1、</w:t>
                  </w:r>
                  <w:r>
                    <w:rPr>
                      <w:rFonts w:hint="eastAsia" w:ascii="Times New Roman" w:hAnsi="Times New Roman"/>
                      <w:bCs/>
                      <w:color w:val="auto"/>
                      <w:sz w:val="18"/>
                      <w:szCs w:val="18"/>
                    </w:rPr>
                    <w:t>严格控制施工占地；</w:t>
                  </w:r>
                </w:p>
                <w:p w14:paraId="217C199D">
                  <w:pPr>
                    <w:pStyle w:val="24"/>
                    <w:rPr>
                      <w:rFonts w:ascii="Times New Roman" w:hAnsi="Times New Roman"/>
                      <w:bCs/>
                      <w:color w:val="auto"/>
                      <w:sz w:val="18"/>
                      <w:szCs w:val="18"/>
                    </w:rPr>
                  </w:pPr>
                  <w:r>
                    <w:rPr>
                      <w:rFonts w:ascii="Times New Roman" w:hAnsi="Times New Roman"/>
                      <w:bCs/>
                      <w:color w:val="auto"/>
                      <w:sz w:val="18"/>
                      <w:szCs w:val="18"/>
                    </w:rPr>
                    <w:t>2、定期洒水</w:t>
                  </w:r>
                  <w:r>
                    <w:rPr>
                      <w:rFonts w:hint="eastAsia" w:ascii="Times New Roman" w:hAnsi="Times New Roman"/>
                      <w:bCs/>
                      <w:color w:val="auto"/>
                      <w:sz w:val="18"/>
                      <w:szCs w:val="18"/>
                    </w:rPr>
                    <w:t>降尘</w:t>
                  </w:r>
                  <w:r>
                    <w:rPr>
                      <w:rFonts w:ascii="Times New Roman" w:hAnsi="Times New Roman"/>
                      <w:bCs/>
                      <w:color w:val="auto"/>
                      <w:sz w:val="18"/>
                      <w:szCs w:val="18"/>
                    </w:rPr>
                    <w:t>。</w:t>
                  </w:r>
                </w:p>
                <w:p w14:paraId="20D34696">
                  <w:pPr>
                    <w:pStyle w:val="24"/>
                    <w:rPr>
                      <w:rFonts w:ascii="Times New Roman" w:hAnsi="Times New Roman"/>
                      <w:bCs/>
                      <w:color w:val="auto"/>
                      <w:sz w:val="18"/>
                      <w:szCs w:val="18"/>
                    </w:rPr>
                  </w:pPr>
                  <w:r>
                    <w:rPr>
                      <w:rFonts w:ascii="Times New Roman" w:hAnsi="Times New Roman"/>
                      <w:bCs/>
                      <w:color w:val="auto"/>
                      <w:sz w:val="18"/>
                      <w:szCs w:val="18"/>
                    </w:rPr>
                    <w:t>3、夜间严禁进行打桩等噪声大的施工作业。</w:t>
                  </w:r>
                </w:p>
                <w:p w14:paraId="0278A697">
                  <w:pPr>
                    <w:pStyle w:val="24"/>
                    <w:rPr>
                      <w:rFonts w:ascii="Times New Roman" w:hAnsi="Times New Roman"/>
                      <w:bCs/>
                      <w:color w:val="auto"/>
                      <w:sz w:val="18"/>
                      <w:szCs w:val="18"/>
                    </w:rPr>
                  </w:pPr>
                  <w:r>
                    <w:rPr>
                      <w:rFonts w:ascii="Times New Roman" w:hAnsi="Times New Roman"/>
                      <w:bCs/>
                      <w:color w:val="auto"/>
                      <w:sz w:val="18"/>
                      <w:szCs w:val="18"/>
                    </w:rPr>
                    <w:t>4、施工</w:t>
                  </w:r>
                  <w:r>
                    <w:rPr>
                      <w:rFonts w:hint="eastAsia" w:ascii="Times New Roman" w:hAnsi="Times New Roman"/>
                      <w:bCs/>
                      <w:color w:val="auto"/>
                      <w:sz w:val="18"/>
                      <w:szCs w:val="18"/>
                    </w:rPr>
                    <w:t>期</w:t>
                  </w:r>
                  <w:r>
                    <w:rPr>
                      <w:rFonts w:ascii="Times New Roman" w:hAnsi="Times New Roman"/>
                      <w:bCs/>
                      <w:color w:val="auto"/>
                      <w:sz w:val="18"/>
                      <w:szCs w:val="18"/>
                    </w:rPr>
                    <w:t>加强环境管理。</w:t>
                  </w:r>
                </w:p>
              </w:tc>
            </w:tr>
            <w:tr w14:paraId="75259EB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677" w:hRule="atLeast"/>
                <w:jc w:val="center"/>
              </w:trPr>
              <w:tc>
                <w:tcPr>
                  <w:tcW w:w="821" w:type="pct"/>
                  <w:vAlign w:val="center"/>
                </w:tcPr>
                <w:p w14:paraId="037DFEB2">
                  <w:pPr>
                    <w:pStyle w:val="24"/>
                    <w:jc w:val="center"/>
                    <w:rPr>
                      <w:rFonts w:ascii="Times New Roman" w:hAnsi="Times New Roman"/>
                      <w:bCs/>
                      <w:color w:val="auto"/>
                      <w:sz w:val="18"/>
                      <w:szCs w:val="18"/>
                    </w:rPr>
                  </w:pPr>
                  <w:r>
                    <w:rPr>
                      <w:rFonts w:ascii="Times New Roman" w:hAnsi="Times New Roman"/>
                      <w:bCs/>
                      <w:color w:val="auto"/>
                      <w:sz w:val="18"/>
                      <w:szCs w:val="18"/>
                    </w:rPr>
                    <w:t>调试期</w:t>
                  </w:r>
                </w:p>
              </w:tc>
              <w:tc>
                <w:tcPr>
                  <w:tcW w:w="4179" w:type="pct"/>
                  <w:vAlign w:val="center"/>
                </w:tcPr>
                <w:p w14:paraId="32FDD81D">
                  <w:pPr>
                    <w:pStyle w:val="24"/>
                    <w:rPr>
                      <w:rFonts w:ascii="Times New Roman" w:hAnsi="Times New Roman"/>
                      <w:bCs/>
                      <w:color w:val="auto"/>
                      <w:sz w:val="18"/>
                      <w:szCs w:val="18"/>
                    </w:rPr>
                  </w:pPr>
                  <w:r>
                    <w:rPr>
                      <w:rFonts w:ascii="Times New Roman" w:hAnsi="Times New Roman"/>
                      <w:bCs/>
                      <w:color w:val="auto"/>
                      <w:sz w:val="18"/>
                      <w:szCs w:val="18"/>
                    </w:rPr>
                    <w:t>1、申领排污许可证。</w:t>
                  </w:r>
                </w:p>
                <w:p w14:paraId="3E077FFC">
                  <w:pPr>
                    <w:pStyle w:val="24"/>
                    <w:rPr>
                      <w:rFonts w:ascii="Times New Roman" w:hAnsi="Times New Roman"/>
                      <w:bCs/>
                      <w:color w:val="auto"/>
                      <w:sz w:val="18"/>
                      <w:szCs w:val="18"/>
                    </w:rPr>
                  </w:pPr>
                  <w:r>
                    <w:rPr>
                      <w:rFonts w:ascii="Times New Roman" w:hAnsi="Times New Roman"/>
                      <w:bCs/>
                      <w:color w:val="auto"/>
                      <w:sz w:val="18"/>
                      <w:szCs w:val="18"/>
                    </w:rPr>
                    <w:t>2、对噪声防治效果进行检测。</w:t>
                  </w:r>
                </w:p>
                <w:p w14:paraId="6BA625BA">
                  <w:pPr>
                    <w:pStyle w:val="24"/>
                    <w:rPr>
                      <w:rFonts w:ascii="Times New Roman" w:hAnsi="Times New Roman"/>
                      <w:bCs/>
                      <w:color w:val="auto"/>
                      <w:sz w:val="18"/>
                      <w:szCs w:val="18"/>
                    </w:rPr>
                  </w:pPr>
                  <w:r>
                    <w:rPr>
                      <w:rFonts w:ascii="Times New Roman" w:hAnsi="Times New Roman"/>
                      <w:bCs/>
                      <w:color w:val="auto"/>
                      <w:sz w:val="18"/>
                      <w:szCs w:val="18"/>
                    </w:rPr>
                    <w:t>3、对各设施不定期进行检查。</w:t>
                  </w:r>
                </w:p>
                <w:p w14:paraId="29060187">
                  <w:pPr>
                    <w:pStyle w:val="24"/>
                    <w:rPr>
                      <w:rFonts w:ascii="Times New Roman" w:hAnsi="Times New Roman"/>
                      <w:bCs/>
                      <w:color w:val="auto"/>
                      <w:sz w:val="18"/>
                      <w:szCs w:val="18"/>
                    </w:rPr>
                  </w:pPr>
                  <w:r>
                    <w:rPr>
                      <w:rFonts w:ascii="Times New Roman" w:hAnsi="Times New Roman"/>
                      <w:bCs/>
                      <w:color w:val="auto"/>
                      <w:sz w:val="18"/>
                      <w:szCs w:val="18"/>
                    </w:rPr>
                    <w:t>4、记录各项环保设施的试运行状况，针对出现问题提出完善意见。</w:t>
                  </w:r>
                </w:p>
                <w:p w14:paraId="5B954E33">
                  <w:pPr>
                    <w:pStyle w:val="24"/>
                    <w:rPr>
                      <w:rFonts w:ascii="Times New Roman" w:hAnsi="Times New Roman"/>
                      <w:bCs/>
                      <w:color w:val="auto"/>
                      <w:sz w:val="18"/>
                      <w:szCs w:val="18"/>
                    </w:rPr>
                  </w:pPr>
                  <w:r>
                    <w:rPr>
                      <w:rFonts w:ascii="Times New Roman" w:hAnsi="Times New Roman"/>
                      <w:bCs/>
                      <w:color w:val="auto"/>
                      <w:sz w:val="18"/>
                      <w:szCs w:val="18"/>
                    </w:rPr>
                    <w:t>5、总结试运行期的生产经验，健全前期制定各项管理制度。</w:t>
                  </w:r>
                </w:p>
                <w:p w14:paraId="30E132F3">
                  <w:pPr>
                    <w:pStyle w:val="24"/>
                    <w:rPr>
                      <w:rFonts w:ascii="Times New Roman" w:hAnsi="Times New Roman"/>
                      <w:bCs/>
                      <w:color w:val="auto"/>
                      <w:sz w:val="18"/>
                      <w:szCs w:val="18"/>
                    </w:rPr>
                  </w:pPr>
                  <w:r>
                    <w:rPr>
                      <w:rFonts w:ascii="Times New Roman" w:hAnsi="Times New Roman"/>
                      <w:bCs/>
                      <w:color w:val="auto"/>
                      <w:sz w:val="18"/>
                      <w:szCs w:val="18"/>
                    </w:rPr>
                    <w:t>6、生产装置生产三个月内，进行环保设施的竣工验收。</w:t>
                  </w:r>
                </w:p>
              </w:tc>
            </w:tr>
            <w:tr w14:paraId="473D3B9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65" w:hRule="atLeast"/>
                <w:jc w:val="center"/>
              </w:trPr>
              <w:tc>
                <w:tcPr>
                  <w:tcW w:w="821" w:type="pct"/>
                  <w:vAlign w:val="center"/>
                </w:tcPr>
                <w:p w14:paraId="467B89EF">
                  <w:pPr>
                    <w:pStyle w:val="24"/>
                    <w:jc w:val="center"/>
                    <w:rPr>
                      <w:rFonts w:ascii="Times New Roman" w:hAnsi="Times New Roman"/>
                      <w:bCs/>
                      <w:color w:val="auto"/>
                      <w:sz w:val="18"/>
                      <w:szCs w:val="18"/>
                    </w:rPr>
                  </w:pPr>
                  <w:r>
                    <w:rPr>
                      <w:rFonts w:ascii="Times New Roman" w:hAnsi="Times New Roman"/>
                      <w:bCs/>
                      <w:color w:val="auto"/>
                      <w:sz w:val="18"/>
                      <w:szCs w:val="18"/>
                    </w:rPr>
                    <w:t>生产运行期</w:t>
                  </w:r>
                </w:p>
              </w:tc>
              <w:tc>
                <w:tcPr>
                  <w:tcW w:w="4179" w:type="pct"/>
                  <w:vAlign w:val="center"/>
                </w:tcPr>
                <w:p w14:paraId="5CD686BE">
                  <w:pPr>
                    <w:pStyle w:val="24"/>
                    <w:rPr>
                      <w:rFonts w:ascii="Times New Roman" w:hAnsi="Times New Roman"/>
                      <w:bCs/>
                      <w:color w:val="auto"/>
                      <w:sz w:val="18"/>
                      <w:szCs w:val="18"/>
                    </w:rPr>
                  </w:pPr>
                  <w:r>
                    <w:rPr>
                      <w:rFonts w:ascii="Times New Roman" w:hAnsi="Times New Roman"/>
                      <w:bCs/>
                      <w:color w:val="auto"/>
                      <w:sz w:val="18"/>
                      <w:szCs w:val="18"/>
                    </w:rPr>
                    <w:t>1、严格执行各项生产及环境管理制度，保证生产的正常进行。</w:t>
                  </w:r>
                </w:p>
                <w:p w14:paraId="253F46C0">
                  <w:pPr>
                    <w:pStyle w:val="24"/>
                    <w:rPr>
                      <w:rFonts w:ascii="Times New Roman" w:hAnsi="Times New Roman"/>
                      <w:bCs/>
                      <w:color w:val="auto"/>
                      <w:sz w:val="18"/>
                      <w:szCs w:val="18"/>
                    </w:rPr>
                  </w:pPr>
                  <w:r>
                    <w:rPr>
                      <w:rFonts w:ascii="Times New Roman" w:hAnsi="Times New Roman"/>
                      <w:bCs/>
                      <w:color w:val="auto"/>
                      <w:sz w:val="18"/>
                      <w:szCs w:val="18"/>
                    </w:rPr>
                    <w:t>2、设立环保设施运行卡，对环保设施定期进行检查维护，做到勤查、勤记、勤养护。</w:t>
                  </w:r>
                </w:p>
                <w:p w14:paraId="62D3FAD7">
                  <w:pPr>
                    <w:pStyle w:val="24"/>
                    <w:rPr>
                      <w:rFonts w:ascii="Times New Roman" w:hAnsi="Times New Roman"/>
                      <w:bCs/>
                      <w:color w:val="auto"/>
                      <w:sz w:val="18"/>
                      <w:szCs w:val="18"/>
                    </w:rPr>
                  </w:pPr>
                  <w:r>
                    <w:rPr>
                      <w:rFonts w:ascii="Times New Roman" w:hAnsi="Times New Roman"/>
                      <w:bCs/>
                      <w:color w:val="auto"/>
                      <w:sz w:val="18"/>
                      <w:szCs w:val="18"/>
                    </w:rPr>
                    <w:t>3、按照监测计划组织厂内的污染源监测，对不达标装置立即寻找原因，及时处理。</w:t>
                  </w:r>
                </w:p>
                <w:p w14:paraId="78DD5D50">
                  <w:pPr>
                    <w:pStyle w:val="24"/>
                    <w:rPr>
                      <w:rFonts w:ascii="Times New Roman" w:hAnsi="Times New Roman"/>
                      <w:bCs/>
                      <w:color w:val="auto"/>
                      <w:sz w:val="18"/>
                      <w:szCs w:val="18"/>
                    </w:rPr>
                  </w:pPr>
                  <w:r>
                    <w:rPr>
                      <w:rFonts w:ascii="Times New Roman" w:hAnsi="Times New Roman"/>
                      <w:bCs/>
                      <w:color w:val="auto"/>
                      <w:sz w:val="18"/>
                      <w:szCs w:val="18"/>
                    </w:rPr>
                    <w:t>4、不断加强技术培训，组织企业技术交流，提高操作水平，保持操作工人队伍稳定。</w:t>
                  </w:r>
                </w:p>
                <w:p w14:paraId="6C5AE3B8">
                  <w:pPr>
                    <w:pStyle w:val="24"/>
                    <w:rPr>
                      <w:rFonts w:ascii="Times New Roman" w:hAnsi="Times New Roman"/>
                      <w:bCs/>
                      <w:color w:val="auto"/>
                      <w:sz w:val="18"/>
                      <w:szCs w:val="18"/>
                    </w:rPr>
                  </w:pPr>
                  <w:r>
                    <w:rPr>
                      <w:rFonts w:ascii="Times New Roman" w:hAnsi="Times New Roman"/>
                      <w:bCs/>
                      <w:color w:val="auto"/>
                      <w:sz w:val="18"/>
                      <w:szCs w:val="18"/>
                    </w:rPr>
                    <w:t>5、建立环境管理台账制度，应真实记录基本信息、产污设施运行管理信息、污染防治设施运行管理信息、监测记录信息及其他环境管理信息等；按照电子台账和纸质台账两种记录形式同步管理。</w:t>
                  </w:r>
                </w:p>
              </w:tc>
            </w:tr>
          </w:tbl>
          <w:p w14:paraId="0EB5434B">
            <w:pPr>
              <w:spacing w:line="360" w:lineRule="auto"/>
              <w:ind w:firstLine="422" w:firstLineChars="200"/>
              <w:rPr>
                <w:b/>
                <w:snapToGrid w:val="0"/>
                <w:color w:val="auto"/>
                <w:kern w:val="0"/>
                <w:szCs w:val="21"/>
              </w:rPr>
            </w:pPr>
            <w:bookmarkStart w:id="7" w:name="_Toc15842"/>
            <w:r>
              <w:rPr>
                <w:rFonts w:hint="eastAsia"/>
                <w:b/>
                <w:snapToGrid w:val="0"/>
                <w:color w:val="auto"/>
                <w:kern w:val="0"/>
                <w:szCs w:val="21"/>
              </w:rPr>
              <w:t>3</w:t>
            </w:r>
            <w:r>
              <w:rPr>
                <w:b/>
                <w:snapToGrid w:val="0"/>
                <w:color w:val="auto"/>
                <w:kern w:val="0"/>
                <w:szCs w:val="21"/>
              </w:rPr>
              <w:t>、排污口规范化设置</w:t>
            </w:r>
            <w:bookmarkEnd w:id="7"/>
          </w:p>
          <w:p w14:paraId="0751F549">
            <w:pPr>
              <w:spacing w:line="360" w:lineRule="auto"/>
              <w:ind w:firstLine="420" w:firstLineChars="200"/>
              <w:rPr>
                <w:snapToGrid w:val="0"/>
                <w:color w:val="auto"/>
                <w:kern w:val="0"/>
                <w:szCs w:val="21"/>
              </w:rPr>
            </w:pPr>
            <w:r>
              <w:rPr>
                <w:snapToGrid w:val="0"/>
                <w:color w:val="auto"/>
                <w:kern w:val="0"/>
                <w:szCs w:val="21"/>
              </w:rPr>
              <w:t>项目需要按照要求设立排污口。</w:t>
            </w:r>
            <w:r>
              <w:rPr>
                <w:snapToGrid w:val="0"/>
                <w:color w:val="auto"/>
                <w:kern w:val="0"/>
                <w:szCs w:val="21"/>
                <w:highlight w:val="none"/>
              </w:rPr>
              <w:t>废气排放口</w:t>
            </w:r>
            <w:r>
              <w:rPr>
                <w:snapToGrid w:val="0"/>
                <w:color w:val="auto"/>
                <w:kern w:val="0"/>
                <w:szCs w:val="21"/>
              </w:rPr>
              <w:t>应进行规范化设计，具备采样、监测条件，排放口附近树立环保图形标志牌。排污口应符合“一明显、二合理、三便于”的要求，即环保标志明显，排污口设置合理，排污去向合理，便于采集样品，便于监测计量，便于公众监督管理。</w:t>
            </w:r>
          </w:p>
          <w:p w14:paraId="41C1CE63">
            <w:pPr>
              <w:spacing w:line="360" w:lineRule="auto"/>
              <w:ind w:firstLine="420" w:firstLineChars="200"/>
              <w:rPr>
                <w:bCs/>
                <w:color w:val="auto"/>
                <w:szCs w:val="21"/>
              </w:rPr>
            </w:pPr>
            <w:r>
              <w:rPr>
                <w:snapToGrid w:val="0"/>
                <w:color w:val="auto"/>
                <w:kern w:val="0"/>
                <w:szCs w:val="21"/>
              </w:rPr>
              <w:t>具体要求见表5-2。</w:t>
            </w:r>
          </w:p>
          <w:p w14:paraId="68ABDEFE">
            <w:pPr>
              <w:autoSpaceDE w:val="0"/>
              <w:autoSpaceDN w:val="0"/>
              <w:adjustRightInd w:val="0"/>
              <w:snapToGrid w:val="0"/>
              <w:jc w:val="center"/>
              <w:rPr>
                <w:b/>
                <w:color w:val="auto"/>
                <w:sz w:val="18"/>
                <w:szCs w:val="18"/>
              </w:rPr>
            </w:pPr>
            <w:r>
              <w:rPr>
                <w:b/>
                <w:color w:val="auto"/>
                <w:sz w:val="18"/>
                <w:szCs w:val="18"/>
              </w:rPr>
              <w:t>表5-2</w:t>
            </w:r>
            <w:r>
              <w:rPr>
                <w:rFonts w:hint="eastAsia"/>
                <w:b/>
                <w:color w:val="auto"/>
                <w:sz w:val="18"/>
                <w:szCs w:val="18"/>
              </w:rPr>
              <w:t xml:space="preserve">  </w:t>
            </w:r>
            <w:r>
              <w:rPr>
                <w:b/>
                <w:color w:val="auto"/>
                <w:sz w:val="18"/>
                <w:szCs w:val="18"/>
              </w:rPr>
              <w:t>环境保护图形标志</w:t>
            </w:r>
          </w:p>
          <w:tbl>
            <w:tblPr>
              <w:tblStyle w:val="47"/>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31"/>
              <w:gridCol w:w="1718"/>
              <w:gridCol w:w="1790"/>
              <w:gridCol w:w="1634"/>
            </w:tblGrid>
            <w:tr w14:paraId="5538C8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8" w:hRule="atLeast"/>
                <w:jc w:val="center"/>
              </w:trPr>
              <w:tc>
                <w:tcPr>
                  <w:tcW w:w="1339" w:type="pct"/>
                  <w:vAlign w:val="center"/>
                </w:tcPr>
                <w:p w14:paraId="6B2AB908">
                  <w:pPr>
                    <w:rPr>
                      <w:color w:val="auto"/>
                      <w:szCs w:val="21"/>
                    </w:rPr>
                  </w:pPr>
                  <w:r>
                    <w:rPr>
                      <w:color w:val="auto"/>
                      <w:szCs w:val="21"/>
                    </w:rPr>
                    <w:drawing>
                      <wp:inline distT="0" distB="0" distL="0" distR="0">
                        <wp:extent cx="1069975" cy="1017905"/>
                        <wp:effectExtent l="19050" t="0" r="0" b="0"/>
                        <wp:docPr id="12" name="图片 97" descr="点击看大图及详细资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97" descr="点击看大图及详细资料"/>
                                <pic:cNvPicPr>
                                  <a:picLocks noChangeAspect="1" noChangeArrowheads="1"/>
                                </pic:cNvPicPr>
                              </pic:nvPicPr>
                              <pic:blipFill>
                                <a:blip r:embed="rId38" cstate="print"/>
                                <a:srcRect/>
                                <a:stretch>
                                  <a:fillRect/>
                                </a:stretch>
                              </pic:blipFill>
                              <pic:spPr>
                                <a:xfrm>
                                  <a:off x="0" y="0"/>
                                  <a:ext cx="1069975" cy="1017905"/>
                                </a:xfrm>
                                <a:prstGeom prst="rect">
                                  <a:avLst/>
                                </a:prstGeom>
                                <a:noFill/>
                                <a:ln w="9525">
                                  <a:noFill/>
                                  <a:miter lim="800000"/>
                                  <a:headEnd/>
                                  <a:tailEnd/>
                                </a:ln>
                              </pic:spPr>
                            </pic:pic>
                          </a:graphicData>
                        </a:graphic>
                      </wp:inline>
                    </w:drawing>
                  </w:r>
                  <w:r>
                    <w:rPr>
                      <w:color w:val="auto"/>
                    </w:rPr>
                    <w:fldChar w:fldCharType="begin"/>
                  </w:r>
                  <w:r>
                    <w:rPr>
                      <w:color w:val="auto"/>
                    </w:rPr>
                    <w:instrText xml:space="preserve"> HYPERLINK "http://www.biaozhi.net/eNews/news/200602/0029_0000000905.shtml" \t "_blank" </w:instrText>
                  </w:r>
                  <w:r>
                    <w:rPr>
                      <w:color w:val="auto"/>
                    </w:rPr>
                    <w:fldChar w:fldCharType="separate"/>
                  </w:r>
                  <w:r>
                    <w:rPr>
                      <w:color w:val="auto"/>
                    </w:rPr>
                    <w:fldChar w:fldCharType="end"/>
                  </w:r>
                </w:p>
              </w:tc>
              <w:tc>
                <w:tcPr>
                  <w:tcW w:w="1222" w:type="pct"/>
                  <w:vAlign w:val="center"/>
                </w:tcPr>
                <w:p w14:paraId="03D0C931">
                  <w:pPr>
                    <w:rPr>
                      <w:color w:val="auto"/>
                      <w:szCs w:val="21"/>
                    </w:rPr>
                  </w:pPr>
                  <w:r>
                    <w:rPr>
                      <w:color w:val="auto"/>
                      <w:szCs w:val="21"/>
                    </w:rPr>
                    <w:t>废气排放口</w:t>
                  </w:r>
                </w:p>
                <w:p w14:paraId="4D3DE76C">
                  <w:pPr>
                    <w:rPr>
                      <w:color w:val="auto"/>
                      <w:szCs w:val="21"/>
                    </w:rPr>
                  </w:pPr>
                  <w:r>
                    <w:rPr>
                      <w:color w:val="auto"/>
                      <w:szCs w:val="21"/>
                    </w:rPr>
                    <w:t>表示废气向大气环境排放</w:t>
                  </w:r>
                </w:p>
              </w:tc>
              <w:tc>
                <w:tcPr>
                  <w:tcW w:w="1273" w:type="pct"/>
                  <w:vAlign w:val="center"/>
                </w:tcPr>
                <w:p w14:paraId="741E5656">
                  <w:pPr>
                    <w:rPr>
                      <w:color w:val="auto"/>
                      <w:szCs w:val="21"/>
                    </w:rPr>
                  </w:pPr>
                  <w:r>
                    <w:rPr>
                      <w:color w:val="auto"/>
                      <w:szCs w:val="21"/>
                    </w:rPr>
                    <w:drawing>
                      <wp:inline distT="0" distB="0" distL="0" distR="0">
                        <wp:extent cx="914400" cy="914400"/>
                        <wp:effectExtent l="19050" t="0" r="0" b="0"/>
                        <wp:docPr id="13" name="图片 35" descr="点击看大图及详细资料">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5" descr="点击看大图及详细资料"/>
                                <pic:cNvPicPr>
                                  <a:picLocks noChangeAspect="1" noChangeArrowheads="1"/>
                                </pic:cNvPicPr>
                              </pic:nvPicPr>
                              <pic:blipFill>
                                <a:blip r:embed="rId40" cstate="print"/>
                                <a:srcRect/>
                                <a:stretch>
                                  <a:fillRect/>
                                </a:stretch>
                              </pic:blipFill>
                              <pic:spPr>
                                <a:xfrm>
                                  <a:off x="0" y="0"/>
                                  <a:ext cx="914400" cy="914400"/>
                                </a:xfrm>
                                <a:prstGeom prst="rect">
                                  <a:avLst/>
                                </a:prstGeom>
                                <a:noFill/>
                                <a:ln w="9525">
                                  <a:noFill/>
                                  <a:miter lim="800000"/>
                                  <a:headEnd/>
                                  <a:tailEnd/>
                                </a:ln>
                              </pic:spPr>
                            </pic:pic>
                          </a:graphicData>
                        </a:graphic>
                      </wp:inline>
                    </w:drawing>
                  </w:r>
                </w:p>
              </w:tc>
              <w:tc>
                <w:tcPr>
                  <w:tcW w:w="1163" w:type="pct"/>
                  <w:vAlign w:val="center"/>
                </w:tcPr>
                <w:p w14:paraId="7731009B">
                  <w:pPr>
                    <w:rPr>
                      <w:color w:val="auto"/>
                      <w:szCs w:val="21"/>
                    </w:rPr>
                  </w:pPr>
                  <w:r>
                    <w:rPr>
                      <w:color w:val="auto"/>
                      <w:szCs w:val="21"/>
                    </w:rPr>
                    <w:t>噪声排放源</w:t>
                  </w:r>
                </w:p>
                <w:p w14:paraId="160BE746">
                  <w:pPr>
                    <w:rPr>
                      <w:color w:val="auto"/>
                      <w:szCs w:val="21"/>
                    </w:rPr>
                  </w:pPr>
                  <w:r>
                    <w:rPr>
                      <w:color w:val="auto"/>
                      <w:szCs w:val="21"/>
                    </w:rPr>
                    <w:t>表示噪声向外环境排放</w:t>
                  </w:r>
                </w:p>
              </w:tc>
            </w:tr>
            <w:tr w14:paraId="2318F8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6" w:hRule="atLeast"/>
                <w:jc w:val="center"/>
              </w:trPr>
              <w:tc>
                <w:tcPr>
                  <w:tcW w:w="1339" w:type="pct"/>
                  <w:vAlign w:val="center"/>
                </w:tcPr>
                <w:p w14:paraId="508C5272">
                  <w:pPr>
                    <w:rPr>
                      <w:color w:val="auto"/>
                      <w:szCs w:val="21"/>
                    </w:rPr>
                  </w:pPr>
                  <w:r>
                    <w:rPr>
                      <w:color w:val="auto"/>
                      <w:szCs w:val="21"/>
                    </w:rPr>
                    <w:drawing>
                      <wp:anchor distT="0" distB="0" distL="114300" distR="114300" simplePos="0" relativeHeight="251664384" behindDoc="0" locked="0" layoutInCell="1" allowOverlap="1">
                        <wp:simplePos x="0" y="0"/>
                        <wp:positionH relativeFrom="column">
                          <wp:posOffset>-2540</wp:posOffset>
                        </wp:positionH>
                        <wp:positionV relativeFrom="paragraph">
                          <wp:posOffset>-353695</wp:posOffset>
                        </wp:positionV>
                        <wp:extent cx="1076325" cy="845185"/>
                        <wp:effectExtent l="19050" t="0" r="9525" b="0"/>
                        <wp:wrapSquare wrapText="bothSides"/>
                        <wp:docPr id="53"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47"/>
                                <pic:cNvPicPr>
                                  <a:picLocks noChangeAspect="1" noChangeArrowheads="1"/>
                                </pic:cNvPicPr>
                              </pic:nvPicPr>
                              <pic:blipFill>
                                <a:blip r:embed="rId41" cstate="print"/>
                                <a:srcRect/>
                                <a:stretch>
                                  <a:fillRect/>
                                </a:stretch>
                              </pic:blipFill>
                              <pic:spPr>
                                <a:xfrm>
                                  <a:off x="0" y="0"/>
                                  <a:ext cx="1076325" cy="845185"/>
                                </a:xfrm>
                                <a:prstGeom prst="rect">
                                  <a:avLst/>
                                </a:prstGeom>
                                <a:noFill/>
                                <a:ln w="9525">
                                  <a:noFill/>
                                  <a:miter lim="800000"/>
                                  <a:headEnd/>
                                  <a:tailEnd/>
                                </a:ln>
                              </pic:spPr>
                            </pic:pic>
                          </a:graphicData>
                        </a:graphic>
                      </wp:anchor>
                    </w:drawing>
                  </w:r>
                </w:p>
              </w:tc>
              <w:tc>
                <w:tcPr>
                  <w:tcW w:w="1222" w:type="pct"/>
                  <w:shd w:val="clear" w:color="auto" w:fill="auto"/>
                  <w:vAlign w:val="center"/>
                </w:tcPr>
                <w:p w14:paraId="26DDC333">
                  <w:pPr>
                    <w:rPr>
                      <w:color w:val="auto"/>
                      <w:szCs w:val="21"/>
                    </w:rPr>
                  </w:pPr>
                  <w:r>
                    <w:rPr>
                      <w:rFonts w:hint="eastAsia"/>
                      <w:color w:val="auto"/>
                      <w:szCs w:val="21"/>
                    </w:rPr>
                    <w:t>危险废物提示图形符合</w:t>
                  </w:r>
                </w:p>
                <w:p w14:paraId="2D8DF231">
                  <w:pPr>
                    <w:rPr>
                      <w:rFonts w:hint="default" w:ascii="Times New Roman" w:hAnsi="Times New Roman" w:eastAsia="宋体" w:cs="Times New Roman"/>
                      <w:color w:val="auto"/>
                      <w:kern w:val="2"/>
                      <w:sz w:val="21"/>
                      <w:szCs w:val="21"/>
                      <w:lang w:val="en-US" w:eastAsia="zh-CN" w:bidi="ar-SA"/>
                    </w:rPr>
                  </w:pPr>
                  <w:r>
                    <w:rPr>
                      <w:rFonts w:hint="eastAsia"/>
                      <w:color w:val="auto"/>
                      <w:szCs w:val="21"/>
                    </w:rPr>
                    <w:t>表示危险废物贮存、处置场</w:t>
                  </w:r>
                </w:p>
              </w:tc>
              <w:tc>
                <w:tcPr>
                  <w:tcW w:w="1273" w:type="pct"/>
                  <w:vAlign w:val="center"/>
                </w:tcPr>
                <w:p w14:paraId="1444A6EB">
                  <w:pPr>
                    <w:rPr>
                      <w:color w:val="auto"/>
                      <w:szCs w:val="21"/>
                    </w:rPr>
                  </w:pPr>
                </w:p>
              </w:tc>
              <w:tc>
                <w:tcPr>
                  <w:tcW w:w="1163" w:type="pct"/>
                  <w:vAlign w:val="center"/>
                </w:tcPr>
                <w:p w14:paraId="7CAD4B73">
                  <w:pPr>
                    <w:rPr>
                      <w:color w:val="auto"/>
                      <w:szCs w:val="21"/>
                    </w:rPr>
                  </w:pPr>
                </w:p>
              </w:tc>
            </w:tr>
          </w:tbl>
          <w:p w14:paraId="41025D30">
            <w:pPr>
              <w:spacing w:line="360" w:lineRule="auto"/>
              <w:ind w:firstLine="422" w:firstLineChars="200"/>
              <w:rPr>
                <w:b/>
                <w:snapToGrid w:val="0"/>
                <w:color w:val="auto"/>
                <w:kern w:val="0"/>
                <w:szCs w:val="21"/>
              </w:rPr>
            </w:pPr>
            <w:r>
              <w:rPr>
                <w:rFonts w:hint="eastAsia"/>
                <w:b/>
                <w:snapToGrid w:val="0"/>
                <w:color w:val="auto"/>
                <w:kern w:val="0"/>
                <w:szCs w:val="21"/>
              </w:rPr>
              <w:t>4</w:t>
            </w:r>
            <w:r>
              <w:rPr>
                <w:b/>
                <w:snapToGrid w:val="0"/>
                <w:color w:val="auto"/>
                <w:kern w:val="0"/>
                <w:szCs w:val="21"/>
              </w:rPr>
              <w:t>、管理监测信息公开</w:t>
            </w:r>
          </w:p>
          <w:p w14:paraId="02E2AC6D">
            <w:pPr>
              <w:spacing w:line="360" w:lineRule="auto"/>
              <w:ind w:firstLine="420" w:firstLineChars="200"/>
              <w:rPr>
                <w:snapToGrid w:val="0"/>
                <w:color w:val="auto"/>
                <w:kern w:val="0"/>
                <w:szCs w:val="21"/>
              </w:rPr>
            </w:pPr>
            <w:r>
              <w:rPr>
                <w:snapToGrid w:val="0"/>
                <w:color w:val="auto"/>
                <w:kern w:val="0"/>
                <w:szCs w:val="21"/>
              </w:rPr>
              <w:t>根据《企业事业单位环境信息公开办法》，企业事业单位应当建立健全本单位环境信息公开制度，指定机构负责本单位环境信息公开日常工作，通过其网站、企业事业单位环境信息公开平台或者当地报刊等便于公众知晓的方式公开环境信息，主要公开内容如下：</w:t>
            </w:r>
          </w:p>
          <w:p w14:paraId="20372174">
            <w:pPr>
              <w:spacing w:line="360" w:lineRule="auto"/>
              <w:ind w:firstLine="420" w:firstLineChars="200"/>
              <w:rPr>
                <w:snapToGrid w:val="0"/>
                <w:color w:val="auto"/>
                <w:kern w:val="0"/>
                <w:szCs w:val="21"/>
              </w:rPr>
            </w:pPr>
            <w:r>
              <w:rPr>
                <w:snapToGrid w:val="0"/>
                <w:color w:val="auto"/>
                <w:kern w:val="0"/>
                <w:szCs w:val="21"/>
              </w:rPr>
              <w:t>1）基础信息，包括单位名称、组织机构代码、法定代表人、生产地址、联系方式，以及生产经营和管理服务的主要内容、产品及规模；</w:t>
            </w:r>
          </w:p>
          <w:p w14:paraId="485BC0B2">
            <w:pPr>
              <w:spacing w:line="360" w:lineRule="auto"/>
              <w:ind w:firstLine="420" w:firstLineChars="200"/>
              <w:rPr>
                <w:snapToGrid w:val="0"/>
                <w:color w:val="auto"/>
                <w:kern w:val="0"/>
                <w:szCs w:val="21"/>
              </w:rPr>
            </w:pPr>
            <w:r>
              <w:rPr>
                <w:snapToGrid w:val="0"/>
                <w:color w:val="auto"/>
                <w:kern w:val="0"/>
                <w:szCs w:val="21"/>
              </w:rPr>
              <w:t>2）排污信息，包括主要污染物及特征污染物的名称、排放方式、排放口数量和分布情况、排放浓度和总量、超标情况以及执行的污染物排放标准、核定的排放总量；</w:t>
            </w:r>
          </w:p>
          <w:p w14:paraId="32780E33">
            <w:pPr>
              <w:spacing w:line="360" w:lineRule="auto"/>
              <w:ind w:firstLine="420" w:firstLineChars="200"/>
              <w:rPr>
                <w:snapToGrid w:val="0"/>
                <w:color w:val="auto"/>
                <w:kern w:val="0"/>
                <w:szCs w:val="21"/>
              </w:rPr>
            </w:pPr>
            <w:r>
              <w:rPr>
                <w:snapToGrid w:val="0"/>
                <w:color w:val="auto"/>
                <w:kern w:val="0"/>
                <w:szCs w:val="21"/>
              </w:rPr>
              <w:t>3）防治污染设施的建设和运行情况；</w:t>
            </w:r>
          </w:p>
          <w:p w14:paraId="01260A16">
            <w:pPr>
              <w:spacing w:line="360" w:lineRule="auto"/>
              <w:ind w:firstLine="420" w:firstLineChars="200"/>
              <w:rPr>
                <w:snapToGrid w:val="0"/>
                <w:color w:val="auto"/>
                <w:kern w:val="0"/>
                <w:szCs w:val="21"/>
              </w:rPr>
            </w:pPr>
            <w:r>
              <w:rPr>
                <w:snapToGrid w:val="0"/>
                <w:color w:val="auto"/>
                <w:kern w:val="0"/>
                <w:szCs w:val="21"/>
              </w:rPr>
              <w:t>4）建设项目环境影响评价及其他环境保护行政许可情况；</w:t>
            </w:r>
          </w:p>
          <w:p w14:paraId="075F6CB2">
            <w:pPr>
              <w:spacing w:line="360" w:lineRule="auto"/>
              <w:ind w:firstLine="420" w:firstLineChars="200"/>
              <w:rPr>
                <w:snapToGrid w:val="0"/>
                <w:color w:val="auto"/>
                <w:kern w:val="0"/>
                <w:szCs w:val="21"/>
              </w:rPr>
            </w:pPr>
            <w:r>
              <w:rPr>
                <w:snapToGrid w:val="0"/>
                <w:color w:val="auto"/>
                <w:kern w:val="0"/>
                <w:szCs w:val="21"/>
              </w:rPr>
              <w:t>5）其他应当公开的环境信息。如竣工环境保护验收备案、自行监测工作开展情况及监测结果。</w:t>
            </w:r>
          </w:p>
          <w:p w14:paraId="717A53A2">
            <w:pPr>
              <w:adjustRightInd w:val="0"/>
              <w:snapToGrid w:val="0"/>
              <w:rPr>
                <w:color w:val="auto"/>
                <w:szCs w:val="21"/>
              </w:rPr>
            </w:pPr>
          </w:p>
          <w:p w14:paraId="015023B4">
            <w:pPr>
              <w:adjustRightInd w:val="0"/>
              <w:snapToGrid w:val="0"/>
              <w:rPr>
                <w:color w:val="auto"/>
                <w:szCs w:val="21"/>
              </w:rPr>
            </w:pPr>
          </w:p>
          <w:p w14:paraId="685D0287">
            <w:pPr>
              <w:adjustRightInd w:val="0"/>
              <w:snapToGrid w:val="0"/>
              <w:rPr>
                <w:color w:val="auto"/>
                <w:szCs w:val="21"/>
              </w:rPr>
            </w:pPr>
          </w:p>
          <w:p w14:paraId="09DC10D5">
            <w:pPr>
              <w:adjustRightInd w:val="0"/>
              <w:snapToGrid w:val="0"/>
              <w:rPr>
                <w:color w:val="auto"/>
                <w:szCs w:val="21"/>
              </w:rPr>
            </w:pPr>
          </w:p>
          <w:p w14:paraId="05A5544E">
            <w:pPr>
              <w:adjustRightInd w:val="0"/>
              <w:snapToGrid w:val="0"/>
              <w:rPr>
                <w:color w:val="auto"/>
                <w:szCs w:val="21"/>
              </w:rPr>
            </w:pPr>
          </w:p>
          <w:p w14:paraId="1A9B3962">
            <w:pPr>
              <w:adjustRightInd w:val="0"/>
              <w:snapToGrid w:val="0"/>
              <w:rPr>
                <w:color w:val="auto"/>
                <w:szCs w:val="21"/>
              </w:rPr>
            </w:pPr>
          </w:p>
          <w:p w14:paraId="3DBD620E">
            <w:pPr>
              <w:adjustRightInd w:val="0"/>
              <w:snapToGrid w:val="0"/>
              <w:rPr>
                <w:color w:val="auto"/>
                <w:szCs w:val="21"/>
              </w:rPr>
            </w:pPr>
          </w:p>
          <w:p w14:paraId="706DFE44">
            <w:pPr>
              <w:adjustRightInd w:val="0"/>
              <w:snapToGrid w:val="0"/>
              <w:rPr>
                <w:color w:val="auto"/>
                <w:szCs w:val="21"/>
              </w:rPr>
            </w:pPr>
          </w:p>
          <w:p w14:paraId="6ED6DBFD">
            <w:pPr>
              <w:adjustRightInd w:val="0"/>
              <w:snapToGrid w:val="0"/>
              <w:rPr>
                <w:color w:val="auto"/>
                <w:szCs w:val="21"/>
              </w:rPr>
            </w:pPr>
          </w:p>
          <w:p w14:paraId="6DE7A6FF">
            <w:pPr>
              <w:adjustRightInd w:val="0"/>
              <w:snapToGrid w:val="0"/>
              <w:rPr>
                <w:color w:val="auto"/>
                <w:szCs w:val="21"/>
              </w:rPr>
            </w:pPr>
          </w:p>
          <w:p w14:paraId="34655240">
            <w:pPr>
              <w:adjustRightInd w:val="0"/>
              <w:snapToGrid w:val="0"/>
              <w:rPr>
                <w:color w:val="auto"/>
                <w:szCs w:val="21"/>
              </w:rPr>
            </w:pPr>
          </w:p>
          <w:p w14:paraId="386C603E">
            <w:pPr>
              <w:adjustRightInd w:val="0"/>
              <w:snapToGrid w:val="0"/>
              <w:rPr>
                <w:color w:val="auto"/>
                <w:szCs w:val="21"/>
              </w:rPr>
            </w:pPr>
          </w:p>
          <w:p w14:paraId="0107EE76">
            <w:pPr>
              <w:adjustRightInd w:val="0"/>
              <w:snapToGrid w:val="0"/>
              <w:rPr>
                <w:color w:val="auto"/>
                <w:szCs w:val="21"/>
              </w:rPr>
            </w:pPr>
          </w:p>
          <w:p w14:paraId="37703589">
            <w:pPr>
              <w:adjustRightInd w:val="0"/>
              <w:snapToGrid w:val="0"/>
              <w:rPr>
                <w:color w:val="auto"/>
                <w:szCs w:val="21"/>
              </w:rPr>
            </w:pPr>
          </w:p>
          <w:p w14:paraId="05281A6E">
            <w:pPr>
              <w:adjustRightInd w:val="0"/>
              <w:snapToGrid w:val="0"/>
              <w:rPr>
                <w:color w:val="auto"/>
                <w:szCs w:val="21"/>
              </w:rPr>
            </w:pPr>
          </w:p>
          <w:p w14:paraId="034ABA90">
            <w:pPr>
              <w:adjustRightInd w:val="0"/>
              <w:snapToGrid w:val="0"/>
              <w:rPr>
                <w:color w:val="auto"/>
                <w:szCs w:val="21"/>
              </w:rPr>
            </w:pPr>
          </w:p>
          <w:p w14:paraId="55E4F405">
            <w:pPr>
              <w:adjustRightInd w:val="0"/>
              <w:snapToGrid w:val="0"/>
              <w:rPr>
                <w:color w:val="auto"/>
                <w:szCs w:val="21"/>
              </w:rPr>
            </w:pPr>
          </w:p>
          <w:p w14:paraId="2D98E963">
            <w:pPr>
              <w:adjustRightInd w:val="0"/>
              <w:snapToGrid w:val="0"/>
              <w:rPr>
                <w:color w:val="auto"/>
                <w:szCs w:val="21"/>
              </w:rPr>
            </w:pPr>
          </w:p>
          <w:p w14:paraId="5089FB76">
            <w:pPr>
              <w:adjustRightInd w:val="0"/>
              <w:snapToGrid w:val="0"/>
              <w:rPr>
                <w:color w:val="auto"/>
                <w:szCs w:val="21"/>
              </w:rPr>
            </w:pPr>
          </w:p>
          <w:p w14:paraId="4EF6C6EB">
            <w:pPr>
              <w:adjustRightInd w:val="0"/>
              <w:snapToGrid w:val="0"/>
              <w:rPr>
                <w:color w:val="auto"/>
                <w:szCs w:val="21"/>
              </w:rPr>
            </w:pPr>
          </w:p>
          <w:p w14:paraId="0206BAA3">
            <w:pPr>
              <w:adjustRightInd w:val="0"/>
              <w:snapToGrid w:val="0"/>
              <w:rPr>
                <w:color w:val="auto"/>
                <w:szCs w:val="21"/>
              </w:rPr>
            </w:pPr>
          </w:p>
          <w:p w14:paraId="357044C0">
            <w:pPr>
              <w:adjustRightInd w:val="0"/>
              <w:snapToGrid w:val="0"/>
              <w:rPr>
                <w:color w:val="auto"/>
                <w:szCs w:val="21"/>
              </w:rPr>
            </w:pPr>
          </w:p>
          <w:p w14:paraId="33E8B6C6">
            <w:pPr>
              <w:adjustRightInd w:val="0"/>
              <w:snapToGrid w:val="0"/>
              <w:rPr>
                <w:color w:val="auto"/>
                <w:szCs w:val="21"/>
              </w:rPr>
            </w:pPr>
          </w:p>
          <w:p w14:paraId="4D91280C">
            <w:pPr>
              <w:adjustRightInd w:val="0"/>
              <w:snapToGrid w:val="0"/>
              <w:rPr>
                <w:color w:val="auto"/>
                <w:szCs w:val="21"/>
              </w:rPr>
            </w:pPr>
          </w:p>
          <w:p w14:paraId="6280C355">
            <w:pPr>
              <w:adjustRightInd w:val="0"/>
              <w:snapToGrid w:val="0"/>
              <w:rPr>
                <w:color w:val="auto"/>
                <w:szCs w:val="21"/>
              </w:rPr>
            </w:pPr>
          </w:p>
          <w:p w14:paraId="47F05824">
            <w:pPr>
              <w:adjustRightInd w:val="0"/>
              <w:snapToGrid w:val="0"/>
              <w:rPr>
                <w:color w:val="auto"/>
                <w:szCs w:val="21"/>
              </w:rPr>
            </w:pPr>
          </w:p>
          <w:p w14:paraId="4384F39B">
            <w:pPr>
              <w:adjustRightInd w:val="0"/>
              <w:snapToGrid w:val="0"/>
              <w:rPr>
                <w:color w:val="auto"/>
                <w:szCs w:val="21"/>
              </w:rPr>
            </w:pPr>
          </w:p>
          <w:p w14:paraId="47BB2B85">
            <w:pPr>
              <w:adjustRightInd w:val="0"/>
              <w:snapToGrid w:val="0"/>
              <w:rPr>
                <w:color w:val="auto"/>
                <w:szCs w:val="21"/>
              </w:rPr>
            </w:pPr>
          </w:p>
          <w:p w14:paraId="7E8DA9EC">
            <w:pPr>
              <w:adjustRightInd w:val="0"/>
              <w:snapToGrid w:val="0"/>
              <w:rPr>
                <w:color w:val="auto"/>
                <w:szCs w:val="21"/>
              </w:rPr>
            </w:pPr>
          </w:p>
          <w:p w14:paraId="3E79E649">
            <w:pPr>
              <w:adjustRightInd w:val="0"/>
              <w:snapToGrid w:val="0"/>
              <w:rPr>
                <w:color w:val="auto"/>
                <w:szCs w:val="21"/>
              </w:rPr>
            </w:pPr>
          </w:p>
          <w:p w14:paraId="1636E1FF">
            <w:pPr>
              <w:adjustRightInd w:val="0"/>
              <w:snapToGrid w:val="0"/>
              <w:rPr>
                <w:color w:val="auto"/>
                <w:szCs w:val="21"/>
              </w:rPr>
            </w:pPr>
          </w:p>
          <w:p w14:paraId="3360660C">
            <w:pPr>
              <w:adjustRightInd w:val="0"/>
              <w:snapToGrid w:val="0"/>
              <w:rPr>
                <w:color w:val="auto"/>
                <w:szCs w:val="21"/>
              </w:rPr>
            </w:pPr>
          </w:p>
          <w:p w14:paraId="032CA8CC">
            <w:pPr>
              <w:adjustRightInd w:val="0"/>
              <w:snapToGrid w:val="0"/>
              <w:rPr>
                <w:color w:val="auto"/>
                <w:szCs w:val="21"/>
              </w:rPr>
            </w:pPr>
          </w:p>
          <w:p w14:paraId="5C05817A">
            <w:pPr>
              <w:adjustRightInd w:val="0"/>
              <w:snapToGrid w:val="0"/>
              <w:rPr>
                <w:color w:val="auto"/>
                <w:szCs w:val="21"/>
              </w:rPr>
            </w:pPr>
          </w:p>
          <w:p w14:paraId="2CD1C268">
            <w:pPr>
              <w:adjustRightInd w:val="0"/>
              <w:snapToGrid w:val="0"/>
              <w:rPr>
                <w:color w:val="auto"/>
                <w:szCs w:val="21"/>
              </w:rPr>
            </w:pPr>
          </w:p>
          <w:p w14:paraId="45D80E05">
            <w:pPr>
              <w:adjustRightInd w:val="0"/>
              <w:snapToGrid w:val="0"/>
              <w:rPr>
                <w:color w:val="auto"/>
                <w:szCs w:val="21"/>
              </w:rPr>
            </w:pPr>
          </w:p>
          <w:p w14:paraId="115810A1">
            <w:pPr>
              <w:adjustRightInd w:val="0"/>
              <w:snapToGrid w:val="0"/>
              <w:rPr>
                <w:color w:val="auto"/>
                <w:szCs w:val="21"/>
              </w:rPr>
            </w:pPr>
          </w:p>
          <w:p w14:paraId="77ACE6D9">
            <w:pPr>
              <w:adjustRightInd w:val="0"/>
              <w:snapToGrid w:val="0"/>
              <w:rPr>
                <w:color w:val="auto"/>
                <w:szCs w:val="21"/>
              </w:rPr>
            </w:pPr>
          </w:p>
          <w:p w14:paraId="7389E0B3">
            <w:pPr>
              <w:adjustRightInd w:val="0"/>
              <w:snapToGrid w:val="0"/>
              <w:rPr>
                <w:color w:val="auto"/>
                <w:szCs w:val="21"/>
              </w:rPr>
            </w:pPr>
          </w:p>
          <w:p w14:paraId="6B1FF380">
            <w:pPr>
              <w:adjustRightInd w:val="0"/>
              <w:snapToGrid w:val="0"/>
              <w:rPr>
                <w:color w:val="auto"/>
                <w:szCs w:val="21"/>
              </w:rPr>
            </w:pPr>
          </w:p>
          <w:p w14:paraId="4C9FF4F3">
            <w:pPr>
              <w:adjustRightInd w:val="0"/>
              <w:snapToGrid w:val="0"/>
              <w:rPr>
                <w:color w:val="auto"/>
                <w:szCs w:val="21"/>
              </w:rPr>
            </w:pPr>
          </w:p>
          <w:p w14:paraId="663D23D6">
            <w:pPr>
              <w:adjustRightInd w:val="0"/>
              <w:snapToGrid w:val="0"/>
              <w:rPr>
                <w:color w:val="auto"/>
                <w:szCs w:val="21"/>
              </w:rPr>
            </w:pPr>
          </w:p>
        </w:tc>
      </w:tr>
    </w:tbl>
    <w:p w14:paraId="03D21D7D">
      <w:pPr>
        <w:pStyle w:val="41"/>
        <w:jc w:val="center"/>
        <w:outlineLvl w:val="0"/>
        <w:rPr>
          <w:rFonts w:ascii="Times New Roman" w:hAnsi="Times New Roman" w:eastAsia="黑体"/>
          <w:snapToGrid w:val="0"/>
          <w:color w:val="auto"/>
          <w:sz w:val="30"/>
          <w:szCs w:val="30"/>
        </w:rPr>
      </w:pPr>
      <w:r>
        <w:rPr>
          <w:rFonts w:ascii="Times New Roman" w:hAnsi="Times New Roman"/>
          <w:snapToGrid w:val="0"/>
          <w:color w:val="auto"/>
        </w:rPr>
        <w:br w:type="page"/>
      </w:r>
      <w:bookmarkStart w:id="8" w:name="_Toc11029"/>
      <w:r>
        <w:rPr>
          <w:rFonts w:ascii="Times New Roman" w:hAnsi="Times New Roman" w:eastAsia="黑体"/>
          <w:snapToGrid w:val="0"/>
          <w:color w:val="auto"/>
          <w:sz w:val="30"/>
          <w:szCs w:val="30"/>
        </w:rPr>
        <w:t>六、结论</w:t>
      </w:r>
      <w:bookmarkEnd w:id="8"/>
    </w:p>
    <w:tbl>
      <w:tblPr>
        <w:tblStyle w:val="4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414AD8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vAlign w:val="center"/>
          </w:tcPr>
          <w:p w14:paraId="5221DB34">
            <w:pPr>
              <w:spacing w:line="360" w:lineRule="auto"/>
              <w:ind w:firstLine="413" w:firstLineChars="196"/>
              <w:rPr>
                <w:color w:val="auto"/>
                <w:szCs w:val="21"/>
              </w:rPr>
            </w:pPr>
            <w:r>
              <w:rPr>
                <w:b/>
                <w:color w:val="auto"/>
                <w:szCs w:val="21"/>
                <w:lang w:val="zh-CN"/>
              </w:rPr>
              <w:t>综上所述，</w:t>
            </w:r>
            <w:r>
              <w:rPr>
                <w:rFonts w:hint="eastAsia"/>
                <w:b/>
                <w:color w:val="auto"/>
                <w:szCs w:val="21"/>
                <w:lang w:val="zh-CN"/>
              </w:rPr>
              <w:t>鼎信混凝土搅拌项目</w:t>
            </w:r>
            <w:r>
              <w:rPr>
                <w:b/>
                <w:color w:val="auto"/>
                <w:szCs w:val="21"/>
                <w:lang w:val="zh-CN"/>
              </w:rPr>
              <w:t>符合国家产业政策的要求，选址符合环保政策和当地规划的要求，在严格落实本次环评规定的环保措施并加强运行管理后，各污染物可以稳定达标排放，本评价认为</w:t>
            </w:r>
            <w:r>
              <w:rPr>
                <w:rFonts w:hint="eastAsia"/>
                <w:b/>
                <w:color w:val="auto"/>
                <w:szCs w:val="21"/>
                <w:lang w:val="en-US" w:eastAsia="zh-CN"/>
              </w:rPr>
              <w:t>从环保角度，</w:t>
            </w:r>
            <w:r>
              <w:rPr>
                <w:b/>
                <w:color w:val="auto"/>
                <w:szCs w:val="21"/>
                <w:lang w:val="zh-CN"/>
              </w:rPr>
              <w:t>项目建设可行的。</w:t>
            </w:r>
          </w:p>
        </w:tc>
      </w:tr>
    </w:tbl>
    <w:p w14:paraId="377AF101">
      <w:pPr>
        <w:rPr>
          <w:color w:val="auto"/>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7A6E0979">
      <w:pPr>
        <w:pStyle w:val="41"/>
        <w:adjustRightInd w:val="0"/>
        <w:snapToGrid w:val="0"/>
        <w:spacing w:before="0" w:beforeAutospacing="0" w:after="0" w:afterAutospacing="0" w:line="360" w:lineRule="auto"/>
        <w:jc w:val="left"/>
        <w:outlineLvl w:val="0"/>
        <w:rPr>
          <w:rFonts w:ascii="Times New Roman" w:hAnsi="Times New Roman" w:eastAsia="方正小标宋_GBK"/>
          <w:snapToGrid w:val="0"/>
          <w:color w:val="auto"/>
          <w:sz w:val="38"/>
          <w:szCs w:val="38"/>
        </w:rPr>
      </w:pPr>
      <w:bookmarkStart w:id="9" w:name="_Toc21181"/>
      <w:r>
        <w:rPr>
          <w:rFonts w:ascii="Times New Roman" w:hAnsi="Times New Roman" w:eastAsia="方正小标宋_GBK"/>
          <w:snapToGrid w:val="0"/>
          <w:color w:val="auto"/>
          <w:sz w:val="38"/>
          <w:szCs w:val="38"/>
        </w:rPr>
        <w:t>附表</w:t>
      </w:r>
      <w:bookmarkEnd w:id="9"/>
    </w:p>
    <w:p w14:paraId="5D4D27A9">
      <w:pPr>
        <w:pStyle w:val="41"/>
        <w:adjustRightInd w:val="0"/>
        <w:snapToGrid w:val="0"/>
        <w:spacing w:before="0" w:beforeAutospacing="0" w:after="0" w:afterAutospacing="0" w:line="360" w:lineRule="auto"/>
        <w:jc w:val="center"/>
        <w:outlineLvl w:val="0"/>
        <w:rPr>
          <w:rFonts w:ascii="Times New Roman" w:hAnsi="Times New Roman" w:eastAsia="宋体" w:cs="Times New Roman"/>
          <w:b/>
          <w:color w:val="auto"/>
          <w:kern w:val="2"/>
          <w:sz w:val="36"/>
          <w:szCs w:val="36"/>
          <w:lang w:val="zh-CN" w:eastAsia="zh-CN" w:bidi="ar-SA"/>
        </w:rPr>
      </w:pPr>
      <w:bookmarkStart w:id="10" w:name="_Toc29531"/>
      <w:r>
        <w:rPr>
          <w:rFonts w:ascii="Times New Roman" w:hAnsi="Times New Roman" w:eastAsia="宋体" w:cs="Times New Roman"/>
          <w:b/>
          <w:color w:val="auto"/>
          <w:kern w:val="2"/>
          <w:sz w:val="36"/>
          <w:szCs w:val="36"/>
          <w:lang w:val="zh-CN" w:eastAsia="zh-CN" w:bidi="ar-SA"/>
        </w:rPr>
        <w:t>建设项目污染物排放量汇总表</w:t>
      </w:r>
      <w:bookmarkEnd w:id="10"/>
    </w:p>
    <w:tbl>
      <w:tblPr>
        <w:tblStyle w:val="47"/>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701"/>
        <w:gridCol w:w="1276"/>
        <w:gridCol w:w="1701"/>
        <w:gridCol w:w="1559"/>
        <w:gridCol w:w="1761"/>
        <w:gridCol w:w="1499"/>
        <w:gridCol w:w="1286"/>
      </w:tblGrid>
      <w:tr w14:paraId="47A6877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88" w:type="dxa"/>
            <w:tcBorders>
              <w:tl2br w:val="single" w:color="auto" w:sz="4" w:space="0"/>
            </w:tcBorders>
            <w:tcMar>
              <w:left w:w="28" w:type="dxa"/>
              <w:right w:w="28" w:type="dxa"/>
            </w:tcMar>
            <w:vAlign w:val="center"/>
          </w:tcPr>
          <w:p w14:paraId="4978F3C9">
            <w:pPr>
              <w:pStyle w:val="64"/>
              <w:spacing w:beforeLines="0" w:afterLines="0" w:line="240" w:lineRule="auto"/>
              <w:jc w:val="right"/>
              <w:rPr>
                <w:rFonts w:ascii="Times New Roman" w:eastAsia="黑体"/>
                <w:snapToGrid w:val="0"/>
                <w:color w:val="auto"/>
                <w:spacing w:val="-6"/>
                <w:kern w:val="21"/>
                <w:szCs w:val="21"/>
              </w:rPr>
            </w:pPr>
            <w:r>
              <w:rPr>
                <w:rFonts w:ascii="Times New Roman" w:eastAsia="黑体"/>
                <w:snapToGrid w:val="0"/>
                <w:color w:val="auto"/>
                <w:spacing w:val="-6"/>
                <w:kern w:val="21"/>
                <w:szCs w:val="21"/>
              </w:rPr>
              <w:t>项目</w:t>
            </w:r>
          </w:p>
          <w:p w14:paraId="6F5BEFA5">
            <w:pPr>
              <w:pStyle w:val="64"/>
              <w:spacing w:beforeLines="0" w:afterLines="0" w:line="240" w:lineRule="auto"/>
              <w:jc w:val="left"/>
              <w:rPr>
                <w:rFonts w:ascii="Times New Roman" w:eastAsia="黑体"/>
                <w:snapToGrid w:val="0"/>
                <w:color w:val="auto"/>
                <w:spacing w:val="-6"/>
                <w:kern w:val="21"/>
                <w:szCs w:val="21"/>
              </w:rPr>
            </w:pPr>
            <w:r>
              <w:rPr>
                <w:rFonts w:ascii="Times New Roman" w:eastAsia="黑体"/>
                <w:snapToGrid w:val="0"/>
                <w:color w:val="auto"/>
                <w:spacing w:val="-6"/>
                <w:kern w:val="21"/>
                <w:szCs w:val="21"/>
              </w:rPr>
              <w:t>分类</w:t>
            </w:r>
          </w:p>
        </w:tc>
        <w:tc>
          <w:tcPr>
            <w:tcW w:w="1417" w:type="dxa"/>
            <w:tcMar>
              <w:left w:w="28" w:type="dxa"/>
              <w:right w:w="28" w:type="dxa"/>
            </w:tcMar>
            <w:vAlign w:val="center"/>
          </w:tcPr>
          <w:p w14:paraId="267BC350">
            <w:pPr>
              <w:pStyle w:val="64"/>
              <w:spacing w:beforeLines="0" w:afterLines="0" w:line="240" w:lineRule="auto"/>
              <w:rPr>
                <w:rFonts w:ascii="Times New Roman" w:eastAsia="黑体"/>
                <w:snapToGrid w:val="0"/>
                <w:color w:val="auto"/>
                <w:spacing w:val="-6"/>
                <w:kern w:val="21"/>
                <w:szCs w:val="21"/>
              </w:rPr>
            </w:pPr>
            <w:r>
              <w:rPr>
                <w:rFonts w:ascii="Times New Roman" w:eastAsia="黑体"/>
                <w:snapToGrid w:val="0"/>
                <w:color w:val="auto"/>
                <w:spacing w:val="-6"/>
                <w:kern w:val="21"/>
                <w:szCs w:val="21"/>
              </w:rPr>
              <w:t>污染物名称</w:t>
            </w:r>
          </w:p>
        </w:tc>
        <w:tc>
          <w:tcPr>
            <w:tcW w:w="1701" w:type="dxa"/>
            <w:tcMar>
              <w:left w:w="28" w:type="dxa"/>
              <w:right w:w="28" w:type="dxa"/>
            </w:tcMar>
            <w:vAlign w:val="center"/>
          </w:tcPr>
          <w:p w14:paraId="6B600A23">
            <w:pPr>
              <w:pStyle w:val="64"/>
              <w:spacing w:beforeLines="0" w:afterLines="0" w:line="240" w:lineRule="auto"/>
              <w:rPr>
                <w:rFonts w:ascii="Times New Roman" w:eastAsia="黑体"/>
                <w:snapToGrid w:val="0"/>
                <w:color w:val="auto"/>
                <w:spacing w:val="-6"/>
                <w:kern w:val="21"/>
                <w:szCs w:val="21"/>
              </w:rPr>
            </w:pPr>
            <w:r>
              <w:rPr>
                <w:rFonts w:ascii="Times New Roman" w:eastAsia="黑体"/>
                <w:snapToGrid w:val="0"/>
                <w:color w:val="auto"/>
                <w:spacing w:val="-6"/>
                <w:kern w:val="21"/>
                <w:szCs w:val="21"/>
              </w:rPr>
              <w:t>现有工程</w:t>
            </w:r>
          </w:p>
          <w:p w14:paraId="7470C2B3">
            <w:pPr>
              <w:pStyle w:val="64"/>
              <w:spacing w:beforeLines="0" w:afterLines="0" w:line="240" w:lineRule="auto"/>
              <w:rPr>
                <w:rFonts w:ascii="Times New Roman" w:eastAsia="黑体"/>
                <w:snapToGrid w:val="0"/>
                <w:color w:val="auto"/>
                <w:spacing w:val="-6"/>
                <w:kern w:val="21"/>
                <w:szCs w:val="21"/>
              </w:rPr>
            </w:pPr>
            <w:r>
              <w:rPr>
                <w:rFonts w:ascii="Times New Roman" w:eastAsia="黑体"/>
                <w:snapToGrid w:val="0"/>
                <w:color w:val="auto"/>
                <w:spacing w:val="-6"/>
                <w:kern w:val="21"/>
                <w:szCs w:val="21"/>
              </w:rPr>
              <w:t>排放量（固体废物产生量）</w:t>
            </w:r>
            <w:r>
              <w:rPr>
                <w:rFonts w:ascii="Times New Roman" w:eastAsia="黑体"/>
                <w:snapToGrid w:val="0"/>
                <w:color w:val="auto"/>
                <w:spacing w:val="-6"/>
                <w:kern w:val="21"/>
                <w:szCs w:val="21"/>
              </w:rPr>
              <w:fldChar w:fldCharType="begin"/>
            </w:r>
            <w:r>
              <w:rPr>
                <w:rFonts w:ascii="Times New Roman" w:eastAsia="黑体"/>
                <w:snapToGrid w:val="0"/>
                <w:color w:val="auto"/>
                <w:spacing w:val="-6"/>
                <w:kern w:val="21"/>
                <w:szCs w:val="21"/>
              </w:rPr>
              <w:instrText xml:space="preserve"> = 1 \* GB3 \* MERGEFORMAT </w:instrText>
            </w:r>
            <w:r>
              <w:rPr>
                <w:rFonts w:ascii="Times New Roman" w:eastAsia="黑体"/>
                <w:snapToGrid w:val="0"/>
                <w:color w:val="auto"/>
                <w:spacing w:val="-6"/>
                <w:kern w:val="21"/>
                <w:szCs w:val="21"/>
              </w:rPr>
              <w:fldChar w:fldCharType="separate"/>
            </w:r>
            <w:r>
              <w:rPr>
                <w:color w:val="auto"/>
                <w:kern w:val="2"/>
                <w:szCs w:val="21"/>
              </w:rPr>
              <w:t>①</w:t>
            </w:r>
            <w:r>
              <w:rPr>
                <w:rFonts w:ascii="Times New Roman" w:eastAsia="黑体"/>
                <w:snapToGrid w:val="0"/>
                <w:color w:val="auto"/>
                <w:spacing w:val="-6"/>
                <w:kern w:val="21"/>
                <w:szCs w:val="21"/>
              </w:rPr>
              <w:fldChar w:fldCharType="end"/>
            </w:r>
          </w:p>
        </w:tc>
        <w:tc>
          <w:tcPr>
            <w:tcW w:w="1276" w:type="dxa"/>
            <w:tcMar>
              <w:left w:w="28" w:type="dxa"/>
              <w:right w:w="28" w:type="dxa"/>
            </w:tcMar>
            <w:vAlign w:val="center"/>
          </w:tcPr>
          <w:p w14:paraId="03CB5F63">
            <w:pPr>
              <w:pStyle w:val="64"/>
              <w:spacing w:beforeLines="0" w:afterLines="0" w:line="240" w:lineRule="auto"/>
              <w:rPr>
                <w:rFonts w:ascii="Times New Roman" w:eastAsia="黑体"/>
                <w:snapToGrid w:val="0"/>
                <w:color w:val="auto"/>
                <w:spacing w:val="-6"/>
                <w:kern w:val="21"/>
                <w:szCs w:val="21"/>
              </w:rPr>
            </w:pPr>
            <w:r>
              <w:rPr>
                <w:rFonts w:ascii="Times New Roman" w:eastAsia="黑体"/>
                <w:snapToGrid w:val="0"/>
                <w:color w:val="auto"/>
                <w:spacing w:val="-6"/>
                <w:kern w:val="21"/>
                <w:szCs w:val="21"/>
              </w:rPr>
              <w:t>现有工程</w:t>
            </w:r>
          </w:p>
          <w:p w14:paraId="6EE5D8E3">
            <w:pPr>
              <w:pStyle w:val="64"/>
              <w:spacing w:beforeLines="0" w:afterLines="0" w:line="240" w:lineRule="auto"/>
              <w:rPr>
                <w:rFonts w:ascii="Times New Roman" w:eastAsia="黑体"/>
                <w:snapToGrid w:val="0"/>
                <w:color w:val="auto"/>
                <w:spacing w:val="-6"/>
                <w:kern w:val="21"/>
                <w:szCs w:val="21"/>
              </w:rPr>
            </w:pPr>
            <w:r>
              <w:rPr>
                <w:rFonts w:ascii="Times New Roman" w:eastAsia="黑体"/>
                <w:snapToGrid w:val="0"/>
                <w:color w:val="auto"/>
                <w:spacing w:val="-6"/>
                <w:kern w:val="21"/>
                <w:szCs w:val="21"/>
              </w:rPr>
              <w:t>许可排放量</w:t>
            </w:r>
          </w:p>
          <w:p w14:paraId="3DD415D1">
            <w:pPr>
              <w:pStyle w:val="64"/>
              <w:spacing w:beforeLines="0" w:afterLines="0"/>
              <w:rPr>
                <w:rFonts w:ascii="Times New Roman" w:eastAsia="黑体"/>
                <w:snapToGrid w:val="0"/>
                <w:color w:val="auto"/>
                <w:spacing w:val="-6"/>
                <w:kern w:val="21"/>
                <w:szCs w:val="21"/>
              </w:rPr>
            </w:pPr>
            <w:r>
              <w:rPr>
                <w:rFonts w:ascii="Times New Roman" w:eastAsia="黑体"/>
                <w:snapToGrid w:val="0"/>
                <w:color w:val="auto"/>
                <w:spacing w:val="-6"/>
                <w:kern w:val="21"/>
                <w:szCs w:val="21"/>
              </w:rPr>
              <w:fldChar w:fldCharType="begin"/>
            </w:r>
            <w:r>
              <w:rPr>
                <w:rFonts w:ascii="Times New Roman" w:eastAsia="黑体"/>
                <w:snapToGrid w:val="0"/>
                <w:color w:val="auto"/>
                <w:spacing w:val="-6"/>
                <w:kern w:val="21"/>
                <w:szCs w:val="21"/>
              </w:rPr>
              <w:instrText xml:space="preserve"> = 2 \* GB3 \* MERGEFORMAT </w:instrText>
            </w:r>
            <w:r>
              <w:rPr>
                <w:rFonts w:ascii="Times New Roman" w:eastAsia="黑体"/>
                <w:snapToGrid w:val="0"/>
                <w:color w:val="auto"/>
                <w:spacing w:val="-6"/>
                <w:kern w:val="21"/>
                <w:szCs w:val="21"/>
              </w:rPr>
              <w:fldChar w:fldCharType="separate"/>
            </w:r>
            <w:r>
              <w:rPr>
                <w:snapToGrid w:val="0"/>
                <w:color w:val="auto"/>
                <w:spacing w:val="-6"/>
                <w:kern w:val="21"/>
                <w:szCs w:val="21"/>
              </w:rPr>
              <w:t>②</w:t>
            </w:r>
            <w:r>
              <w:rPr>
                <w:rFonts w:ascii="Times New Roman" w:eastAsia="黑体"/>
                <w:snapToGrid w:val="0"/>
                <w:color w:val="auto"/>
                <w:spacing w:val="-6"/>
                <w:kern w:val="21"/>
                <w:szCs w:val="21"/>
              </w:rPr>
              <w:fldChar w:fldCharType="end"/>
            </w:r>
          </w:p>
        </w:tc>
        <w:tc>
          <w:tcPr>
            <w:tcW w:w="1701" w:type="dxa"/>
            <w:tcMar>
              <w:left w:w="28" w:type="dxa"/>
              <w:right w:w="28" w:type="dxa"/>
            </w:tcMar>
            <w:vAlign w:val="center"/>
          </w:tcPr>
          <w:p w14:paraId="311F26E7">
            <w:pPr>
              <w:pStyle w:val="64"/>
              <w:spacing w:beforeLines="0" w:afterLines="0" w:line="240" w:lineRule="auto"/>
              <w:rPr>
                <w:rFonts w:ascii="Times New Roman" w:eastAsia="黑体"/>
                <w:snapToGrid w:val="0"/>
                <w:color w:val="auto"/>
                <w:spacing w:val="-6"/>
                <w:kern w:val="21"/>
                <w:szCs w:val="21"/>
              </w:rPr>
            </w:pPr>
            <w:r>
              <w:rPr>
                <w:rFonts w:ascii="Times New Roman" w:eastAsia="黑体"/>
                <w:snapToGrid w:val="0"/>
                <w:color w:val="auto"/>
                <w:spacing w:val="-6"/>
                <w:kern w:val="21"/>
                <w:szCs w:val="21"/>
              </w:rPr>
              <w:t>在建工程</w:t>
            </w:r>
          </w:p>
          <w:p w14:paraId="59511A65">
            <w:pPr>
              <w:pStyle w:val="64"/>
              <w:spacing w:beforeLines="0" w:afterLines="0" w:line="240" w:lineRule="auto"/>
              <w:rPr>
                <w:rFonts w:ascii="Times New Roman" w:eastAsia="黑体"/>
                <w:snapToGrid w:val="0"/>
                <w:color w:val="auto"/>
                <w:spacing w:val="-6"/>
                <w:kern w:val="21"/>
                <w:szCs w:val="21"/>
              </w:rPr>
            </w:pPr>
            <w:r>
              <w:rPr>
                <w:rFonts w:ascii="Times New Roman" w:eastAsia="黑体"/>
                <w:snapToGrid w:val="0"/>
                <w:color w:val="auto"/>
                <w:spacing w:val="-6"/>
                <w:kern w:val="21"/>
                <w:szCs w:val="21"/>
              </w:rPr>
              <w:t>排放量（固体废物产生量）</w:t>
            </w:r>
            <w:r>
              <w:rPr>
                <w:rFonts w:ascii="Times New Roman" w:eastAsia="黑体"/>
                <w:snapToGrid w:val="0"/>
                <w:color w:val="auto"/>
                <w:spacing w:val="-6"/>
                <w:kern w:val="21"/>
                <w:szCs w:val="21"/>
              </w:rPr>
              <w:fldChar w:fldCharType="begin"/>
            </w:r>
            <w:r>
              <w:rPr>
                <w:rFonts w:ascii="Times New Roman" w:eastAsia="黑体"/>
                <w:snapToGrid w:val="0"/>
                <w:color w:val="auto"/>
                <w:spacing w:val="-6"/>
                <w:kern w:val="21"/>
                <w:szCs w:val="21"/>
              </w:rPr>
              <w:instrText xml:space="preserve"> = 3 \* GB3 \* MERGEFORMAT </w:instrText>
            </w:r>
            <w:r>
              <w:rPr>
                <w:rFonts w:ascii="Times New Roman" w:eastAsia="黑体"/>
                <w:snapToGrid w:val="0"/>
                <w:color w:val="auto"/>
                <w:spacing w:val="-6"/>
                <w:kern w:val="21"/>
                <w:szCs w:val="21"/>
              </w:rPr>
              <w:fldChar w:fldCharType="separate"/>
            </w:r>
            <w:r>
              <w:rPr>
                <w:color w:val="auto"/>
                <w:kern w:val="2"/>
                <w:szCs w:val="21"/>
              </w:rPr>
              <w:t>③</w:t>
            </w:r>
            <w:r>
              <w:rPr>
                <w:rFonts w:ascii="Times New Roman" w:eastAsia="黑体"/>
                <w:snapToGrid w:val="0"/>
                <w:color w:val="auto"/>
                <w:spacing w:val="-6"/>
                <w:kern w:val="21"/>
                <w:szCs w:val="21"/>
              </w:rPr>
              <w:fldChar w:fldCharType="end"/>
            </w:r>
          </w:p>
        </w:tc>
        <w:tc>
          <w:tcPr>
            <w:tcW w:w="1559" w:type="dxa"/>
            <w:tcMar>
              <w:left w:w="28" w:type="dxa"/>
              <w:right w:w="28" w:type="dxa"/>
            </w:tcMar>
            <w:vAlign w:val="center"/>
          </w:tcPr>
          <w:p w14:paraId="60F3B202">
            <w:pPr>
              <w:pStyle w:val="64"/>
              <w:spacing w:beforeLines="0" w:afterLines="0" w:line="240" w:lineRule="auto"/>
              <w:rPr>
                <w:rFonts w:ascii="Times New Roman" w:eastAsia="黑体"/>
                <w:snapToGrid w:val="0"/>
                <w:color w:val="auto"/>
                <w:spacing w:val="-6"/>
                <w:kern w:val="21"/>
                <w:szCs w:val="21"/>
              </w:rPr>
            </w:pPr>
            <w:r>
              <w:rPr>
                <w:rFonts w:ascii="Times New Roman" w:eastAsia="黑体"/>
                <w:snapToGrid w:val="0"/>
                <w:color w:val="auto"/>
                <w:spacing w:val="-6"/>
                <w:kern w:val="21"/>
                <w:szCs w:val="21"/>
              </w:rPr>
              <w:t>本项目</w:t>
            </w:r>
          </w:p>
          <w:p w14:paraId="370B4168">
            <w:pPr>
              <w:pStyle w:val="64"/>
              <w:spacing w:beforeLines="0" w:afterLines="0" w:line="240" w:lineRule="auto"/>
              <w:rPr>
                <w:rFonts w:ascii="Times New Roman" w:eastAsia="黑体"/>
                <w:snapToGrid w:val="0"/>
                <w:color w:val="auto"/>
                <w:spacing w:val="-6"/>
                <w:kern w:val="21"/>
                <w:szCs w:val="21"/>
              </w:rPr>
            </w:pPr>
            <w:r>
              <w:rPr>
                <w:rFonts w:ascii="Times New Roman" w:eastAsia="黑体"/>
                <w:snapToGrid w:val="0"/>
                <w:color w:val="auto"/>
                <w:spacing w:val="-6"/>
                <w:kern w:val="21"/>
                <w:szCs w:val="21"/>
              </w:rPr>
              <w:t>排放量（固体废物产生量）</w:t>
            </w:r>
            <w:r>
              <w:rPr>
                <w:rFonts w:ascii="Times New Roman" w:eastAsia="黑体"/>
                <w:snapToGrid w:val="0"/>
                <w:color w:val="auto"/>
                <w:spacing w:val="-6"/>
                <w:kern w:val="21"/>
                <w:szCs w:val="21"/>
              </w:rPr>
              <w:fldChar w:fldCharType="begin"/>
            </w:r>
            <w:r>
              <w:rPr>
                <w:rFonts w:ascii="Times New Roman" w:eastAsia="黑体"/>
                <w:snapToGrid w:val="0"/>
                <w:color w:val="auto"/>
                <w:spacing w:val="-6"/>
                <w:kern w:val="21"/>
                <w:szCs w:val="21"/>
              </w:rPr>
              <w:instrText xml:space="preserve"> = 4 \* GB3 \* MERGEFORMAT </w:instrText>
            </w:r>
            <w:r>
              <w:rPr>
                <w:rFonts w:ascii="Times New Roman" w:eastAsia="黑体"/>
                <w:snapToGrid w:val="0"/>
                <w:color w:val="auto"/>
                <w:spacing w:val="-6"/>
                <w:kern w:val="21"/>
                <w:szCs w:val="21"/>
              </w:rPr>
              <w:fldChar w:fldCharType="separate"/>
            </w:r>
            <w:r>
              <w:rPr>
                <w:color w:val="auto"/>
                <w:kern w:val="2"/>
                <w:szCs w:val="21"/>
              </w:rPr>
              <w:t>④</w:t>
            </w:r>
            <w:r>
              <w:rPr>
                <w:rFonts w:ascii="Times New Roman" w:eastAsia="黑体"/>
                <w:snapToGrid w:val="0"/>
                <w:color w:val="auto"/>
                <w:spacing w:val="-6"/>
                <w:kern w:val="21"/>
                <w:szCs w:val="21"/>
              </w:rPr>
              <w:fldChar w:fldCharType="end"/>
            </w:r>
          </w:p>
        </w:tc>
        <w:tc>
          <w:tcPr>
            <w:tcW w:w="1761" w:type="dxa"/>
            <w:tcMar>
              <w:left w:w="28" w:type="dxa"/>
              <w:right w:w="28" w:type="dxa"/>
            </w:tcMar>
            <w:vAlign w:val="center"/>
          </w:tcPr>
          <w:p w14:paraId="5E44C3E4">
            <w:pPr>
              <w:pStyle w:val="64"/>
              <w:spacing w:beforeLines="0" w:afterLines="0" w:line="240" w:lineRule="auto"/>
              <w:rPr>
                <w:rFonts w:ascii="Times New Roman" w:eastAsia="黑体"/>
                <w:snapToGrid w:val="0"/>
                <w:color w:val="auto"/>
                <w:spacing w:val="-16"/>
                <w:kern w:val="21"/>
                <w:szCs w:val="21"/>
              </w:rPr>
            </w:pPr>
            <w:r>
              <w:rPr>
                <w:rFonts w:ascii="Times New Roman" w:eastAsia="黑体"/>
                <w:snapToGrid w:val="0"/>
                <w:color w:val="auto"/>
                <w:spacing w:val="-16"/>
                <w:kern w:val="21"/>
                <w:szCs w:val="21"/>
              </w:rPr>
              <w:t>以新带老削减量</w:t>
            </w:r>
          </w:p>
          <w:p w14:paraId="0C141064">
            <w:pPr>
              <w:pStyle w:val="64"/>
              <w:spacing w:beforeLines="0" w:afterLines="0" w:line="240" w:lineRule="auto"/>
              <w:rPr>
                <w:rFonts w:ascii="Times New Roman" w:eastAsia="黑体"/>
                <w:snapToGrid w:val="0"/>
                <w:color w:val="auto"/>
                <w:spacing w:val="-16"/>
                <w:kern w:val="21"/>
                <w:szCs w:val="21"/>
              </w:rPr>
            </w:pPr>
            <w:r>
              <w:rPr>
                <w:rFonts w:ascii="Times New Roman" w:eastAsia="黑体"/>
                <w:snapToGrid w:val="0"/>
                <w:color w:val="auto"/>
                <w:spacing w:val="-16"/>
                <w:kern w:val="21"/>
                <w:szCs w:val="21"/>
              </w:rPr>
              <w:t>（新建项目不填）</w:t>
            </w:r>
            <w:r>
              <w:rPr>
                <w:rFonts w:ascii="Times New Roman" w:eastAsia="黑体"/>
                <w:snapToGrid w:val="0"/>
                <w:color w:val="auto"/>
                <w:spacing w:val="-16"/>
                <w:kern w:val="21"/>
                <w:szCs w:val="21"/>
              </w:rPr>
              <w:fldChar w:fldCharType="begin"/>
            </w:r>
            <w:r>
              <w:rPr>
                <w:rFonts w:ascii="Times New Roman" w:eastAsia="黑体"/>
                <w:snapToGrid w:val="0"/>
                <w:color w:val="auto"/>
                <w:spacing w:val="-16"/>
                <w:kern w:val="21"/>
                <w:szCs w:val="21"/>
              </w:rPr>
              <w:instrText xml:space="preserve"> = 5 \* GB3 \* MERGEFORMAT </w:instrText>
            </w:r>
            <w:r>
              <w:rPr>
                <w:rFonts w:ascii="Times New Roman" w:eastAsia="黑体"/>
                <w:snapToGrid w:val="0"/>
                <w:color w:val="auto"/>
                <w:spacing w:val="-16"/>
                <w:kern w:val="21"/>
                <w:szCs w:val="21"/>
              </w:rPr>
              <w:fldChar w:fldCharType="separate"/>
            </w:r>
            <w:r>
              <w:rPr>
                <w:color w:val="auto"/>
                <w:kern w:val="2"/>
                <w:szCs w:val="21"/>
              </w:rPr>
              <w:t>⑤</w:t>
            </w:r>
            <w:r>
              <w:rPr>
                <w:rFonts w:ascii="Times New Roman" w:eastAsia="黑体"/>
                <w:snapToGrid w:val="0"/>
                <w:color w:val="auto"/>
                <w:spacing w:val="-16"/>
                <w:kern w:val="21"/>
                <w:szCs w:val="21"/>
              </w:rPr>
              <w:fldChar w:fldCharType="end"/>
            </w:r>
          </w:p>
        </w:tc>
        <w:tc>
          <w:tcPr>
            <w:tcW w:w="1499" w:type="dxa"/>
            <w:tcMar>
              <w:left w:w="28" w:type="dxa"/>
              <w:right w:w="28" w:type="dxa"/>
            </w:tcMar>
            <w:vAlign w:val="center"/>
          </w:tcPr>
          <w:p w14:paraId="49F773E8">
            <w:pPr>
              <w:pStyle w:val="64"/>
              <w:spacing w:beforeLines="0" w:afterLines="0" w:line="240" w:lineRule="auto"/>
              <w:rPr>
                <w:rFonts w:ascii="Times New Roman" w:eastAsia="黑体"/>
                <w:snapToGrid w:val="0"/>
                <w:color w:val="auto"/>
                <w:spacing w:val="-16"/>
                <w:kern w:val="21"/>
                <w:szCs w:val="21"/>
              </w:rPr>
            </w:pPr>
            <w:r>
              <w:rPr>
                <w:rFonts w:ascii="Times New Roman" w:eastAsia="黑体"/>
                <w:snapToGrid w:val="0"/>
                <w:color w:val="auto"/>
                <w:spacing w:val="-16"/>
                <w:kern w:val="21"/>
                <w:szCs w:val="21"/>
              </w:rPr>
              <w:t>本项目建成后</w:t>
            </w:r>
          </w:p>
          <w:p w14:paraId="7B74D7FC">
            <w:pPr>
              <w:pStyle w:val="64"/>
              <w:spacing w:beforeLines="0" w:afterLines="0" w:line="240" w:lineRule="auto"/>
              <w:rPr>
                <w:rFonts w:ascii="Times New Roman" w:eastAsia="黑体"/>
                <w:snapToGrid w:val="0"/>
                <w:color w:val="auto"/>
                <w:spacing w:val="-16"/>
                <w:kern w:val="21"/>
                <w:szCs w:val="21"/>
              </w:rPr>
            </w:pPr>
            <w:r>
              <w:rPr>
                <w:rFonts w:ascii="Times New Roman" w:eastAsia="黑体"/>
                <w:snapToGrid w:val="0"/>
                <w:color w:val="auto"/>
                <w:spacing w:val="-16"/>
                <w:kern w:val="21"/>
                <w:szCs w:val="21"/>
              </w:rPr>
              <w:t>全厂排放量（固体废物产生量）</w:t>
            </w:r>
            <w:r>
              <w:rPr>
                <w:rFonts w:ascii="Times New Roman" w:eastAsia="黑体"/>
                <w:snapToGrid w:val="0"/>
                <w:color w:val="auto"/>
                <w:spacing w:val="-16"/>
                <w:kern w:val="21"/>
                <w:szCs w:val="21"/>
              </w:rPr>
              <w:fldChar w:fldCharType="begin"/>
            </w:r>
            <w:r>
              <w:rPr>
                <w:rFonts w:ascii="Times New Roman" w:eastAsia="黑体"/>
                <w:snapToGrid w:val="0"/>
                <w:color w:val="auto"/>
                <w:spacing w:val="-16"/>
                <w:kern w:val="21"/>
                <w:szCs w:val="21"/>
              </w:rPr>
              <w:instrText xml:space="preserve"> = 6 \* GB3 \* MERGEFORMAT </w:instrText>
            </w:r>
            <w:r>
              <w:rPr>
                <w:rFonts w:ascii="Times New Roman" w:eastAsia="黑体"/>
                <w:snapToGrid w:val="0"/>
                <w:color w:val="auto"/>
                <w:spacing w:val="-16"/>
                <w:kern w:val="21"/>
                <w:szCs w:val="21"/>
              </w:rPr>
              <w:fldChar w:fldCharType="separate"/>
            </w:r>
            <w:r>
              <w:rPr>
                <w:color w:val="auto"/>
                <w:kern w:val="2"/>
                <w:szCs w:val="21"/>
              </w:rPr>
              <w:t>⑥</w:t>
            </w:r>
            <w:r>
              <w:rPr>
                <w:rFonts w:ascii="Times New Roman" w:eastAsia="黑体"/>
                <w:snapToGrid w:val="0"/>
                <w:color w:val="auto"/>
                <w:spacing w:val="-16"/>
                <w:kern w:val="21"/>
                <w:szCs w:val="21"/>
              </w:rPr>
              <w:fldChar w:fldCharType="end"/>
            </w:r>
          </w:p>
        </w:tc>
        <w:tc>
          <w:tcPr>
            <w:tcW w:w="1286" w:type="dxa"/>
            <w:tcMar>
              <w:left w:w="28" w:type="dxa"/>
              <w:right w:w="28" w:type="dxa"/>
            </w:tcMar>
            <w:vAlign w:val="center"/>
          </w:tcPr>
          <w:p w14:paraId="704E9583">
            <w:pPr>
              <w:pStyle w:val="64"/>
              <w:spacing w:beforeLines="0" w:afterLines="0" w:line="240" w:lineRule="auto"/>
              <w:rPr>
                <w:rFonts w:ascii="Times New Roman" w:eastAsia="黑体"/>
                <w:snapToGrid w:val="0"/>
                <w:color w:val="auto"/>
                <w:spacing w:val="-6"/>
                <w:kern w:val="21"/>
                <w:szCs w:val="21"/>
              </w:rPr>
            </w:pPr>
            <w:r>
              <w:rPr>
                <w:rFonts w:ascii="Times New Roman" w:eastAsia="黑体"/>
                <w:snapToGrid w:val="0"/>
                <w:color w:val="auto"/>
                <w:spacing w:val="-6"/>
                <w:kern w:val="21"/>
                <w:szCs w:val="21"/>
              </w:rPr>
              <w:t>变化量</w:t>
            </w:r>
          </w:p>
          <w:p w14:paraId="61F5046C">
            <w:pPr>
              <w:pStyle w:val="64"/>
              <w:spacing w:beforeLines="0" w:afterLines="0" w:line="240" w:lineRule="auto"/>
              <w:rPr>
                <w:rFonts w:ascii="Times New Roman" w:eastAsia="黑体"/>
                <w:snapToGrid w:val="0"/>
                <w:color w:val="auto"/>
                <w:spacing w:val="-6"/>
                <w:kern w:val="21"/>
                <w:szCs w:val="21"/>
              </w:rPr>
            </w:pPr>
            <w:r>
              <w:rPr>
                <w:rFonts w:ascii="Times New Roman" w:eastAsia="黑体"/>
                <w:snapToGrid w:val="0"/>
                <w:color w:val="auto"/>
                <w:spacing w:val="-6"/>
                <w:kern w:val="21"/>
                <w:szCs w:val="21"/>
              </w:rPr>
              <w:fldChar w:fldCharType="begin"/>
            </w:r>
            <w:r>
              <w:rPr>
                <w:rFonts w:ascii="Times New Roman" w:eastAsia="黑体"/>
                <w:snapToGrid w:val="0"/>
                <w:color w:val="auto"/>
                <w:spacing w:val="-6"/>
                <w:kern w:val="21"/>
                <w:szCs w:val="21"/>
              </w:rPr>
              <w:instrText xml:space="preserve"> = 7 \* GB3 \* MERGEFORMAT </w:instrText>
            </w:r>
            <w:r>
              <w:rPr>
                <w:rFonts w:ascii="Times New Roman" w:eastAsia="黑体"/>
                <w:snapToGrid w:val="0"/>
                <w:color w:val="auto"/>
                <w:spacing w:val="-6"/>
                <w:kern w:val="21"/>
                <w:szCs w:val="21"/>
              </w:rPr>
              <w:fldChar w:fldCharType="separate"/>
            </w:r>
            <w:r>
              <w:rPr>
                <w:color w:val="auto"/>
                <w:kern w:val="2"/>
                <w:szCs w:val="21"/>
              </w:rPr>
              <w:t>⑦</w:t>
            </w:r>
            <w:r>
              <w:rPr>
                <w:rFonts w:ascii="Times New Roman" w:eastAsia="黑体"/>
                <w:snapToGrid w:val="0"/>
                <w:color w:val="auto"/>
                <w:spacing w:val="-6"/>
                <w:kern w:val="21"/>
                <w:szCs w:val="21"/>
              </w:rPr>
              <w:fldChar w:fldCharType="end"/>
            </w:r>
          </w:p>
        </w:tc>
      </w:tr>
      <w:tr w14:paraId="3DDCE7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14:paraId="170C7C43">
            <w:pPr>
              <w:pStyle w:val="64"/>
              <w:spacing w:beforeLines="0" w:afterLines="0" w:line="240" w:lineRule="auto"/>
              <w:rPr>
                <w:rFonts w:ascii="Times New Roman"/>
                <w:snapToGrid w:val="0"/>
                <w:color w:val="auto"/>
                <w:kern w:val="21"/>
                <w:szCs w:val="21"/>
              </w:rPr>
            </w:pPr>
            <w:r>
              <w:rPr>
                <w:rFonts w:ascii="Times New Roman"/>
                <w:snapToGrid w:val="0"/>
                <w:color w:val="auto"/>
                <w:kern w:val="21"/>
                <w:szCs w:val="21"/>
              </w:rPr>
              <w:t>废气</w:t>
            </w:r>
          </w:p>
        </w:tc>
        <w:tc>
          <w:tcPr>
            <w:tcW w:w="1417" w:type="dxa"/>
            <w:vAlign w:val="center"/>
          </w:tcPr>
          <w:p w14:paraId="7A604BA5">
            <w:pPr>
              <w:pStyle w:val="64"/>
              <w:spacing w:beforeLines="0" w:afterLines="0" w:line="240" w:lineRule="auto"/>
              <w:rPr>
                <w:rFonts w:hint="eastAsia" w:ascii="Times New Roman" w:eastAsia="宋体"/>
                <w:snapToGrid w:val="0"/>
                <w:color w:val="auto"/>
                <w:kern w:val="21"/>
                <w:szCs w:val="21"/>
                <w:lang w:eastAsia="zh-CN"/>
              </w:rPr>
            </w:pPr>
            <w:r>
              <w:rPr>
                <w:rFonts w:hint="eastAsia" w:ascii="Times New Roman"/>
                <w:snapToGrid w:val="0"/>
                <w:color w:val="auto"/>
                <w:kern w:val="21"/>
                <w:szCs w:val="21"/>
                <w:lang w:val="en-US" w:eastAsia="zh-CN"/>
              </w:rPr>
              <w:t>颗粒物</w:t>
            </w:r>
          </w:p>
        </w:tc>
        <w:tc>
          <w:tcPr>
            <w:tcW w:w="1701" w:type="dxa"/>
            <w:vAlign w:val="center"/>
          </w:tcPr>
          <w:p w14:paraId="174FC4A2">
            <w:pPr>
              <w:pStyle w:val="64"/>
              <w:spacing w:beforeLines="0" w:afterLines="0" w:line="240" w:lineRule="auto"/>
              <w:rPr>
                <w:rFonts w:ascii="Times New Roman"/>
                <w:snapToGrid w:val="0"/>
                <w:color w:val="auto"/>
                <w:kern w:val="21"/>
                <w:szCs w:val="21"/>
              </w:rPr>
            </w:pPr>
          </w:p>
        </w:tc>
        <w:tc>
          <w:tcPr>
            <w:tcW w:w="1276" w:type="dxa"/>
            <w:vAlign w:val="center"/>
          </w:tcPr>
          <w:p w14:paraId="50800A70">
            <w:pPr>
              <w:pStyle w:val="64"/>
              <w:spacing w:beforeLines="0" w:afterLines="0" w:line="240" w:lineRule="auto"/>
              <w:rPr>
                <w:rFonts w:ascii="Times New Roman"/>
                <w:snapToGrid w:val="0"/>
                <w:color w:val="auto"/>
                <w:kern w:val="21"/>
                <w:szCs w:val="21"/>
              </w:rPr>
            </w:pPr>
          </w:p>
        </w:tc>
        <w:tc>
          <w:tcPr>
            <w:tcW w:w="1701" w:type="dxa"/>
            <w:vAlign w:val="center"/>
          </w:tcPr>
          <w:p w14:paraId="404DD514">
            <w:pPr>
              <w:pStyle w:val="64"/>
              <w:spacing w:beforeLines="0" w:afterLines="0" w:line="240" w:lineRule="auto"/>
              <w:rPr>
                <w:rFonts w:ascii="Times New Roman"/>
                <w:snapToGrid w:val="0"/>
                <w:color w:val="auto"/>
                <w:kern w:val="21"/>
                <w:szCs w:val="21"/>
              </w:rPr>
            </w:pPr>
          </w:p>
        </w:tc>
        <w:tc>
          <w:tcPr>
            <w:tcW w:w="1559" w:type="dxa"/>
            <w:vAlign w:val="center"/>
          </w:tcPr>
          <w:p w14:paraId="384170F7">
            <w:pPr>
              <w:pStyle w:val="64"/>
              <w:spacing w:beforeLines="0" w:afterLines="0" w:line="240" w:lineRule="auto"/>
              <w:rPr>
                <w:rFonts w:hint="eastAsia" w:ascii="Times New Roman"/>
                <w:snapToGrid w:val="0"/>
                <w:color w:val="auto"/>
                <w:kern w:val="21"/>
                <w:szCs w:val="21"/>
                <w:lang w:eastAsia="zh-CN"/>
              </w:rPr>
            </w:pPr>
            <w:r>
              <w:rPr>
                <w:rFonts w:hint="eastAsia" w:ascii="Times New Roman"/>
                <w:snapToGrid w:val="0"/>
                <w:color w:val="auto"/>
                <w:kern w:val="21"/>
                <w:szCs w:val="21"/>
                <w:lang w:val="en-US" w:eastAsia="zh-CN"/>
              </w:rPr>
              <w:t>2.7601t</w:t>
            </w:r>
            <w:r>
              <w:rPr>
                <w:rFonts w:hint="eastAsia" w:ascii="Times New Roman"/>
                <w:snapToGrid w:val="0"/>
                <w:color w:val="auto"/>
                <w:kern w:val="21"/>
                <w:szCs w:val="21"/>
                <w:lang w:eastAsia="zh-CN"/>
              </w:rPr>
              <w:t>/a</w:t>
            </w:r>
          </w:p>
        </w:tc>
        <w:tc>
          <w:tcPr>
            <w:tcW w:w="1761" w:type="dxa"/>
            <w:vAlign w:val="center"/>
          </w:tcPr>
          <w:p w14:paraId="53D05AB6">
            <w:pPr>
              <w:jc w:val="center"/>
              <w:rPr>
                <w:rFonts w:ascii="Times New Roman"/>
                <w:snapToGrid w:val="0"/>
                <w:color w:val="auto"/>
                <w:kern w:val="21"/>
                <w:szCs w:val="21"/>
              </w:rPr>
            </w:pPr>
          </w:p>
        </w:tc>
        <w:tc>
          <w:tcPr>
            <w:tcW w:w="1499" w:type="dxa"/>
            <w:vAlign w:val="center"/>
          </w:tcPr>
          <w:p w14:paraId="6D1B8CDA">
            <w:pPr>
              <w:pStyle w:val="64"/>
              <w:spacing w:beforeLines="0" w:afterLines="0" w:line="240" w:lineRule="auto"/>
              <w:rPr>
                <w:rFonts w:ascii="Times New Roman"/>
                <w:snapToGrid w:val="0"/>
                <w:color w:val="auto"/>
                <w:kern w:val="21"/>
                <w:szCs w:val="21"/>
              </w:rPr>
            </w:pPr>
            <w:r>
              <w:rPr>
                <w:rFonts w:hint="eastAsia" w:ascii="Times New Roman"/>
                <w:snapToGrid w:val="0"/>
                <w:color w:val="auto"/>
                <w:kern w:val="21"/>
                <w:szCs w:val="21"/>
                <w:lang w:val="en-US" w:eastAsia="zh-CN"/>
              </w:rPr>
              <w:t>2.7601t</w:t>
            </w:r>
            <w:r>
              <w:rPr>
                <w:rFonts w:hint="eastAsia" w:ascii="Times New Roman"/>
                <w:snapToGrid w:val="0"/>
                <w:color w:val="auto"/>
                <w:kern w:val="21"/>
                <w:szCs w:val="21"/>
                <w:lang w:eastAsia="zh-CN"/>
              </w:rPr>
              <w:t>/a</w:t>
            </w:r>
          </w:p>
        </w:tc>
        <w:tc>
          <w:tcPr>
            <w:tcW w:w="1286" w:type="dxa"/>
            <w:vAlign w:val="center"/>
          </w:tcPr>
          <w:p w14:paraId="461BB205">
            <w:pPr>
              <w:pStyle w:val="64"/>
              <w:spacing w:beforeLines="0" w:afterLines="0" w:line="240" w:lineRule="auto"/>
              <w:rPr>
                <w:rFonts w:ascii="Times New Roman"/>
                <w:snapToGrid w:val="0"/>
                <w:color w:val="auto"/>
                <w:kern w:val="21"/>
                <w:szCs w:val="21"/>
              </w:rPr>
            </w:pPr>
          </w:p>
        </w:tc>
      </w:tr>
      <w:tr w14:paraId="59E6B3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66975434">
            <w:pPr>
              <w:pStyle w:val="64"/>
              <w:spacing w:beforeLines="0" w:afterLines="0" w:line="240" w:lineRule="auto"/>
              <w:rPr>
                <w:rFonts w:ascii="Times New Roman"/>
                <w:snapToGrid w:val="0"/>
                <w:color w:val="auto"/>
                <w:kern w:val="21"/>
                <w:szCs w:val="21"/>
              </w:rPr>
            </w:pPr>
          </w:p>
        </w:tc>
        <w:tc>
          <w:tcPr>
            <w:tcW w:w="1417" w:type="dxa"/>
            <w:vAlign w:val="center"/>
          </w:tcPr>
          <w:p w14:paraId="22DF48A1">
            <w:pPr>
              <w:pStyle w:val="64"/>
              <w:spacing w:beforeLines="0" w:afterLines="0" w:line="240" w:lineRule="auto"/>
              <w:rPr>
                <w:rFonts w:hint="default" w:ascii="Times New Roman"/>
                <w:snapToGrid w:val="0"/>
                <w:color w:val="auto"/>
                <w:kern w:val="21"/>
                <w:szCs w:val="21"/>
                <w:lang w:val="en-US" w:eastAsia="zh-CN"/>
              </w:rPr>
            </w:pPr>
            <w:r>
              <w:rPr>
                <w:rFonts w:hint="eastAsia" w:ascii="Times New Roman"/>
                <w:snapToGrid w:val="0"/>
                <w:color w:val="auto"/>
                <w:kern w:val="21"/>
                <w:szCs w:val="21"/>
                <w:lang w:val="en-US" w:eastAsia="zh-CN"/>
              </w:rPr>
              <w:t>二氧化硫</w:t>
            </w:r>
          </w:p>
        </w:tc>
        <w:tc>
          <w:tcPr>
            <w:tcW w:w="1701" w:type="dxa"/>
            <w:vAlign w:val="center"/>
          </w:tcPr>
          <w:p w14:paraId="57558EA6">
            <w:pPr>
              <w:pStyle w:val="64"/>
              <w:spacing w:beforeLines="0" w:afterLines="0" w:line="240" w:lineRule="auto"/>
              <w:rPr>
                <w:rFonts w:ascii="Times New Roman"/>
                <w:snapToGrid w:val="0"/>
                <w:color w:val="auto"/>
                <w:kern w:val="21"/>
                <w:szCs w:val="21"/>
              </w:rPr>
            </w:pPr>
          </w:p>
        </w:tc>
        <w:tc>
          <w:tcPr>
            <w:tcW w:w="1276" w:type="dxa"/>
            <w:vAlign w:val="center"/>
          </w:tcPr>
          <w:p w14:paraId="7B38949C">
            <w:pPr>
              <w:pStyle w:val="64"/>
              <w:spacing w:beforeLines="0" w:afterLines="0" w:line="240" w:lineRule="auto"/>
              <w:rPr>
                <w:rFonts w:ascii="Times New Roman"/>
                <w:snapToGrid w:val="0"/>
                <w:color w:val="auto"/>
                <w:kern w:val="21"/>
                <w:szCs w:val="21"/>
              </w:rPr>
            </w:pPr>
          </w:p>
        </w:tc>
        <w:tc>
          <w:tcPr>
            <w:tcW w:w="1701" w:type="dxa"/>
            <w:vAlign w:val="center"/>
          </w:tcPr>
          <w:p w14:paraId="6D19CC12">
            <w:pPr>
              <w:pStyle w:val="64"/>
              <w:spacing w:beforeLines="0" w:afterLines="0" w:line="240" w:lineRule="auto"/>
              <w:rPr>
                <w:rFonts w:ascii="Times New Roman"/>
                <w:snapToGrid w:val="0"/>
                <w:color w:val="auto"/>
                <w:kern w:val="21"/>
                <w:szCs w:val="21"/>
              </w:rPr>
            </w:pPr>
          </w:p>
        </w:tc>
        <w:tc>
          <w:tcPr>
            <w:tcW w:w="1559" w:type="dxa"/>
            <w:vAlign w:val="center"/>
          </w:tcPr>
          <w:p w14:paraId="74622C5E">
            <w:pPr>
              <w:pStyle w:val="64"/>
              <w:spacing w:beforeLines="0" w:afterLines="0" w:line="240" w:lineRule="auto"/>
              <w:rPr>
                <w:rFonts w:hint="eastAsia" w:ascii="Times New Roman"/>
                <w:snapToGrid w:val="0"/>
                <w:color w:val="auto"/>
                <w:kern w:val="21"/>
                <w:szCs w:val="21"/>
                <w:lang w:val="en-US" w:eastAsia="zh-CN"/>
              </w:rPr>
            </w:pPr>
            <w:r>
              <w:rPr>
                <w:rFonts w:hint="eastAsia" w:ascii="Times New Roman"/>
                <w:snapToGrid w:val="0"/>
                <w:color w:val="auto"/>
                <w:kern w:val="21"/>
                <w:szCs w:val="21"/>
                <w:lang w:val="en-US" w:eastAsia="zh-CN"/>
              </w:rPr>
              <w:t>0.0046t</w:t>
            </w:r>
            <w:r>
              <w:rPr>
                <w:rFonts w:hint="eastAsia" w:ascii="Times New Roman"/>
                <w:snapToGrid w:val="0"/>
                <w:color w:val="auto"/>
                <w:kern w:val="21"/>
                <w:szCs w:val="21"/>
                <w:lang w:eastAsia="zh-CN"/>
              </w:rPr>
              <w:t>/a</w:t>
            </w:r>
          </w:p>
        </w:tc>
        <w:tc>
          <w:tcPr>
            <w:tcW w:w="1761" w:type="dxa"/>
            <w:vAlign w:val="center"/>
          </w:tcPr>
          <w:p w14:paraId="5E2C93D5">
            <w:pPr>
              <w:jc w:val="center"/>
              <w:rPr>
                <w:rFonts w:ascii="Times New Roman"/>
                <w:snapToGrid w:val="0"/>
                <w:color w:val="auto"/>
                <w:kern w:val="21"/>
                <w:szCs w:val="21"/>
              </w:rPr>
            </w:pPr>
          </w:p>
        </w:tc>
        <w:tc>
          <w:tcPr>
            <w:tcW w:w="1499" w:type="dxa"/>
            <w:vAlign w:val="center"/>
          </w:tcPr>
          <w:p w14:paraId="19539147">
            <w:pPr>
              <w:pStyle w:val="64"/>
              <w:spacing w:beforeLines="0" w:afterLines="0" w:line="240" w:lineRule="auto"/>
              <w:rPr>
                <w:rFonts w:hint="eastAsia" w:ascii="Times New Roman"/>
                <w:snapToGrid w:val="0"/>
                <w:color w:val="auto"/>
                <w:kern w:val="21"/>
                <w:szCs w:val="21"/>
                <w:lang w:val="en-US" w:eastAsia="zh-CN"/>
              </w:rPr>
            </w:pPr>
            <w:r>
              <w:rPr>
                <w:rFonts w:hint="eastAsia" w:ascii="Times New Roman"/>
                <w:snapToGrid w:val="0"/>
                <w:color w:val="auto"/>
                <w:kern w:val="21"/>
                <w:szCs w:val="21"/>
                <w:lang w:val="en-US" w:eastAsia="zh-CN"/>
              </w:rPr>
              <w:t>0.0046t</w:t>
            </w:r>
            <w:r>
              <w:rPr>
                <w:rFonts w:hint="eastAsia" w:ascii="Times New Roman"/>
                <w:snapToGrid w:val="0"/>
                <w:color w:val="auto"/>
                <w:kern w:val="21"/>
                <w:szCs w:val="21"/>
                <w:lang w:eastAsia="zh-CN"/>
              </w:rPr>
              <w:t>/a</w:t>
            </w:r>
          </w:p>
        </w:tc>
        <w:tc>
          <w:tcPr>
            <w:tcW w:w="1286" w:type="dxa"/>
            <w:vAlign w:val="center"/>
          </w:tcPr>
          <w:p w14:paraId="5F1DCE7F">
            <w:pPr>
              <w:pStyle w:val="64"/>
              <w:spacing w:beforeLines="0" w:afterLines="0" w:line="240" w:lineRule="auto"/>
              <w:rPr>
                <w:rFonts w:ascii="Times New Roman"/>
                <w:snapToGrid w:val="0"/>
                <w:color w:val="auto"/>
                <w:kern w:val="21"/>
                <w:szCs w:val="21"/>
              </w:rPr>
            </w:pPr>
          </w:p>
        </w:tc>
      </w:tr>
      <w:tr w14:paraId="69F2E99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09EE00E3">
            <w:pPr>
              <w:pStyle w:val="64"/>
              <w:spacing w:beforeLines="0" w:afterLines="0" w:line="240" w:lineRule="auto"/>
              <w:rPr>
                <w:rFonts w:ascii="Times New Roman"/>
                <w:snapToGrid w:val="0"/>
                <w:color w:val="auto"/>
                <w:kern w:val="21"/>
                <w:szCs w:val="21"/>
              </w:rPr>
            </w:pPr>
          </w:p>
        </w:tc>
        <w:tc>
          <w:tcPr>
            <w:tcW w:w="1417" w:type="dxa"/>
            <w:vAlign w:val="center"/>
          </w:tcPr>
          <w:p w14:paraId="2C29CCFF">
            <w:pPr>
              <w:pStyle w:val="64"/>
              <w:spacing w:beforeLines="0" w:afterLines="0" w:line="240" w:lineRule="auto"/>
              <w:rPr>
                <w:rFonts w:hint="default" w:ascii="Times New Roman"/>
                <w:snapToGrid w:val="0"/>
                <w:color w:val="auto"/>
                <w:kern w:val="21"/>
                <w:szCs w:val="21"/>
                <w:lang w:val="en-US" w:eastAsia="zh-CN"/>
              </w:rPr>
            </w:pPr>
            <w:r>
              <w:rPr>
                <w:rFonts w:hint="eastAsia" w:ascii="Times New Roman"/>
                <w:snapToGrid w:val="0"/>
                <w:color w:val="auto"/>
                <w:kern w:val="21"/>
                <w:szCs w:val="21"/>
                <w:lang w:val="en-US" w:eastAsia="zh-CN"/>
              </w:rPr>
              <w:t>氮氧化物</w:t>
            </w:r>
          </w:p>
        </w:tc>
        <w:tc>
          <w:tcPr>
            <w:tcW w:w="1701" w:type="dxa"/>
            <w:vAlign w:val="center"/>
          </w:tcPr>
          <w:p w14:paraId="0EFF597C">
            <w:pPr>
              <w:pStyle w:val="64"/>
              <w:spacing w:beforeLines="0" w:afterLines="0" w:line="240" w:lineRule="auto"/>
              <w:rPr>
                <w:rFonts w:ascii="Times New Roman"/>
                <w:snapToGrid w:val="0"/>
                <w:color w:val="auto"/>
                <w:kern w:val="21"/>
                <w:szCs w:val="21"/>
              </w:rPr>
            </w:pPr>
          </w:p>
        </w:tc>
        <w:tc>
          <w:tcPr>
            <w:tcW w:w="1276" w:type="dxa"/>
            <w:vAlign w:val="center"/>
          </w:tcPr>
          <w:p w14:paraId="54E09452">
            <w:pPr>
              <w:pStyle w:val="64"/>
              <w:spacing w:beforeLines="0" w:afterLines="0" w:line="240" w:lineRule="auto"/>
              <w:rPr>
                <w:rFonts w:ascii="Times New Roman"/>
                <w:snapToGrid w:val="0"/>
                <w:color w:val="auto"/>
                <w:kern w:val="21"/>
                <w:szCs w:val="21"/>
              </w:rPr>
            </w:pPr>
          </w:p>
        </w:tc>
        <w:tc>
          <w:tcPr>
            <w:tcW w:w="1701" w:type="dxa"/>
            <w:vAlign w:val="center"/>
          </w:tcPr>
          <w:p w14:paraId="574494C1">
            <w:pPr>
              <w:pStyle w:val="64"/>
              <w:spacing w:beforeLines="0" w:afterLines="0" w:line="240" w:lineRule="auto"/>
              <w:rPr>
                <w:rFonts w:ascii="Times New Roman"/>
                <w:snapToGrid w:val="0"/>
                <w:color w:val="auto"/>
                <w:kern w:val="21"/>
                <w:szCs w:val="21"/>
              </w:rPr>
            </w:pPr>
          </w:p>
        </w:tc>
        <w:tc>
          <w:tcPr>
            <w:tcW w:w="1559" w:type="dxa"/>
            <w:vAlign w:val="center"/>
          </w:tcPr>
          <w:p w14:paraId="79D5B695">
            <w:pPr>
              <w:pStyle w:val="64"/>
              <w:spacing w:beforeLines="0" w:afterLines="0" w:line="240" w:lineRule="auto"/>
              <w:rPr>
                <w:rFonts w:hint="eastAsia" w:ascii="Times New Roman"/>
                <w:snapToGrid w:val="0"/>
                <w:color w:val="auto"/>
                <w:kern w:val="21"/>
                <w:szCs w:val="21"/>
                <w:lang w:val="en-US" w:eastAsia="zh-CN"/>
              </w:rPr>
            </w:pPr>
            <w:r>
              <w:rPr>
                <w:rFonts w:hint="eastAsia" w:ascii="Times New Roman"/>
                <w:snapToGrid w:val="0"/>
                <w:color w:val="auto"/>
                <w:kern w:val="21"/>
                <w:szCs w:val="21"/>
                <w:lang w:val="en-US" w:eastAsia="zh-CN"/>
              </w:rPr>
              <w:t>0.6388t</w:t>
            </w:r>
            <w:r>
              <w:rPr>
                <w:rFonts w:hint="eastAsia" w:ascii="Times New Roman"/>
                <w:snapToGrid w:val="0"/>
                <w:color w:val="auto"/>
                <w:kern w:val="21"/>
                <w:szCs w:val="21"/>
                <w:lang w:eastAsia="zh-CN"/>
              </w:rPr>
              <w:t>/a</w:t>
            </w:r>
          </w:p>
        </w:tc>
        <w:tc>
          <w:tcPr>
            <w:tcW w:w="1761" w:type="dxa"/>
            <w:vAlign w:val="center"/>
          </w:tcPr>
          <w:p w14:paraId="1D55808C">
            <w:pPr>
              <w:jc w:val="center"/>
              <w:rPr>
                <w:rFonts w:ascii="Times New Roman"/>
                <w:snapToGrid w:val="0"/>
                <w:color w:val="auto"/>
                <w:kern w:val="21"/>
                <w:szCs w:val="21"/>
              </w:rPr>
            </w:pPr>
          </w:p>
        </w:tc>
        <w:tc>
          <w:tcPr>
            <w:tcW w:w="1499" w:type="dxa"/>
            <w:vAlign w:val="center"/>
          </w:tcPr>
          <w:p w14:paraId="15F825FD">
            <w:pPr>
              <w:pStyle w:val="64"/>
              <w:spacing w:beforeLines="0" w:afterLines="0" w:line="240" w:lineRule="auto"/>
              <w:rPr>
                <w:rFonts w:hint="eastAsia" w:ascii="Times New Roman"/>
                <w:snapToGrid w:val="0"/>
                <w:color w:val="auto"/>
                <w:kern w:val="21"/>
                <w:szCs w:val="21"/>
                <w:lang w:val="en-US" w:eastAsia="zh-CN"/>
              </w:rPr>
            </w:pPr>
            <w:r>
              <w:rPr>
                <w:rFonts w:hint="eastAsia" w:ascii="Times New Roman"/>
                <w:snapToGrid w:val="0"/>
                <w:color w:val="auto"/>
                <w:kern w:val="21"/>
                <w:szCs w:val="21"/>
                <w:lang w:val="en-US" w:eastAsia="zh-CN"/>
              </w:rPr>
              <w:t>0.6388t</w:t>
            </w:r>
            <w:r>
              <w:rPr>
                <w:rFonts w:hint="eastAsia" w:ascii="Times New Roman"/>
                <w:snapToGrid w:val="0"/>
                <w:color w:val="auto"/>
                <w:kern w:val="21"/>
                <w:szCs w:val="21"/>
                <w:lang w:eastAsia="zh-CN"/>
              </w:rPr>
              <w:t>/a</w:t>
            </w:r>
          </w:p>
        </w:tc>
        <w:tc>
          <w:tcPr>
            <w:tcW w:w="1286" w:type="dxa"/>
            <w:vAlign w:val="center"/>
          </w:tcPr>
          <w:p w14:paraId="7B662765">
            <w:pPr>
              <w:pStyle w:val="64"/>
              <w:spacing w:beforeLines="0" w:afterLines="0" w:line="240" w:lineRule="auto"/>
              <w:rPr>
                <w:rFonts w:ascii="Times New Roman"/>
                <w:snapToGrid w:val="0"/>
                <w:color w:val="auto"/>
                <w:kern w:val="21"/>
                <w:szCs w:val="21"/>
              </w:rPr>
            </w:pPr>
          </w:p>
        </w:tc>
      </w:tr>
      <w:tr w14:paraId="22D16B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47EFEBDC">
            <w:pPr>
              <w:pStyle w:val="64"/>
              <w:spacing w:beforeLines="0" w:afterLines="0" w:line="240" w:lineRule="auto"/>
              <w:rPr>
                <w:rFonts w:ascii="Times New Roman"/>
                <w:snapToGrid w:val="0"/>
                <w:color w:val="auto"/>
                <w:kern w:val="21"/>
                <w:szCs w:val="21"/>
              </w:rPr>
            </w:pPr>
          </w:p>
        </w:tc>
        <w:tc>
          <w:tcPr>
            <w:tcW w:w="1417" w:type="dxa"/>
            <w:vAlign w:val="center"/>
          </w:tcPr>
          <w:p w14:paraId="78041883">
            <w:pPr>
              <w:pStyle w:val="64"/>
              <w:spacing w:beforeLines="0" w:afterLines="0" w:line="240" w:lineRule="auto"/>
              <w:rPr>
                <w:rFonts w:hint="default" w:ascii="Times New Roman"/>
                <w:snapToGrid w:val="0"/>
                <w:color w:val="auto"/>
                <w:kern w:val="21"/>
                <w:szCs w:val="21"/>
                <w:lang w:val="en-US" w:eastAsia="zh-CN"/>
              </w:rPr>
            </w:pPr>
            <w:r>
              <w:rPr>
                <w:rFonts w:hint="eastAsia" w:ascii="Times New Roman"/>
                <w:snapToGrid w:val="0"/>
                <w:color w:val="auto"/>
                <w:kern w:val="21"/>
                <w:szCs w:val="21"/>
                <w:lang w:val="en-US" w:eastAsia="zh-CN"/>
              </w:rPr>
              <w:t>沥青烟</w:t>
            </w:r>
          </w:p>
        </w:tc>
        <w:tc>
          <w:tcPr>
            <w:tcW w:w="1701" w:type="dxa"/>
            <w:vAlign w:val="center"/>
          </w:tcPr>
          <w:p w14:paraId="1005D004">
            <w:pPr>
              <w:pStyle w:val="64"/>
              <w:spacing w:beforeLines="0" w:afterLines="0" w:line="240" w:lineRule="auto"/>
              <w:rPr>
                <w:rFonts w:ascii="Times New Roman"/>
                <w:snapToGrid w:val="0"/>
                <w:color w:val="auto"/>
                <w:kern w:val="21"/>
                <w:szCs w:val="21"/>
              </w:rPr>
            </w:pPr>
          </w:p>
        </w:tc>
        <w:tc>
          <w:tcPr>
            <w:tcW w:w="1276" w:type="dxa"/>
            <w:vAlign w:val="center"/>
          </w:tcPr>
          <w:p w14:paraId="78F75488">
            <w:pPr>
              <w:pStyle w:val="64"/>
              <w:spacing w:beforeLines="0" w:afterLines="0" w:line="240" w:lineRule="auto"/>
              <w:rPr>
                <w:rFonts w:ascii="Times New Roman"/>
                <w:snapToGrid w:val="0"/>
                <w:color w:val="auto"/>
                <w:kern w:val="21"/>
                <w:szCs w:val="21"/>
              </w:rPr>
            </w:pPr>
          </w:p>
        </w:tc>
        <w:tc>
          <w:tcPr>
            <w:tcW w:w="1701" w:type="dxa"/>
            <w:vAlign w:val="center"/>
          </w:tcPr>
          <w:p w14:paraId="02A64121">
            <w:pPr>
              <w:pStyle w:val="64"/>
              <w:spacing w:beforeLines="0" w:afterLines="0" w:line="240" w:lineRule="auto"/>
              <w:rPr>
                <w:rFonts w:ascii="Times New Roman"/>
                <w:snapToGrid w:val="0"/>
                <w:color w:val="auto"/>
                <w:kern w:val="21"/>
                <w:szCs w:val="21"/>
              </w:rPr>
            </w:pPr>
          </w:p>
        </w:tc>
        <w:tc>
          <w:tcPr>
            <w:tcW w:w="1559" w:type="dxa"/>
            <w:vAlign w:val="center"/>
          </w:tcPr>
          <w:p w14:paraId="31CAD44D">
            <w:pPr>
              <w:pStyle w:val="64"/>
              <w:spacing w:beforeLines="0" w:afterLines="0" w:line="240" w:lineRule="auto"/>
              <w:rPr>
                <w:rFonts w:hint="eastAsia" w:ascii="Times New Roman"/>
                <w:snapToGrid w:val="0"/>
                <w:color w:val="auto"/>
                <w:kern w:val="21"/>
                <w:szCs w:val="21"/>
                <w:lang w:val="en-US" w:eastAsia="zh-CN"/>
              </w:rPr>
            </w:pPr>
            <w:r>
              <w:rPr>
                <w:rFonts w:hint="eastAsia" w:ascii="Times New Roman"/>
                <w:snapToGrid w:val="0"/>
                <w:color w:val="auto"/>
                <w:kern w:val="21"/>
                <w:szCs w:val="21"/>
                <w:lang w:val="en-US" w:eastAsia="zh-CN"/>
              </w:rPr>
              <w:t>0.011t</w:t>
            </w:r>
            <w:r>
              <w:rPr>
                <w:rFonts w:hint="eastAsia" w:ascii="Times New Roman"/>
                <w:snapToGrid w:val="0"/>
                <w:color w:val="auto"/>
                <w:kern w:val="21"/>
                <w:szCs w:val="21"/>
                <w:lang w:eastAsia="zh-CN"/>
              </w:rPr>
              <w:t>/a</w:t>
            </w:r>
          </w:p>
        </w:tc>
        <w:tc>
          <w:tcPr>
            <w:tcW w:w="1761" w:type="dxa"/>
            <w:vAlign w:val="center"/>
          </w:tcPr>
          <w:p w14:paraId="715036D6">
            <w:pPr>
              <w:jc w:val="center"/>
              <w:rPr>
                <w:rFonts w:ascii="Times New Roman"/>
                <w:snapToGrid w:val="0"/>
                <w:color w:val="auto"/>
                <w:kern w:val="21"/>
                <w:szCs w:val="21"/>
              </w:rPr>
            </w:pPr>
          </w:p>
        </w:tc>
        <w:tc>
          <w:tcPr>
            <w:tcW w:w="1499" w:type="dxa"/>
            <w:vAlign w:val="center"/>
          </w:tcPr>
          <w:p w14:paraId="24704B18">
            <w:pPr>
              <w:pStyle w:val="64"/>
              <w:spacing w:beforeLines="0" w:afterLines="0" w:line="240" w:lineRule="auto"/>
              <w:rPr>
                <w:rFonts w:hint="eastAsia" w:ascii="Times New Roman"/>
                <w:snapToGrid w:val="0"/>
                <w:color w:val="auto"/>
                <w:kern w:val="21"/>
                <w:szCs w:val="21"/>
                <w:lang w:val="en-US" w:eastAsia="zh-CN"/>
              </w:rPr>
            </w:pPr>
            <w:r>
              <w:rPr>
                <w:rFonts w:hint="eastAsia" w:ascii="Times New Roman"/>
                <w:snapToGrid w:val="0"/>
                <w:color w:val="auto"/>
                <w:kern w:val="21"/>
                <w:szCs w:val="21"/>
                <w:lang w:val="en-US" w:eastAsia="zh-CN"/>
              </w:rPr>
              <w:t>0.011t</w:t>
            </w:r>
            <w:r>
              <w:rPr>
                <w:rFonts w:hint="eastAsia" w:ascii="Times New Roman"/>
                <w:snapToGrid w:val="0"/>
                <w:color w:val="auto"/>
                <w:kern w:val="21"/>
                <w:szCs w:val="21"/>
                <w:lang w:eastAsia="zh-CN"/>
              </w:rPr>
              <w:t>/a</w:t>
            </w:r>
          </w:p>
        </w:tc>
        <w:tc>
          <w:tcPr>
            <w:tcW w:w="1286" w:type="dxa"/>
            <w:vAlign w:val="center"/>
          </w:tcPr>
          <w:p w14:paraId="32ECE4AE">
            <w:pPr>
              <w:pStyle w:val="64"/>
              <w:spacing w:beforeLines="0" w:afterLines="0" w:line="240" w:lineRule="auto"/>
              <w:rPr>
                <w:rFonts w:ascii="Times New Roman"/>
                <w:snapToGrid w:val="0"/>
                <w:color w:val="auto"/>
                <w:kern w:val="21"/>
                <w:szCs w:val="21"/>
              </w:rPr>
            </w:pPr>
          </w:p>
        </w:tc>
      </w:tr>
      <w:tr w14:paraId="63B69D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512E8E47">
            <w:pPr>
              <w:pStyle w:val="64"/>
              <w:spacing w:beforeLines="0" w:afterLines="0" w:line="240" w:lineRule="auto"/>
              <w:rPr>
                <w:rFonts w:ascii="Times New Roman"/>
                <w:snapToGrid w:val="0"/>
                <w:color w:val="auto"/>
                <w:kern w:val="21"/>
                <w:szCs w:val="21"/>
              </w:rPr>
            </w:pPr>
          </w:p>
        </w:tc>
        <w:tc>
          <w:tcPr>
            <w:tcW w:w="1417" w:type="dxa"/>
            <w:vAlign w:val="center"/>
          </w:tcPr>
          <w:p w14:paraId="218AC705">
            <w:pPr>
              <w:pStyle w:val="64"/>
              <w:spacing w:beforeLines="0" w:afterLines="0" w:line="240" w:lineRule="auto"/>
              <w:rPr>
                <w:rFonts w:hint="default" w:ascii="Times New Roman"/>
                <w:snapToGrid w:val="0"/>
                <w:color w:val="auto"/>
                <w:kern w:val="21"/>
                <w:szCs w:val="21"/>
                <w:lang w:val="en-US" w:eastAsia="zh-CN"/>
              </w:rPr>
            </w:pPr>
            <w:r>
              <w:rPr>
                <w:rFonts w:hint="eastAsia" w:ascii="Times New Roman"/>
                <w:snapToGrid w:val="0"/>
                <w:color w:val="auto"/>
                <w:kern w:val="21"/>
                <w:szCs w:val="21"/>
                <w:lang w:val="en-US" w:eastAsia="zh-CN"/>
              </w:rPr>
              <w:t>苯并[a]芘</w:t>
            </w:r>
          </w:p>
        </w:tc>
        <w:tc>
          <w:tcPr>
            <w:tcW w:w="1701" w:type="dxa"/>
            <w:vAlign w:val="center"/>
          </w:tcPr>
          <w:p w14:paraId="4243D3BE">
            <w:pPr>
              <w:pStyle w:val="64"/>
              <w:spacing w:beforeLines="0" w:afterLines="0" w:line="240" w:lineRule="auto"/>
              <w:rPr>
                <w:rFonts w:ascii="Times New Roman"/>
                <w:snapToGrid w:val="0"/>
                <w:color w:val="auto"/>
                <w:kern w:val="21"/>
                <w:szCs w:val="21"/>
              </w:rPr>
            </w:pPr>
          </w:p>
        </w:tc>
        <w:tc>
          <w:tcPr>
            <w:tcW w:w="1276" w:type="dxa"/>
            <w:vAlign w:val="center"/>
          </w:tcPr>
          <w:p w14:paraId="0C21A517">
            <w:pPr>
              <w:pStyle w:val="64"/>
              <w:spacing w:beforeLines="0" w:afterLines="0" w:line="240" w:lineRule="auto"/>
              <w:rPr>
                <w:rFonts w:ascii="Times New Roman"/>
                <w:snapToGrid w:val="0"/>
                <w:color w:val="auto"/>
                <w:kern w:val="21"/>
                <w:szCs w:val="21"/>
              </w:rPr>
            </w:pPr>
          </w:p>
        </w:tc>
        <w:tc>
          <w:tcPr>
            <w:tcW w:w="1701" w:type="dxa"/>
            <w:vAlign w:val="center"/>
          </w:tcPr>
          <w:p w14:paraId="041EF939">
            <w:pPr>
              <w:pStyle w:val="64"/>
              <w:spacing w:beforeLines="0" w:afterLines="0" w:line="240" w:lineRule="auto"/>
              <w:rPr>
                <w:rFonts w:ascii="Times New Roman"/>
                <w:snapToGrid w:val="0"/>
                <w:color w:val="auto"/>
                <w:kern w:val="21"/>
                <w:szCs w:val="21"/>
              </w:rPr>
            </w:pPr>
          </w:p>
        </w:tc>
        <w:tc>
          <w:tcPr>
            <w:tcW w:w="1559" w:type="dxa"/>
            <w:vAlign w:val="center"/>
          </w:tcPr>
          <w:p w14:paraId="18198E38">
            <w:pPr>
              <w:pStyle w:val="64"/>
              <w:spacing w:beforeLines="0" w:afterLines="0" w:line="240" w:lineRule="auto"/>
              <w:rPr>
                <w:rFonts w:hint="eastAsia" w:ascii="Times New Roman"/>
                <w:snapToGrid w:val="0"/>
                <w:color w:val="auto"/>
                <w:kern w:val="21"/>
                <w:szCs w:val="21"/>
                <w:lang w:val="en-US" w:eastAsia="zh-CN"/>
              </w:rPr>
            </w:pPr>
            <w:r>
              <w:rPr>
                <w:rFonts w:hint="eastAsia" w:ascii="Times New Roman"/>
                <w:snapToGrid w:val="0"/>
                <w:color w:val="auto"/>
                <w:kern w:val="21"/>
                <w:szCs w:val="21"/>
                <w:lang w:val="en-US" w:eastAsia="zh-CN"/>
              </w:rPr>
              <w:t>0.00003t</w:t>
            </w:r>
            <w:r>
              <w:rPr>
                <w:rFonts w:hint="eastAsia" w:ascii="Times New Roman"/>
                <w:snapToGrid w:val="0"/>
                <w:color w:val="auto"/>
                <w:kern w:val="21"/>
                <w:szCs w:val="21"/>
                <w:lang w:eastAsia="zh-CN"/>
              </w:rPr>
              <w:t>/a</w:t>
            </w:r>
          </w:p>
        </w:tc>
        <w:tc>
          <w:tcPr>
            <w:tcW w:w="1761" w:type="dxa"/>
            <w:vAlign w:val="center"/>
          </w:tcPr>
          <w:p w14:paraId="2D5B0508">
            <w:pPr>
              <w:jc w:val="center"/>
              <w:rPr>
                <w:rFonts w:ascii="Times New Roman"/>
                <w:snapToGrid w:val="0"/>
                <w:color w:val="auto"/>
                <w:kern w:val="21"/>
                <w:szCs w:val="21"/>
              </w:rPr>
            </w:pPr>
          </w:p>
        </w:tc>
        <w:tc>
          <w:tcPr>
            <w:tcW w:w="1499" w:type="dxa"/>
            <w:vAlign w:val="center"/>
          </w:tcPr>
          <w:p w14:paraId="363E88A1">
            <w:pPr>
              <w:pStyle w:val="64"/>
              <w:spacing w:beforeLines="0" w:afterLines="0" w:line="240" w:lineRule="auto"/>
              <w:rPr>
                <w:rFonts w:hint="eastAsia" w:ascii="Times New Roman"/>
                <w:snapToGrid w:val="0"/>
                <w:color w:val="auto"/>
                <w:kern w:val="21"/>
                <w:szCs w:val="21"/>
                <w:lang w:val="en-US" w:eastAsia="zh-CN"/>
              </w:rPr>
            </w:pPr>
            <w:r>
              <w:rPr>
                <w:rFonts w:hint="eastAsia" w:ascii="Times New Roman"/>
                <w:snapToGrid w:val="0"/>
                <w:color w:val="auto"/>
                <w:kern w:val="21"/>
                <w:szCs w:val="21"/>
                <w:lang w:val="en-US" w:eastAsia="zh-CN"/>
              </w:rPr>
              <w:t>0.00003t</w:t>
            </w:r>
            <w:r>
              <w:rPr>
                <w:rFonts w:hint="eastAsia" w:ascii="Times New Roman"/>
                <w:snapToGrid w:val="0"/>
                <w:color w:val="auto"/>
                <w:kern w:val="21"/>
                <w:szCs w:val="21"/>
                <w:lang w:eastAsia="zh-CN"/>
              </w:rPr>
              <w:t>/a</w:t>
            </w:r>
          </w:p>
        </w:tc>
        <w:tc>
          <w:tcPr>
            <w:tcW w:w="1286" w:type="dxa"/>
            <w:vAlign w:val="center"/>
          </w:tcPr>
          <w:p w14:paraId="7C410B78">
            <w:pPr>
              <w:pStyle w:val="64"/>
              <w:spacing w:beforeLines="0" w:afterLines="0" w:line="240" w:lineRule="auto"/>
              <w:rPr>
                <w:rFonts w:ascii="Times New Roman"/>
                <w:snapToGrid w:val="0"/>
                <w:color w:val="auto"/>
                <w:kern w:val="21"/>
                <w:szCs w:val="21"/>
              </w:rPr>
            </w:pPr>
          </w:p>
        </w:tc>
      </w:tr>
      <w:tr w14:paraId="623305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62FC64F0">
            <w:pPr>
              <w:pStyle w:val="64"/>
              <w:spacing w:beforeLines="0" w:afterLines="0" w:line="240" w:lineRule="auto"/>
              <w:rPr>
                <w:rFonts w:ascii="Times New Roman"/>
                <w:snapToGrid w:val="0"/>
                <w:color w:val="auto"/>
                <w:kern w:val="21"/>
                <w:szCs w:val="21"/>
              </w:rPr>
            </w:pPr>
          </w:p>
        </w:tc>
        <w:tc>
          <w:tcPr>
            <w:tcW w:w="1417" w:type="dxa"/>
            <w:vAlign w:val="center"/>
          </w:tcPr>
          <w:p w14:paraId="22A2C662">
            <w:pPr>
              <w:pStyle w:val="64"/>
              <w:spacing w:beforeLines="0" w:afterLines="0" w:line="240" w:lineRule="auto"/>
              <w:rPr>
                <w:rFonts w:hint="default" w:ascii="Times New Roman"/>
                <w:snapToGrid w:val="0"/>
                <w:color w:val="auto"/>
                <w:kern w:val="21"/>
                <w:szCs w:val="21"/>
                <w:lang w:val="en-US" w:eastAsia="zh-CN"/>
              </w:rPr>
            </w:pPr>
            <w:r>
              <w:rPr>
                <w:rFonts w:hint="eastAsia" w:ascii="Times New Roman"/>
                <w:snapToGrid w:val="0"/>
                <w:color w:val="auto"/>
                <w:kern w:val="21"/>
                <w:szCs w:val="21"/>
                <w:lang w:val="en-US" w:eastAsia="zh-CN"/>
              </w:rPr>
              <w:t>非甲烷总烃</w:t>
            </w:r>
          </w:p>
        </w:tc>
        <w:tc>
          <w:tcPr>
            <w:tcW w:w="1701" w:type="dxa"/>
            <w:vAlign w:val="center"/>
          </w:tcPr>
          <w:p w14:paraId="474145CB">
            <w:pPr>
              <w:pStyle w:val="64"/>
              <w:spacing w:beforeLines="0" w:afterLines="0" w:line="240" w:lineRule="auto"/>
              <w:rPr>
                <w:rFonts w:ascii="Times New Roman"/>
                <w:snapToGrid w:val="0"/>
                <w:color w:val="auto"/>
                <w:kern w:val="21"/>
                <w:szCs w:val="21"/>
              </w:rPr>
            </w:pPr>
          </w:p>
        </w:tc>
        <w:tc>
          <w:tcPr>
            <w:tcW w:w="1276" w:type="dxa"/>
            <w:vAlign w:val="center"/>
          </w:tcPr>
          <w:p w14:paraId="52C6251D">
            <w:pPr>
              <w:pStyle w:val="64"/>
              <w:spacing w:beforeLines="0" w:afterLines="0" w:line="240" w:lineRule="auto"/>
              <w:rPr>
                <w:rFonts w:ascii="Times New Roman"/>
                <w:snapToGrid w:val="0"/>
                <w:color w:val="auto"/>
                <w:kern w:val="21"/>
                <w:szCs w:val="21"/>
              </w:rPr>
            </w:pPr>
          </w:p>
        </w:tc>
        <w:tc>
          <w:tcPr>
            <w:tcW w:w="1701" w:type="dxa"/>
            <w:vAlign w:val="center"/>
          </w:tcPr>
          <w:p w14:paraId="314E1DC4">
            <w:pPr>
              <w:pStyle w:val="64"/>
              <w:spacing w:beforeLines="0" w:afterLines="0" w:line="240" w:lineRule="auto"/>
              <w:rPr>
                <w:rFonts w:ascii="Times New Roman"/>
                <w:snapToGrid w:val="0"/>
                <w:color w:val="auto"/>
                <w:kern w:val="21"/>
                <w:szCs w:val="21"/>
              </w:rPr>
            </w:pPr>
          </w:p>
        </w:tc>
        <w:tc>
          <w:tcPr>
            <w:tcW w:w="1559" w:type="dxa"/>
            <w:vAlign w:val="center"/>
          </w:tcPr>
          <w:p w14:paraId="72413746">
            <w:pPr>
              <w:pStyle w:val="64"/>
              <w:spacing w:beforeLines="0" w:afterLines="0" w:line="240" w:lineRule="auto"/>
              <w:rPr>
                <w:rFonts w:hint="eastAsia" w:ascii="Times New Roman"/>
                <w:snapToGrid w:val="0"/>
                <w:color w:val="auto"/>
                <w:kern w:val="21"/>
                <w:szCs w:val="21"/>
                <w:lang w:val="en-US" w:eastAsia="zh-CN"/>
              </w:rPr>
            </w:pPr>
            <w:r>
              <w:rPr>
                <w:rFonts w:hint="eastAsia" w:ascii="Times New Roman"/>
                <w:snapToGrid w:val="0"/>
                <w:color w:val="auto"/>
                <w:kern w:val="21"/>
                <w:szCs w:val="21"/>
                <w:lang w:val="en-US" w:eastAsia="zh-CN"/>
              </w:rPr>
              <w:t>0.007t</w:t>
            </w:r>
            <w:r>
              <w:rPr>
                <w:rFonts w:hint="eastAsia" w:ascii="Times New Roman"/>
                <w:snapToGrid w:val="0"/>
                <w:color w:val="auto"/>
                <w:kern w:val="21"/>
                <w:szCs w:val="21"/>
                <w:lang w:eastAsia="zh-CN"/>
              </w:rPr>
              <w:t>/a</w:t>
            </w:r>
          </w:p>
        </w:tc>
        <w:tc>
          <w:tcPr>
            <w:tcW w:w="1761" w:type="dxa"/>
            <w:vAlign w:val="center"/>
          </w:tcPr>
          <w:p w14:paraId="6EA89F98">
            <w:pPr>
              <w:jc w:val="center"/>
              <w:rPr>
                <w:rFonts w:ascii="Times New Roman"/>
                <w:snapToGrid w:val="0"/>
                <w:color w:val="auto"/>
                <w:kern w:val="21"/>
                <w:szCs w:val="21"/>
              </w:rPr>
            </w:pPr>
          </w:p>
        </w:tc>
        <w:tc>
          <w:tcPr>
            <w:tcW w:w="1499" w:type="dxa"/>
            <w:vAlign w:val="center"/>
          </w:tcPr>
          <w:p w14:paraId="5BF61AF0">
            <w:pPr>
              <w:pStyle w:val="64"/>
              <w:spacing w:beforeLines="0" w:afterLines="0" w:line="240" w:lineRule="auto"/>
              <w:rPr>
                <w:rFonts w:hint="eastAsia" w:ascii="Times New Roman"/>
                <w:snapToGrid w:val="0"/>
                <w:color w:val="auto"/>
                <w:kern w:val="21"/>
                <w:szCs w:val="21"/>
                <w:lang w:val="en-US" w:eastAsia="zh-CN"/>
              </w:rPr>
            </w:pPr>
            <w:r>
              <w:rPr>
                <w:rFonts w:hint="eastAsia" w:ascii="Times New Roman"/>
                <w:snapToGrid w:val="0"/>
                <w:color w:val="auto"/>
                <w:kern w:val="21"/>
                <w:szCs w:val="21"/>
                <w:lang w:val="en-US" w:eastAsia="zh-CN"/>
              </w:rPr>
              <w:t>0.007t</w:t>
            </w:r>
            <w:r>
              <w:rPr>
                <w:rFonts w:hint="eastAsia" w:ascii="Times New Roman"/>
                <w:snapToGrid w:val="0"/>
                <w:color w:val="auto"/>
                <w:kern w:val="21"/>
                <w:szCs w:val="21"/>
                <w:lang w:eastAsia="zh-CN"/>
              </w:rPr>
              <w:t>/a</w:t>
            </w:r>
          </w:p>
        </w:tc>
        <w:tc>
          <w:tcPr>
            <w:tcW w:w="1286" w:type="dxa"/>
            <w:vAlign w:val="center"/>
          </w:tcPr>
          <w:p w14:paraId="044C6BE9">
            <w:pPr>
              <w:pStyle w:val="64"/>
              <w:spacing w:beforeLines="0" w:afterLines="0" w:line="240" w:lineRule="auto"/>
              <w:rPr>
                <w:rFonts w:ascii="Times New Roman"/>
                <w:snapToGrid w:val="0"/>
                <w:color w:val="auto"/>
                <w:kern w:val="21"/>
                <w:szCs w:val="21"/>
              </w:rPr>
            </w:pPr>
          </w:p>
        </w:tc>
      </w:tr>
      <w:tr w14:paraId="0C6F2A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Align w:val="center"/>
          </w:tcPr>
          <w:p w14:paraId="4E481408">
            <w:pPr>
              <w:pStyle w:val="64"/>
              <w:spacing w:beforeLines="0" w:afterLines="0" w:line="240" w:lineRule="auto"/>
              <w:rPr>
                <w:rFonts w:ascii="Times New Roman"/>
                <w:snapToGrid w:val="0"/>
                <w:color w:val="auto"/>
                <w:kern w:val="21"/>
                <w:szCs w:val="21"/>
              </w:rPr>
            </w:pPr>
            <w:r>
              <w:rPr>
                <w:rFonts w:ascii="Times New Roman"/>
                <w:snapToGrid w:val="0"/>
                <w:color w:val="auto"/>
                <w:kern w:val="21"/>
                <w:szCs w:val="21"/>
              </w:rPr>
              <w:t>废水</w:t>
            </w:r>
          </w:p>
        </w:tc>
        <w:tc>
          <w:tcPr>
            <w:tcW w:w="1417" w:type="dxa"/>
            <w:vAlign w:val="center"/>
          </w:tcPr>
          <w:p w14:paraId="5BE24A61">
            <w:pPr>
              <w:pStyle w:val="64"/>
              <w:spacing w:beforeLines="0" w:afterLines="0" w:line="240" w:lineRule="auto"/>
              <w:rPr>
                <w:rFonts w:hint="default" w:ascii="Times New Roman" w:eastAsia="宋体"/>
                <w:snapToGrid w:val="0"/>
                <w:color w:val="auto"/>
                <w:kern w:val="21"/>
                <w:szCs w:val="21"/>
                <w:lang w:val="en-US" w:eastAsia="zh-CN"/>
              </w:rPr>
            </w:pPr>
          </w:p>
        </w:tc>
        <w:tc>
          <w:tcPr>
            <w:tcW w:w="1701" w:type="dxa"/>
            <w:vAlign w:val="center"/>
          </w:tcPr>
          <w:p w14:paraId="1401433D">
            <w:pPr>
              <w:pStyle w:val="64"/>
              <w:spacing w:beforeLines="0" w:afterLines="0" w:line="240" w:lineRule="auto"/>
              <w:rPr>
                <w:rFonts w:ascii="Times New Roman"/>
                <w:snapToGrid w:val="0"/>
                <w:color w:val="auto"/>
                <w:kern w:val="21"/>
                <w:szCs w:val="21"/>
              </w:rPr>
            </w:pPr>
          </w:p>
        </w:tc>
        <w:tc>
          <w:tcPr>
            <w:tcW w:w="1276" w:type="dxa"/>
            <w:vAlign w:val="center"/>
          </w:tcPr>
          <w:p w14:paraId="5193A1D6">
            <w:pPr>
              <w:pStyle w:val="64"/>
              <w:spacing w:beforeLines="0" w:afterLines="0" w:line="240" w:lineRule="auto"/>
              <w:rPr>
                <w:rFonts w:ascii="Times New Roman"/>
                <w:snapToGrid w:val="0"/>
                <w:color w:val="auto"/>
                <w:kern w:val="21"/>
                <w:szCs w:val="21"/>
              </w:rPr>
            </w:pPr>
          </w:p>
        </w:tc>
        <w:tc>
          <w:tcPr>
            <w:tcW w:w="1701" w:type="dxa"/>
            <w:vAlign w:val="center"/>
          </w:tcPr>
          <w:p w14:paraId="57DA4865">
            <w:pPr>
              <w:pStyle w:val="64"/>
              <w:spacing w:beforeLines="0" w:afterLines="0" w:line="240" w:lineRule="auto"/>
              <w:rPr>
                <w:rFonts w:ascii="Times New Roman"/>
                <w:snapToGrid w:val="0"/>
                <w:color w:val="auto"/>
                <w:kern w:val="21"/>
                <w:szCs w:val="21"/>
              </w:rPr>
            </w:pPr>
          </w:p>
        </w:tc>
        <w:tc>
          <w:tcPr>
            <w:tcW w:w="1559" w:type="dxa"/>
            <w:vAlign w:val="center"/>
          </w:tcPr>
          <w:p w14:paraId="666344D2">
            <w:pPr>
              <w:pStyle w:val="64"/>
              <w:spacing w:beforeLines="0" w:afterLines="0" w:line="240" w:lineRule="auto"/>
              <w:rPr>
                <w:rFonts w:hint="default" w:ascii="Times New Roman"/>
                <w:snapToGrid w:val="0"/>
                <w:color w:val="auto"/>
                <w:kern w:val="21"/>
                <w:szCs w:val="21"/>
                <w:lang w:val="en-US" w:eastAsia="zh-CN"/>
              </w:rPr>
            </w:pPr>
            <w:r>
              <w:rPr>
                <w:rFonts w:hint="eastAsia" w:ascii="Times New Roman"/>
                <w:snapToGrid w:val="0"/>
                <w:color w:val="auto"/>
                <w:kern w:val="21"/>
                <w:szCs w:val="21"/>
                <w:lang w:val="en-US" w:eastAsia="zh-CN"/>
              </w:rPr>
              <w:t>0</w:t>
            </w:r>
          </w:p>
        </w:tc>
        <w:tc>
          <w:tcPr>
            <w:tcW w:w="1761" w:type="dxa"/>
            <w:vAlign w:val="center"/>
          </w:tcPr>
          <w:p w14:paraId="1D46BBDB">
            <w:pPr>
              <w:pStyle w:val="64"/>
              <w:spacing w:beforeLines="0" w:afterLines="0" w:line="240" w:lineRule="auto"/>
              <w:rPr>
                <w:rFonts w:hint="eastAsia" w:ascii="Times New Roman"/>
                <w:snapToGrid w:val="0"/>
                <w:color w:val="auto"/>
                <w:kern w:val="21"/>
                <w:szCs w:val="21"/>
                <w:lang w:val="en-US" w:eastAsia="zh-CN"/>
              </w:rPr>
            </w:pPr>
          </w:p>
        </w:tc>
        <w:tc>
          <w:tcPr>
            <w:tcW w:w="1499" w:type="dxa"/>
            <w:vAlign w:val="center"/>
          </w:tcPr>
          <w:p w14:paraId="772AEAB3">
            <w:pPr>
              <w:pStyle w:val="64"/>
              <w:spacing w:beforeLines="0" w:afterLines="0" w:line="240" w:lineRule="auto"/>
              <w:rPr>
                <w:rFonts w:hint="default" w:ascii="Times New Roman"/>
                <w:snapToGrid w:val="0"/>
                <w:color w:val="auto"/>
                <w:kern w:val="21"/>
                <w:szCs w:val="21"/>
                <w:lang w:val="en-US" w:eastAsia="zh-CN"/>
              </w:rPr>
            </w:pPr>
            <w:r>
              <w:rPr>
                <w:rFonts w:hint="eastAsia" w:ascii="Times New Roman"/>
                <w:snapToGrid w:val="0"/>
                <w:color w:val="auto"/>
                <w:kern w:val="21"/>
                <w:szCs w:val="21"/>
                <w:lang w:val="en-US" w:eastAsia="zh-CN"/>
              </w:rPr>
              <w:t>0</w:t>
            </w:r>
          </w:p>
        </w:tc>
        <w:tc>
          <w:tcPr>
            <w:tcW w:w="1286" w:type="dxa"/>
            <w:vAlign w:val="center"/>
          </w:tcPr>
          <w:p w14:paraId="357981F5">
            <w:pPr>
              <w:pStyle w:val="64"/>
              <w:spacing w:beforeLines="0" w:afterLines="0" w:line="240" w:lineRule="auto"/>
              <w:rPr>
                <w:rFonts w:ascii="Times New Roman"/>
                <w:snapToGrid w:val="0"/>
                <w:color w:val="auto"/>
                <w:kern w:val="21"/>
                <w:szCs w:val="21"/>
              </w:rPr>
            </w:pPr>
          </w:p>
        </w:tc>
      </w:tr>
      <w:tr w14:paraId="63F18D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14:paraId="608F7F4E">
            <w:pPr>
              <w:pStyle w:val="64"/>
              <w:spacing w:beforeLines="0" w:afterLines="0" w:line="240" w:lineRule="auto"/>
              <w:rPr>
                <w:rFonts w:ascii="Times New Roman"/>
                <w:snapToGrid w:val="0"/>
                <w:color w:val="auto"/>
                <w:kern w:val="21"/>
                <w:szCs w:val="21"/>
              </w:rPr>
            </w:pPr>
            <w:r>
              <w:rPr>
                <w:rFonts w:ascii="Times New Roman"/>
                <w:snapToGrid w:val="0"/>
                <w:color w:val="auto"/>
                <w:kern w:val="21"/>
                <w:szCs w:val="21"/>
              </w:rPr>
              <w:t>一般工业</w:t>
            </w:r>
          </w:p>
          <w:p w14:paraId="67C74A84">
            <w:pPr>
              <w:pStyle w:val="64"/>
              <w:spacing w:beforeLines="0" w:afterLines="0" w:line="240" w:lineRule="auto"/>
              <w:rPr>
                <w:rFonts w:ascii="Times New Roman"/>
                <w:snapToGrid w:val="0"/>
                <w:color w:val="auto"/>
                <w:kern w:val="21"/>
                <w:szCs w:val="21"/>
              </w:rPr>
            </w:pPr>
            <w:r>
              <w:rPr>
                <w:rFonts w:ascii="Times New Roman"/>
                <w:snapToGrid w:val="0"/>
                <w:color w:val="auto"/>
                <w:kern w:val="21"/>
                <w:szCs w:val="21"/>
              </w:rPr>
              <w:t>固体废物</w:t>
            </w:r>
          </w:p>
        </w:tc>
        <w:tc>
          <w:tcPr>
            <w:tcW w:w="1417" w:type="dxa"/>
            <w:vAlign w:val="center"/>
          </w:tcPr>
          <w:p w14:paraId="2D1B4933">
            <w:pPr>
              <w:pStyle w:val="64"/>
              <w:spacing w:beforeLines="0" w:afterLines="0" w:line="240" w:lineRule="auto"/>
              <w:rPr>
                <w:rFonts w:hint="default" w:ascii="Times New Roman" w:eastAsia="宋体"/>
                <w:snapToGrid w:val="0"/>
                <w:color w:val="auto"/>
                <w:kern w:val="21"/>
                <w:szCs w:val="21"/>
                <w:lang w:val="en-US" w:eastAsia="zh-CN"/>
              </w:rPr>
            </w:pPr>
            <w:r>
              <w:rPr>
                <w:rFonts w:hint="eastAsia" w:ascii="Times New Roman"/>
                <w:snapToGrid w:val="0"/>
                <w:color w:val="auto"/>
                <w:kern w:val="21"/>
                <w:szCs w:val="21"/>
                <w:lang w:val="en-US" w:eastAsia="zh-CN"/>
              </w:rPr>
              <w:t>除尘灰</w:t>
            </w:r>
          </w:p>
        </w:tc>
        <w:tc>
          <w:tcPr>
            <w:tcW w:w="1701" w:type="dxa"/>
            <w:vAlign w:val="center"/>
          </w:tcPr>
          <w:p w14:paraId="6D1391A2">
            <w:pPr>
              <w:pStyle w:val="64"/>
              <w:spacing w:beforeLines="0" w:afterLines="0" w:line="240" w:lineRule="auto"/>
              <w:rPr>
                <w:rFonts w:ascii="Times New Roman"/>
                <w:snapToGrid w:val="0"/>
                <w:color w:val="auto"/>
                <w:kern w:val="21"/>
                <w:szCs w:val="21"/>
              </w:rPr>
            </w:pPr>
          </w:p>
        </w:tc>
        <w:tc>
          <w:tcPr>
            <w:tcW w:w="1276" w:type="dxa"/>
            <w:vAlign w:val="center"/>
          </w:tcPr>
          <w:p w14:paraId="2C0CD421">
            <w:pPr>
              <w:pStyle w:val="64"/>
              <w:spacing w:beforeLines="0" w:afterLines="0" w:line="240" w:lineRule="auto"/>
              <w:rPr>
                <w:rFonts w:ascii="Times New Roman"/>
                <w:snapToGrid w:val="0"/>
                <w:color w:val="auto"/>
                <w:kern w:val="21"/>
                <w:szCs w:val="21"/>
              </w:rPr>
            </w:pPr>
          </w:p>
        </w:tc>
        <w:tc>
          <w:tcPr>
            <w:tcW w:w="1701" w:type="dxa"/>
            <w:vAlign w:val="center"/>
          </w:tcPr>
          <w:p w14:paraId="600863BC">
            <w:pPr>
              <w:pStyle w:val="64"/>
              <w:spacing w:beforeLines="0" w:afterLines="0" w:line="240" w:lineRule="auto"/>
              <w:rPr>
                <w:rFonts w:ascii="Times New Roman"/>
                <w:snapToGrid w:val="0"/>
                <w:color w:val="auto"/>
                <w:kern w:val="21"/>
                <w:szCs w:val="21"/>
              </w:rPr>
            </w:pPr>
          </w:p>
        </w:tc>
        <w:tc>
          <w:tcPr>
            <w:tcW w:w="1559" w:type="dxa"/>
            <w:vAlign w:val="center"/>
          </w:tcPr>
          <w:p w14:paraId="17B6BE1D">
            <w:pPr>
              <w:pStyle w:val="64"/>
              <w:spacing w:beforeLines="0" w:afterLines="0" w:line="240" w:lineRule="auto"/>
              <w:rPr>
                <w:rFonts w:hint="default" w:ascii="Times New Roman"/>
                <w:snapToGrid w:val="0"/>
                <w:color w:val="auto"/>
                <w:kern w:val="21"/>
                <w:szCs w:val="21"/>
                <w:lang w:val="en-US" w:eastAsia="zh-CN"/>
              </w:rPr>
            </w:pPr>
            <w:r>
              <w:rPr>
                <w:rFonts w:hint="eastAsia" w:ascii="Times New Roman"/>
                <w:snapToGrid w:val="0"/>
                <w:color w:val="auto"/>
                <w:kern w:val="21"/>
                <w:szCs w:val="21"/>
                <w:lang w:val="en-US" w:eastAsia="zh-CN"/>
              </w:rPr>
              <w:t>89.28t</w:t>
            </w:r>
            <w:r>
              <w:rPr>
                <w:rFonts w:hint="eastAsia" w:ascii="Times New Roman"/>
                <w:snapToGrid w:val="0"/>
                <w:color w:val="auto"/>
                <w:kern w:val="21"/>
                <w:szCs w:val="21"/>
                <w:lang w:eastAsia="zh-CN"/>
              </w:rPr>
              <w:t>/a</w:t>
            </w:r>
          </w:p>
        </w:tc>
        <w:tc>
          <w:tcPr>
            <w:tcW w:w="1761" w:type="dxa"/>
            <w:vAlign w:val="center"/>
          </w:tcPr>
          <w:p w14:paraId="3D807CF2">
            <w:pPr>
              <w:pStyle w:val="64"/>
              <w:spacing w:beforeLines="0" w:afterLines="0" w:line="240" w:lineRule="auto"/>
              <w:rPr>
                <w:rFonts w:hint="eastAsia" w:ascii="Times New Roman"/>
                <w:snapToGrid w:val="0"/>
                <w:color w:val="auto"/>
                <w:kern w:val="21"/>
                <w:szCs w:val="21"/>
                <w:lang w:val="en-US" w:eastAsia="zh-CN"/>
              </w:rPr>
            </w:pPr>
          </w:p>
        </w:tc>
        <w:tc>
          <w:tcPr>
            <w:tcW w:w="1499" w:type="dxa"/>
            <w:vAlign w:val="center"/>
          </w:tcPr>
          <w:p w14:paraId="291C0E6E">
            <w:pPr>
              <w:pStyle w:val="64"/>
              <w:spacing w:beforeLines="0" w:afterLines="0" w:line="240" w:lineRule="auto"/>
              <w:rPr>
                <w:rFonts w:hint="default" w:ascii="Times New Roman"/>
                <w:snapToGrid w:val="0"/>
                <w:color w:val="auto"/>
                <w:kern w:val="21"/>
                <w:szCs w:val="21"/>
                <w:lang w:val="en-US" w:eastAsia="zh-CN"/>
              </w:rPr>
            </w:pPr>
            <w:r>
              <w:rPr>
                <w:rFonts w:hint="eastAsia" w:ascii="Times New Roman"/>
                <w:snapToGrid w:val="0"/>
                <w:color w:val="auto"/>
                <w:kern w:val="21"/>
                <w:szCs w:val="21"/>
                <w:lang w:val="en-US" w:eastAsia="zh-CN"/>
              </w:rPr>
              <w:t>0</w:t>
            </w:r>
          </w:p>
        </w:tc>
        <w:tc>
          <w:tcPr>
            <w:tcW w:w="1286" w:type="dxa"/>
            <w:vAlign w:val="center"/>
          </w:tcPr>
          <w:p w14:paraId="0740DD8D">
            <w:pPr>
              <w:pStyle w:val="64"/>
              <w:spacing w:beforeLines="0" w:afterLines="0" w:line="240" w:lineRule="auto"/>
              <w:rPr>
                <w:rFonts w:ascii="Times New Roman"/>
                <w:snapToGrid w:val="0"/>
                <w:color w:val="auto"/>
                <w:kern w:val="21"/>
                <w:szCs w:val="21"/>
              </w:rPr>
            </w:pPr>
          </w:p>
        </w:tc>
      </w:tr>
      <w:tr w14:paraId="777646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189D8A13">
            <w:pPr>
              <w:pStyle w:val="64"/>
              <w:spacing w:beforeLines="0" w:afterLines="0" w:line="240" w:lineRule="auto"/>
              <w:rPr>
                <w:rFonts w:ascii="Times New Roman"/>
                <w:snapToGrid w:val="0"/>
                <w:color w:val="auto"/>
                <w:kern w:val="21"/>
                <w:szCs w:val="21"/>
              </w:rPr>
            </w:pPr>
          </w:p>
        </w:tc>
        <w:tc>
          <w:tcPr>
            <w:tcW w:w="1417" w:type="dxa"/>
            <w:shd w:val="clear" w:color="auto" w:fill="auto"/>
            <w:vAlign w:val="center"/>
          </w:tcPr>
          <w:p w14:paraId="06EC1B25">
            <w:pPr>
              <w:pStyle w:val="64"/>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snapToGrid w:val="0"/>
                <w:color w:val="auto"/>
                <w:kern w:val="21"/>
                <w:szCs w:val="21"/>
                <w:lang w:val="en-US" w:eastAsia="zh-CN"/>
              </w:rPr>
              <w:t>废石料</w:t>
            </w:r>
          </w:p>
        </w:tc>
        <w:tc>
          <w:tcPr>
            <w:tcW w:w="1701" w:type="dxa"/>
            <w:vAlign w:val="center"/>
          </w:tcPr>
          <w:p w14:paraId="32E555E2">
            <w:pPr>
              <w:pStyle w:val="64"/>
              <w:spacing w:beforeLines="0" w:afterLines="0" w:line="240" w:lineRule="auto"/>
              <w:rPr>
                <w:rFonts w:ascii="Times New Roman"/>
                <w:snapToGrid w:val="0"/>
                <w:color w:val="auto"/>
                <w:kern w:val="21"/>
                <w:szCs w:val="21"/>
              </w:rPr>
            </w:pPr>
          </w:p>
        </w:tc>
        <w:tc>
          <w:tcPr>
            <w:tcW w:w="1276" w:type="dxa"/>
            <w:vAlign w:val="center"/>
          </w:tcPr>
          <w:p w14:paraId="11509423">
            <w:pPr>
              <w:pStyle w:val="64"/>
              <w:spacing w:beforeLines="0" w:afterLines="0" w:line="240" w:lineRule="auto"/>
              <w:rPr>
                <w:rFonts w:ascii="Times New Roman"/>
                <w:snapToGrid w:val="0"/>
                <w:color w:val="auto"/>
                <w:kern w:val="21"/>
                <w:szCs w:val="21"/>
              </w:rPr>
            </w:pPr>
          </w:p>
        </w:tc>
        <w:tc>
          <w:tcPr>
            <w:tcW w:w="1701" w:type="dxa"/>
            <w:vAlign w:val="center"/>
          </w:tcPr>
          <w:p w14:paraId="6EC993E9">
            <w:pPr>
              <w:pStyle w:val="64"/>
              <w:spacing w:beforeLines="0" w:afterLines="0" w:line="240" w:lineRule="auto"/>
              <w:rPr>
                <w:rFonts w:ascii="Times New Roman"/>
                <w:snapToGrid w:val="0"/>
                <w:color w:val="auto"/>
                <w:kern w:val="21"/>
                <w:szCs w:val="21"/>
              </w:rPr>
            </w:pPr>
          </w:p>
        </w:tc>
        <w:tc>
          <w:tcPr>
            <w:tcW w:w="1559" w:type="dxa"/>
            <w:vAlign w:val="center"/>
          </w:tcPr>
          <w:p w14:paraId="37514073">
            <w:pPr>
              <w:pStyle w:val="64"/>
              <w:spacing w:beforeLines="0" w:afterLines="0" w:line="240" w:lineRule="auto"/>
              <w:rPr>
                <w:rFonts w:hint="eastAsia" w:ascii="Times New Roman"/>
                <w:snapToGrid w:val="0"/>
                <w:color w:val="auto"/>
                <w:kern w:val="21"/>
                <w:szCs w:val="21"/>
                <w:lang w:val="en-US" w:eastAsia="zh-CN"/>
              </w:rPr>
            </w:pPr>
            <w:r>
              <w:rPr>
                <w:rFonts w:hint="eastAsia" w:ascii="Times New Roman"/>
                <w:snapToGrid w:val="0"/>
                <w:color w:val="auto"/>
                <w:kern w:val="21"/>
                <w:szCs w:val="21"/>
                <w:lang w:val="en-US" w:eastAsia="zh-CN"/>
              </w:rPr>
              <w:t>10t</w:t>
            </w:r>
            <w:r>
              <w:rPr>
                <w:rFonts w:hint="eastAsia" w:ascii="Times New Roman"/>
                <w:snapToGrid w:val="0"/>
                <w:color w:val="auto"/>
                <w:kern w:val="21"/>
                <w:szCs w:val="21"/>
                <w:lang w:eastAsia="zh-CN"/>
              </w:rPr>
              <w:t>/a</w:t>
            </w:r>
          </w:p>
        </w:tc>
        <w:tc>
          <w:tcPr>
            <w:tcW w:w="1761" w:type="dxa"/>
            <w:vAlign w:val="center"/>
          </w:tcPr>
          <w:p w14:paraId="0038EBDC">
            <w:pPr>
              <w:pStyle w:val="64"/>
              <w:spacing w:beforeLines="0" w:afterLines="0" w:line="240" w:lineRule="auto"/>
              <w:rPr>
                <w:rFonts w:hint="eastAsia" w:ascii="Times New Roman"/>
                <w:snapToGrid w:val="0"/>
                <w:color w:val="auto"/>
                <w:kern w:val="21"/>
                <w:szCs w:val="21"/>
                <w:lang w:val="en-US" w:eastAsia="zh-CN"/>
              </w:rPr>
            </w:pPr>
          </w:p>
        </w:tc>
        <w:tc>
          <w:tcPr>
            <w:tcW w:w="1499" w:type="dxa"/>
            <w:vAlign w:val="center"/>
          </w:tcPr>
          <w:p w14:paraId="50D90200">
            <w:pPr>
              <w:pStyle w:val="64"/>
              <w:spacing w:beforeLines="0" w:afterLines="0" w:line="240" w:lineRule="auto"/>
              <w:rPr>
                <w:rFonts w:hint="default" w:ascii="Times New Roman"/>
                <w:snapToGrid w:val="0"/>
                <w:color w:val="auto"/>
                <w:kern w:val="21"/>
                <w:szCs w:val="21"/>
                <w:lang w:val="en-US" w:eastAsia="zh-CN"/>
              </w:rPr>
            </w:pPr>
            <w:r>
              <w:rPr>
                <w:rFonts w:hint="eastAsia" w:ascii="Times New Roman"/>
                <w:snapToGrid w:val="0"/>
                <w:color w:val="auto"/>
                <w:kern w:val="21"/>
                <w:szCs w:val="21"/>
                <w:lang w:val="en-US" w:eastAsia="zh-CN"/>
              </w:rPr>
              <w:t>0</w:t>
            </w:r>
          </w:p>
        </w:tc>
        <w:tc>
          <w:tcPr>
            <w:tcW w:w="1286" w:type="dxa"/>
            <w:vAlign w:val="center"/>
          </w:tcPr>
          <w:p w14:paraId="00C77E62">
            <w:pPr>
              <w:pStyle w:val="64"/>
              <w:spacing w:beforeLines="0" w:afterLines="0" w:line="240" w:lineRule="auto"/>
              <w:rPr>
                <w:rFonts w:ascii="Times New Roman"/>
                <w:snapToGrid w:val="0"/>
                <w:color w:val="auto"/>
                <w:kern w:val="21"/>
                <w:szCs w:val="21"/>
              </w:rPr>
            </w:pPr>
          </w:p>
        </w:tc>
      </w:tr>
      <w:tr w14:paraId="41643B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66C20B2F">
            <w:pPr>
              <w:pStyle w:val="64"/>
              <w:spacing w:beforeLines="0" w:afterLines="0" w:line="240" w:lineRule="auto"/>
              <w:rPr>
                <w:rFonts w:ascii="Times New Roman"/>
                <w:snapToGrid w:val="0"/>
                <w:color w:val="auto"/>
                <w:kern w:val="21"/>
                <w:szCs w:val="21"/>
              </w:rPr>
            </w:pPr>
          </w:p>
        </w:tc>
        <w:tc>
          <w:tcPr>
            <w:tcW w:w="1417" w:type="dxa"/>
            <w:shd w:val="clear" w:color="auto" w:fill="auto"/>
            <w:vAlign w:val="center"/>
          </w:tcPr>
          <w:p w14:paraId="35840BB0">
            <w:pPr>
              <w:pStyle w:val="64"/>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 w:val="21"/>
                <w:szCs w:val="21"/>
                <w:lang w:val="en-US" w:eastAsia="zh-CN" w:bidi="ar-SA"/>
              </w:rPr>
              <w:t>滴漏沥青及拌合残渣</w:t>
            </w:r>
          </w:p>
        </w:tc>
        <w:tc>
          <w:tcPr>
            <w:tcW w:w="1701" w:type="dxa"/>
            <w:vAlign w:val="center"/>
          </w:tcPr>
          <w:p w14:paraId="57CA099A">
            <w:pPr>
              <w:pStyle w:val="64"/>
              <w:spacing w:beforeLines="0" w:afterLines="0" w:line="240" w:lineRule="auto"/>
              <w:rPr>
                <w:rFonts w:ascii="Times New Roman"/>
                <w:snapToGrid w:val="0"/>
                <w:color w:val="auto"/>
                <w:kern w:val="21"/>
                <w:szCs w:val="21"/>
              </w:rPr>
            </w:pPr>
          </w:p>
        </w:tc>
        <w:tc>
          <w:tcPr>
            <w:tcW w:w="1276" w:type="dxa"/>
            <w:vAlign w:val="center"/>
          </w:tcPr>
          <w:p w14:paraId="62BDA902">
            <w:pPr>
              <w:pStyle w:val="64"/>
              <w:spacing w:beforeLines="0" w:afterLines="0" w:line="240" w:lineRule="auto"/>
              <w:rPr>
                <w:rFonts w:ascii="Times New Roman"/>
                <w:snapToGrid w:val="0"/>
                <w:color w:val="auto"/>
                <w:kern w:val="21"/>
                <w:szCs w:val="21"/>
              </w:rPr>
            </w:pPr>
          </w:p>
        </w:tc>
        <w:tc>
          <w:tcPr>
            <w:tcW w:w="1701" w:type="dxa"/>
            <w:vAlign w:val="center"/>
          </w:tcPr>
          <w:p w14:paraId="76B0B62C">
            <w:pPr>
              <w:pStyle w:val="64"/>
              <w:spacing w:beforeLines="0" w:afterLines="0" w:line="240" w:lineRule="auto"/>
              <w:rPr>
                <w:rFonts w:ascii="Times New Roman"/>
                <w:snapToGrid w:val="0"/>
                <w:color w:val="auto"/>
                <w:kern w:val="21"/>
                <w:szCs w:val="21"/>
              </w:rPr>
            </w:pPr>
          </w:p>
        </w:tc>
        <w:tc>
          <w:tcPr>
            <w:tcW w:w="1559" w:type="dxa"/>
            <w:vAlign w:val="center"/>
          </w:tcPr>
          <w:p w14:paraId="46F49A59">
            <w:pPr>
              <w:pStyle w:val="64"/>
              <w:spacing w:beforeLines="0" w:afterLines="0" w:line="240" w:lineRule="auto"/>
              <w:rPr>
                <w:rFonts w:hint="eastAsia" w:ascii="Times New Roman"/>
                <w:snapToGrid w:val="0"/>
                <w:color w:val="auto"/>
                <w:kern w:val="21"/>
                <w:szCs w:val="21"/>
                <w:lang w:val="en-US" w:eastAsia="zh-CN"/>
              </w:rPr>
            </w:pPr>
            <w:r>
              <w:rPr>
                <w:rFonts w:hint="eastAsia" w:ascii="Times New Roman"/>
                <w:snapToGrid w:val="0"/>
                <w:color w:val="auto"/>
                <w:kern w:val="21"/>
                <w:szCs w:val="21"/>
                <w:lang w:val="en-US" w:eastAsia="zh-CN"/>
              </w:rPr>
              <w:t>0.1t</w:t>
            </w:r>
            <w:r>
              <w:rPr>
                <w:rFonts w:hint="eastAsia" w:ascii="Times New Roman"/>
                <w:snapToGrid w:val="0"/>
                <w:color w:val="auto"/>
                <w:kern w:val="21"/>
                <w:szCs w:val="21"/>
                <w:lang w:eastAsia="zh-CN"/>
              </w:rPr>
              <w:t>/a</w:t>
            </w:r>
          </w:p>
        </w:tc>
        <w:tc>
          <w:tcPr>
            <w:tcW w:w="1761" w:type="dxa"/>
            <w:vAlign w:val="center"/>
          </w:tcPr>
          <w:p w14:paraId="65C32D01">
            <w:pPr>
              <w:pStyle w:val="64"/>
              <w:spacing w:beforeLines="0" w:afterLines="0" w:line="240" w:lineRule="auto"/>
              <w:rPr>
                <w:rFonts w:hint="eastAsia" w:ascii="Times New Roman"/>
                <w:snapToGrid w:val="0"/>
                <w:color w:val="auto"/>
                <w:kern w:val="21"/>
                <w:szCs w:val="21"/>
                <w:lang w:val="en-US" w:eastAsia="zh-CN"/>
              </w:rPr>
            </w:pPr>
          </w:p>
        </w:tc>
        <w:tc>
          <w:tcPr>
            <w:tcW w:w="1499" w:type="dxa"/>
            <w:vAlign w:val="center"/>
          </w:tcPr>
          <w:p w14:paraId="3A043350">
            <w:pPr>
              <w:pStyle w:val="64"/>
              <w:spacing w:beforeLines="0" w:afterLines="0" w:line="240" w:lineRule="auto"/>
              <w:rPr>
                <w:rFonts w:hint="default" w:ascii="Times New Roman"/>
                <w:snapToGrid w:val="0"/>
                <w:color w:val="auto"/>
                <w:kern w:val="21"/>
                <w:szCs w:val="21"/>
                <w:lang w:val="en-US" w:eastAsia="zh-CN"/>
              </w:rPr>
            </w:pPr>
            <w:r>
              <w:rPr>
                <w:rFonts w:hint="eastAsia" w:ascii="Times New Roman"/>
                <w:snapToGrid w:val="0"/>
                <w:color w:val="auto"/>
                <w:kern w:val="21"/>
                <w:szCs w:val="21"/>
                <w:lang w:val="en-US" w:eastAsia="zh-CN"/>
              </w:rPr>
              <w:t>0</w:t>
            </w:r>
          </w:p>
        </w:tc>
        <w:tc>
          <w:tcPr>
            <w:tcW w:w="1286" w:type="dxa"/>
            <w:vAlign w:val="center"/>
          </w:tcPr>
          <w:p w14:paraId="7D9CE280">
            <w:pPr>
              <w:pStyle w:val="64"/>
              <w:spacing w:beforeLines="0" w:afterLines="0" w:line="240" w:lineRule="auto"/>
              <w:rPr>
                <w:rFonts w:ascii="Times New Roman"/>
                <w:snapToGrid w:val="0"/>
                <w:color w:val="auto"/>
                <w:kern w:val="21"/>
                <w:szCs w:val="21"/>
              </w:rPr>
            </w:pPr>
          </w:p>
        </w:tc>
      </w:tr>
      <w:tr w14:paraId="72907E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57F4C50D">
            <w:pPr>
              <w:pStyle w:val="64"/>
              <w:spacing w:beforeLines="0" w:afterLines="0" w:line="240" w:lineRule="auto"/>
              <w:rPr>
                <w:rFonts w:ascii="Times New Roman"/>
                <w:snapToGrid w:val="0"/>
                <w:color w:val="auto"/>
                <w:kern w:val="21"/>
                <w:szCs w:val="21"/>
              </w:rPr>
            </w:pPr>
          </w:p>
        </w:tc>
        <w:tc>
          <w:tcPr>
            <w:tcW w:w="1417" w:type="dxa"/>
            <w:shd w:val="clear" w:color="auto" w:fill="auto"/>
            <w:vAlign w:val="center"/>
          </w:tcPr>
          <w:p w14:paraId="4BC038B5">
            <w:pPr>
              <w:pStyle w:val="64"/>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snapToGrid w:val="0"/>
                <w:color w:val="auto"/>
                <w:kern w:val="21"/>
                <w:szCs w:val="21"/>
                <w:lang w:val="en-US" w:eastAsia="zh-CN"/>
              </w:rPr>
              <w:t>废渣、沉渣</w:t>
            </w:r>
          </w:p>
        </w:tc>
        <w:tc>
          <w:tcPr>
            <w:tcW w:w="1701" w:type="dxa"/>
            <w:vAlign w:val="center"/>
          </w:tcPr>
          <w:p w14:paraId="222E1598">
            <w:pPr>
              <w:pStyle w:val="64"/>
              <w:spacing w:beforeLines="0" w:afterLines="0" w:line="240" w:lineRule="auto"/>
              <w:rPr>
                <w:rFonts w:ascii="Times New Roman"/>
                <w:snapToGrid w:val="0"/>
                <w:color w:val="auto"/>
                <w:kern w:val="21"/>
                <w:szCs w:val="21"/>
              </w:rPr>
            </w:pPr>
          </w:p>
        </w:tc>
        <w:tc>
          <w:tcPr>
            <w:tcW w:w="1276" w:type="dxa"/>
            <w:vAlign w:val="center"/>
          </w:tcPr>
          <w:p w14:paraId="27F69D3B">
            <w:pPr>
              <w:pStyle w:val="64"/>
              <w:spacing w:beforeLines="0" w:afterLines="0" w:line="240" w:lineRule="auto"/>
              <w:rPr>
                <w:rFonts w:ascii="Times New Roman"/>
                <w:snapToGrid w:val="0"/>
                <w:color w:val="auto"/>
                <w:kern w:val="21"/>
                <w:szCs w:val="21"/>
              </w:rPr>
            </w:pPr>
          </w:p>
        </w:tc>
        <w:tc>
          <w:tcPr>
            <w:tcW w:w="1701" w:type="dxa"/>
            <w:vAlign w:val="center"/>
          </w:tcPr>
          <w:p w14:paraId="710AFB9E">
            <w:pPr>
              <w:pStyle w:val="64"/>
              <w:spacing w:beforeLines="0" w:afterLines="0" w:line="240" w:lineRule="auto"/>
              <w:rPr>
                <w:rFonts w:ascii="Times New Roman"/>
                <w:snapToGrid w:val="0"/>
                <w:color w:val="auto"/>
                <w:kern w:val="21"/>
                <w:szCs w:val="21"/>
              </w:rPr>
            </w:pPr>
          </w:p>
        </w:tc>
        <w:tc>
          <w:tcPr>
            <w:tcW w:w="1559" w:type="dxa"/>
            <w:vAlign w:val="center"/>
          </w:tcPr>
          <w:p w14:paraId="7D66F4CE">
            <w:pPr>
              <w:pStyle w:val="64"/>
              <w:spacing w:beforeLines="0" w:afterLines="0" w:line="240" w:lineRule="auto"/>
              <w:rPr>
                <w:rFonts w:hint="eastAsia" w:ascii="Times New Roman"/>
                <w:snapToGrid w:val="0"/>
                <w:color w:val="auto"/>
                <w:kern w:val="21"/>
                <w:szCs w:val="21"/>
                <w:lang w:val="en-US" w:eastAsia="zh-CN"/>
              </w:rPr>
            </w:pPr>
            <w:r>
              <w:rPr>
                <w:rFonts w:hint="eastAsia" w:ascii="Times New Roman"/>
                <w:snapToGrid w:val="0"/>
                <w:color w:val="auto"/>
                <w:kern w:val="21"/>
                <w:szCs w:val="21"/>
                <w:lang w:val="en-US" w:eastAsia="zh-CN"/>
              </w:rPr>
              <w:t>2.5t</w:t>
            </w:r>
            <w:r>
              <w:rPr>
                <w:rFonts w:hint="eastAsia" w:ascii="Times New Roman"/>
                <w:snapToGrid w:val="0"/>
                <w:color w:val="auto"/>
                <w:kern w:val="21"/>
                <w:szCs w:val="21"/>
                <w:lang w:eastAsia="zh-CN"/>
              </w:rPr>
              <w:t>/a</w:t>
            </w:r>
          </w:p>
        </w:tc>
        <w:tc>
          <w:tcPr>
            <w:tcW w:w="1761" w:type="dxa"/>
            <w:vAlign w:val="center"/>
          </w:tcPr>
          <w:p w14:paraId="07B2B9FB">
            <w:pPr>
              <w:pStyle w:val="64"/>
              <w:spacing w:beforeLines="0" w:afterLines="0" w:line="240" w:lineRule="auto"/>
              <w:rPr>
                <w:rFonts w:hint="eastAsia" w:ascii="Times New Roman"/>
                <w:snapToGrid w:val="0"/>
                <w:color w:val="auto"/>
                <w:kern w:val="21"/>
                <w:szCs w:val="21"/>
                <w:lang w:val="en-US" w:eastAsia="zh-CN"/>
              </w:rPr>
            </w:pPr>
          </w:p>
        </w:tc>
        <w:tc>
          <w:tcPr>
            <w:tcW w:w="1499" w:type="dxa"/>
            <w:vAlign w:val="center"/>
          </w:tcPr>
          <w:p w14:paraId="491216CD">
            <w:pPr>
              <w:pStyle w:val="64"/>
              <w:spacing w:beforeLines="0" w:afterLines="0" w:line="240" w:lineRule="auto"/>
              <w:rPr>
                <w:rFonts w:hint="default" w:ascii="Times New Roman"/>
                <w:snapToGrid w:val="0"/>
                <w:color w:val="auto"/>
                <w:kern w:val="21"/>
                <w:szCs w:val="21"/>
                <w:lang w:val="en-US" w:eastAsia="zh-CN"/>
              </w:rPr>
            </w:pPr>
            <w:r>
              <w:rPr>
                <w:rFonts w:hint="eastAsia" w:ascii="Times New Roman"/>
                <w:snapToGrid w:val="0"/>
                <w:color w:val="auto"/>
                <w:kern w:val="21"/>
                <w:szCs w:val="21"/>
                <w:lang w:val="en-US" w:eastAsia="zh-CN"/>
              </w:rPr>
              <w:t>0</w:t>
            </w:r>
          </w:p>
        </w:tc>
        <w:tc>
          <w:tcPr>
            <w:tcW w:w="1286" w:type="dxa"/>
            <w:vAlign w:val="center"/>
          </w:tcPr>
          <w:p w14:paraId="40A2B722">
            <w:pPr>
              <w:pStyle w:val="64"/>
              <w:spacing w:beforeLines="0" w:afterLines="0" w:line="240" w:lineRule="auto"/>
              <w:rPr>
                <w:rFonts w:ascii="Times New Roman"/>
                <w:snapToGrid w:val="0"/>
                <w:color w:val="auto"/>
                <w:kern w:val="21"/>
                <w:szCs w:val="21"/>
              </w:rPr>
            </w:pPr>
          </w:p>
        </w:tc>
      </w:tr>
      <w:tr w14:paraId="460C00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0488ADFB">
            <w:pPr>
              <w:pStyle w:val="64"/>
              <w:spacing w:beforeLines="0" w:afterLines="0" w:line="240" w:lineRule="auto"/>
              <w:rPr>
                <w:rFonts w:ascii="Times New Roman"/>
                <w:snapToGrid w:val="0"/>
                <w:color w:val="auto"/>
                <w:kern w:val="21"/>
                <w:szCs w:val="21"/>
              </w:rPr>
            </w:pPr>
          </w:p>
        </w:tc>
        <w:tc>
          <w:tcPr>
            <w:tcW w:w="1417" w:type="dxa"/>
            <w:shd w:val="clear" w:color="auto" w:fill="auto"/>
            <w:vAlign w:val="center"/>
          </w:tcPr>
          <w:p w14:paraId="79603856">
            <w:pPr>
              <w:pStyle w:val="64"/>
              <w:spacing w:beforeLines="0" w:afterLines="0" w:line="240" w:lineRule="auto"/>
              <w:rPr>
                <w:rFonts w:hint="default" w:ascii="Times New Roman"/>
                <w:snapToGrid w:val="0"/>
                <w:color w:val="auto"/>
                <w:kern w:val="21"/>
                <w:szCs w:val="21"/>
                <w:lang w:val="en-US" w:eastAsia="zh-CN"/>
              </w:rPr>
            </w:pPr>
            <w:r>
              <w:rPr>
                <w:rFonts w:hint="eastAsia" w:ascii="Times New Roman"/>
                <w:snapToGrid w:val="0"/>
                <w:color w:val="auto"/>
                <w:kern w:val="21"/>
                <w:szCs w:val="21"/>
                <w:lang w:val="en-US" w:eastAsia="zh-CN"/>
              </w:rPr>
              <w:t>废滤袋</w:t>
            </w:r>
          </w:p>
        </w:tc>
        <w:tc>
          <w:tcPr>
            <w:tcW w:w="1701" w:type="dxa"/>
            <w:vAlign w:val="center"/>
          </w:tcPr>
          <w:p w14:paraId="6CB9EBE2">
            <w:pPr>
              <w:pStyle w:val="64"/>
              <w:spacing w:beforeLines="0" w:afterLines="0" w:line="240" w:lineRule="auto"/>
              <w:rPr>
                <w:rFonts w:ascii="Times New Roman"/>
                <w:snapToGrid w:val="0"/>
                <w:color w:val="auto"/>
                <w:kern w:val="21"/>
                <w:szCs w:val="21"/>
              </w:rPr>
            </w:pPr>
          </w:p>
        </w:tc>
        <w:tc>
          <w:tcPr>
            <w:tcW w:w="1276" w:type="dxa"/>
            <w:vAlign w:val="center"/>
          </w:tcPr>
          <w:p w14:paraId="1AAC08AD">
            <w:pPr>
              <w:pStyle w:val="64"/>
              <w:spacing w:beforeLines="0" w:afterLines="0" w:line="240" w:lineRule="auto"/>
              <w:rPr>
                <w:rFonts w:ascii="Times New Roman"/>
                <w:snapToGrid w:val="0"/>
                <w:color w:val="auto"/>
                <w:kern w:val="21"/>
                <w:szCs w:val="21"/>
              </w:rPr>
            </w:pPr>
          </w:p>
        </w:tc>
        <w:tc>
          <w:tcPr>
            <w:tcW w:w="1701" w:type="dxa"/>
            <w:vAlign w:val="center"/>
          </w:tcPr>
          <w:p w14:paraId="4D6BD186">
            <w:pPr>
              <w:pStyle w:val="64"/>
              <w:spacing w:beforeLines="0" w:afterLines="0" w:line="240" w:lineRule="auto"/>
              <w:rPr>
                <w:rFonts w:ascii="Times New Roman"/>
                <w:snapToGrid w:val="0"/>
                <w:color w:val="auto"/>
                <w:kern w:val="21"/>
                <w:szCs w:val="21"/>
              </w:rPr>
            </w:pPr>
          </w:p>
        </w:tc>
        <w:tc>
          <w:tcPr>
            <w:tcW w:w="1559" w:type="dxa"/>
            <w:vAlign w:val="center"/>
          </w:tcPr>
          <w:p w14:paraId="26BE0470">
            <w:pPr>
              <w:pStyle w:val="64"/>
              <w:spacing w:beforeLines="0" w:afterLines="0" w:line="240" w:lineRule="auto"/>
              <w:rPr>
                <w:rFonts w:hint="default" w:ascii="Times New Roman"/>
                <w:snapToGrid w:val="0"/>
                <w:color w:val="auto"/>
                <w:kern w:val="21"/>
                <w:szCs w:val="21"/>
                <w:lang w:val="en-US" w:eastAsia="zh-CN"/>
              </w:rPr>
            </w:pPr>
            <w:r>
              <w:rPr>
                <w:rFonts w:hint="eastAsia" w:ascii="Times New Roman"/>
                <w:snapToGrid w:val="0"/>
                <w:color w:val="auto"/>
                <w:kern w:val="21"/>
                <w:szCs w:val="21"/>
                <w:lang w:val="en-US" w:eastAsia="zh-CN"/>
              </w:rPr>
              <w:t>0.05t/a</w:t>
            </w:r>
          </w:p>
        </w:tc>
        <w:tc>
          <w:tcPr>
            <w:tcW w:w="1761" w:type="dxa"/>
            <w:vAlign w:val="center"/>
          </w:tcPr>
          <w:p w14:paraId="3913FF30">
            <w:pPr>
              <w:pStyle w:val="64"/>
              <w:spacing w:beforeLines="0" w:afterLines="0" w:line="240" w:lineRule="auto"/>
              <w:rPr>
                <w:rFonts w:hint="eastAsia" w:ascii="Times New Roman"/>
                <w:snapToGrid w:val="0"/>
                <w:color w:val="auto"/>
                <w:kern w:val="21"/>
                <w:szCs w:val="21"/>
                <w:lang w:val="en-US" w:eastAsia="zh-CN"/>
              </w:rPr>
            </w:pPr>
          </w:p>
        </w:tc>
        <w:tc>
          <w:tcPr>
            <w:tcW w:w="1499" w:type="dxa"/>
            <w:vAlign w:val="center"/>
          </w:tcPr>
          <w:p w14:paraId="19FB117E">
            <w:pPr>
              <w:pStyle w:val="64"/>
              <w:spacing w:beforeLines="0" w:afterLines="0" w:line="240" w:lineRule="auto"/>
              <w:rPr>
                <w:rFonts w:hint="eastAsia" w:ascii="Times New Roman"/>
                <w:snapToGrid w:val="0"/>
                <w:color w:val="auto"/>
                <w:kern w:val="21"/>
                <w:szCs w:val="21"/>
                <w:lang w:val="en-US" w:eastAsia="zh-CN"/>
              </w:rPr>
            </w:pPr>
            <w:r>
              <w:rPr>
                <w:rFonts w:hint="eastAsia" w:ascii="Times New Roman"/>
                <w:snapToGrid w:val="0"/>
                <w:color w:val="auto"/>
                <w:kern w:val="21"/>
                <w:szCs w:val="21"/>
                <w:lang w:val="en-US" w:eastAsia="zh-CN"/>
              </w:rPr>
              <w:t>0.05t/a</w:t>
            </w:r>
          </w:p>
        </w:tc>
        <w:tc>
          <w:tcPr>
            <w:tcW w:w="1286" w:type="dxa"/>
            <w:vAlign w:val="center"/>
          </w:tcPr>
          <w:p w14:paraId="3F1B95F4">
            <w:pPr>
              <w:pStyle w:val="64"/>
              <w:spacing w:beforeLines="0" w:afterLines="0" w:line="240" w:lineRule="auto"/>
              <w:rPr>
                <w:rFonts w:ascii="Times New Roman"/>
                <w:snapToGrid w:val="0"/>
                <w:color w:val="auto"/>
                <w:kern w:val="21"/>
                <w:szCs w:val="21"/>
              </w:rPr>
            </w:pPr>
          </w:p>
        </w:tc>
      </w:tr>
      <w:tr w14:paraId="019081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14:paraId="3A9B1BCB">
            <w:pPr>
              <w:pStyle w:val="64"/>
              <w:spacing w:beforeLines="0" w:afterLines="0" w:line="240" w:lineRule="auto"/>
              <w:rPr>
                <w:rFonts w:ascii="Times New Roman"/>
                <w:snapToGrid w:val="0"/>
                <w:color w:val="auto"/>
                <w:kern w:val="21"/>
                <w:szCs w:val="21"/>
              </w:rPr>
            </w:pPr>
            <w:r>
              <w:rPr>
                <w:rFonts w:ascii="Times New Roman"/>
                <w:snapToGrid w:val="0"/>
                <w:color w:val="auto"/>
                <w:kern w:val="21"/>
                <w:szCs w:val="21"/>
              </w:rPr>
              <w:t>危险废物</w:t>
            </w:r>
          </w:p>
        </w:tc>
        <w:tc>
          <w:tcPr>
            <w:tcW w:w="1417" w:type="dxa"/>
            <w:vAlign w:val="center"/>
          </w:tcPr>
          <w:p w14:paraId="3B93C76F">
            <w:pPr>
              <w:keepNext w:val="0"/>
              <w:keepLines w:val="0"/>
              <w:widowControl/>
              <w:suppressLineNumbers w:val="0"/>
              <w:jc w:val="center"/>
              <w:rPr>
                <w:rFonts w:hint="default" w:ascii="Times New Roman" w:eastAsia="宋体"/>
                <w:snapToGrid w:val="0"/>
                <w:color w:val="auto"/>
                <w:kern w:val="21"/>
                <w:szCs w:val="21"/>
                <w:lang w:val="en-US" w:eastAsia="zh-CN"/>
              </w:rPr>
            </w:pPr>
            <w:r>
              <w:rPr>
                <w:rFonts w:hint="eastAsia" w:ascii="宋体" w:hAnsi="宋体" w:cs="宋体"/>
                <w:color w:val="auto"/>
                <w:kern w:val="0"/>
                <w:sz w:val="20"/>
                <w:szCs w:val="20"/>
                <w:lang w:val="en-US" w:eastAsia="zh-CN" w:bidi="ar"/>
              </w:rPr>
              <w:t>废矿物油</w:t>
            </w:r>
          </w:p>
        </w:tc>
        <w:tc>
          <w:tcPr>
            <w:tcW w:w="1701" w:type="dxa"/>
            <w:vAlign w:val="center"/>
          </w:tcPr>
          <w:p w14:paraId="4FE251F6">
            <w:pPr>
              <w:pStyle w:val="64"/>
              <w:spacing w:beforeLines="0" w:afterLines="0" w:line="240" w:lineRule="auto"/>
              <w:rPr>
                <w:rFonts w:ascii="Times New Roman"/>
                <w:snapToGrid w:val="0"/>
                <w:color w:val="auto"/>
                <w:kern w:val="21"/>
                <w:szCs w:val="21"/>
              </w:rPr>
            </w:pPr>
          </w:p>
        </w:tc>
        <w:tc>
          <w:tcPr>
            <w:tcW w:w="1276" w:type="dxa"/>
            <w:vAlign w:val="center"/>
          </w:tcPr>
          <w:p w14:paraId="5D47FF00">
            <w:pPr>
              <w:pStyle w:val="64"/>
              <w:spacing w:beforeLines="0" w:afterLines="0" w:line="240" w:lineRule="auto"/>
              <w:rPr>
                <w:rFonts w:ascii="Times New Roman"/>
                <w:snapToGrid w:val="0"/>
                <w:color w:val="auto"/>
                <w:kern w:val="21"/>
                <w:szCs w:val="21"/>
              </w:rPr>
            </w:pPr>
          </w:p>
        </w:tc>
        <w:tc>
          <w:tcPr>
            <w:tcW w:w="1701" w:type="dxa"/>
            <w:vAlign w:val="center"/>
          </w:tcPr>
          <w:p w14:paraId="06A4C6EF">
            <w:pPr>
              <w:pStyle w:val="64"/>
              <w:spacing w:beforeLines="0" w:afterLines="0" w:line="240" w:lineRule="auto"/>
              <w:rPr>
                <w:rFonts w:ascii="Times New Roman"/>
                <w:snapToGrid w:val="0"/>
                <w:color w:val="auto"/>
                <w:kern w:val="21"/>
                <w:szCs w:val="21"/>
              </w:rPr>
            </w:pPr>
          </w:p>
        </w:tc>
        <w:tc>
          <w:tcPr>
            <w:tcW w:w="1559" w:type="dxa"/>
            <w:vAlign w:val="center"/>
          </w:tcPr>
          <w:p w14:paraId="19A3B93B">
            <w:pPr>
              <w:pStyle w:val="64"/>
              <w:spacing w:beforeLines="0" w:afterLines="0" w:line="240" w:lineRule="auto"/>
              <w:rPr>
                <w:rFonts w:hint="default" w:ascii="Times New Roman" w:eastAsia="宋体"/>
                <w:snapToGrid w:val="0"/>
                <w:color w:val="auto"/>
                <w:kern w:val="21"/>
                <w:szCs w:val="21"/>
                <w:lang w:val="en-US" w:eastAsia="zh-CN"/>
              </w:rPr>
            </w:pPr>
            <w:r>
              <w:rPr>
                <w:rFonts w:hint="eastAsia" w:ascii="Times New Roman"/>
                <w:snapToGrid w:val="0"/>
                <w:color w:val="auto"/>
                <w:kern w:val="21"/>
                <w:szCs w:val="21"/>
                <w:lang w:val="en-US" w:eastAsia="zh-CN"/>
              </w:rPr>
              <w:t>0.2t/a</w:t>
            </w:r>
          </w:p>
        </w:tc>
        <w:tc>
          <w:tcPr>
            <w:tcW w:w="1761" w:type="dxa"/>
            <w:vAlign w:val="center"/>
          </w:tcPr>
          <w:p w14:paraId="65602FEC">
            <w:pPr>
              <w:pStyle w:val="64"/>
              <w:spacing w:beforeLines="0" w:afterLines="0" w:line="240" w:lineRule="auto"/>
              <w:rPr>
                <w:rFonts w:ascii="Times New Roman"/>
                <w:snapToGrid w:val="0"/>
                <w:color w:val="auto"/>
                <w:kern w:val="21"/>
                <w:szCs w:val="21"/>
              </w:rPr>
            </w:pPr>
          </w:p>
        </w:tc>
        <w:tc>
          <w:tcPr>
            <w:tcW w:w="1499" w:type="dxa"/>
            <w:vAlign w:val="center"/>
          </w:tcPr>
          <w:p w14:paraId="11D27601">
            <w:pPr>
              <w:pStyle w:val="64"/>
              <w:spacing w:beforeLines="0" w:afterLines="0" w:line="240" w:lineRule="auto"/>
              <w:rPr>
                <w:rFonts w:hint="default" w:ascii="Times New Roman"/>
                <w:snapToGrid w:val="0"/>
                <w:color w:val="auto"/>
                <w:kern w:val="21"/>
                <w:szCs w:val="21"/>
                <w:lang w:val="en-US"/>
              </w:rPr>
            </w:pPr>
            <w:r>
              <w:rPr>
                <w:rFonts w:hint="eastAsia" w:ascii="Times New Roman"/>
                <w:snapToGrid w:val="0"/>
                <w:color w:val="auto"/>
                <w:kern w:val="21"/>
                <w:szCs w:val="21"/>
                <w:lang w:val="en-US" w:eastAsia="zh-CN"/>
              </w:rPr>
              <w:t>0.2t/a</w:t>
            </w:r>
          </w:p>
        </w:tc>
        <w:tc>
          <w:tcPr>
            <w:tcW w:w="1286" w:type="dxa"/>
            <w:vAlign w:val="center"/>
          </w:tcPr>
          <w:p w14:paraId="5DE2EBD1">
            <w:pPr>
              <w:pStyle w:val="64"/>
              <w:spacing w:beforeLines="0" w:afterLines="0" w:line="240" w:lineRule="auto"/>
              <w:rPr>
                <w:rFonts w:ascii="Times New Roman"/>
                <w:snapToGrid w:val="0"/>
                <w:color w:val="auto"/>
                <w:kern w:val="21"/>
                <w:szCs w:val="21"/>
              </w:rPr>
            </w:pPr>
          </w:p>
        </w:tc>
      </w:tr>
      <w:tr w14:paraId="55684F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3109AD0F">
            <w:pPr>
              <w:pStyle w:val="64"/>
              <w:spacing w:beforeLines="0" w:afterLines="0" w:line="240" w:lineRule="auto"/>
              <w:rPr>
                <w:rFonts w:ascii="Times New Roman"/>
                <w:snapToGrid w:val="0"/>
                <w:color w:val="auto"/>
                <w:kern w:val="21"/>
                <w:szCs w:val="21"/>
              </w:rPr>
            </w:pPr>
          </w:p>
        </w:tc>
        <w:tc>
          <w:tcPr>
            <w:tcW w:w="1417" w:type="dxa"/>
            <w:vAlign w:val="center"/>
          </w:tcPr>
          <w:p w14:paraId="7D447670">
            <w:pPr>
              <w:pStyle w:val="64"/>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snapToGrid w:val="0"/>
                <w:color w:val="auto"/>
                <w:kern w:val="21"/>
                <w:szCs w:val="21"/>
                <w:lang w:val="en-US" w:eastAsia="zh-CN"/>
              </w:rPr>
              <w:t>废油桶</w:t>
            </w:r>
          </w:p>
        </w:tc>
        <w:tc>
          <w:tcPr>
            <w:tcW w:w="1701" w:type="dxa"/>
            <w:vAlign w:val="center"/>
          </w:tcPr>
          <w:p w14:paraId="70B93D9A">
            <w:pPr>
              <w:pStyle w:val="64"/>
              <w:spacing w:beforeLines="0" w:afterLines="0" w:line="240" w:lineRule="auto"/>
              <w:rPr>
                <w:rFonts w:ascii="Times New Roman" w:hAnsi="Times New Roman" w:eastAsia="宋体" w:cs="Times New Roman"/>
                <w:snapToGrid w:val="0"/>
                <w:color w:val="auto"/>
                <w:kern w:val="21"/>
                <w:sz w:val="21"/>
                <w:szCs w:val="21"/>
                <w:lang w:val="en-US" w:eastAsia="zh-CN" w:bidi="ar-SA"/>
              </w:rPr>
            </w:pPr>
          </w:p>
        </w:tc>
        <w:tc>
          <w:tcPr>
            <w:tcW w:w="1276" w:type="dxa"/>
            <w:vAlign w:val="center"/>
          </w:tcPr>
          <w:p w14:paraId="3F853EDE">
            <w:pPr>
              <w:pStyle w:val="64"/>
              <w:spacing w:beforeLines="0" w:afterLines="0" w:line="240" w:lineRule="auto"/>
              <w:rPr>
                <w:rFonts w:ascii="Times New Roman" w:hAnsi="Times New Roman" w:eastAsia="宋体" w:cs="Times New Roman"/>
                <w:snapToGrid w:val="0"/>
                <w:color w:val="auto"/>
                <w:kern w:val="21"/>
                <w:sz w:val="21"/>
                <w:szCs w:val="21"/>
                <w:lang w:val="en-US" w:eastAsia="zh-CN" w:bidi="ar-SA"/>
              </w:rPr>
            </w:pPr>
          </w:p>
        </w:tc>
        <w:tc>
          <w:tcPr>
            <w:tcW w:w="1701" w:type="dxa"/>
            <w:vAlign w:val="center"/>
          </w:tcPr>
          <w:p w14:paraId="5C8D9BE6">
            <w:pPr>
              <w:pStyle w:val="64"/>
              <w:spacing w:beforeLines="0" w:afterLines="0" w:line="240" w:lineRule="auto"/>
              <w:rPr>
                <w:rFonts w:ascii="Times New Roman" w:hAnsi="Times New Roman" w:eastAsia="宋体" w:cs="Times New Roman"/>
                <w:snapToGrid w:val="0"/>
                <w:color w:val="auto"/>
                <w:kern w:val="21"/>
                <w:sz w:val="21"/>
                <w:szCs w:val="21"/>
                <w:lang w:val="en-US" w:eastAsia="zh-CN" w:bidi="ar-SA"/>
              </w:rPr>
            </w:pPr>
          </w:p>
        </w:tc>
        <w:tc>
          <w:tcPr>
            <w:tcW w:w="1559" w:type="dxa"/>
            <w:vAlign w:val="center"/>
          </w:tcPr>
          <w:p w14:paraId="078E01B6">
            <w:pPr>
              <w:pStyle w:val="64"/>
              <w:spacing w:beforeLines="0" w:afterLines="0" w:line="240" w:lineRule="auto"/>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snapToGrid w:val="0"/>
                <w:color w:val="auto"/>
                <w:kern w:val="21"/>
                <w:szCs w:val="21"/>
                <w:lang w:val="en-US" w:eastAsia="zh-CN"/>
              </w:rPr>
              <w:t>0.04</w:t>
            </w:r>
            <w:r>
              <w:rPr>
                <w:rFonts w:ascii="Times New Roman"/>
                <w:snapToGrid w:val="0"/>
                <w:color w:val="auto"/>
                <w:kern w:val="21"/>
                <w:szCs w:val="21"/>
              </w:rPr>
              <w:t>t/a</w:t>
            </w:r>
          </w:p>
        </w:tc>
        <w:tc>
          <w:tcPr>
            <w:tcW w:w="1761" w:type="dxa"/>
            <w:vAlign w:val="center"/>
          </w:tcPr>
          <w:p w14:paraId="229D4E60">
            <w:pPr>
              <w:pStyle w:val="64"/>
              <w:spacing w:beforeLines="0" w:afterLines="0" w:line="240" w:lineRule="auto"/>
              <w:rPr>
                <w:rFonts w:ascii="Times New Roman" w:hAnsi="Times New Roman" w:eastAsia="宋体" w:cs="Times New Roman"/>
                <w:snapToGrid w:val="0"/>
                <w:color w:val="auto"/>
                <w:kern w:val="21"/>
                <w:sz w:val="21"/>
                <w:szCs w:val="21"/>
                <w:lang w:val="en-US" w:eastAsia="zh-CN" w:bidi="ar-SA"/>
              </w:rPr>
            </w:pPr>
          </w:p>
        </w:tc>
        <w:tc>
          <w:tcPr>
            <w:tcW w:w="1499" w:type="dxa"/>
            <w:vAlign w:val="center"/>
          </w:tcPr>
          <w:p w14:paraId="2D38E2F8">
            <w:pPr>
              <w:pStyle w:val="64"/>
              <w:spacing w:beforeLines="0" w:afterLines="0" w:line="240" w:lineRule="auto"/>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snapToGrid w:val="0"/>
                <w:color w:val="auto"/>
                <w:kern w:val="21"/>
                <w:szCs w:val="21"/>
                <w:lang w:val="en-US" w:eastAsia="zh-CN"/>
              </w:rPr>
              <w:t>0.04</w:t>
            </w:r>
            <w:r>
              <w:rPr>
                <w:rFonts w:ascii="Times New Roman"/>
                <w:snapToGrid w:val="0"/>
                <w:color w:val="auto"/>
                <w:kern w:val="21"/>
                <w:szCs w:val="21"/>
              </w:rPr>
              <w:t>t/a</w:t>
            </w:r>
          </w:p>
        </w:tc>
        <w:tc>
          <w:tcPr>
            <w:tcW w:w="1286" w:type="dxa"/>
            <w:vAlign w:val="center"/>
          </w:tcPr>
          <w:p w14:paraId="4A0BD54D">
            <w:pPr>
              <w:pStyle w:val="64"/>
              <w:spacing w:beforeLines="0" w:afterLines="0" w:line="240" w:lineRule="auto"/>
              <w:rPr>
                <w:rFonts w:ascii="Times New Roman"/>
                <w:snapToGrid w:val="0"/>
                <w:color w:val="auto"/>
                <w:kern w:val="21"/>
                <w:szCs w:val="21"/>
              </w:rPr>
            </w:pPr>
          </w:p>
        </w:tc>
      </w:tr>
      <w:tr w14:paraId="124A9B9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6BA913F8">
            <w:pPr>
              <w:pStyle w:val="64"/>
              <w:spacing w:beforeLines="0" w:afterLines="0" w:line="240" w:lineRule="auto"/>
              <w:rPr>
                <w:rFonts w:ascii="Times New Roman"/>
                <w:snapToGrid w:val="0"/>
                <w:color w:val="auto"/>
                <w:kern w:val="21"/>
                <w:szCs w:val="21"/>
              </w:rPr>
            </w:pPr>
          </w:p>
        </w:tc>
        <w:tc>
          <w:tcPr>
            <w:tcW w:w="1417" w:type="dxa"/>
            <w:vAlign w:val="center"/>
          </w:tcPr>
          <w:p w14:paraId="6E43E3FB">
            <w:pPr>
              <w:pStyle w:val="64"/>
              <w:spacing w:beforeLines="0" w:afterLines="0" w:line="240" w:lineRule="auto"/>
              <w:rPr>
                <w:rFonts w:hint="default" w:ascii="Times New Roman"/>
                <w:snapToGrid w:val="0"/>
                <w:color w:val="auto"/>
                <w:kern w:val="21"/>
                <w:szCs w:val="21"/>
                <w:lang w:val="en-US" w:eastAsia="zh-CN"/>
              </w:rPr>
            </w:pPr>
            <w:r>
              <w:rPr>
                <w:rFonts w:hint="eastAsia" w:ascii="Times New Roman"/>
                <w:snapToGrid w:val="0"/>
                <w:color w:val="auto"/>
                <w:kern w:val="21"/>
                <w:szCs w:val="21"/>
                <w:lang w:val="en-US" w:eastAsia="zh-CN"/>
              </w:rPr>
              <w:t>废活性炭</w:t>
            </w:r>
          </w:p>
        </w:tc>
        <w:tc>
          <w:tcPr>
            <w:tcW w:w="1701" w:type="dxa"/>
            <w:vAlign w:val="center"/>
          </w:tcPr>
          <w:p w14:paraId="35444F64">
            <w:pPr>
              <w:pStyle w:val="64"/>
              <w:spacing w:beforeLines="0" w:afterLines="0" w:line="240" w:lineRule="auto"/>
              <w:rPr>
                <w:rFonts w:ascii="Times New Roman" w:hAnsi="Times New Roman" w:eastAsia="宋体" w:cs="Times New Roman"/>
                <w:snapToGrid w:val="0"/>
                <w:color w:val="auto"/>
                <w:kern w:val="21"/>
                <w:sz w:val="21"/>
                <w:szCs w:val="21"/>
                <w:lang w:val="en-US" w:eastAsia="zh-CN" w:bidi="ar-SA"/>
              </w:rPr>
            </w:pPr>
          </w:p>
        </w:tc>
        <w:tc>
          <w:tcPr>
            <w:tcW w:w="1276" w:type="dxa"/>
            <w:vAlign w:val="center"/>
          </w:tcPr>
          <w:p w14:paraId="3D150892">
            <w:pPr>
              <w:pStyle w:val="64"/>
              <w:spacing w:beforeLines="0" w:afterLines="0" w:line="240" w:lineRule="auto"/>
              <w:rPr>
                <w:rFonts w:ascii="Times New Roman" w:hAnsi="Times New Roman" w:eastAsia="宋体" w:cs="Times New Roman"/>
                <w:snapToGrid w:val="0"/>
                <w:color w:val="auto"/>
                <w:kern w:val="21"/>
                <w:sz w:val="21"/>
                <w:szCs w:val="21"/>
                <w:lang w:val="en-US" w:eastAsia="zh-CN" w:bidi="ar-SA"/>
              </w:rPr>
            </w:pPr>
          </w:p>
        </w:tc>
        <w:tc>
          <w:tcPr>
            <w:tcW w:w="1701" w:type="dxa"/>
            <w:vAlign w:val="center"/>
          </w:tcPr>
          <w:p w14:paraId="365D3D27">
            <w:pPr>
              <w:pStyle w:val="64"/>
              <w:spacing w:beforeLines="0" w:afterLines="0" w:line="240" w:lineRule="auto"/>
              <w:rPr>
                <w:rFonts w:ascii="Times New Roman" w:hAnsi="Times New Roman" w:eastAsia="宋体" w:cs="Times New Roman"/>
                <w:snapToGrid w:val="0"/>
                <w:color w:val="auto"/>
                <w:kern w:val="21"/>
                <w:sz w:val="21"/>
                <w:szCs w:val="21"/>
                <w:lang w:val="en-US" w:eastAsia="zh-CN" w:bidi="ar-SA"/>
              </w:rPr>
            </w:pPr>
          </w:p>
        </w:tc>
        <w:tc>
          <w:tcPr>
            <w:tcW w:w="1559" w:type="dxa"/>
            <w:vAlign w:val="center"/>
          </w:tcPr>
          <w:p w14:paraId="18A8FFAA">
            <w:pPr>
              <w:pStyle w:val="64"/>
              <w:spacing w:beforeLines="0" w:afterLines="0" w:line="240" w:lineRule="auto"/>
              <w:rPr>
                <w:rFonts w:hint="default" w:ascii="Times New Roman"/>
                <w:snapToGrid w:val="0"/>
                <w:color w:val="auto"/>
                <w:kern w:val="21"/>
                <w:szCs w:val="21"/>
                <w:lang w:val="en-US" w:eastAsia="zh-CN"/>
              </w:rPr>
            </w:pPr>
            <w:r>
              <w:rPr>
                <w:rFonts w:hint="eastAsia" w:ascii="Times New Roman"/>
                <w:snapToGrid w:val="0"/>
                <w:color w:val="auto"/>
                <w:kern w:val="21"/>
                <w:szCs w:val="21"/>
                <w:lang w:val="en-US" w:eastAsia="zh-CN"/>
              </w:rPr>
              <w:t>1.56</w:t>
            </w:r>
            <w:r>
              <w:rPr>
                <w:rFonts w:ascii="Times New Roman"/>
                <w:snapToGrid w:val="0"/>
                <w:color w:val="auto"/>
                <w:kern w:val="21"/>
                <w:szCs w:val="21"/>
              </w:rPr>
              <w:t>t/a</w:t>
            </w:r>
          </w:p>
        </w:tc>
        <w:tc>
          <w:tcPr>
            <w:tcW w:w="1761" w:type="dxa"/>
            <w:vAlign w:val="center"/>
          </w:tcPr>
          <w:p w14:paraId="7D66B925">
            <w:pPr>
              <w:pStyle w:val="64"/>
              <w:spacing w:beforeLines="0" w:afterLines="0" w:line="240" w:lineRule="auto"/>
              <w:rPr>
                <w:rFonts w:ascii="Times New Roman" w:hAnsi="Times New Roman" w:eastAsia="宋体" w:cs="Times New Roman"/>
                <w:snapToGrid w:val="0"/>
                <w:color w:val="auto"/>
                <w:kern w:val="21"/>
                <w:sz w:val="21"/>
                <w:szCs w:val="21"/>
                <w:lang w:val="en-US" w:eastAsia="zh-CN" w:bidi="ar-SA"/>
              </w:rPr>
            </w:pPr>
          </w:p>
        </w:tc>
        <w:tc>
          <w:tcPr>
            <w:tcW w:w="1499" w:type="dxa"/>
            <w:vAlign w:val="center"/>
          </w:tcPr>
          <w:p w14:paraId="407D3C5D">
            <w:pPr>
              <w:pStyle w:val="64"/>
              <w:spacing w:beforeLines="0" w:afterLines="0" w:line="240" w:lineRule="auto"/>
              <w:rPr>
                <w:rFonts w:hint="eastAsia" w:ascii="Times New Roman"/>
                <w:snapToGrid w:val="0"/>
                <w:color w:val="auto"/>
                <w:kern w:val="21"/>
                <w:szCs w:val="21"/>
                <w:lang w:val="en-US" w:eastAsia="zh-CN"/>
              </w:rPr>
            </w:pPr>
            <w:r>
              <w:rPr>
                <w:rFonts w:hint="eastAsia" w:ascii="Times New Roman"/>
                <w:snapToGrid w:val="0"/>
                <w:color w:val="auto"/>
                <w:kern w:val="21"/>
                <w:szCs w:val="21"/>
                <w:lang w:val="en-US" w:eastAsia="zh-CN"/>
              </w:rPr>
              <w:t>1.56</w:t>
            </w:r>
            <w:r>
              <w:rPr>
                <w:rFonts w:ascii="Times New Roman"/>
                <w:snapToGrid w:val="0"/>
                <w:color w:val="auto"/>
                <w:kern w:val="21"/>
                <w:szCs w:val="21"/>
              </w:rPr>
              <w:t>t/a</w:t>
            </w:r>
          </w:p>
        </w:tc>
        <w:tc>
          <w:tcPr>
            <w:tcW w:w="1286" w:type="dxa"/>
            <w:vAlign w:val="center"/>
          </w:tcPr>
          <w:p w14:paraId="4E3070A7">
            <w:pPr>
              <w:pStyle w:val="64"/>
              <w:spacing w:beforeLines="0" w:afterLines="0" w:line="240" w:lineRule="auto"/>
              <w:rPr>
                <w:rFonts w:ascii="Times New Roman"/>
                <w:snapToGrid w:val="0"/>
                <w:color w:val="auto"/>
                <w:kern w:val="21"/>
                <w:szCs w:val="21"/>
              </w:rPr>
            </w:pPr>
          </w:p>
        </w:tc>
      </w:tr>
    </w:tbl>
    <w:p w14:paraId="56318C1A">
      <w:pPr>
        <w:pStyle w:val="64"/>
        <w:spacing w:beforeLines="80" w:after="24"/>
        <w:jc w:val="left"/>
        <w:rPr>
          <w:color w:val="auto"/>
        </w:rPr>
      </w:pPr>
      <w:r>
        <w:rPr>
          <w:rFonts w:ascii="Times New Roman"/>
          <w:snapToGrid w:val="0"/>
          <w:color w:val="auto"/>
          <w:kern w:val="21"/>
          <w:szCs w:val="21"/>
        </w:rPr>
        <w:t>注：</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color w:val="auto"/>
          <w:szCs w:val="21"/>
        </w:rPr>
        <w:t>⑥</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color w:val="auto"/>
          <w:szCs w:val="21"/>
        </w:rPr>
        <w:t>①</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3 \* GB3 \* MERGEFORMAT </w:instrText>
      </w:r>
      <w:r>
        <w:rPr>
          <w:rFonts w:ascii="Times New Roman"/>
          <w:snapToGrid w:val="0"/>
          <w:color w:val="auto"/>
          <w:spacing w:val="-6"/>
          <w:kern w:val="21"/>
          <w:szCs w:val="21"/>
        </w:rPr>
        <w:fldChar w:fldCharType="separate"/>
      </w:r>
      <w:r>
        <w:rPr>
          <w:color w:val="auto"/>
          <w:szCs w:val="21"/>
        </w:rPr>
        <w:t>③</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4 \* GB3 \* MERGEFORMAT </w:instrText>
      </w:r>
      <w:r>
        <w:rPr>
          <w:rFonts w:ascii="Times New Roman"/>
          <w:snapToGrid w:val="0"/>
          <w:color w:val="auto"/>
          <w:spacing w:val="-6"/>
          <w:kern w:val="21"/>
          <w:szCs w:val="21"/>
        </w:rPr>
        <w:fldChar w:fldCharType="separate"/>
      </w:r>
      <w:r>
        <w:rPr>
          <w:color w:val="auto"/>
          <w:szCs w:val="21"/>
        </w:rPr>
        <w:t>④</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5 \* GB3 \* MERGEFORMAT </w:instrText>
      </w:r>
      <w:r>
        <w:rPr>
          <w:rFonts w:ascii="Times New Roman"/>
          <w:snapToGrid w:val="0"/>
          <w:color w:val="auto"/>
          <w:spacing w:val="-16"/>
          <w:kern w:val="21"/>
          <w:szCs w:val="21"/>
        </w:rPr>
        <w:fldChar w:fldCharType="separate"/>
      </w:r>
      <w:r>
        <w:rPr>
          <w:color w:val="auto"/>
          <w:szCs w:val="21"/>
        </w:rPr>
        <w:t>⑤</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7 \* GB3 \* MERGEFORMAT </w:instrText>
      </w:r>
      <w:r>
        <w:rPr>
          <w:rFonts w:ascii="Times New Roman"/>
          <w:snapToGrid w:val="0"/>
          <w:color w:val="auto"/>
          <w:spacing w:val="-6"/>
          <w:kern w:val="21"/>
          <w:szCs w:val="21"/>
        </w:rPr>
        <w:fldChar w:fldCharType="separate"/>
      </w:r>
      <w:r>
        <w:rPr>
          <w:color w:val="auto"/>
          <w:szCs w:val="21"/>
        </w:rPr>
        <w:t>⑦</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color w:val="auto"/>
          <w:szCs w:val="21"/>
        </w:rPr>
        <w:t>⑥</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color w:val="auto"/>
          <w:szCs w:val="21"/>
        </w:rPr>
        <w:t>①</w:t>
      </w:r>
      <w:r>
        <w:rPr>
          <w:rFonts w:ascii="Times New Roman"/>
          <w:snapToGrid w:val="0"/>
          <w:color w:val="auto"/>
          <w:spacing w:val="-6"/>
          <w:kern w:val="21"/>
          <w:szCs w:val="21"/>
        </w:rPr>
        <w:fldChar w:fldCharType="end"/>
      </w:r>
    </w:p>
    <w:p w14:paraId="046B67FA">
      <w:pPr>
        <w:rPr>
          <w:rFonts w:hint="eastAsia"/>
          <w:color w:val="auto"/>
          <w:lang w:val="en-US" w:eastAsia="zh-CN"/>
        </w:rPr>
        <w:sectPr>
          <w:footerReference r:id="rId7" w:type="default"/>
          <w:pgSz w:w="16838" w:h="11906" w:orient="landscape"/>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074AC196">
      <w:pPr>
        <w:rPr>
          <w:color w:val="auto"/>
        </w:rPr>
      </w:pPr>
    </w:p>
    <w:p w14:paraId="16318DE3">
      <w:pPr>
        <w:rPr>
          <w:rFonts w:hint="eastAsia" w:eastAsia="宋体"/>
          <w:color w:val="auto"/>
          <w:lang w:eastAsia="zh-CN"/>
        </w:rPr>
      </w:pPr>
      <w:r>
        <w:rPr>
          <w:rFonts w:hint="eastAsia" w:eastAsia="宋体"/>
          <w:color w:val="auto"/>
          <w:lang w:eastAsia="zh-CN"/>
        </w:rPr>
        <w:drawing>
          <wp:inline distT="0" distB="0" distL="114300" distR="114300">
            <wp:extent cx="5757545" cy="8188325"/>
            <wp:effectExtent l="0" t="0" r="14605" b="3175"/>
            <wp:docPr id="40" name="图片 40" descr="资质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资质页"/>
                    <pic:cNvPicPr>
                      <a:picLocks noChangeAspect="1"/>
                    </pic:cNvPicPr>
                  </pic:nvPicPr>
                  <pic:blipFill>
                    <a:blip r:embed="rId42"/>
                    <a:stretch>
                      <a:fillRect/>
                    </a:stretch>
                  </pic:blipFill>
                  <pic:spPr>
                    <a:xfrm>
                      <a:off x="0" y="0"/>
                      <a:ext cx="5757545" cy="8188325"/>
                    </a:xfrm>
                    <a:prstGeom prst="rect">
                      <a:avLst/>
                    </a:prstGeom>
                  </pic:spPr>
                </pic:pic>
              </a:graphicData>
            </a:graphic>
          </wp:inline>
        </w:drawing>
      </w:r>
    </w:p>
    <w:p w14:paraId="04DEE724">
      <w:pPr>
        <w:rPr>
          <w:color w:val="auto"/>
        </w:rPr>
      </w:pPr>
    </w:p>
    <w:p w14:paraId="5CD46329">
      <w:pPr>
        <w:rPr>
          <w:rFonts w:hint="eastAsia" w:eastAsia="宋体"/>
          <w:color w:val="auto"/>
          <w:lang w:val="en-US" w:eastAsia="zh-CN"/>
        </w:rPr>
      </w:pPr>
    </w:p>
    <w:p w14:paraId="54DCD002">
      <w:pPr>
        <w:bidi w:val="0"/>
        <w:rPr>
          <w:rFonts w:hint="eastAsia"/>
          <w:lang w:val="en-US" w:eastAsia="zh-CN"/>
        </w:rPr>
      </w:pPr>
      <w:r>
        <w:rPr>
          <w:color w:val="auto"/>
        </w:rPr>
        <w:drawing>
          <wp:inline distT="0" distB="0" distL="0" distR="0">
            <wp:extent cx="5944235" cy="8398510"/>
            <wp:effectExtent l="0" t="0" r="18415" b="2540"/>
            <wp:docPr id="11" name="图片 0" descr="证书.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0" descr="证书.jpg"/>
                    <pic:cNvPicPr>
                      <a:picLocks noChangeAspect="1" noChangeArrowheads="1"/>
                    </pic:cNvPicPr>
                  </pic:nvPicPr>
                  <pic:blipFill>
                    <a:blip r:embed="rId43" cstate="print"/>
                    <a:srcRect/>
                    <a:stretch>
                      <a:fillRect/>
                    </a:stretch>
                  </pic:blipFill>
                  <pic:spPr>
                    <a:xfrm>
                      <a:off x="0" y="0"/>
                      <a:ext cx="5944235" cy="8398510"/>
                    </a:xfrm>
                    <a:prstGeom prst="rect">
                      <a:avLst/>
                    </a:prstGeom>
                    <a:noFill/>
                    <a:ln w="9525">
                      <a:noFill/>
                      <a:miter lim="800000"/>
                      <a:headEnd/>
                      <a:tailEnd/>
                    </a:ln>
                  </pic:spPr>
                </pic:pic>
              </a:graphicData>
            </a:graphic>
          </wp:inline>
        </w:drawing>
      </w:r>
    </w:p>
    <w:p w14:paraId="447C20B8">
      <w:pPr>
        <w:bidi w:val="0"/>
        <w:rPr>
          <w:rFonts w:hint="eastAsia"/>
          <w:lang w:val="en-US" w:eastAsia="zh-CN"/>
        </w:rPr>
      </w:pPr>
    </w:p>
    <w:p w14:paraId="37850B3D">
      <w:pPr>
        <w:bidi w:val="0"/>
        <w:rPr>
          <w:rFonts w:hint="eastAsia"/>
          <w:lang w:val="en-US" w:eastAsia="zh-CN"/>
        </w:rPr>
      </w:pPr>
    </w:p>
    <w:p w14:paraId="0DAA043D">
      <w:pPr>
        <w:tabs>
          <w:tab w:val="left" w:pos="510"/>
        </w:tabs>
        <w:bidi w:val="0"/>
        <w:jc w:val="left"/>
        <w:rPr>
          <w:sz w:val="52"/>
          <w:szCs w:val="52"/>
        </w:rPr>
      </w:pPr>
      <w:r>
        <w:rPr>
          <w:rFonts w:hint="eastAsia"/>
          <w:lang w:val="en-US" w:eastAsia="zh-CN"/>
        </w:rPr>
        <w:tab/>
      </w:r>
      <w:bookmarkStart w:id="11" w:name="_Toc66246618"/>
    </w:p>
    <w:p w14:paraId="7DAB0E27">
      <w:pPr>
        <w:autoSpaceDE w:val="0"/>
        <w:autoSpaceDN w:val="0"/>
        <w:adjustRightInd w:val="0"/>
        <w:ind w:right="25" w:rightChars="12"/>
        <w:rPr>
          <w:sz w:val="52"/>
          <w:szCs w:val="52"/>
        </w:rPr>
      </w:pPr>
    </w:p>
    <w:p w14:paraId="55DC2AAD">
      <w:pPr>
        <w:jc w:val="center"/>
        <w:rPr>
          <w:b/>
          <w:sz w:val="44"/>
          <w:szCs w:val="44"/>
        </w:rPr>
      </w:pPr>
    </w:p>
    <w:p w14:paraId="51093527">
      <w:pPr>
        <w:jc w:val="center"/>
        <w:rPr>
          <w:b/>
          <w:sz w:val="44"/>
          <w:szCs w:val="44"/>
        </w:rPr>
      </w:pPr>
    </w:p>
    <w:p w14:paraId="734C8292">
      <w:pPr>
        <w:jc w:val="center"/>
        <w:rPr>
          <w:sz w:val="72"/>
          <w:szCs w:val="72"/>
          <w:lang w:val="zh-CN"/>
        </w:rPr>
      </w:pPr>
      <w:bookmarkStart w:id="12" w:name="_Toc460256545"/>
      <w:bookmarkStart w:id="13" w:name="_Toc458676579"/>
      <w:bookmarkStart w:id="14" w:name="_Toc488219442"/>
      <w:bookmarkStart w:id="15" w:name="_Toc488224762"/>
      <w:r>
        <w:rPr>
          <w:rFonts w:hint="eastAsia"/>
          <w:b/>
          <w:sz w:val="52"/>
          <w:szCs w:val="52"/>
        </w:rPr>
        <w:t>大气环境影响专项</w:t>
      </w:r>
      <w:r>
        <w:rPr>
          <w:b/>
          <w:sz w:val="52"/>
          <w:szCs w:val="52"/>
        </w:rPr>
        <w:t>评价</w:t>
      </w:r>
      <w:bookmarkEnd w:id="12"/>
      <w:bookmarkEnd w:id="13"/>
      <w:bookmarkEnd w:id="14"/>
      <w:bookmarkEnd w:id="15"/>
    </w:p>
    <w:p w14:paraId="560796B9">
      <w:pPr>
        <w:autoSpaceDE w:val="0"/>
        <w:autoSpaceDN w:val="0"/>
        <w:adjustRightInd w:val="0"/>
        <w:spacing w:line="360" w:lineRule="auto"/>
        <w:jc w:val="center"/>
        <w:rPr>
          <w:rFonts w:eastAsia="黑体"/>
          <w:b/>
          <w:bCs/>
          <w:sz w:val="48"/>
          <w:szCs w:val="48"/>
          <w:lang w:val="zh-CN"/>
        </w:rPr>
      </w:pPr>
    </w:p>
    <w:p w14:paraId="61833BD6">
      <w:pPr>
        <w:autoSpaceDE w:val="0"/>
        <w:autoSpaceDN w:val="0"/>
        <w:adjustRightInd w:val="0"/>
        <w:spacing w:line="360" w:lineRule="auto"/>
        <w:jc w:val="center"/>
        <w:rPr>
          <w:rFonts w:eastAsia="黑体"/>
          <w:b/>
          <w:bCs/>
          <w:sz w:val="48"/>
          <w:szCs w:val="48"/>
          <w:lang w:val="zh-CN"/>
        </w:rPr>
      </w:pPr>
    </w:p>
    <w:p w14:paraId="5B7B27B3">
      <w:pPr>
        <w:autoSpaceDE w:val="0"/>
        <w:autoSpaceDN w:val="0"/>
        <w:adjustRightInd w:val="0"/>
        <w:spacing w:line="360" w:lineRule="auto"/>
        <w:jc w:val="center"/>
        <w:rPr>
          <w:rFonts w:eastAsia="黑体"/>
          <w:b/>
          <w:bCs/>
          <w:sz w:val="48"/>
          <w:szCs w:val="48"/>
          <w:lang w:val="zh-CN"/>
        </w:rPr>
      </w:pPr>
    </w:p>
    <w:p w14:paraId="04CF1813">
      <w:pPr>
        <w:autoSpaceDE w:val="0"/>
        <w:autoSpaceDN w:val="0"/>
        <w:adjustRightInd w:val="0"/>
        <w:spacing w:line="360" w:lineRule="auto"/>
        <w:jc w:val="center"/>
        <w:rPr>
          <w:rFonts w:eastAsia="黑体"/>
          <w:b/>
          <w:bCs/>
          <w:sz w:val="48"/>
          <w:szCs w:val="48"/>
          <w:lang w:val="zh-CN"/>
        </w:rPr>
      </w:pPr>
    </w:p>
    <w:p w14:paraId="51F1AD83">
      <w:pPr>
        <w:autoSpaceDE w:val="0"/>
        <w:autoSpaceDN w:val="0"/>
        <w:adjustRightInd w:val="0"/>
        <w:spacing w:line="360" w:lineRule="auto"/>
        <w:jc w:val="center"/>
        <w:rPr>
          <w:rFonts w:eastAsia="黑体"/>
          <w:b/>
          <w:bCs/>
          <w:sz w:val="48"/>
          <w:szCs w:val="48"/>
          <w:lang w:val="zh-CN"/>
        </w:rPr>
      </w:pPr>
    </w:p>
    <w:p w14:paraId="2B84B680">
      <w:pPr>
        <w:autoSpaceDE w:val="0"/>
        <w:autoSpaceDN w:val="0"/>
        <w:adjustRightInd w:val="0"/>
        <w:rPr>
          <w:rFonts w:eastAsia="黑体"/>
          <w:bCs/>
          <w:sz w:val="44"/>
          <w:szCs w:val="44"/>
          <w:lang w:val="zh-CN"/>
        </w:rPr>
      </w:pPr>
    </w:p>
    <w:p w14:paraId="2C45110A">
      <w:pPr>
        <w:autoSpaceDE w:val="0"/>
        <w:autoSpaceDN w:val="0"/>
        <w:adjustRightInd w:val="0"/>
        <w:rPr>
          <w:sz w:val="30"/>
          <w:szCs w:val="30"/>
        </w:rPr>
      </w:pPr>
    </w:p>
    <w:p w14:paraId="1085AA53">
      <w:pPr>
        <w:autoSpaceDE w:val="0"/>
        <w:autoSpaceDN w:val="0"/>
        <w:adjustRightInd w:val="0"/>
        <w:rPr>
          <w:sz w:val="30"/>
          <w:szCs w:val="30"/>
        </w:rPr>
      </w:pPr>
    </w:p>
    <w:p w14:paraId="7FAF0DC3">
      <w:pPr>
        <w:autoSpaceDE w:val="0"/>
        <w:autoSpaceDN w:val="0"/>
        <w:adjustRightInd w:val="0"/>
        <w:rPr>
          <w:sz w:val="30"/>
          <w:szCs w:val="30"/>
        </w:rPr>
      </w:pPr>
    </w:p>
    <w:p w14:paraId="5AA86F9A">
      <w:pPr>
        <w:autoSpaceDE w:val="0"/>
        <w:autoSpaceDN w:val="0"/>
        <w:adjustRightInd w:val="0"/>
        <w:rPr>
          <w:sz w:val="30"/>
          <w:szCs w:val="30"/>
        </w:rPr>
      </w:pPr>
    </w:p>
    <w:p w14:paraId="78F4E4CE">
      <w:pPr>
        <w:ind w:firstLine="14"/>
        <w:jc w:val="center"/>
        <w:rPr>
          <w:rFonts w:eastAsia="黑体"/>
          <w:sz w:val="32"/>
          <w:szCs w:val="32"/>
        </w:rPr>
      </w:pPr>
    </w:p>
    <w:p w14:paraId="799A9EB3">
      <w:pPr>
        <w:ind w:firstLine="14"/>
        <w:jc w:val="center"/>
        <w:rPr>
          <w:rFonts w:eastAsia="黑体"/>
          <w:sz w:val="32"/>
          <w:szCs w:val="32"/>
        </w:rPr>
      </w:pPr>
    </w:p>
    <w:p w14:paraId="732DE1AC">
      <w:pPr>
        <w:ind w:firstLine="14"/>
        <w:jc w:val="center"/>
        <w:rPr>
          <w:rFonts w:eastAsia="黑体"/>
          <w:sz w:val="32"/>
          <w:szCs w:val="32"/>
        </w:rPr>
      </w:pPr>
    </w:p>
    <w:p w14:paraId="4B7A883D">
      <w:pPr>
        <w:ind w:firstLine="14"/>
        <w:jc w:val="center"/>
        <w:rPr>
          <w:rFonts w:eastAsia="黑体"/>
          <w:sz w:val="32"/>
          <w:szCs w:val="32"/>
        </w:rPr>
        <w:sectPr>
          <w:footerReference r:id="rId8" w:type="default"/>
          <w:pgSz w:w="11906" w:h="16838"/>
          <w:pgMar w:top="1418" w:right="1418" w:bottom="1418" w:left="1418"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eastAsia="黑体"/>
          <w:sz w:val="32"/>
          <w:szCs w:val="32"/>
        </w:rPr>
        <w:t>二O</w:t>
      </w:r>
      <w:r>
        <w:rPr>
          <w:rFonts w:hint="eastAsia" w:eastAsia="黑体"/>
          <w:sz w:val="32"/>
          <w:szCs w:val="32"/>
        </w:rPr>
        <w:t>二</w:t>
      </w:r>
      <w:r>
        <w:rPr>
          <w:rFonts w:hint="eastAsia" w:eastAsia="黑体"/>
          <w:sz w:val="32"/>
          <w:szCs w:val="32"/>
          <w:lang w:eastAsia="zh-CN"/>
        </w:rPr>
        <w:t>五</w:t>
      </w:r>
      <w:r>
        <w:rPr>
          <w:rFonts w:eastAsia="黑体"/>
          <w:sz w:val="32"/>
          <w:szCs w:val="32"/>
        </w:rPr>
        <w:t>年</w:t>
      </w:r>
      <w:r>
        <w:rPr>
          <w:rFonts w:hint="eastAsia" w:eastAsia="黑体"/>
          <w:sz w:val="32"/>
          <w:szCs w:val="32"/>
          <w:lang w:eastAsia="zh-CN"/>
        </w:rPr>
        <w:t>六</w:t>
      </w:r>
      <w:r>
        <w:rPr>
          <w:rFonts w:eastAsia="黑体"/>
          <w:sz w:val="32"/>
          <w:szCs w:val="32"/>
        </w:rPr>
        <w:t>月</w:t>
      </w:r>
    </w:p>
    <w:bookmarkEnd w:id="11"/>
    <w:p w14:paraId="736CB332">
      <w:pPr>
        <w:tabs>
          <w:tab w:val="left" w:pos="0"/>
        </w:tabs>
        <w:spacing w:line="500" w:lineRule="exact"/>
        <w:ind w:firstLine="480"/>
        <w:rPr>
          <w:bCs/>
          <w:snapToGrid w:val="0"/>
          <w:sz w:val="24"/>
        </w:rPr>
      </w:pPr>
      <w:r>
        <w:rPr>
          <w:bCs/>
          <w:snapToGrid w:val="0"/>
          <w:sz w:val="24"/>
        </w:rPr>
        <w:t>根据《环境影响评价技术导则 大气环境》（HJ2.2-2018）中大气环境影响评价等级划分原则的规定，计算污染物的最大地面浓度占标率Pi（第i个污染物），及第i个污染物的地面浓度达标准值10%时所对应的最远距离D</w:t>
      </w:r>
      <w:r>
        <w:rPr>
          <w:bCs/>
          <w:snapToGrid w:val="0"/>
          <w:sz w:val="24"/>
          <w:vertAlign w:val="subscript"/>
        </w:rPr>
        <w:t>10%</w:t>
      </w:r>
      <w:r>
        <w:rPr>
          <w:bCs/>
          <w:snapToGrid w:val="0"/>
          <w:sz w:val="24"/>
        </w:rPr>
        <w:t>。其中Pi定义为：</w:t>
      </w:r>
    </w:p>
    <w:p w14:paraId="5151937D">
      <w:pPr>
        <w:spacing w:line="500" w:lineRule="exact"/>
        <w:ind w:firstLine="480"/>
        <w:jc w:val="center"/>
        <w:rPr>
          <w:bCs/>
          <w:snapToGrid w:val="0"/>
          <w:sz w:val="24"/>
        </w:rPr>
      </w:pPr>
      <w:r>
        <w:rPr>
          <w:bCs/>
          <w:snapToGrid w:val="0"/>
          <w:sz w:val="24"/>
        </w:rPr>
        <w:t>P</w:t>
      </w:r>
      <w:r>
        <w:rPr>
          <w:bCs/>
          <w:snapToGrid w:val="0"/>
          <w:sz w:val="24"/>
          <w:vertAlign w:val="subscript"/>
        </w:rPr>
        <w:t>i</w:t>
      </w:r>
      <w:r>
        <w:rPr>
          <w:bCs/>
          <w:snapToGrid w:val="0"/>
          <w:sz w:val="24"/>
        </w:rPr>
        <w:t>= C</w:t>
      </w:r>
      <w:r>
        <w:rPr>
          <w:bCs/>
          <w:snapToGrid w:val="0"/>
          <w:sz w:val="24"/>
          <w:vertAlign w:val="subscript"/>
        </w:rPr>
        <w:t>i</w:t>
      </w:r>
      <w:r>
        <w:rPr>
          <w:bCs/>
          <w:snapToGrid w:val="0"/>
          <w:sz w:val="24"/>
        </w:rPr>
        <w:t xml:space="preserve"> / C</w:t>
      </w:r>
      <w:r>
        <w:rPr>
          <w:bCs/>
          <w:snapToGrid w:val="0"/>
          <w:sz w:val="24"/>
          <w:vertAlign w:val="subscript"/>
        </w:rPr>
        <w:t xml:space="preserve">oi </w:t>
      </w:r>
      <w:r>
        <w:rPr>
          <w:bCs/>
          <w:snapToGrid w:val="0"/>
          <w:sz w:val="24"/>
        </w:rPr>
        <w:t>×100%</w:t>
      </w:r>
    </w:p>
    <w:p w14:paraId="56411FD6">
      <w:pPr>
        <w:spacing w:line="500" w:lineRule="exact"/>
        <w:ind w:firstLine="600" w:firstLineChars="250"/>
        <w:rPr>
          <w:bCs/>
          <w:snapToGrid w:val="0"/>
          <w:sz w:val="24"/>
        </w:rPr>
      </w:pPr>
      <w:r>
        <w:rPr>
          <w:bCs/>
          <w:snapToGrid w:val="0"/>
          <w:sz w:val="24"/>
        </w:rPr>
        <w:t>式中：P</w:t>
      </w:r>
      <w:r>
        <w:rPr>
          <w:bCs/>
          <w:snapToGrid w:val="0"/>
          <w:sz w:val="24"/>
          <w:vertAlign w:val="subscript"/>
        </w:rPr>
        <w:t>i</w:t>
      </w:r>
      <w:r>
        <w:rPr>
          <w:bCs/>
          <w:snapToGrid w:val="0"/>
          <w:sz w:val="24"/>
        </w:rPr>
        <w:t>——第i个污染物的最大地面</w:t>
      </w:r>
      <w:r>
        <w:rPr>
          <w:rFonts w:hint="eastAsia"/>
          <w:bCs/>
          <w:snapToGrid w:val="0"/>
          <w:sz w:val="24"/>
        </w:rPr>
        <w:t>空气质量</w:t>
      </w:r>
      <w:r>
        <w:rPr>
          <w:bCs/>
          <w:snapToGrid w:val="0"/>
          <w:sz w:val="24"/>
        </w:rPr>
        <w:t>浓度占标率，%；</w:t>
      </w:r>
    </w:p>
    <w:p w14:paraId="576C1661">
      <w:pPr>
        <w:spacing w:line="500" w:lineRule="exact"/>
        <w:ind w:firstLine="600" w:firstLineChars="250"/>
        <w:rPr>
          <w:bCs/>
          <w:snapToGrid w:val="0"/>
          <w:sz w:val="24"/>
        </w:rPr>
      </w:pPr>
      <w:r>
        <w:rPr>
          <w:bCs/>
          <w:snapToGrid w:val="0"/>
          <w:sz w:val="24"/>
        </w:rPr>
        <w:t>C</w:t>
      </w:r>
      <w:r>
        <w:rPr>
          <w:bCs/>
          <w:snapToGrid w:val="0"/>
          <w:sz w:val="24"/>
          <w:vertAlign w:val="subscript"/>
        </w:rPr>
        <w:t>i</w:t>
      </w:r>
      <w:r>
        <w:rPr>
          <w:bCs/>
          <w:snapToGrid w:val="0"/>
          <w:sz w:val="24"/>
        </w:rPr>
        <w:t>——采用估算模式计算出的第i个污染物的最大</w:t>
      </w:r>
      <w:r>
        <w:rPr>
          <w:rFonts w:hint="eastAsia"/>
          <w:bCs/>
          <w:snapToGrid w:val="0"/>
          <w:sz w:val="24"/>
        </w:rPr>
        <w:t>1h</w:t>
      </w:r>
      <w:r>
        <w:rPr>
          <w:bCs/>
          <w:snapToGrid w:val="0"/>
          <w:sz w:val="24"/>
        </w:rPr>
        <w:t>地面</w:t>
      </w:r>
      <w:r>
        <w:rPr>
          <w:rFonts w:hint="eastAsia"/>
          <w:bCs/>
          <w:snapToGrid w:val="0"/>
          <w:sz w:val="24"/>
        </w:rPr>
        <w:t>空气质量</w:t>
      </w:r>
      <w:r>
        <w:rPr>
          <w:bCs/>
          <w:snapToGrid w:val="0"/>
          <w:sz w:val="24"/>
        </w:rPr>
        <w:t>浓度，</w:t>
      </w:r>
      <w:r>
        <w:rPr>
          <w:bCs/>
          <w:sz w:val="24"/>
        </w:rPr>
        <w:t>μm</w:t>
      </w:r>
      <w:r>
        <w:rPr>
          <w:bCs/>
          <w:snapToGrid w:val="0"/>
          <w:sz w:val="24"/>
        </w:rPr>
        <w:t xml:space="preserve"> /m</w:t>
      </w:r>
      <w:r>
        <w:rPr>
          <w:bCs/>
          <w:snapToGrid w:val="0"/>
          <w:sz w:val="24"/>
          <w:vertAlign w:val="superscript"/>
        </w:rPr>
        <w:t>3</w:t>
      </w:r>
      <w:r>
        <w:rPr>
          <w:bCs/>
          <w:snapToGrid w:val="0"/>
          <w:sz w:val="24"/>
        </w:rPr>
        <w:t>；</w:t>
      </w:r>
    </w:p>
    <w:p w14:paraId="132F65BF">
      <w:pPr>
        <w:spacing w:line="500" w:lineRule="exact"/>
        <w:ind w:firstLine="600" w:firstLineChars="250"/>
        <w:rPr>
          <w:bCs/>
          <w:snapToGrid w:val="0"/>
          <w:sz w:val="24"/>
        </w:rPr>
      </w:pPr>
      <w:r>
        <w:rPr>
          <w:bCs/>
          <w:snapToGrid w:val="0"/>
          <w:sz w:val="24"/>
        </w:rPr>
        <w:t>C</w:t>
      </w:r>
      <w:r>
        <w:rPr>
          <w:bCs/>
          <w:snapToGrid w:val="0"/>
          <w:sz w:val="24"/>
          <w:vertAlign w:val="subscript"/>
        </w:rPr>
        <w:t>oi</w:t>
      </w:r>
      <w:r>
        <w:rPr>
          <w:bCs/>
          <w:snapToGrid w:val="0"/>
          <w:sz w:val="24"/>
        </w:rPr>
        <w:t>——第i个污染物的环境空气质量标准，</w:t>
      </w:r>
      <w:r>
        <w:rPr>
          <w:bCs/>
          <w:sz w:val="24"/>
        </w:rPr>
        <w:t>μm</w:t>
      </w:r>
      <w:r>
        <w:rPr>
          <w:bCs/>
          <w:snapToGrid w:val="0"/>
          <w:sz w:val="24"/>
        </w:rPr>
        <w:t xml:space="preserve"> /m</w:t>
      </w:r>
      <w:r>
        <w:rPr>
          <w:bCs/>
          <w:snapToGrid w:val="0"/>
          <w:sz w:val="24"/>
          <w:vertAlign w:val="superscript"/>
        </w:rPr>
        <w:t>3</w:t>
      </w:r>
      <w:r>
        <w:rPr>
          <w:bCs/>
          <w:snapToGrid w:val="0"/>
          <w:sz w:val="24"/>
        </w:rPr>
        <w:t>；</w:t>
      </w:r>
      <w:r>
        <w:rPr>
          <w:rFonts w:hint="eastAsia"/>
          <w:bCs/>
          <w:snapToGrid w:val="0"/>
          <w:sz w:val="24"/>
        </w:rPr>
        <w:t>对仅有 8 h 平均质量浓度限值、日平均质量浓度限值或年平均质量浓度限值的，可分别按 2 倍、3 倍、6 倍折算为 1h 平均质量浓度限值。</w:t>
      </w:r>
    </w:p>
    <w:p w14:paraId="0B6337AD">
      <w:pPr>
        <w:tabs>
          <w:tab w:val="left" w:pos="0"/>
        </w:tabs>
        <w:spacing w:line="500" w:lineRule="exact"/>
        <w:ind w:firstLine="480"/>
        <w:rPr>
          <w:bCs/>
          <w:snapToGrid w:val="0"/>
          <w:sz w:val="24"/>
        </w:rPr>
      </w:pPr>
      <w:r>
        <w:rPr>
          <w:bCs/>
          <w:snapToGrid w:val="0"/>
          <w:sz w:val="24"/>
        </w:rPr>
        <w:t>评价工作等级按表</w:t>
      </w:r>
      <w:r>
        <w:rPr>
          <w:rFonts w:hint="eastAsia"/>
          <w:bCs/>
          <w:snapToGrid w:val="0"/>
          <w:sz w:val="24"/>
        </w:rPr>
        <w:t>1</w:t>
      </w:r>
      <w:r>
        <w:rPr>
          <w:bCs/>
          <w:snapToGrid w:val="0"/>
          <w:sz w:val="24"/>
        </w:rPr>
        <w:t>的分级判据进行划分。</w:t>
      </w:r>
    </w:p>
    <w:p w14:paraId="06AE0650">
      <w:pPr>
        <w:jc w:val="center"/>
        <w:rPr>
          <w:b/>
          <w:bCs/>
          <w:szCs w:val="21"/>
        </w:rPr>
      </w:pPr>
      <w:r>
        <w:rPr>
          <w:b/>
          <w:bCs/>
          <w:szCs w:val="21"/>
        </w:rPr>
        <w:t>表</w:t>
      </w:r>
      <w:r>
        <w:rPr>
          <w:rFonts w:hint="eastAsia"/>
          <w:b/>
          <w:bCs/>
          <w:szCs w:val="21"/>
        </w:rPr>
        <w:t xml:space="preserve">1 </w:t>
      </w:r>
      <w:r>
        <w:rPr>
          <w:b/>
          <w:bCs/>
          <w:szCs w:val="21"/>
        </w:rPr>
        <w:t xml:space="preserve"> 大气环境评价工作等级划分表</w:t>
      </w:r>
    </w:p>
    <w:tbl>
      <w:tblPr>
        <w:tblStyle w:val="4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390"/>
        <w:gridCol w:w="5330"/>
      </w:tblGrid>
      <w:tr w14:paraId="54EE8B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44" w:type="pct"/>
            <w:vAlign w:val="center"/>
          </w:tcPr>
          <w:p w14:paraId="0012B2C5">
            <w:pPr>
              <w:pStyle w:val="24"/>
              <w:spacing w:line="320" w:lineRule="exact"/>
              <w:ind w:firstLine="480"/>
              <w:rPr>
                <w:rFonts w:ascii="Times New Roman" w:hAnsi="Times New Roman"/>
                <w:snapToGrid w:val="0"/>
              </w:rPr>
            </w:pPr>
            <w:r>
              <w:rPr>
                <w:rFonts w:ascii="Times New Roman" w:hAnsi="Times New Roman"/>
                <w:snapToGrid w:val="0"/>
              </w:rPr>
              <w:t>评价工作等级</w:t>
            </w:r>
          </w:p>
        </w:tc>
        <w:tc>
          <w:tcPr>
            <w:tcW w:w="3056" w:type="pct"/>
            <w:vAlign w:val="center"/>
          </w:tcPr>
          <w:p w14:paraId="6F5CB5C5">
            <w:pPr>
              <w:pStyle w:val="24"/>
              <w:spacing w:line="320" w:lineRule="exact"/>
              <w:ind w:firstLine="480"/>
              <w:rPr>
                <w:rFonts w:ascii="Times New Roman" w:hAnsi="Times New Roman"/>
                <w:snapToGrid w:val="0"/>
              </w:rPr>
            </w:pPr>
            <w:r>
              <w:rPr>
                <w:rFonts w:ascii="Times New Roman" w:hAnsi="Times New Roman"/>
                <w:snapToGrid w:val="0"/>
              </w:rPr>
              <w:t>分级依据</w:t>
            </w:r>
          </w:p>
        </w:tc>
      </w:tr>
      <w:tr w14:paraId="7610C5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44" w:type="pct"/>
            <w:vAlign w:val="center"/>
          </w:tcPr>
          <w:p w14:paraId="5A30D4D9">
            <w:pPr>
              <w:pStyle w:val="24"/>
              <w:spacing w:line="320" w:lineRule="exact"/>
              <w:ind w:firstLine="480"/>
              <w:rPr>
                <w:rFonts w:ascii="Times New Roman" w:hAnsi="Times New Roman"/>
                <w:snapToGrid w:val="0"/>
              </w:rPr>
            </w:pPr>
            <w:r>
              <w:rPr>
                <w:rFonts w:ascii="Times New Roman" w:hAnsi="Times New Roman"/>
                <w:snapToGrid w:val="0"/>
              </w:rPr>
              <w:t>一级</w:t>
            </w:r>
          </w:p>
        </w:tc>
        <w:tc>
          <w:tcPr>
            <w:tcW w:w="3056" w:type="pct"/>
            <w:vAlign w:val="center"/>
          </w:tcPr>
          <w:p w14:paraId="78A1931F">
            <w:pPr>
              <w:adjustRightInd w:val="0"/>
              <w:snapToGrid w:val="0"/>
              <w:spacing w:line="280" w:lineRule="exact"/>
              <w:ind w:firstLine="420"/>
              <w:jc w:val="center"/>
              <w:rPr>
                <w:szCs w:val="21"/>
              </w:rPr>
            </w:pPr>
            <w:r>
              <w:rPr>
                <w:szCs w:val="21"/>
              </w:rPr>
              <w:t>Pmax</w:t>
            </w:r>
            <w:r>
              <w:rPr>
                <w:rFonts w:hint="eastAsia"/>
                <w:szCs w:val="21"/>
              </w:rPr>
              <w:t>≧</w:t>
            </w:r>
            <w:r>
              <w:rPr>
                <w:szCs w:val="21"/>
              </w:rPr>
              <w:t>10%</w:t>
            </w:r>
          </w:p>
        </w:tc>
      </w:tr>
      <w:tr w14:paraId="43308E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944" w:type="pct"/>
            <w:vAlign w:val="center"/>
          </w:tcPr>
          <w:p w14:paraId="5C71BF7D">
            <w:pPr>
              <w:pStyle w:val="24"/>
              <w:spacing w:line="320" w:lineRule="exact"/>
              <w:ind w:firstLine="480"/>
              <w:rPr>
                <w:rFonts w:ascii="Times New Roman" w:hAnsi="Times New Roman"/>
                <w:snapToGrid w:val="0"/>
              </w:rPr>
            </w:pPr>
            <w:r>
              <w:rPr>
                <w:rFonts w:ascii="Times New Roman" w:hAnsi="Times New Roman"/>
                <w:snapToGrid w:val="0"/>
              </w:rPr>
              <w:t>二级</w:t>
            </w:r>
          </w:p>
        </w:tc>
        <w:tc>
          <w:tcPr>
            <w:tcW w:w="3056" w:type="pct"/>
            <w:vAlign w:val="center"/>
          </w:tcPr>
          <w:p w14:paraId="771B9AD2">
            <w:pPr>
              <w:adjustRightInd w:val="0"/>
              <w:snapToGrid w:val="0"/>
              <w:spacing w:line="280" w:lineRule="exact"/>
              <w:ind w:firstLine="420"/>
              <w:jc w:val="center"/>
              <w:rPr>
                <w:szCs w:val="21"/>
              </w:rPr>
            </w:pPr>
            <w:r>
              <w:rPr>
                <w:szCs w:val="21"/>
              </w:rPr>
              <w:t>1%≤Pmax＜10%</w:t>
            </w:r>
          </w:p>
        </w:tc>
      </w:tr>
      <w:tr w14:paraId="06E1AC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1944" w:type="pct"/>
            <w:vAlign w:val="center"/>
          </w:tcPr>
          <w:p w14:paraId="2B45BB73">
            <w:pPr>
              <w:pStyle w:val="24"/>
              <w:spacing w:line="320" w:lineRule="exact"/>
              <w:ind w:firstLine="480"/>
              <w:rPr>
                <w:rFonts w:ascii="Times New Roman" w:hAnsi="Times New Roman"/>
                <w:snapToGrid w:val="0"/>
              </w:rPr>
            </w:pPr>
            <w:r>
              <w:rPr>
                <w:rFonts w:ascii="Times New Roman" w:hAnsi="Times New Roman"/>
                <w:snapToGrid w:val="0"/>
              </w:rPr>
              <w:t>三级</w:t>
            </w:r>
          </w:p>
        </w:tc>
        <w:tc>
          <w:tcPr>
            <w:tcW w:w="3056" w:type="pct"/>
            <w:vAlign w:val="center"/>
          </w:tcPr>
          <w:p w14:paraId="1965815A">
            <w:pPr>
              <w:adjustRightInd w:val="0"/>
              <w:snapToGrid w:val="0"/>
              <w:spacing w:line="280" w:lineRule="exact"/>
              <w:ind w:firstLine="420"/>
              <w:jc w:val="center"/>
              <w:rPr>
                <w:szCs w:val="21"/>
              </w:rPr>
            </w:pPr>
            <w:r>
              <w:rPr>
                <w:szCs w:val="21"/>
              </w:rPr>
              <w:t xml:space="preserve">Pmax＜1% </w:t>
            </w:r>
          </w:p>
        </w:tc>
      </w:tr>
    </w:tbl>
    <w:p w14:paraId="3F02E4E7">
      <w:pPr>
        <w:spacing w:line="500" w:lineRule="exact"/>
        <w:ind w:firstLine="480" w:firstLineChars="200"/>
        <w:jc w:val="left"/>
        <w:rPr>
          <w:bCs/>
          <w:snapToGrid w:val="0"/>
          <w:sz w:val="24"/>
        </w:rPr>
      </w:pPr>
      <w:r>
        <w:rPr>
          <w:bCs/>
          <w:snapToGrid w:val="0"/>
          <w:sz w:val="24"/>
        </w:rPr>
        <w:t>根据工程分析，</w:t>
      </w:r>
      <w:r>
        <w:rPr>
          <w:rFonts w:hint="eastAsia"/>
          <w:bCs/>
          <w:snapToGrid w:val="0"/>
          <w:sz w:val="24"/>
        </w:rPr>
        <w:t>评价确定预测评价因子为PM</w:t>
      </w:r>
      <w:r>
        <w:rPr>
          <w:rFonts w:hint="eastAsia"/>
          <w:bCs/>
          <w:snapToGrid w:val="0"/>
          <w:sz w:val="24"/>
          <w:vertAlign w:val="subscript"/>
        </w:rPr>
        <w:t>10</w:t>
      </w:r>
      <w:r>
        <w:rPr>
          <w:rFonts w:hint="eastAsia"/>
          <w:bCs/>
          <w:snapToGrid w:val="0"/>
          <w:sz w:val="24"/>
        </w:rPr>
        <w:t>、SO</w:t>
      </w:r>
      <w:r>
        <w:rPr>
          <w:rFonts w:hint="eastAsia"/>
          <w:bCs/>
          <w:snapToGrid w:val="0"/>
          <w:sz w:val="24"/>
          <w:vertAlign w:val="subscript"/>
        </w:rPr>
        <w:t>2</w:t>
      </w:r>
      <w:r>
        <w:rPr>
          <w:rFonts w:hint="eastAsia"/>
          <w:bCs/>
          <w:snapToGrid w:val="0"/>
          <w:sz w:val="24"/>
        </w:rPr>
        <w:t>、NO</w:t>
      </w:r>
      <w:r>
        <w:rPr>
          <w:rFonts w:hint="eastAsia"/>
          <w:bCs/>
          <w:snapToGrid w:val="0"/>
          <w:sz w:val="24"/>
          <w:vertAlign w:val="subscript"/>
        </w:rPr>
        <w:t>x</w:t>
      </w:r>
      <w:r>
        <w:rPr>
          <w:rFonts w:hint="eastAsia"/>
          <w:bCs/>
          <w:snapToGrid w:val="0"/>
          <w:sz w:val="24"/>
        </w:rPr>
        <w:t>、B[a]P、TSP。污染物评价标准见表 2。</w:t>
      </w:r>
    </w:p>
    <w:p w14:paraId="26477C65">
      <w:pPr>
        <w:spacing w:line="280" w:lineRule="exact"/>
        <w:ind w:firstLine="422"/>
        <w:jc w:val="center"/>
        <w:rPr>
          <w:b/>
          <w:bCs/>
          <w:szCs w:val="21"/>
        </w:rPr>
      </w:pPr>
      <w:r>
        <w:rPr>
          <w:rFonts w:hint="eastAsia"/>
          <w:b/>
          <w:bCs/>
          <w:szCs w:val="21"/>
        </w:rPr>
        <w:t>表2   环境空气评价标准表</w:t>
      </w:r>
    </w:p>
    <w:tbl>
      <w:tblPr>
        <w:tblStyle w:val="47"/>
        <w:tblW w:w="8597"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825"/>
        <w:gridCol w:w="1094"/>
        <w:gridCol w:w="1362"/>
        <w:gridCol w:w="2321"/>
        <w:gridCol w:w="1995"/>
      </w:tblGrid>
      <w:tr w14:paraId="632BEFA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01" w:hRule="atLeast"/>
          <w:jc w:val="center"/>
        </w:trPr>
        <w:tc>
          <w:tcPr>
            <w:tcW w:w="1061" w:type="pct"/>
            <w:vAlign w:val="center"/>
          </w:tcPr>
          <w:p w14:paraId="44D845D4">
            <w:pPr>
              <w:adjustRightInd w:val="0"/>
              <w:snapToGrid w:val="0"/>
              <w:jc w:val="center"/>
              <w:rPr>
                <w:szCs w:val="21"/>
              </w:rPr>
            </w:pPr>
            <w:r>
              <w:rPr>
                <w:rFonts w:hint="eastAsia"/>
                <w:szCs w:val="21"/>
              </w:rPr>
              <w:t>评价因子</w:t>
            </w:r>
          </w:p>
        </w:tc>
        <w:tc>
          <w:tcPr>
            <w:tcW w:w="636" w:type="pct"/>
            <w:vAlign w:val="center"/>
          </w:tcPr>
          <w:p w14:paraId="02B96049">
            <w:pPr>
              <w:adjustRightInd w:val="0"/>
              <w:snapToGrid w:val="0"/>
              <w:jc w:val="center"/>
              <w:rPr>
                <w:szCs w:val="21"/>
              </w:rPr>
            </w:pPr>
            <w:r>
              <w:rPr>
                <w:rFonts w:hint="eastAsia"/>
                <w:szCs w:val="21"/>
              </w:rPr>
              <w:t>污染源</w:t>
            </w:r>
          </w:p>
        </w:tc>
        <w:tc>
          <w:tcPr>
            <w:tcW w:w="792" w:type="pct"/>
            <w:vAlign w:val="center"/>
          </w:tcPr>
          <w:p w14:paraId="576894FC">
            <w:pPr>
              <w:adjustRightInd w:val="0"/>
              <w:snapToGrid w:val="0"/>
              <w:jc w:val="center"/>
              <w:rPr>
                <w:szCs w:val="21"/>
              </w:rPr>
            </w:pPr>
            <w:r>
              <w:rPr>
                <w:rFonts w:hint="eastAsia"/>
                <w:szCs w:val="21"/>
              </w:rPr>
              <w:t>标准值</w:t>
            </w:r>
          </w:p>
        </w:tc>
        <w:tc>
          <w:tcPr>
            <w:tcW w:w="1349" w:type="pct"/>
            <w:vAlign w:val="center"/>
          </w:tcPr>
          <w:p w14:paraId="319524AC">
            <w:pPr>
              <w:adjustRightInd w:val="0"/>
              <w:snapToGrid w:val="0"/>
              <w:jc w:val="center"/>
              <w:rPr>
                <w:szCs w:val="21"/>
              </w:rPr>
            </w:pPr>
            <w:r>
              <w:rPr>
                <w:rFonts w:hint="eastAsia"/>
                <w:szCs w:val="21"/>
              </w:rPr>
              <w:t>标准来源</w:t>
            </w:r>
          </w:p>
        </w:tc>
        <w:tc>
          <w:tcPr>
            <w:tcW w:w="1160" w:type="pct"/>
            <w:vAlign w:val="center"/>
          </w:tcPr>
          <w:p w14:paraId="55AB818D">
            <w:pPr>
              <w:adjustRightInd w:val="0"/>
              <w:snapToGrid w:val="0"/>
              <w:jc w:val="center"/>
              <w:rPr>
                <w:szCs w:val="21"/>
              </w:rPr>
            </w:pPr>
            <w:r>
              <w:rPr>
                <w:rFonts w:hint="eastAsia"/>
                <w:szCs w:val="21"/>
              </w:rPr>
              <w:t>备注</w:t>
            </w:r>
          </w:p>
        </w:tc>
      </w:tr>
      <w:tr w14:paraId="70A667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1061" w:type="pct"/>
            <w:vAlign w:val="center"/>
          </w:tcPr>
          <w:p w14:paraId="017DE358">
            <w:pPr>
              <w:widowControl/>
              <w:jc w:val="center"/>
              <w:rPr>
                <w:szCs w:val="21"/>
              </w:rPr>
            </w:pPr>
            <w:r>
              <w:rPr>
                <w:szCs w:val="21"/>
              </w:rPr>
              <w:t>PM</w:t>
            </w:r>
            <w:r>
              <w:rPr>
                <w:szCs w:val="21"/>
                <w:vertAlign w:val="subscript"/>
              </w:rPr>
              <w:t>10</w:t>
            </w:r>
          </w:p>
        </w:tc>
        <w:tc>
          <w:tcPr>
            <w:tcW w:w="636" w:type="pct"/>
            <w:vMerge w:val="restart"/>
            <w:vAlign w:val="center"/>
          </w:tcPr>
          <w:p w14:paraId="5737889A">
            <w:pPr>
              <w:widowControl/>
              <w:jc w:val="center"/>
              <w:rPr>
                <w:szCs w:val="21"/>
              </w:rPr>
            </w:pPr>
            <w:r>
              <w:rPr>
                <w:rFonts w:hint="eastAsia"/>
                <w:szCs w:val="21"/>
              </w:rPr>
              <w:t>点源</w:t>
            </w:r>
          </w:p>
        </w:tc>
        <w:tc>
          <w:tcPr>
            <w:tcW w:w="792" w:type="pct"/>
            <w:vAlign w:val="center"/>
          </w:tcPr>
          <w:p w14:paraId="2C3D9FC1">
            <w:pPr>
              <w:adjustRightInd w:val="0"/>
              <w:snapToGrid w:val="0"/>
              <w:jc w:val="center"/>
              <w:rPr>
                <w:szCs w:val="21"/>
              </w:rPr>
            </w:pPr>
            <w:r>
              <w:rPr>
                <w:rFonts w:hint="eastAsia"/>
                <w:szCs w:val="21"/>
              </w:rPr>
              <w:t>450</w:t>
            </w:r>
            <w:r>
              <w:rPr>
                <w:bCs/>
                <w:szCs w:val="21"/>
              </w:rPr>
              <w:t>μm</w:t>
            </w:r>
            <w:r>
              <w:rPr>
                <w:bCs/>
                <w:snapToGrid w:val="0"/>
                <w:szCs w:val="21"/>
              </w:rPr>
              <w:t>/m</w:t>
            </w:r>
            <w:r>
              <w:rPr>
                <w:bCs/>
                <w:snapToGrid w:val="0"/>
                <w:szCs w:val="21"/>
                <w:vertAlign w:val="superscript"/>
              </w:rPr>
              <w:t>3</w:t>
            </w:r>
          </w:p>
        </w:tc>
        <w:tc>
          <w:tcPr>
            <w:tcW w:w="1349" w:type="pct"/>
            <w:vMerge w:val="restart"/>
            <w:vAlign w:val="center"/>
          </w:tcPr>
          <w:p w14:paraId="0F7F2B92">
            <w:pPr>
              <w:adjustRightInd w:val="0"/>
              <w:snapToGrid w:val="0"/>
              <w:jc w:val="center"/>
              <w:rPr>
                <w:szCs w:val="21"/>
              </w:rPr>
            </w:pPr>
            <w:r>
              <w:rPr>
                <w:rFonts w:hint="eastAsia"/>
                <w:szCs w:val="21"/>
                <w:lang w:eastAsia="zh-CN"/>
              </w:rPr>
              <w:t>《</w:t>
            </w:r>
            <w:r>
              <w:rPr>
                <w:rFonts w:hint="eastAsia"/>
                <w:szCs w:val="21"/>
              </w:rPr>
              <w:t>环境空气质量标准》（GB 3095-2012）中的二级标准</w:t>
            </w:r>
          </w:p>
        </w:tc>
        <w:tc>
          <w:tcPr>
            <w:tcW w:w="1160" w:type="pct"/>
            <w:vAlign w:val="center"/>
          </w:tcPr>
          <w:p w14:paraId="6E62CDEB">
            <w:pPr>
              <w:adjustRightInd w:val="0"/>
              <w:snapToGrid w:val="0"/>
              <w:jc w:val="center"/>
              <w:rPr>
                <w:szCs w:val="21"/>
              </w:rPr>
            </w:pPr>
            <w:r>
              <w:rPr>
                <w:rFonts w:hint="eastAsia"/>
                <w:szCs w:val="21"/>
              </w:rPr>
              <w:t>日均值的3倍</w:t>
            </w:r>
          </w:p>
        </w:tc>
      </w:tr>
      <w:tr w14:paraId="05F3DAC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1061" w:type="pct"/>
            <w:vAlign w:val="center"/>
          </w:tcPr>
          <w:p w14:paraId="6A3B06F0">
            <w:pPr>
              <w:pStyle w:val="108"/>
              <w:spacing w:line="240" w:lineRule="auto"/>
              <w:jc w:val="center"/>
              <w:rPr>
                <w:vertAlign w:val="subscript"/>
              </w:rPr>
            </w:pPr>
            <w:r>
              <w:t>SO</w:t>
            </w:r>
            <w:r>
              <w:rPr>
                <w:vertAlign w:val="subscript"/>
              </w:rPr>
              <w:t>2</w:t>
            </w:r>
          </w:p>
        </w:tc>
        <w:tc>
          <w:tcPr>
            <w:tcW w:w="636" w:type="pct"/>
            <w:vMerge w:val="continue"/>
            <w:vAlign w:val="center"/>
          </w:tcPr>
          <w:p w14:paraId="1CD6FCD8">
            <w:pPr>
              <w:widowControl/>
              <w:jc w:val="center"/>
              <w:rPr>
                <w:szCs w:val="21"/>
              </w:rPr>
            </w:pPr>
          </w:p>
        </w:tc>
        <w:tc>
          <w:tcPr>
            <w:tcW w:w="792" w:type="pct"/>
            <w:vAlign w:val="center"/>
          </w:tcPr>
          <w:p w14:paraId="4091B615">
            <w:pPr>
              <w:adjustRightInd w:val="0"/>
              <w:snapToGrid w:val="0"/>
              <w:jc w:val="center"/>
              <w:rPr>
                <w:szCs w:val="21"/>
              </w:rPr>
            </w:pPr>
            <w:r>
              <w:rPr>
                <w:rFonts w:hint="eastAsia"/>
                <w:szCs w:val="21"/>
              </w:rPr>
              <w:t>500</w:t>
            </w:r>
            <w:r>
              <w:rPr>
                <w:bCs/>
                <w:szCs w:val="21"/>
              </w:rPr>
              <w:t>μm</w:t>
            </w:r>
            <w:r>
              <w:rPr>
                <w:bCs/>
                <w:snapToGrid w:val="0"/>
                <w:szCs w:val="21"/>
              </w:rPr>
              <w:t>/m</w:t>
            </w:r>
            <w:r>
              <w:rPr>
                <w:bCs/>
                <w:snapToGrid w:val="0"/>
                <w:szCs w:val="21"/>
                <w:vertAlign w:val="superscript"/>
              </w:rPr>
              <w:t>3</w:t>
            </w:r>
          </w:p>
        </w:tc>
        <w:tc>
          <w:tcPr>
            <w:tcW w:w="1349" w:type="pct"/>
            <w:vMerge w:val="continue"/>
            <w:vAlign w:val="center"/>
          </w:tcPr>
          <w:p w14:paraId="7C6B4231">
            <w:pPr>
              <w:adjustRightInd w:val="0"/>
              <w:snapToGrid w:val="0"/>
              <w:jc w:val="center"/>
              <w:rPr>
                <w:szCs w:val="21"/>
              </w:rPr>
            </w:pPr>
          </w:p>
        </w:tc>
        <w:tc>
          <w:tcPr>
            <w:tcW w:w="1160" w:type="pct"/>
            <w:vAlign w:val="center"/>
          </w:tcPr>
          <w:p w14:paraId="5D1B8B8A">
            <w:pPr>
              <w:adjustRightInd w:val="0"/>
              <w:snapToGrid w:val="0"/>
              <w:jc w:val="center"/>
              <w:rPr>
                <w:szCs w:val="21"/>
              </w:rPr>
            </w:pPr>
            <w:r>
              <w:rPr>
                <w:rFonts w:hint="eastAsia"/>
                <w:szCs w:val="21"/>
              </w:rPr>
              <w:t>-</w:t>
            </w:r>
          </w:p>
        </w:tc>
      </w:tr>
      <w:tr w14:paraId="156BF75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1061" w:type="pct"/>
            <w:vAlign w:val="center"/>
          </w:tcPr>
          <w:p w14:paraId="1ABE77CD">
            <w:pPr>
              <w:pStyle w:val="108"/>
              <w:spacing w:line="240" w:lineRule="auto"/>
              <w:jc w:val="center"/>
            </w:pPr>
            <w:r>
              <w:t>NO</w:t>
            </w:r>
            <w:r>
              <w:rPr>
                <w:rFonts w:hint="eastAsia"/>
                <w:vertAlign w:val="subscript"/>
              </w:rPr>
              <w:t>x</w:t>
            </w:r>
          </w:p>
        </w:tc>
        <w:tc>
          <w:tcPr>
            <w:tcW w:w="636" w:type="pct"/>
            <w:vMerge w:val="continue"/>
            <w:vAlign w:val="center"/>
          </w:tcPr>
          <w:p w14:paraId="5F01E15B">
            <w:pPr>
              <w:widowControl/>
              <w:jc w:val="center"/>
              <w:rPr>
                <w:szCs w:val="21"/>
              </w:rPr>
            </w:pPr>
          </w:p>
        </w:tc>
        <w:tc>
          <w:tcPr>
            <w:tcW w:w="792" w:type="pct"/>
            <w:vAlign w:val="center"/>
          </w:tcPr>
          <w:p w14:paraId="76462686">
            <w:pPr>
              <w:adjustRightInd w:val="0"/>
              <w:snapToGrid w:val="0"/>
              <w:jc w:val="center"/>
              <w:rPr>
                <w:szCs w:val="21"/>
              </w:rPr>
            </w:pPr>
            <w:r>
              <w:rPr>
                <w:rFonts w:hint="eastAsia"/>
                <w:szCs w:val="21"/>
              </w:rPr>
              <w:t>2</w:t>
            </w:r>
            <w:r>
              <w:rPr>
                <w:rFonts w:hint="eastAsia"/>
                <w:szCs w:val="21"/>
                <w:lang w:val="en-US" w:eastAsia="zh-CN"/>
              </w:rPr>
              <w:t>0</w:t>
            </w:r>
            <w:r>
              <w:rPr>
                <w:rFonts w:hint="eastAsia"/>
                <w:szCs w:val="21"/>
              </w:rPr>
              <w:t>0</w:t>
            </w:r>
            <w:r>
              <w:rPr>
                <w:bCs/>
                <w:szCs w:val="21"/>
              </w:rPr>
              <w:t>μm</w:t>
            </w:r>
            <w:r>
              <w:rPr>
                <w:bCs/>
                <w:snapToGrid w:val="0"/>
                <w:szCs w:val="21"/>
              </w:rPr>
              <w:t>/m</w:t>
            </w:r>
            <w:r>
              <w:rPr>
                <w:bCs/>
                <w:snapToGrid w:val="0"/>
                <w:szCs w:val="21"/>
                <w:vertAlign w:val="superscript"/>
              </w:rPr>
              <w:t>3</w:t>
            </w:r>
          </w:p>
        </w:tc>
        <w:tc>
          <w:tcPr>
            <w:tcW w:w="1349" w:type="pct"/>
            <w:vMerge w:val="continue"/>
            <w:vAlign w:val="center"/>
          </w:tcPr>
          <w:p w14:paraId="5817DE59">
            <w:pPr>
              <w:adjustRightInd w:val="0"/>
              <w:snapToGrid w:val="0"/>
              <w:jc w:val="center"/>
              <w:rPr>
                <w:szCs w:val="21"/>
              </w:rPr>
            </w:pPr>
          </w:p>
        </w:tc>
        <w:tc>
          <w:tcPr>
            <w:tcW w:w="1160" w:type="pct"/>
            <w:vAlign w:val="center"/>
          </w:tcPr>
          <w:p w14:paraId="68BA97E2">
            <w:pPr>
              <w:adjustRightInd w:val="0"/>
              <w:snapToGrid w:val="0"/>
              <w:jc w:val="center"/>
              <w:rPr>
                <w:szCs w:val="21"/>
              </w:rPr>
            </w:pPr>
            <w:r>
              <w:rPr>
                <w:rFonts w:hint="eastAsia"/>
                <w:szCs w:val="21"/>
              </w:rPr>
              <w:t>-</w:t>
            </w:r>
          </w:p>
        </w:tc>
      </w:tr>
      <w:tr w14:paraId="4561D0D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1061" w:type="pct"/>
            <w:vAlign w:val="center"/>
          </w:tcPr>
          <w:p w14:paraId="37FDBC69">
            <w:pPr>
              <w:widowControl/>
              <w:jc w:val="center"/>
              <w:rPr>
                <w:szCs w:val="21"/>
              </w:rPr>
            </w:pPr>
            <w:r>
              <w:rPr>
                <w:rFonts w:hint="eastAsia"/>
                <w:szCs w:val="21"/>
              </w:rPr>
              <w:t>B[a]P</w:t>
            </w:r>
          </w:p>
        </w:tc>
        <w:tc>
          <w:tcPr>
            <w:tcW w:w="636" w:type="pct"/>
            <w:vMerge w:val="continue"/>
            <w:vAlign w:val="center"/>
          </w:tcPr>
          <w:p w14:paraId="208E5728">
            <w:pPr>
              <w:widowControl/>
              <w:jc w:val="center"/>
              <w:rPr>
                <w:szCs w:val="21"/>
              </w:rPr>
            </w:pPr>
          </w:p>
        </w:tc>
        <w:tc>
          <w:tcPr>
            <w:tcW w:w="792" w:type="pct"/>
            <w:vAlign w:val="center"/>
          </w:tcPr>
          <w:p w14:paraId="1D2841C1">
            <w:pPr>
              <w:adjustRightInd w:val="0"/>
              <w:snapToGrid w:val="0"/>
              <w:jc w:val="center"/>
              <w:rPr>
                <w:szCs w:val="21"/>
              </w:rPr>
            </w:pPr>
            <w:r>
              <w:rPr>
                <w:rFonts w:hint="eastAsia"/>
                <w:szCs w:val="21"/>
              </w:rPr>
              <w:t>0.0075</w:t>
            </w:r>
            <w:r>
              <w:rPr>
                <w:bCs/>
                <w:szCs w:val="21"/>
              </w:rPr>
              <w:t>μm</w:t>
            </w:r>
            <w:r>
              <w:rPr>
                <w:bCs/>
                <w:snapToGrid w:val="0"/>
                <w:szCs w:val="21"/>
              </w:rPr>
              <w:t>/m</w:t>
            </w:r>
            <w:r>
              <w:rPr>
                <w:bCs/>
                <w:snapToGrid w:val="0"/>
                <w:szCs w:val="21"/>
                <w:vertAlign w:val="superscript"/>
              </w:rPr>
              <w:t>3</w:t>
            </w:r>
          </w:p>
        </w:tc>
        <w:tc>
          <w:tcPr>
            <w:tcW w:w="1349" w:type="pct"/>
            <w:vMerge w:val="continue"/>
            <w:vAlign w:val="center"/>
          </w:tcPr>
          <w:p w14:paraId="431FE2D5">
            <w:pPr>
              <w:adjustRightInd w:val="0"/>
              <w:snapToGrid w:val="0"/>
              <w:jc w:val="center"/>
              <w:rPr>
                <w:szCs w:val="21"/>
              </w:rPr>
            </w:pPr>
          </w:p>
        </w:tc>
        <w:tc>
          <w:tcPr>
            <w:tcW w:w="1160" w:type="pct"/>
            <w:vAlign w:val="center"/>
          </w:tcPr>
          <w:p w14:paraId="1752239E">
            <w:pPr>
              <w:adjustRightInd w:val="0"/>
              <w:snapToGrid w:val="0"/>
              <w:jc w:val="center"/>
              <w:rPr>
                <w:szCs w:val="21"/>
              </w:rPr>
            </w:pPr>
            <w:r>
              <w:rPr>
                <w:rFonts w:hint="eastAsia"/>
                <w:szCs w:val="21"/>
              </w:rPr>
              <w:t>日均值的3倍</w:t>
            </w:r>
          </w:p>
        </w:tc>
      </w:tr>
      <w:tr w14:paraId="5210ABE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1061" w:type="pct"/>
            <w:vAlign w:val="center"/>
          </w:tcPr>
          <w:p w14:paraId="7CD6AC75">
            <w:pPr>
              <w:widowControl/>
              <w:jc w:val="center"/>
              <w:rPr>
                <w:rFonts w:hint="default" w:eastAsia="宋体"/>
                <w:szCs w:val="21"/>
                <w:lang w:val="en-US" w:eastAsia="zh-CN"/>
              </w:rPr>
            </w:pPr>
            <w:r>
              <w:rPr>
                <w:rFonts w:hint="eastAsia"/>
                <w:szCs w:val="21"/>
                <w:lang w:val="en-US" w:eastAsia="zh-CN"/>
              </w:rPr>
              <w:t>NMHC</w:t>
            </w:r>
          </w:p>
        </w:tc>
        <w:tc>
          <w:tcPr>
            <w:tcW w:w="636" w:type="pct"/>
            <w:vMerge w:val="continue"/>
            <w:vAlign w:val="center"/>
          </w:tcPr>
          <w:p w14:paraId="0E2176A3">
            <w:pPr>
              <w:widowControl/>
              <w:jc w:val="center"/>
              <w:rPr>
                <w:szCs w:val="21"/>
              </w:rPr>
            </w:pPr>
          </w:p>
        </w:tc>
        <w:tc>
          <w:tcPr>
            <w:tcW w:w="792" w:type="pct"/>
            <w:vAlign w:val="center"/>
          </w:tcPr>
          <w:p w14:paraId="3B0529DC">
            <w:pPr>
              <w:adjustRightInd w:val="0"/>
              <w:snapToGrid w:val="0"/>
              <w:jc w:val="center"/>
              <w:rPr>
                <w:rFonts w:hint="eastAsia"/>
                <w:szCs w:val="21"/>
              </w:rPr>
            </w:pPr>
            <w:r>
              <w:rPr>
                <w:rFonts w:hint="eastAsia"/>
                <w:bCs/>
                <w:szCs w:val="21"/>
                <w:lang w:val="en-US" w:eastAsia="zh-CN"/>
              </w:rPr>
              <w:t>1200</w:t>
            </w:r>
            <w:r>
              <w:rPr>
                <w:bCs/>
                <w:szCs w:val="21"/>
              </w:rPr>
              <w:t>μm</w:t>
            </w:r>
            <w:r>
              <w:rPr>
                <w:bCs/>
                <w:snapToGrid w:val="0"/>
                <w:szCs w:val="21"/>
              </w:rPr>
              <w:t>/m</w:t>
            </w:r>
            <w:r>
              <w:rPr>
                <w:bCs/>
                <w:snapToGrid w:val="0"/>
                <w:szCs w:val="21"/>
                <w:vertAlign w:val="superscript"/>
              </w:rPr>
              <w:t>3</w:t>
            </w:r>
          </w:p>
        </w:tc>
        <w:tc>
          <w:tcPr>
            <w:tcW w:w="1349" w:type="pct"/>
            <w:vAlign w:val="center"/>
          </w:tcPr>
          <w:p w14:paraId="2531E1B6">
            <w:pPr>
              <w:adjustRightInd w:val="0"/>
              <w:snapToGrid w:val="0"/>
              <w:jc w:val="center"/>
              <w:rPr>
                <w:rFonts w:hint="default" w:eastAsia="宋体"/>
                <w:szCs w:val="21"/>
                <w:lang w:val="en-US" w:eastAsia="zh-CN"/>
              </w:rPr>
            </w:pPr>
            <w:r>
              <w:rPr>
                <w:rFonts w:hint="eastAsia"/>
                <w:szCs w:val="21"/>
                <w:lang w:eastAsia="zh-CN"/>
              </w:rPr>
              <w:t>《环境影响评价技术导则</w:t>
            </w:r>
            <w:r>
              <w:rPr>
                <w:rFonts w:hint="eastAsia"/>
                <w:szCs w:val="21"/>
                <w:lang w:val="en-US" w:eastAsia="zh-CN"/>
              </w:rPr>
              <w:t xml:space="preserve"> 大气环境</w:t>
            </w:r>
            <w:r>
              <w:rPr>
                <w:rFonts w:hint="eastAsia"/>
                <w:szCs w:val="21"/>
                <w:lang w:eastAsia="zh-CN"/>
              </w:rPr>
              <w:t>》（</w:t>
            </w:r>
            <w:r>
              <w:rPr>
                <w:rFonts w:hint="eastAsia"/>
                <w:szCs w:val="21"/>
                <w:lang w:val="en-US" w:eastAsia="zh-CN"/>
              </w:rPr>
              <w:t>HJ2.2-2018</w:t>
            </w:r>
            <w:r>
              <w:rPr>
                <w:rFonts w:hint="eastAsia"/>
                <w:szCs w:val="21"/>
                <w:lang w:eastAsia="zh-CN"/>
              </w:rPr>
              <w:t>）附录</w:t>
            </w:r>
            <w:r>
              <w:rPr>
                <w:rFonts w:hint="eastAsia"/>
                <w:szCs w:val="21"/>
                <w:lang w:val="en-US" w:eastAsia="zh-CN"/>
              </w:rPr>
              <w:t>D.1TVOC</w:t>
            </w:r>
          </w:p>
        </w:tc>
        <w:tc>
          <w:tcPr>
            <w:tcW w:w="1160" w:type="pct"/>
            <w:vAlign w:val="center"/>
          </w:tcPr>
          <w:p w14:paraId="5163A4A2">
            <w:pPr>
              <w:adjustRightInd w:val="0"/>
              <w:snapToGrid w:val="0"/>
              <w:jc w:val="center"/>
              <w:rPr>
                <w:rFonts w:hint="default" w:eastAsia="宋体"/>
                <w:szCs w:val="21"/>
                <w:lang w:val="en-US" w:eastAsia="zh-CN"/>
              </w:rPr>
            </w:pPr>
            <w:r>
              <w:rPr>
                <w:rFonts w:hint="eastAsia"/>
                <w:szCs w:val="21"/>
                <w:lang w:val="en-US" w:eastAsia="zh-CN"/>
              </w:rPr>
              <w:t>8h平均值的2倍</w:t>
            </w:r>
          </w:p>
        </w:tc>
      </w:tr>
      <w:tr w14:paraId="55FA8B8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1061" w:type="pct"/>
            <w:vAlign w:val="center"/>
          </w:tcPr>
          <w:p w14:paraId="5165ECF7">
            <w:pPr>
              <w:widowControl/>
              <w:jc w:val="center"/>
              <w:rPr>
                <w:szCs w:val="21"/>
              </w:rPr>
            </w:pPr>
            <w:r>
              <w:rPr>
                <w:rFonts w:hint="eastAsia"/>
                <w:szCs w:val="21"/>
              </w:rPr>
              <w:t>TSP</w:t>
            </w:r>
          </w:p>
        </w:tc>
        <w:tc>
          <w:tcPr>
            <w:tcW w:w="636" w:type="pct"/>
            <w:vAlign w:val="center"/>
          </w:tcPr>
          <w:p w14:paraId="673C5FD3">
            <w:pPr>
              <w:widowControl/>
              <w:jc w:val="center"/>
              <w:rPr>
                <w:szCs w:val="21"/>
              </w:rPr>
            </w:pPr>
            <w:r>
              <w:rPr>
                <w:rFonts w:hint="eastAsia"/>
                <w:szCs w:val="21"/>
              </w:rPr>
              <w:t>面源</w:t>
            </w:r>
          </w:p>
        </w:tc>
        <w:tc>
          <w:tcPr>
            <w:tcW w:w="792" w:type="pct"/>
            <w:vAlign w:val="center"/>
          </w:tcPr>
          <w:p w14:paraId="7913DF23">
            <w:pPr>
              <w:adjustRightInd w:val="0"/>
              <w:snapToGrid w:val="0"/>
              <w:jc w:val="center"/>
              <w:rPr>
                <w:szCs w:val="21"/>
              </w:rPr>
            </w:pPr>
            <w:r>
              <w:rPr>
                <w:rFonts w:hint="eastAsia"/>
                <w:szCs w:val="21"/>
              </w:rPr>
              <w:t>900</w:t>
            </w:r>
            <w:r>
              <w:rPr>
                <w:bCs/>
                <w:szCs w:val="21"/>
              </w:rPr>
              <w:t>μm</w:t>
            </w:r>
            <w:r>
              <w:rPr>
                <w:bCs/>
                <w:snapToGrid w:val="0"/>
                <w:szCs w:val="21"/>
              </w:rPr>
              <w:t>/m</w:t>
            </w:r>
            <w:r>
              <w:rPr>
                <w:bCs/>
                <w:snapToGrid w:val="0"/>
                <w:szCs w:val="21"/>
                <w:vertAlign w:val="superscript"/>
              </w:rPr>
              <w:t>3</w:t>
            </w:r>
          </w:p>
        </w:tc>
        <w:tc>
          <w:tcPr>
            <w:tcW w:w="1349" w:type="pct"/>
            <w:vAlign w:val="center"/>
          </w:tcPr>
          <w:p w14:paraId="1C9D318A">
            <w:pPr>
              <w:adjustRightInd w:val="0"/>
              <w:snapToGrid w:val="0"/>
              <w:jc w:val="center"/>
              <w:rPr>
                <w:szCs w:val="21"/>
              </w:rPr>
            </w:pPr>
            <w:r>
              <w:rPr>
                <w:rFonts w:hint="eastAsia"/>
                <w:szCs w:val="21"/>
                <w:lang w:eastAsia="zh-CN"/>
              </w:rPr>
              <w:t>《</w:t>
            </w:r>
            <w:r>
              <w:rPr>
                <w:rFonts w:hint="eastAsia"/>
                <w:szCs w:val="21"/>
              </w:rPr>
              <w:t>环境空气质量标准》（GB 3095-2012）中的二级标准</w:t>
            </w:r>
          </w:p>
        </w:tc>
        <w:tc>
          <w:tcPr>
            <w:tcW w:w="1160" w:type="pct"/>
            <w:vAlign w:val="center"/>
          </w:tcPr>
          <w:p w14:paraId="31A3A2C9">
            <w:pPr>
              <w:adjustRightInd w:val="0"/>
              <w:snapToGrid w:val="0"/>
              <w:jc w:val="center"/>
              <w:rPr>
                <w:szCs w:val="21"/>
              </w:rPr>
            </w:pPr>
            <w:r>
              <w:rPr>
                <w:rFonts w:hint="eastAsia"/>
                <w:szCs w:val="21"/>
              </w:rPr>
              <w:t>日均值的3倍</w:t>
            </w:r>
          </w:p>
        </w:tc>
      </w:tr>
    </w:tbl>
    <w:p w14:paraId="1B487EE8">
      <w:pPr>
        <w:spacing w:line="500" w:lineRule="exact"/>
        <w:ind w:firstLine="480" w:firstLineChars="200"/>
        <w:jc w:val="left"/>
        <w:rPr>
          <w:bCs/>
          <w:snapToGrid w:val="0"/>
          <w:sz w:val="24"/>
        </w:rPr>
      </w:pPr>
      <w:r>
        <w:rPr>
          <w:rFonts w:hint="eastAsia"/>
          <w:bCs/>
          <w:snapToGrid w:val="0"/>
          <w:sz w:val="24"/>
        </w:rPr>
        <w:t>根据《环境影响评价技术导则-大气环境》（HJ2.2-2018）推荐模式中估算模型 AERSCREEN进行计算，估算模型参数详见表3。</w:t>
      </w:r>
    </w:p>
    <w:p w14:paraId="74D72F11">
      <w:pPr>
        <w:spacing w:line="280" w:lineRule="exact"/>
        <w:ind w:firstLine="422"/>
        <w:jc w:val="center"/>
        <w:rPr>
          <w:b/>
          <w:bCs/>
          <w:szCs w:val="21"/>
        </w:rPr>
      </w:pPr>
      <w:r>
        <w:rPr>
          <w:b/>
          <w:bCs/>
          <w:szCs w:val="21"/>
        </w:rPr>
        <w:t>表</w:t>
      </w:r>
      <w:r>
        <w:rPr>
          <w:rFonts w:hint="eastAsia"/>
          <w:b/>
          <w:bCs/>
          <w:szCs w:val="21"/>
        </w:rPr>
        <w:t xml:space="preserve">3 </w:t>
      </w:r>
      <w:r>
        <w:rPr>
          <w:b/>
          <w:bCs/>
          <w:szCs w:val="21"/>
        </w:rPr>
        <w:t xml:space="preserve">  估算模型参数表</w:t>
      </w:r>
    </w:p>
    <w:tbl>
      <w:tblPr>
        <w:tblStyle w:val="47"/>
        <w:tblW w:w="4999"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904"/>
        <w:gridCol w:w="2907"/>
        <w:gridCol w:w="2907"/>
      </w:tblGrid>
      <w:tr w14:paraId="2390315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332" w:type="pct"/>
            <w:gridSpan w:val="2"/>
            <w:tcBorders>
              <w:top w:val="single" w:color="auto" w:sz="12" w:space="0"/>
              <w:left w:val="single" w:color="auto" w:sz="12" w:space="0"/>
              <w:bottom w:val="single" w:color="auto" w:sz="6" w:space="0"/>
              <w:right w:val="single" w:color="auto" w:sz="6" w:space="0"/>
            </w:tcBorders>
            <w:vAlign w:val="center"/>
          </w:tcPr>
          <w:p w14:paraId="6C867DFB">
            <w:pPr>
              <w:adjustRightInd w:val="0"/>
              <w:snapToGrid w:val="0"/>
              <w:spacing w:line="360" w:lineRule="exact"/>
              <w:ind w:firstLine="420"/>
              <w:jc w:val="center"/>
              <w:rPr>
                <w:szCs w:val="21"/>
              </w:rPr>
            </w:pPr>
            <w:r>
              <w:rPr>
                <w:szCs w:val="21"/>
              </w:rPr>
              <w:t>参数</w:t>
            </w:r>
          </w:p>
        </w:tc>
        <w:tc>
          <w:tcPr>
            <w:tcW w:w="1667" w:type="pct"/>
            <w:tcBorders>
              <w:top w:val="single" w:color="auto" w:sz="12" w:space="0"/>
              <w:left w:val="single" w:color="auto" w:sz="6" w:space="0"/>
              <w:bottom w:val="single" w:color="auto" w:sz="6" w:space="0"/>
              <w:right w:val="single" w:color="auto" w:sz="12" w:space="0"/>
            </w:tcBorders>
            <w:vAlign w:val="center"/>
          </w:tcPr>
          <w:p w14:paraId="2E62049E">
            <w:pPr>
              <w:adjustRightInd w:val="0"/>
              <w:snapToGrid w:val="0"/>
              <w:spacing w:line="360" w:lineRule="exact"/>
              <w:ind w:firstLine="420"/>
              <w:jc w:val="center"/>
              <w:rPr>
                <w:szCs w:val="21"/>
              </w:rPr>
            </w:pPr>
            <w:r>
              <w:rPr>
                <w:szCs w:val="21"/>
              </w:rPr>
              <w:t>取值</w:t>
            </w:r>
          </w:p>
        </w:tc>
      </w:tr>
      <w:tr w14:paraId="53D5011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665" w:type="pct"/>
            <w:vMerge w:val="restart"/>
            <w:tcBorders>
              <w:top w:val="single" w:color="auto" w:sz="6" w:space="0"/>
              <w:left w:val="single" w:color="auto" w:sz="12" w:space="0"/>
              <w:bottom w:val="single" w:color="auto" w:sz="6" w:space="0"/>
              <w:right w:val="single" w:color="auto" w:sz="6" w:space="0"/>
            </w:tcBorders>
            <w:vAlign w:val="center"/>
          </w:tcPr>
          <w:p w14:paraId="26F20B61">
            <w:pPr>
              <w:adjustRightInd w:val="0"/>
              <w:snapToGrid w:val="0"/>
              <w:spacing w:line="360" w:lineRule="exact"/>
              <w:ind w:firstLine="420"/>
              <w:jc w:val="center"/>
              <w:rPr>
                <w:szCs w:val="21"/>
              </w:rPr>
            </w:pPr>
            <w:r>
              <w:rPr>
                <w:szCs w:val="21"/>
              </w:rPr>
              <w:t>城市/农村选项</w:t>
            </w:r>
          </w:p>
        </w:tc>
        <w:tc>
          <w:tcPr>
            <w:tcW w:w="1667" w:type="pct"/>
            <w:tcBorders>
              <w:top w:val="single" w:color="auto" w:sz="6" w:space="0"/>
              <w:left w:val="single" w:color="auto" w:sz="6" w:space="0"/>
              <w:bottom w:val="single" w:color="auto" w:sz="6" w:space="0"/>
              <w:right w:val="single" w:color="auto" w:sz="6" w:space="0"/>
            </w:tcBorders>
            <w:vAlign w:val="center"/>
          </w:tcPr>
          <w:p w14:paraId="08A7AE54">
            <w:pPr>
              <w:adjustRightInd w:val="0"/>
              <w:snapToGrid w:val="0"/>
              <w:spacing w:line="360" w:lineRule="exact"/>
              <w:ind w:firstLine="420"/>
              <w:jc w:val="center"/>
              <w:rPr>
                <w:szCs w:val="21"/>
              </w:rPr>
            </w:pPr>
            <w:r>
              <w:rPr>
                <w:szCs w:val="21"/>
              </w:rPr>
              <w:t>城市/农村</w:t>
            </w:r>
          </w:p>
        </w:tc>
        <w:tc>
          <w:tcPr>
            <w:tcW w:w="1667" w:type="pct"/>
            <w:tcBorders>
              <w:top w:val="single" w:color="auto" w:sz="6" w:space="0"/>
              <w:left w:val="single" w:color="auto" w:sz="6" w:space="0"/>
              <w:bottom w:val="single" w:color="auto" w:sz="6" w:space="0"/>
              <w:right w:val="single" w:color="auto" w:sz="12" w:space="0"/>
            </w:tcBorders>
            <w:vAlign w:val="center"/>
          </w:tcPr>
          <w:p w14:paraId="33E9A697">
            <w:pPr>
              <w:adjustRightInd w:val="0"/>
              <w:snapToGrid w:val="0"/>
              <w:spacing w:line="360" w:lineRule="exact"/>
              <w:ind w:firstLine="420"/>
              <w:jc w:val="center"/>
              <w:rPr>
                <w:szCs w:val="21"/>
              </w:rPr>
            </w:pPr>
            <w:r>
              <w:rPr>
                <w:szCs w:val="21"/>
              </w:rPr>
              <w:t>城市</w:t>
            </w:r>
          </w:p>
        </w:tc>
      </w:tr>
      <w:tr w14:paraId="7D915BC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665" w:type="pct"/>
            <w:vMerge w:val="continue"/>
            <w:tcBorders>
              <w:top w:val="single" w:color="auto" w:sz="6" w:space="0"/>
              <w:left w:val="single" w:color="auto" w:sz="12" w:space="0"/>
              <w:bottom w:val="single" w:color="auto" w:sz="6" w:space="0"/>
              <w:right w:val="single" w:color="auto" w:sz="6" w:space="0"/>
            </w:tcBorders>
            <w:vAlign w:val="center"/>
          </w:tcPr>
          <w:p w14:paraId="32DBC2A0">
            <w:pPr>
              <w:widowControl/>
              <w:ind w:firstLine="420"/>
              <w:jc w:val="left"/>
              <w:rPr>
                <w:szCs w:val="21"/>
              </w:rPr>
            </w:pPr>
          </w:p>
        </w:tc>
        <w:tc>
          <w:tcPr>
            <w:tcW w:w="1667" w:type="pct"/>
            <w:tcBorders>
              <w:top w:val="single" w:color="auto" w:sz="6" w:space="0"/>
              <w:left w:val="single" w:color="auto" w:sz="6" w:space="0"/>
              <w:bottom w:val="single" w:color="auto" w:sz="6" w:space="0"/>
              <w:right w:val="single" w:color="auto" w:sz="6" w:space="0"/>
            </w:tcBorders>
            <w:vAlign w:val="center"/>
          </w:tcPr>
          <w:p w14:paraId="4D8431DE">
            <w:pPr>
              <w:adjustRightInd w:val="0"/>
              <w:snapToGrid w:val="0"/>
              <w:spacing w:line="360" w:lineRule="exact"/>
              <w:ind w:firstLine="420"/>
              <w:jc w:val="center"/>
              <w:rPr>
                <w:szCs w:val="21"/>
              </w:rPr>
            </w:pPr>
            <w:r>
              <w:rPr>
                <w:szCs w:val="21"/>
              </w:rPr>
              <w:t>人口数（城市选项时）</w:t>
            </w:r>
          </w:p>
        </w:tc>
        <w:tc>
          <w:tcPr>
            <w:tcW w:w="1667" w:type="pct"/>
            <w:tcBorders>
              <w:top w:val="single" w:color="auto" w:sz="6" w:space="0"/>
              <w:left w:val="single" w:color="auto" w:sz="6" w:space="0"/>
              <w:bottom w:val="single" w:color="auto" w:sz="6" w:space="0"/>
              <w:right w:val="single" w:color="auto" w:sz="12" w:space="0"/>
            </w:tcBorders>
            <w:vAlign w:val="center"/>
          </w:tcPr>
          <w:p w14:paraId="5120BD77">
            <w:pPr>
              <w:adjustRightInd w:val="0"/>
              <w:snapToGrid w:val="0"/>
              <w:spacing w:line="360" w:lineRule="exact"/>
              <w:ind w:firstLine="420"/>
              <w:jc w:val="center"/>
              <w:rPr>
                <w:szCs w:val="21"/>
              </w:rPr>
            </w:pPr>
            <w:r>
              <w:rPr>
                <w:szCs w:val="21"/>
              </w:rPr>
              <w:t>-</w:t>
            </w:r>
          </w:p>
        </w:tc>
      </w:tr>
      <w:tr w14:paraId="6EF89CA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332" w:type="pct"/>
            <w:gridSpan w:val="2"/>
            <w:tcBorders>
              <w:top w:val="single" w:color="auto" w:sz="6" w:space="0"/>
              <w:left w:val="single" w:color="auto" w:sz="12" w:space="0"/>
              <w:bottom w:val="single" w:color="auto" w:sz="6" w:space="0"/>
              <w:right w:val="single" w:color="auto" w:sz="6" w:space="0"/>
            </w:tcBorders>
            <w:vAlign w:val="center"/>
          </w:tcPr>
          <w:p w14:paraId="62561DA1">
            <w:pPr>
              <w:adjustRightInd w:val="0"/>
              <w:snapToGrid w:val="0"/>
              <w:spacing w:line="360" w:lineRule="exact"/>
              <w:ind w:firstLine="420"/>
              <w:jc w:val="center"/>
              <w:rPr>
                <w:szCs w:val="21"/>
              </w:rPr>
            </w:pPr>
            <w:r>
              <w:rPr>
                <w:szCs w:val="21"/>
              </w:rPr>
              <w:t>最高环境温度/</w:t>
            </w:r>
            <w:r>
              <w:rPr>
                <w:rFonts w:hint="eastAsia" w:ascii="宋体" w:hAnsi="宋体" w:cs="宋体"/>
                <w:szCs w:val="21"/>
              </w:rPr>
              <w:t>℃</w:t>
            </w:r>
          </w:p>
        </w:tc>
        <w:tc>
          <w:tcPr>
            <w:tcW w:w="1667" w:type="pct"/>
            <w:tcBorders>
              <w:top w:val="single" w:color="auto" w:sz="6" w:space="0"/>
              <w:left w:val="single" w:color="auto" w:sz="6" w:space="0"/>
              <w:bottom w:val="single" w:color="auto" w:sz="6" w:space="0"/>
              <w:right w:val="single" w:color="auto" w:sz="12" w:space="0"/>
            </w:tcBorders>
            <w:vAlign w:val="center"/>
          </w:tcPr>
          <w:p w14:paraId="7D074DE3">
            <w:pPr>
              <w:adjustRightInd w:val="0"/>
              <w:snapToGrid w:val="0"/>
              <w:spacing w:line="360" w:lineRule="exact"/>
              <w:ind w:firstLine="420"/>
              <w:jc w:val="center"/>
              <w:rPr>
                <w:rFonts w:hint="default" w:eastAsia="宋体"/>
                <w:szCs w:val="21"/>
                <w:lang w:val="en-US" w:eastAsia="zh-CN"/>
              </w:rPr>
            </w:pPr>
            <w:r>
              <w:rPr>
                <w:rFonts w:hint="eastAsia"/>
                <w:szCs w:val="21"/>
                <w:lang w:val="en-US" w:eastAsia="zh-CN"/>
              </w:rPr>
              <w:t>38.6</w:t>
            </w:r>
          </w:p>
        </w:tc>
      </w:tr>
      <w:tr w14:paraId="6359D65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332" w:type="pct"/>
            <w:gridSpan w:val="2"/>
            <w:tcBorders>
              <w:top w:val="single" w:color="auto" w:sz="6" w:space="0"/>
              <w:left w:val="single" w:color="auto" w:sz="12" w:space="0"/>
              <w:bottom w:val="single" w:color="auto" w:sz="6" w:space="0"/>
              <w:right w:val="single" w:color="auto" w:sz="6" w:space="0"/>
            </w:tcBorders>
            <w:vAlign w:val="center"/>
          </w:tcPr>
          <w:p w14:paraId="66A65FFB">
            <w:pPr>
              <w:adjustRightInd w:val="0"/>
              <w:snapToGrid w:val="0"/>
              <w:spacing w:line="360" w:lineRule="exact"/>
              <w:ind w:firstLine="420"/>
              <w:jc w:val="center"/>
              <w:rPr>
                <w:szCs w:val="21"/>
              </w:rPr>
            </w:pPr>
            <w:r>
              <w:rPr>
                <w:szCs w:val="21"/>
              </w:rPr>
              <w:t>最低环境温度/</w:t>
            </w:r>
            <w:r>
              <w:rPr>
                <w:rFonts w:hint="eastAsia" w:ascii="宋体" w:hAnsi="宋体" w:cs="宋体"/>
                <w:szCs w:val="21"/>
              </w:rPr>
              <w:t>℃</w:t>
            </w:r>
          </w:p>
        </w:tc>
        <w:tc>
          <w:tcPr>
            <w:tcW w:w="1667" w:type="pct"/>
            <w:tcBorders>
              <w:top w:val="single" w:color="auto" w:sz="6" w:space="0"/>
              <w:left w:val="single" w:color="auto" w:sz="6" w:space="0"/>
              <w:bottom w:val="single" w:color="auto" w:sz="6" w:space="0"/>
              <w:right w:val="single" w:color="auto" w:sz="12" w:space="0"/>
            </w:tcBorders>
            <w:vAlign w:val="center"/>
          </w:tcPr>
          <w:p w14:paraId="26B61992">
            <w:pPr>
              <w:adjustRightInd w:val="0"/>
              <w:snapToGrid w:val="0"/>
              <w:spacing w:line="360" w:lineRule="exact"/>
              <w:ind w:firstLine="420"/>
              <w:jc w:val="center"/>
              <w:rPr>
                <w:rFonts w:hint="default" w:eastAsia="宋体"/>
                <w:szCs w:val="21"/>
                <w:lang w:val="en-US" w:eastAsia="zh-CN"/>
              </w:rPr>
            </w:pPr>
            <w:r>
              <w:rPr>
                <w:szCs w:val="21"/>
              </w:rPr>
              <w:t>-</w:t>
            </w:r>
            <w:r>
              <w:rPr>
                <w:rFonts w:hint="eastAsia"/>
                <w:szCs w:val="21"/>
                <w:lang w:val="en-US" w:eastAsia="zh-CN"/>
              </w:rPr>
              <w:t>37.4</w:t>
            </w:r>
          </w:p>
        </w:tc>
      </w:tr>
      <w:tr w14:paraId="7CB5F0E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332" w:type="pct"/>
            <w:gridSpan w:val="2"/>
            <w:tcBorders>
              <w:top w:val="single" w:color="auto" w:sz="6" w:space="0"/>
              <w:left w:val="single" w:color="auto" w:sz="12" w:space="0"/>
              <w:bottom w:val="single" w:color="auto" w:sz="6" w:space="0"/>
              <w:right w:val="single" w:color="auto" w:sz="6" w:space="0"/>
            </w:tcBorders>
            <w:vAlign w:val="center"/>
          </w:tcPr>
          <w:p w14:paraId="2A1C53F1">
            <w:pPr>
              <w:adjustRightInd w:val="0"/>
              <w:snapToGrid w:val="0"/>
              <w:spacing w:line="360" w:lineRule="exact"/>
              <w:ind w:firstLine="420"/>
              <w:jc w:val="center"/>
              <w:rPr>
                <w:szCs w:val="21"/>
              </w:rPr>
            </w:pPr>
            <w:r>
              <w:rPr>
                <w:szCs w:val="21"/>
              </w:rPr>
              <w:t>土地利用类型</w:t>
            </w:r>
          </w:p>
        </w:tc>
        <w:tc>
          <w:tcPr>
            <w:tcW w:w="1667" w:type="pct"/>
            <w:tcBorders>
              <w:top w:val="single" w:color="auto" w:sz="6" w:space="0"/>
              <w:left w:val="single" w:color="auto" w:sz="6" w:space="0"/>
              <w:bottom w:val="single" w:color="auto" w:sz="6" w:space="0"/>
              <w:right w:val="single" w:color="auto" w:sz="12" w:space="0"/>
            </w:tcBorders>
            <w:vAlign w:val="center"/>
          </w:tcPr>
          <w:p w14:paraId="0C7C9C38">
            <w:pPr>
              <w:adjustRightInd w:val="0"/>
              <w:snapToGrid w:val="0"/>
              <w:spacing w:line="360" w:lineRule="exact"/>
              <w:ind w:firstLine="420"/>
              <w:jc w:val="center"/>
              <w:rPr>
                <w:szCs w:val="21"/>
              </w:rPr>
            </w:pPr>
            <w:r>
              <w:rPr>
                <w:szCs w:val="21"/>
              </w:rPr>
              <w:t>城市</w:t>
            </w:r>
          </w:p>
        </w:tc>
      </w:tr>
      <w:tr w14:paraId="558CACF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332" w:type="pct"/>
            <w:gridSpan w:val="2"/>
            <w:tcBorders>
              <w:top w:val="single" w:color="auto" w:sz="6" w:space="0"/>
              <w:left w:val="single" w:color="auto" w:sz="12" w:space="0"/>
              <w:bottom w:val="single" w:color="auto" w:sz="6" w:space="0"/>
              <w:right w:val="single" w:color="auto" w:sz="6" w:space="0"/>
            </w:tcBorders>
            <w:vAlign w:val="center"/>
          </w:tcPr>
          <w:p w14:paraId="135AFD6B">
            <w:pPr>
              <w:adjustRightInd w:val="0"/>
              <w:snapToGrid w:val="0"/>
              <w:spacing w:line="360" w:lineRule="exact"/>
              <w:ind w:firstLine="420"/>
              <w:jc w:val="center"/>
              <w:rPr>
                <w:szCs w:val="21"/>
              </w:rPr>
            </w:pPr>
            <w:r>
              <w:rPr>
                <w:szCs w:val="21"/>
              </w:rPr>
              <w:t>区域湿度条件</w:t>
            </w:r>
          </w:p>
        </w:tc>
        <w:tc>
          <w:tcPr>
            <w:tcW w:w="1667" w:type="pct"/>
            <w:tcBorders>
              <w:top w:val="single" w:color="auto" w:sz="6" w:space="0"/>
              <w:left w:val="single" w:color="auto" w:sz="6" w:space="0"/>
              <w:bottom w:val="single" w:color="auto" w:sz="6" w:space="0"/>
              <w:right w:val="single" w:color="auto" w:sz="12" w:space="0"/>
            </w:tcBorders>
            <w:vAlign w:val="center"/>
          </w:tcPr>
          <w:p w14:paraId="75C9CA47">
            <w:pPr>
              <w:adjustRightInd w:val="0"/>
              <w:snapToGrid w:val="0"/>
              <w:spacing w:line="360" w:lineRule="exact"/>
              <w:ind w:firstLine="420"/>
              <w:jc w:val="center"/>
              <w:rPr>
                <w:szCs w:val="21"/>
              </w:rPr>
            </w:pPr>
            <w:r>
              <w:rPr>
                <w:szCs w:val="21"/>
              </w:rPr>
              <w:t>平均</w:t>
            </w:r>
          </w:p>
        </w:tc>
      </w:tr>
      <w:tr w14:paraId="28FC360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665" w:type="pct"/>
            <w:vMerge w:val="restart"/>
            <w:tcBorders>
              <w:top w:val="single" w:color="auto" w:sz="6" w:space="0"/>
              <w:left w:val="single" w:color="auto" w:sz="12" w:space="0"/>
              <w:bottom w:val="single" w:color="auto" w:sz="6" w:space="0"/>
              <w:right w:val="single" w:color="auto" w:sz="6" w:space="0"/>
            </w:tcBorders>
            <w:vAlign w:val="center"/>
          </w:tcPr>
          <w:p w14:paraId="7D6CD9B8">
            <w:pPr>
              <w:adjustRightInd w:val="0"/>
              <w:snapToGrid w:val="0"/>
              <w:spacing w:line="360" w:lineRule="exact"/>
              <w:ind w:firstLine="420"/>
              <w:jc w:val="center"/>
              <w:rPr>
                <w:szCs w:val="21"/>
              </w:rPr>
            </w:pPr>
            <w:r>
              <w:rPr>
                <w:szCs w:val="21"/>
              </w:rPr>
              <w:t>是否考虑地形</w:t>
            </w:r>
          </w:p>
        </w:tc>
        <w:tc>
          <w:tcPr>
            <w:tcW w:w="1667" w:type="pct"/>
            <w:tcBorders>
              <w:top w:val="single" w:color="auto" w:sz="6" w:space="0"/>
              <w:left w:val="single" w:color="auto" w:sz="6" w:space="0"/>
              <w:bottom w:val="single" w:color="auto" w:sz="6" w:space="0"/>
              <w:right w:val="single" w:color="auto" w:sz="6" w:space="0"/>
            </w:tcBorders>
            <w:vAlign w:val="center"/>
          </w:tcPr>
          <w:p w14:paraId="6F8A32B2">
            <w:pPr>
              <w:adjustRightInd w:val="0"/>
              <w:snapToGrid w:val="0"/>
              <w:spacing w:line="360" w:lineRule="exact"/>
              <w:ind w:firstLine="420"/>
              <w:jc w:val="center"/>
              <w:rPr>
                <w:szCs w:val="21"/>
              </w:rPr>
            </w:pPr>
            <w:r>
              <w:rPr>
                <w:szCs w:val="21"/>
              </w:rPr>
              <w:t>考虑地形</w:t>
            </w:r>
          </w:p>
        </w:tc>
        <w:tc>
          <w:tcPr>
            <w:tcW w:w="1667" w:type="pct"/>
            <w:tcBorders>
              <w:top w:val="single" w:color="auto" w:sz="6" w:space="0"/>
              <w:left w:val="single" w:color="auto" w:sz="6" w:space="0"/>
              <w:bottom w:val="single" w:color="auto" w:sz="6" w:space="0"/>
              <w:right w:val="single" w:color="auto" w:sz="12" w:space="0"/>
            </w:tcBorders>
            <w:vAlign w:val="center"/>
          </w:tcPr>
          <w:p w14:paraId="338E670C">
            <w:pPr>
              <w:adjustRightInd w:val="0"/>
              <w:snapToGrid w:val="0"/>
              <w:spacing w:line="360" w:lineRule="exact"/>
              <w:ind w:firstLine="420"/>
              <w:jc w:val="center"/>
              <w:rPr>
                <w:szCs w:val="21"/>
              </w:rPr>
            </w:pPr>
            <w:r>
              <w:rPr>
                <w:kern w:val="0"/>
                <w:szCs w:val="21"/>
              </w:rPr>
              <w:t>□</w:t>
            </w:r>
            <w:r>
              <w:rPr>
                <w:szCs w:val="21"/>
              </w:rPr>
              <w:t xml:space="preserve">是   </w:t>
            </w:r>
            <w:r>
              <w:rPr>
                <w:kern w:val="0"/>
                <w:szCs w:val="21"/>
              </w:rPr>
              <w:t>√否</w:t>
            </w:r>
          </w:p>
        </w:tc>
      </w:tr>
      <w:tr w14:paraId="7FA741D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665" w:type="pct"/>
            <w:vMerge w:val="continue"/>
            <w:tcBorders>
              <w:top w:val="single" w:color="auto" w:sz="6" w:space="0"/>
              <w:left w:val="single" w:color="auto" w:sz="12" w:space="0"/>
              <w:bottom w:val="single" w:color="auto" w:sz="6" w:space="0"/>
              <w:right w:val="single" w:color="auto" w:sz="6" w:space="0"/>
            </w:tcBorders>
            <w:vAlign w:val="center"/>
          </w:tcPr>
          <w:p w14:paraId="28245227">
            <w:pPr>
              <w:widowControl/>
              <w:ind w:firstLine="420"/>
              <w:jc w:val="left"/>
              <w:rPr>
                <w:szCs w:val="21"/>
              </w:rPr>
            </w:pPr>
          </w:p>
        </w:tc>
        <w:tc>
          <w:tcPr>
            <w:tcW w:w="1667" w:type="pct"/>
            <w:tcBorders>
              <w:top w:val="single" w:color="auto" w:sz="6" w:space="0"/>
              <w:left w:val="single" w:color="auto" w:sz="6" w:space="0"/>
              <w:bottom w:val="single" w:color="auto" w:sz="6" w:space="0"/>
              <w:right w:val="single" w:color="auto" w:sz="6" w:space="0"/>
            </w:tcBorders>
            <w:vAlign w:val="center"/>
          </w:tcPr>
          <w:p w14:paraId="11DBBB13">
            <w:pPr>
              <w:adjustRightInd w:val="0"/>
              <w:snapToGrid w:val="0"/>
              <w:spacing w:line="360" w:lineRule="exact"/>
              <w:ind w:firstLine="420"/>
              <w:jc w:val="center"/>
              <w:rPr>
                <w:szCs w:val="21"/>
              </w:rPr>
            </w:pPr>
            <w:r>
              <w:rPr>
                <w:szCs w:val="21"/>
              </w:rPr>
              <w:t>地形数据分辨率/m</w:t>
            </w:r>
          </w:p>
        </w:tc>
        <w:tc>
          <w:tcPr>
            <w:tcW w:w="1667" w:type="pct"/>
            <w:tcBorders>
              <w:top w:val="single" w:color="auto" w:sz="6" w:space="0"/>
              <w:left w:val="single" w:color="auto" w:sz="6" w:space="0"/>
              <w:bottom w:val="single" w:color="auto" w:sz="6" w:space="0"/>
              <w:right w:val="single" w:color="auto" w:sz="12" w:space="0"/>
            </w:tcBorders>
            <w:vAlign w:val="center"/>
          </w:tcPr>
          <w:p w14:paraId="280253B4">
            <w:pPr>
              <w:adjustRightInd w:val="0"/>
              <w:snapToGrid w:val="0"/>
              <w:spacing w:line="360" w:lineRule="exact"/>
              <w:ind w:firstLine="420"/>
              <w:jc w:val="center"/>
              <w:rPr>
                <w:szCs w:val="21"/>
              </w:rPr>
            </w:pPr>
            <w:r>
              <w:rPr>
                <w:rFonts w:hint="eastAsia"/>
                <w:szCs w:val="21"/>
              </w:rPr>
              <w:t>-</w:t>
            </w:r>
          </w:p>
        </w:tc>
      </w:tr>
      <w:tr w14:paraId="1833386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665" w:type="pct"/>
            <w:vMerge w:val="restart"/>
            <w:tcBorders>
              <w:top w:val="single" w:color="auto" w:sz="6" w:space="0"/>
              <w:left w:val="single" w:color="auto" w:sz="12" w:space="0"/>
              <w:bottom w:val="single" w:color="auto" w:sz="12" w:space="0"/>
              <w:right w:val="single" w:color="auto" w:sz="6" w:space="0"/>
            </w:tcBorders>
            <w:vAlign w:val="center"/>
          </w:tcPr>
          <w:p w14:paraId="2ACEBE2C">
            <w:pPr>
              <w:adjustRightInd w:val="0"/>
              <w:snapToGrid w:val="0"/>
              <w:spacing w:line="360" w:lineRule="exact"/>
              <w:ind w:firstLine="420"/>
              <w:jc w:val="center"/>
              <w:rPr>
                <w:szCs w:val="21"/>
              </w:rPr>
            </w:pPr>
            <w:r>
              <w:rPr>
                <w:szCs w:val="21"/>
              </w:rPr>
              <w:t>是否考虑岸线熏烟</w:t>
            </w:r>
          </w:p>
        </w:tc>
        <w:tc>
          <w:tcPr>
            <w:tcW w:w="1667" w:type="pct"/>
            <w:tcBorders>
              <w:top w:val="single" w:color="auto" w:sz="6" w:space="0"/>
              <w:left w:val="single" w:color="auto" w:sz="6" w:space="0"/>
              <w:bottom w:val="single" w:color="auto" w:sz="6" w:space="0"/>
              <w:right w:val="single" w:color="auto" w:sz="6" w:space="0"/>
            </w:tcBorders>
            <w:vAlign w:val="center"/>
          </w:tcPr>
          <w:p w14:paraId="03C1425B">
            <w:pPr>
              <w:adjustRightInd w:val="0"/>
              <w:snapToGrid w:val="0"/>
              <w:spacing w:line="360" w:lineRule="exact"/>
              <w:ind w:firstLine="420"/>
              <w:jc w:val="center"/>
              <w:rPr>
                <w:szCs w:val="21"/>
              </w:rPr>
            </w:pPr>
            <w:r>
              <w:rPr>
                <w:szCs w:val="21"/>
              </w:rPr>
              <w:t>考虑岸线熏烟</w:t>
            </w:r>
          </w:p>
        </w:tc>
        <w:tc>
          <w:tcPr>
            <w:tcW w:w="1667" w:type="pct"/>
            <w:tcBorders>
              <w:top w:val="single" w:color="auto" w:sz="6" w:space="0"/>
              <w:left w:val="single" w:color="auto" w:sz="6" w:space="0"/>
              <w:bottom w:val="single" w:color="auto" w:sz="6" w:space="0"/>
              <w:right w:val="single" w:color="auto" w:sz="12" w:space="0"/>
            </w:tcBorders>
            <w:vAlign w:val="center"/>
          </w:tcPr>
          <w:p w14:paraId="0E1E439D">
            <w:pPr>
              <w:adjustRightInd w:val="0"/>
              <w:snapToGrid w:val="0"/>
              <w:spacing w:line="360" w:lineRule="exact"/>
              <w:ind w:firstLine="420"/>
              <w:jc w:val="center"/>
              <w:rPr>
                <w:szCs w:val="21"/>
              </w:rPr>
            </w:pPr>
            <w:r>
              <w:rPr>
                <w:kern w:val="0"/>
                <w:szCs w:val="21"/>
              </w:rPr>
              <w:t>□</w:t>
            </w:r>
            <w:r>
              <w:rPr>
                <w:szCs w:val="21"/>
              </w:rPr>
              <w:t xml:space="preserve">是   </w:t>
            </w:r>
            <w:r>
              <w:rPr>
                <w:kern w:val="0"/>
                <w:szCs w:val="21"/>
              </w:rPr>
              <w:t>√否</w:t>
            </w:r>
          </w:p>
        </w:tc>
      </w:tr>
      <w:tr w14:paraId="2495479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665" w:type="pct"/>
            <w:vMerge w:val="continue"/>
            <w:tcBorders>
              <w:top w:val="single" w:color="auto" w:sz="6" w:space="0"/>
              <w:left w:val="single" w:color="auto" w:sz="12" w:space="0"/>
              <w:bottom w:val="single" w:color="auto" w:sz="12" w:space="0"/>
              <w:right w:val="single" w:color="auto" w:sz="6" w:space="0"/>
            </w:tcBorders>
            <w:vAlign w:val="center"/>
          </w:tcPr>
          <w:p w14:paraId="65D86EC5">
            <w:pPr>
              <w:widowControl/>
              <w:ind w:firstLine="420"/>
              <w:jc w:val="left"/>
              <w:rPr>
                <w:szCs w:val="21"/>
              </w:rPr>
            </w:pPr>
          </w:p>
        </w:tc>
        <w:tc>
          <w:tcPr>
            <w:tcW w:w="1667" w:type="pct"/>
            <w:tcBorders>
              <w:top w:val="single" w:color="auto" w:sz="6" w:space="0"/>
              <w:left w:val="single" w:color="auto" w:sz="6" w:space="0"/>
              <w:bottom w:val="single" w:color="auto" w:sz="6" w:space="0"/>
              <w:right w:val="single" w:color="auto" w:sz="6" w:space="0"/>
            </w:tcBorders>
            <w:vAlign w:val="center"/>
          </w:tcPr>
          <w:p w14:paraId="0FEA75DD">
            <w:pPr>
              <w:adjustRightInd w:val="0"/>
              <w:snapToGrid w:val="0"/>
              <w:spacing w:line="360" w:lineRule="exact"/>
              <w:ind w:firstLine="420"/>
              <w:jc w:val="center"/>
              <w:rPr>
                <w:szCs w:val="21"/>
              </w:rPr>
            </w:pPr>
            <w:r>
              <w:rPr>
                <w:szCs w:val="21"/>
              </w:rPr>
              <w:t>岸线距离/km</w:t>
            </w:r>
          </w:p>
        </w:tc>
        <w:tc>
          <w:tcPr>
            <w:tcW w:w="1667" w:type="pct"/>
            <w:tcBorders>
              <w:top w:val="single" w:color="auto" w:sz="6" w:space="0"/>
              <w:left w:val="single" w:color="auto" w:sz="6" w:space="0"/>
              <w:bottom w:val="single" w:color="auto" w:sz="6" w:space="0"/>
              <w:right w:val="single" w:color="auto" w:sz="12" w:space="0"/>
            </w:tcBorders>
            <w:vAlign w:val="center"/>
          </w:tcPr>
          <w:p w14:paraId="021B6241">
            <w:pPr>
              <w:adjustRightInd w:val="0"/>
              <w:snapToGrid w:val="0"/>
              <w:spacing w:line="360" w:lineRule="exact"/>
              <w:ind w:firstLine="420"/>
              <w:jc w:val="center"/>
              <w:rPr>
                <w:szCs w:val="21"/>
              </w:rPr>
            </w:pPr>
            <w:r>
              <w:rPr>
                <w:szCs w:val="21"/>
              </w:rPr>
              <w:t>-</w:t>
            </w:r>
          </w:p>
        </w:tc>
      </w:tr>
      <w:tr w14:paraId="0B08108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665" w:type="pct"/>
            <w:vMerge w:val="continue"/>
            <w:tcBorders>
              <w:top w:val="single" w:color="auto" w:sz="6" w:space="0"/>
              <w:left w:val="single" w:color="auto" w:sz="12" w:space="0"/>
              <w:bottom w:val="single" w:color="auto" w:sz="12" w:space="0"/>
              <w:right w:val="single" w:color="auto" w:sz="6" w:space="0"/>
            </w:tcBorders>
            <w:vAlign w:val="center"/>
          </w:tcPr>
          <w:p w14:paraId="74496C03">
            <w:pPr>
              <w:widowControl/>
              <w:ind w:firstLine="420"/>
              <w:jc w:val="left"/>
              <w:rPr>
                <w:szCs w:val="21"/>
              </w:rPr>
            </w:pPr>
          </w:p>
        </w:tc>
        <w:tc>
          <w:tcPr>
            <w:tcW w:w="1667" w:type="pct"/>
            <w:tcBorders>
              <w:top w:val="single" w:color="auto" w:sz="6" w:space="0"/>
              <w:left w:val="single" w:color="auto" w:sz="6" w:space="0"/>
              <w:bottom w:val="single" w:color="auto" w:sz="12" w:space="0"/>
              <w:right w:val="single" w:color="auto" w:sz="6" w:space="0"/>
            </w:tcBorders>
            <w:vAlign w:val="center"/>
          </w:tcPr>
          <w:p w14:paraId="7F870DD2">
            <w:pPr>
              <w:adjustRightInd w:val="0"/>
              <w:snapToGrid w:val="0"/>
              <w:spacing w:line="360" w:lineRule="exact"/>
              <w:ind w:firstLine="420"/>
              <w:jc w:val="center"/>
              <w:rPr>
                <w:szCs w:val="21"/>
              </w:rPr>
            </w:pPr>
            <w:r>
              <w:rPr>
                <w:szCs w:val="21"/>
              </w:rPr>
              <w:t>岸线方向/°</w:t>
            </w:r>
          </w:p>
        </w:tc>
        <w:tc>
          <w:tcPr>
            <w:tcW w:w="1667" w:type="pct"/>
            <w:tcBorders>
              <w:top w:val="single" w:color="auto" w:sz="6" w:space="0"/>
              <w:left w:val="single" w:color="auto" w:sz="6" w:space="0"/>
              <w:bottom w:val="single" w:color="auto" w:sz="12" w:space="0"/>
              <w:right w:val="single" w:color="auto" w:sz="12" w:space="0"/>
            </w:tcBorders>
            <w:vAlign w:val="center"/>
          </w:tcPr>
          <w:p w14:paraId="63DF5D26">
            <w:pPr>
              <w:adjustRightInd w:val="0"/>
              <w:snapToGrid w:val="0"/>
              <w:spacing w:line="360" w:lineRule="exact"/>
              <w:ind w:firstLine="420"/>
              <w:jc w:val="center"/>
              <w:rPr>
                <w:szCs w:val="21"/>
              </w:rPr>
            </w:pPr>
            <w:r>
              <w:rPr>
                <w:szCs w:val="21"/>
              </w:rPr>
              <w:t>-</w:t>
            </w:r>
          </w:p>
        </w:tc>
      </w:tr>
    </w:tbl>
    <w:p w14:paraId="2F4CD9CD">
      <w:pPr>
        <w:spacing w:line="480" w:lineRule="exact"/>
        <w:ind w:firstLine="480" w:firstLineChars="200"/>
        <w:rPr>
          <w:sz w:val="24"/>
        </w:rPr>
      </w:pPr>
      <w:r>
        <w:rPr>
          <w:rFonts w:hint="eastAsia"/>
          <w:sz w:val="24"/>
        </w:rPr>
        <w:t>项目有组织废气污染源排放参数见表4，无组织废气污染源排放参数见表5。</w:t>
      </w:r>
    </w:p>
    <w:p w14:paraId="6D9226E4">
      <w:pPr>
        <w:spacing w:line="280" w:lineRule="exact"/>
        <w:ind w:firstLine="422"/>
        <w:jc w:val="center"/>
        <w:rPr>
          <w:b/>
          <w:bCs/>
          <w:szCs w:val="21"/>
        </w:rPr>
        <w:sectPr>
          <w:footerReference r:id="rId9" w:type="default"/>
          <w:pgSz w:w="11906" w:h="16838"/>
          <w:pgMar w:top="1531" w:right="1701" w:bottom="1531" w:left="1701" w:header="851" w:footer="850" w:gutter="0"/>
          <w:pgBorders>
            <w:top w:val="none" w:sz="0" w:space="0"/>
            <w:left w:val="none" w:sz="0" w:space="0"/>
            <w:bottom w:val="none" w:sz="0" w:space="0"/>
            <w:right w:val="none" w:sz="0" w:space="0"/>
          </w:pgBorders>
          <w:pgNumType w:fmt="decimal" w:start="1"/>
          <w:cols w:space="0" w:num="1"/>
          <w:rtlGutter w:val="0"/>
          <w:docGrid w:linePitch="312" w:charSpace="0"/>
        </w:sectPr>
      </w:pPr>
    </w:p>
    <w:p w14:paraId="75BD9906">
      <w:pPr>
        <w:spacing w:line="280" w:lineRule="exact"/>
        <w:ind w:firstLine="422"/>
        <w:jc w:val="center"/>
        <w:rPr>
          <w:b/>
          <w:bCs/>
          <w:szCs w:val="21"/>
        </w:rPr>
      </w:pPr>
      <w:r>
        <w:rPr>
          <w:b/>
          <w:bCs/>
          <w:szCs w:val="21"/>
        </w:rPr>
        <w:t>表</w:t>
      </w:r>
      <w:r>
        <w:rPr>
          <w:rFonts w:hint="eastAsia"/>
          <w:b/>
          <w:bCs/>
          <w:szCs w:val="21"/>
        </w:rPr>
        <w:t>4</w:t>
      </w:r>
      <w:r>
        <w:rPr>
          <w:rFonts w:hint="eastAsia"/>
          <w:b/>
          <w:bCs/>
          <w:szCs w:val="21"/>
          <w:lang w:val="en-US" w:eastAsia="zh-CN"/>
        </w:rPr>
        <w:t xml:space="preserve">    </w:t>
      </w:r>
      <w:r>
        <w:rPr>
          <w:b/>
          <w:bCs/>
          <w:szCs w:val="21"/>
        </w:rPr>
        <w:t>本项目有组织废气排放参数一览表</w:t>
      </w:r>
      <w:r>
        <w:rPr>
          <w:rFonts w:hint="eastAsia"/>
          <w:b/>
          <w:bCs/>
          <w:szCs w:val="21"/>
        </w:rPr>
        <w:t>（点源）</w:t>
      </w:r>
    </w:p>
    <w:tbl>
      <w:tblPr>
        <w:tblStyle w:val="4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35"/>
        <w:gridCol w:w="1616"/>
        <w:gridCol w:w="1403"/>
        <w:gridCol w:w="1501"/>
        <w:gridCol w:w="1327"/>
        <w:gridCol w:w="823"/>
        <w:gridCol w:w="905"/>
        <w:gridCol w:w="1061"/>
        <w:gridCol w:w="977"/>
        <w:gridCol w:w="1033"/>
        <w:gridCol w:w="723"/>
        <w:gridCol w:w="847"/>
        <w:gridCol w:w="941"/>
      </w:tblGrid>
      <w:tr w14:paraId="4D5A64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98" w:type="pct"/>
            <w:vMerge w:val="restart"/>
            <w:vAlign w:val="center"/>
          </w:tcPr>
          <w:p w14:paraId="0169E11F">
            <w:pPr>
              <w:spacing w:line="300" w:lineRule="exact"/>
              <w:jc w:val="center"/>
              <w:rPr>
                <w:szCs w:val="21"/>
              </w:rPr>
            </w:pPr>
            <w:r>
              <w:rPr>
                <w:rFonts w:hint="eastAsia"/>
                <w:szCs w:val="21"/>
              </w:rPr>
              <w:t>编号</w:t>
            </w:r>
          </w:p>
        </w:tc>
        <w:tc>
          <w:tcPr>
            <w:tcW w:w="577" w:type="pct"/>
            <w:vMerge w:val="restart"/>
            <w:vAlign w:val="center"/>
          </w:tcPr>
          <w:p w14:paraId="2DDC3EAF">
            <w:pPr>
              <w:spacing w:line="300" w:lineRule="exact"/>
              <w:jc w:val="center"/>
              <w:rPr>
                <w:szCs w:val="21"/>
              </w:rPr>
            </w:pPr>
            <w:r>
              <w:rPr>
                <w:szCs w:val="21"/>
              </w:rPr>
              <w:t>污染源</w:t>
            </w:r>
          </w:p>
        </w:tc>
        <w:tc>
          <w:tcPr>
            <w:tcW w:w="1037" w:type="pct"/>
            <w:gridSpan w:val="2"/>
            <w:vAlign w:val="center"/>
          </w:tcPr>
          <w:p w14:paraId="239A820B">
            <w:pPr>
              <w:spacing w:line="300" w:lineRule="exact"/>
              <w:jc w:val="center"/>
              <w:rPr>
                <w:szCs w:val="21"/>
              </w:rPr>
            </w:pPr>
            <w:r>
              <w:rPr>
                <w:szCs w:val="21"/>
              </w:rPr>
              <w:t>排气筒底部中心坐标</w:t>
            </w:r>
          </w:p>
        </w:tc>
        <w:tc>
          <w:tcPr>
            <w:tcW w:w="474" w:type="pct"/>
            <w:vMerge w:val="restart"/>
            <w:vAlign w:val="center"/>
          </w:tcPr>
          <w:p w14:paraId="7A2F7976">
            <w:pPr>
              <w:spacing w:line="300" w:lineRule="exact"/>
              <w:jc w:val="center"/>
              <w:rPr>
                <w:szCs w:val="21"/>
              </w:rPr>
            </w:pPr>
            <w:r>
              <w:rPr>
                <w:szCs w:val="21"/>
              </w:rPr>
              <w:t>排气筒底部海拔高度</w:t>
            </w:r>
          </w:p>
        </w:tc>
        <w:tc>
          <w:tcPr>
            <w:tcW w:w="294" w:type="pct"/>
            <w:vMerge w:val="restart"/>
            <w:vAlign w:val="center"/>
          </w:tcPr>
          <w:p w14:paraId="3E65A8D0">
            <w:pPr>
              <w:spacing w:line="300" w:lineRule="exact"/>
              <w:jc w:val="center"/>
              <w:rPr>
                <w:szCs w:val="21"/>
              </w:rPr>
            </w:pPr>
            <w:r>
              <w:rPr>
                <w:szCs w:val="21"/>
              </w:rPr>
              <w:t>排气筒高度</w:t>
            </w:r>
          </w:p>
        </w:tc>
        <w:tc>
          <w:tcPr>
            <w:tcW w:w="323" w:type="pct"/>
            <w:vMerge w:val="restart"/>
            <w:vAlign w:val="center"/>
          </w:tcPr>
          <w:p w14:paraId="1728DBE5">
            <w:pPr>
              <w:spacing w:line="300" w:lineRule="exact"/>
              <w:jc w:val="center"/>
              <w:rPr>
                <w:szCs w:val="21"/>
              </w:rPr>
            </w:pPr>
            <w:r>
              <w:rPr>
                <w:szCs w:val="21"/>
              </w:rPr>
              <w:t>排气筒内径</w:t>
            </w:r>
          </w:p>
        </w:tc>
        <w:tc>
          <w:tcPr>
            <w:tcW w:w="379" w:type="pct"/>
            <w:vMerge w:val="restart"/>
            <w:vAlign w:val="center"/>
          </w:tcPr>
          <w:p w14:paraId="5DE48EB1">
            <w:pPr>
              <w:spacing w:line="300" w:lineRule="exact"/>
              <w:jc w:val="center"/>
              <w:rPr>
                <w:szCs w:val="21"/>
              </w:rPr>
            </w:pPr>
            <w:r>
              <w:rPr>
                <w:szCs w:val="21"/>
              </w:rPr>
              <w:t>烟气出口速度</w:t>
            </w:r>
          </w:p>
        </w:tc>
        <w:tc>
          <w:tcPr>
            <w:tcW w:w="349" w:type="pct"/>
            <w:vMerge w:val="restart"/>
            <w:vAlign w:val="center"/>
          </w:tcPr>
          <w:p w14:paraId="5CC253BC">
            <w:pPr>
              <w:spacing w:line="300" w:lineRule="exact"/>
              <w:jc w:val="center"/>
              <w:rPr>
                <w:szCs w:val="21"/>
              </w:rPr>
            </w:pPr>
            <w:r>
              <w:rPr>
                <w:szCs w:val="21"/>
              </w:rPr>
              <w:t>烟气出口温度</w:t>
            </w:r>
          </w:p>
        </w:tc>
        <w:tc>
          <w:tcPr>
            <w:tcW w:w="369" w:type="pct"/>
            <w:vMerge w:val="restart"/>
            <w:vAlign w:val="center"/>
          </w:tcPr>
          <w:p w14:paraId="1EFA8220">
            <w:pPr>
              <w:spacing w:line="300" w:lineRule="exact"/>
              <w:jc w:val="center"/>
              <w:rPr>
                <w:szCs w:val="21"/>
              </w:rPr>
            </w:pPr>
            <w:r>
              <w:rPr>
                <w:szCs w:val="21"/>
              </w:rPr>
              <w:t>年排放小时数</w:t>
            </w:r>
          </w:p>
        </w:tc>
        <w:tc>
          <w:tcPr>
            <w:tcW w:w="258" w:type="pct"/>
            <w:vMerge w:val="restart"/>
            <w:vAlign w:val="center"/>
          </w:tcPr>
          <w:p w14:paraId="5CD27F56">
            <w:pPr>
              <w:spacing w:line="300" w:lineRule="exact"/>
              <w:jc w:val="center"/>
              <w:rPr>
                <w:szCs w:val="21"/>
              </w:rPr>
            </w:pPr>
            <w:r>
              <w:rPr>
                <w:rFonts w:hint="eastAsia"/>
                <w:szCs w:val="21"/>
              </w:rPr>
              <w:t>排放工况</w:t>
            </w:r>
          </w:p>
        </w:tc>
        <w:tc>
          <w:tcPr>
            <w:tcW w:w="638" w:type="pct"/>
            <w:gridSpan w:val="2"/>
            <w:vMerge w:val="restart"/>
            <w:vAlign w:val="center"/>
          </w:tcPr>
          <w:p w14:paraId="0B64D1E3">
            <w:pPr>
              <w:spacing w:line="300" w:lineRule="exact"/>
              <w:jc w:val="center"/>
              <w:rPr>
                <w:szCs w:val="21"/>
              </w:rPr>
            </w:pPr>
            <w:r>
              <w:rPr>
                <w:szCs w:val="21"/>
              </w:rPr>
              <w:t>评价因子源强</w:t>
            </w:r>
          </w:p>
        </w:tc>
      </w:tr>
      <w:tr w14:paraId="3F0659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98" w:type="pct"/>
            <w:vMerge w:val="continue"/>
            <w:vAlign w:val="center"/>
          </w:tcPr>
          <w:p w14:paraId="4A106CE4">
            <w:pPr>
              <w:spacing w:line="300" w:lineRule="exact"/>
              <w:jc w:val="center"/>
              <w:rPr>
                <w:szCs w:val="21"/>
              </w:rPr>
            </w:pPr>
          </w:p>
        </w:tc>
        <w:tc>
          <w:tcPr>
            <w:tcW w:w="577" w:type="pct"/>
            <w:vMerge w:val="continue"/>
            <w:vAlign w:val="center"/>
          </w:tcPr>
          <w:p w14:paraId="01D734F3">
            <w:pPr>
              <w:spacing w:line="300" w:lineRule="exact"/>
              <w:jc w:val="center"/>
              <w:rPr>
                <w:szCs w:val="21"/>
              </w:rPr>
            </w:pPr>
          </w:p>
        </w:tc>
        <w:tc>
          <w:tcPr>
            <w:tcW w:w="501" w:type="pct"/>
            <w:vAlign w:val="center"/>
          </w:tcPr>
          <w:p w14:paraId="00F7B767">
            <w:pPr>
              <w:spacing w:line="280" w:lineRule="exact"/>
              <w:jc w:val="center"/>
              <w:rPr>
                <w:szCs w:val="21"/>
              </w:rPr>
            </w:pPr>
            <w:r>
              <w:rPr>
                <w:rFonts w:hint="eastAsia"/>
                <w:szCs w:val="21"/>
              </w:rPr>
              <w:t>N</w:t>
            </w:r>
          </w:p>
        </w:tc>
        <w:tc>
          <w:tcPr>
            <w:tcW w:w="536" w:type="pct"/>
            <w:vAlign w:val="center"/>
          </w:tcPr>
          <w:p w14:paraId="14D9D03D">
            <w:pPr>
              <w:spacing w:line="280" w:lineRule="exact"/>
              <w:jc w:val="center"/>
              <w:rPr>
                <w:szCs w:val="21"/>
              </w:rPr>
            </w:pPr>
            <w:r>
              <w:rPr>
                <w:rFonts w:hint="eastAsia"/>
                <w:szCs w:val="21"/>
              </w:rPr>
              <w:t>E</w:t>
            </w:r>
          </w:p>
        </w:tc>
        <w:tc>
          <w:tcPr>
            <w:tcW w:w="474" w:type="pct"/>
            <w:vMerge w:val="continue"/>
            <w:vAlign w:val="center"/>
          </w:tcPr>
          <w:p w14:paraId="79B60D96">
            <w:pPr>
              <w:spacing w:line="300" w:lineRule="exact"/>
              <w:jc w:val="center"/>
              <w:rPr>
                <w:szCs w:val="21"/>
              </w:rPr>
            </w:pPr>
          </w:p>
        </w:tc>
        <w:tc>
          <w:tcPr>
            <w:tcW w:w="294" w:type="pct"/>
            <w:vMerge w:val="continue"/>
            <w:vAlign w:val="center"/>
          </w:tcPr>
          <w:p w14:paraId="43AE6E1E">
            <w:pPr>
              <w:spacing w:line="300" w:lineRule="exact"/>
              <w:jc w:val="center"/>
              <w:rPr>
                <w:szCs w:val="21"/>
              </w:rPr>
            </w:pPr>
          </w:p>
        </w:tc>
        <w:tc>
          <w:tcPr>
            <w:tcW w:w="323" w:type="pct"/>
            <w:vMerge w:val="continue"/>
            <w:vAlign w:val="center"/>
          </w:tcPr>
          <w:p w14:paraId="6D83F7A7">
            <w:pPr>
              <w:spacing w:line="300" w:lineRule="exact"/>
              <w:jc w:val="center"/>
              <w:rPr>
                <w:szCs w:val="21"/>
              </w:rPr>
            </w:pPr>
          </w:p>
        </w:tc>
        <w:tc>
          <w:tcPr>
            <w:tcW w:w="379" w:type="pct"/>
            <w:vMerge w:val="continue"/>
            <w:vAlign w:val="center"/>
          </w:tcPr>
          <w:p w14:paraId="66B189DE">
            <w:pPr>
              <w:spacing w:line="300" w:lineRule="exact"/>
              <w:jc w:val="center"/>
              <w:rPr>
                <w:szCs w:val="21"/>
              </w:rPr>
            </w:pPr>
          </w:p>
        </w:tc>
        <w:tc>
          <w:tcPr>
            <w:tcW w:w="349" w:type="pct"/>
            <w:vMerge w:val="continue"/>
            <w:vAlign w:val="center"/>
          </w:tcPr>
          <w:p w14:paraId="73310824">
            <w:pPr>
              <w:spacing w:line="300" w:lineRule="exact"/>
              <w:jc w:val="center"/>
              <w:rPr>
                <w:szCs w:val="21"/>
              </w:rPr>
            </w:pPr>
          </w:p>
        </w:tc>
        <w:tc>
          <w:tcPr>
            <w:tcW w:w="369" w:type="pct"/>
            <w:vMerge w:val="continue"/>
            <w:vAlign w:val="center"/>
          </w:tcPr>
          <w:p w14:paraId="33A24878">
            <w:pPr>
              <w:spacing w:line="300" w:lineRule="exact"/>
              <w:jc w:val="center"/>
              <w:rPr>
                <w:szCs w:val="21"/>
              </w:rPr>
            </w:pPr>
          </w:p>
        </w:tc>
        <w:tc>
          <w:tcPr>
            <w:tcW w:w="258" w:type="pct"/>
            <w:vMerge w:val="continue"/>
            <w:vAlign w:val="center"/>
          </w:tcPr>
          <w:p w14:paraId="329DFEC9">
            <w:pPr>
              <w:spacing w:line="300" w:lineRule="exact"/>
              <w:jc w:val="center"/>
              <w:rPr>
                <w:szCs w:val="21"/>
              </w:rPr>
            </w:pPr>
          </w:p>
        </w:tc>
        <w:tc>
          <w:tcPr>
            <w:tcW w:w="638" w:type="pct"/>
            <w:gridSpan w:val="2"/>
            <w:vMerge w:val="continue"/>
            <w:vAlign w:val="center"/>
          </w:tcPr>
          <w:p w14:paraId="311AA382">
            <w:pPr>
              <w:spacing w:line="300" w:lineRule="exact"/>
              <w:jc w:val="center"/>
              <w:rPr>
                <w:szCs w:val="21"/>
              </w:rPr>
            </w:pPr>
          </w:p>
        </w:tc>
      </w:tr>
      <w:tr w14:paraId="5D5433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98" w:type="pct"/>
            <w:vAlign w:val="center"/>
          </w:tcPr>
          <w:p w14:paraId="5470B65D">
            <w:pPr>
              <w:spacing w:line="300" w:lineRule="exact"/>
              <w:jc w:val="center"/>
              <w:rPr>
                <w:szCs w:val="21"/>
              </w:rPr>
            </w:pPr>
            <w:r>
              <w:rPr>
                <w:szCs w:val="21"/>
              </w:rPr>
              <w:t>单位</w:t>
            </w:r>
          </w:p>
        </w:tc>
        <w:tc>
          <w:tcPr>
            <w:tcW w:w="577" w:type="pct"/>
            <w:vAlign w:val="center"/>
          </w:tcPr>
          <w:p w14:paraId="65D6402A">
            <w:pPr>
              <w:spacing w:line="300" w:lineRule="exact"/>
              <w:jc w:val="center"/>
              <w:rPr>
                <w:szCs w:val="21"/>
              </w:rPr>
            </w:pPr>
            <w:r>
              <w:rPr>
                <w:szCs w:val="21"/>
              </w:rPr>
              <w:t>--</w:t>
            </w:r>
          </w:p>
        </w:tc>
        <w:tc>
          <w:tcPr>
            <w:tcW w:w="501" w:type="pct"/>
            <w:vAlign w:val="center"/>
          </w:tcPr>
          <w:p w14:paraId="6E3CE41C">
            <w:pPr>
              <w:spacing w:line="300" w:lineRule="exact"/>
              <w:jc w:val="center"/>
              <w:rPr>
                <w:szCs w:val="21"/>
              </w:rPr>
            </w:pPr>
            <w:r>
              <w:rPr>
                <w:rFonts w:hint="eastAsia"/>
                <w:szCs w:val="21"/>
              </w:rPr>
              <w:t>-</w:t>
            </w:r>
            <w:r>
              <w:rPr>
                <w:szCs w:val="21"/>
              </w:rPr>
              <w:t>-</w:t>
            </w:r>
          </w:p>
        </w:tc>
        <w:tc>
          <w:tcPr>
            <w:tcW w:w="536" w:type="pct"/>
            <w:vAlign w:val="center"/>
          </w:tcPr>
          <w:p w14:paraId="76357B7B">
            <w:pPr>
              <w:spacing w:line="300" w:lineRule="exact"/>
              <w:jc w:val="center"/>
              <w:rPr>
                <w:szCs w:val="21"/>
              </w:rPr>
            </w:pPr>
            <w:r>
              <w:rPr>
                <w:rFonts w:hint="eastAsia"/>
                <w:szCs w:val="21"/>
              </w:rPr>
              <w:t>-</w:t>
            </w:r>
            <w:r>
              <w:rPr>
                <w:szCs w:val="21"/>
              </w:rPr>
              <w:t>-</w:t>
            </w:r>
          </w:p>
        </w:tc>
        <w:tc>
          <w:tcPr>
            <w:tcW w:w="474" w:type="pct"/>
            <w:vAlign w:val="center"/>
          </w:tcPr>
          <w:p w14:paraId="63C7A822">
            <w:pPr>
              <w:spacing w:line="300" w:lineRule="exact"/>
              <w:jc w:val="center"/>
              <w:rPr>
                <w:szCs w:val="21"/>
              </w:rPr>
            </w:pPr>
            <w:r>
              <w:rPr>
                <w:rFonts w:hint="eastAsia"/>
                <w:szCs w:val="21"/>
              </w:rPr>
              <w:t>m</w:t>
            </w:r>
          </w:p>
        </w:tc>
        <w:tc>
          <w:tcPr>
            <w:tcW w:w="294" w:type="pct"/>
            <w:vAlign w:val="center"/>
          </w:tcPr>
          <w:p w14:paraId="1848F29A">
            <w:pPr>
              <w:spacing w:line="300" w:lineRule="exact"/>
              <w:jc w:val="center"/>
              <w:rPr>
                <w:szCs w:val="21"/>
              </w:rPr>
            </w:pPr>
            <w:r>
              <w:rPr>
                <w:szCs w:val="21"/>
              </w:rPr>
              <w:t>m</w:t>
            </w:r>
          </w:p>
        </w:tc>
        <w:tc>
          <w:tcPr>
            <w:tcW w:w="323" w:type="pct"/>
            <w:vAlign w:val="center"/>
          </w:tcPr>
          <w:p w14:paraId="2A03EBDB">
            <w:pPr>
              <w:spacing w:line="300" w:lineRule="exact"/>
              <w:jc w:val="center"/>
              <w:rPr>
                <w:szCs w:val="21"/>
              </w:rPr>
            </w:pPr>
            <w:r>
              <w:rPr>
                <w:szCs w:val="21"/>
              </w:rPr>
              <w:t>m</w:t>
            </w:r>
          </w:p>
        </w:tc>
        <w:tc>
          <w:tcPr>
            <w:tcW w:w="379" w:type="pct"/>
            <w:vAlign w:val="center"/>
          </w:tcPr>
          <w:p w14:paraId="54C6E29A">
            <w:pPr>
              <w:pStyle w:val="108"/>
              <w:spacing w:line="300" w:lineRule="exact"/>
            </w:pPr>
            <w:r>
              <w:t>m/s</w:t>
            </w:r>
          </w:p>
        </w:tc>
        <w:tc>
          <w:tcPr>
            <w:tcW w:w="349" w:type="pct"/>
            <w:vAlign w:val="center"/>
          </w:tcPr>
          <w:p w14:paraId="44B8FC03">
            <w:pPr>
              <w:pStyle w:val="108"/>
              <w:spacing w:line="300" w:lineRule="exact"/>
            </w:pPr>
            <w:r>
              <w:t>K</w:t>
            </w:r>
          </w:p>
        </w:tc>
        <w:tc>
          <w:tcPr>
            <w:tcW w:w="369" w:type="pct"/>
            <w:vAlign w:val="center"/>
          </w:tcPr>
          <w:p w14:paraId="70BB4B42">
            <w:pPr>
              <w:pStyle w:val="108"/>
              <w:spacing w:line="300" w:lineRule="exact"/>
            </w:pPr>
            <w:r>
              <w:t>h</w:t>
            </w:r>
          </w:p>
        </w:tc>
        <w:tc>
          <w:tcPr>
            <w:tcW w:w="258" w:type="pct"/>
            <w:vAlign w:val="center"/>
          </w:tcPr>
          <w:p w14:paraId="255D3D6F">
            <w:pPr>
              <w:pStyle w:val="108"/>
              <w:spacing w:line="300" w:lineRule="exact"/>
              <w:rPr>
                <w:rFonts w:eastAsia="等线"/>
              </w:rPr>
            </w:pPr>
            <w:r>
              <w:rPr>
                <w:rFonts w:hint="eastAsia" w:eastAsia="等线"/>
              </w:rPr>
              <w:t>-</w:t>
            </w:r>
            <w:r>
              <w:rPr>
                <w:rFonts w:eastAsia="等线"/>
              </w:rPr>
              <w:t>-</w:t>
            </w:r>
          </w:p>
        </w:tc>
        <w:tc>
          <w:tcPr>
            <w:tcW w:w="638" w:type="pct"/>
            <w:gridSpan w:val="2"/>
            <w:vAlign w:val="center"/>
          </w:tcPr>
          <w:p w14:paraId="38EC39D7">
            <w:pPr>
              <w:spacing w:line="300" w:lineRule="exact"/>
              <w:jc w:val="center"/>
              <w:rPr>
                <w:szCs w:val="21"/>
              </w:rPr>
            </w:pPr>
            <w:r>
              <w:rPr>
                <w:rFonts w:hint="eastAsia"/>
                <w:szCs w:val="21"/>
              </w:rPr>
              <w:t>kg/h</w:t>
            </w:r>
          </w:p>
        </w:tc>
      </w:tr>
      <w:tr w14:paraId="408F87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98" w:type="pct"/>
            <w:vMerge w:val="restart"/>
            <w:vAlign w:val="center"/>
          </w:tcPr>
          <w:p w14:paraId="4B042228">
            <w:pPr>
              <w:spacing w:line="300" w:lineRule="exact"/>
              <w:jc w:val="center"/>
              <w:rPr>
                <w:rFonts w:hint="default" w:eastAsia="宋体"/>
                <w:szCs w:val="21"/>
                <w:lang w:val="en-US" w:eastAsia="zh-CN"/>
              </w:rPr>
            </w:pPr>
            <w:r>
              <w:rPr>
                <w:rFonts w:hint="eastAsia"/>
                <w:szCs w:val="21"/>
                <w:lang w:val="en-US" w:eastAsia="zh-CN"/>
              </w:rPr>
              <w:t>DA001</w:t>
            </w:r>
          </w:p>
        </w:tc>
        <w:tc>
          <w:tcPr>
            <w:tcW w:w="577" w:type="pct"/>
            <w:vMerge w:val="restart"/>
            <w:vAlign w:val="center"/>
          </w:tcPr>
          <w:p w14:paraId="707FCFB8">
            <w:pPr>
              <w:spacing w:line="300" w:lineRule="exact"/>
              <w:jc w:val="center"/>
              <w:rPr>
                <w:szCs w:val="21"/>
              </w:rPr>
            </w:pPr>
            <w:r>
              <w:rPr>
                <w:rFonts w:hint="eastAsia"/>
                <w:szCs w:val="21"/>
              </w:rPr>
              <w:t>骨料烘干筛分排气筒</w:t>
            </w:r>
          </w:p>
        </w:tc>
        <w:tc>
          <w:tcPr>
            <w:tcW w:w="501" w:type="pct"/>
            <w:vMerge w:val="restart"/>
            <w:vAlign w:val="center"/>
          </w:tcPr>
          <w:p w14:paraId="4BBF5F79">
            <w:pPr>
              <w:spacing w:line="300" w:lineRule="exact"/>
              <w:jc w:val="center"/>
              <w:rPr>
                <w:szCs w:val="21"/>
              </w:rPr>
            </w:pPr>
            <w:r>
              <w:rPr>
                <w:rFonts w:hint="eastAsia"/>
                <w:szCs w:val="21"/>
              </w:rPr>
              <w:t>40.</w:t>
            </w:r>
            <w:r>
              <w:rPr>
                <w:rFonts w:hint="eastAsia"/>
                <w:szCs w:val="21"/>
                <w:lang w:val="en-US" w:eastAsia="zh-CN"/>
              </w:rPr>
              <w:t>41380833</w:t>
            </w:r>
            <w:r>
              <w:rPr>
                <w:szCs w:val="21"/>
              </w:rPr>
              <w:t>°</w:t>
            </w:r>
          </w:p>
        </w:tc>
        <w:tc>
          <w:tcPr>
            <w:tcW w:w="536" w:type="pct"/>
            <w:vMerge w:val="restart"/>
            <w:vAlign w:val="center"/>
          </w:tcPr>
          <w:p w14:paraId="094219E2">
            <w:pPr>
              <w:spacing w:line="300" w:lineRule="exact"/>
              <w:jc w:val="center"/>
              <w:rPr>
                <w:szCs w:val="21"/>
              </w:rPr>
            </w:pPr>
            <w:r>
              <w:rPr>
                <w:szCs w:val="21"/>
              </w:rPr>
              <w:t>11</w:t>
            </w:r>
            <w:r>
              <w:rPr>
                <w:rFonts w:hint="eastAsia"/>
                <w:szCs w:val="21"/>
                <w:lang w:val="en-US" w:eastAsia="zh-CN"/>
              </w:rPr>
              <w:t>4.10408056</w:t>
            </w:r>
            <w:r>
              <w:rPr>
                <w:szCs w:val="21"/>
              </w:rPr>
              <w:t>°</w:t>
            </w:r>
          </w:p>
        </w:tc>
        <w:tc>
          <w:tcPr>
            <w:tcW w:w="474" w:type="pct"/>
            <w:vMerge w:val="restart"/>
            <w:vAlign w:val="center"/>
          </w:tcPr>
          <w:p w14:paraId="02BE412D">
            <w:pPr>
              <w:spacing w:line="300" w:lineRule="exact"/>
              <w:jc w:val="center"/>
              <w:rPr>
                <w:szCs w:val="21"/>
              </w:rPr>
            </w:pPr>
            <w:r>
              <w:rPr>
                <w:rFonts w:hint="eastAsia"/>
                <w:szCs w:val="21"/>
              </w:rPr>
              <w:t>1150</w:t>
            </w:r>
          </w:p>
        </w:tc>
        <w:tc>
          <w:tcPr>
            <w:tcW w:w="294" w:type="pct"/>
            <w:vMerge w:val="restart"/>
            <w:vAlign w:val="center"/>
          </w:tcPr>
          <w:p w14:paraId="01C06F65">
            <w:pPr>
              <w:spacing w:line="300" w:lineRule="exact"/>
              <w:jc w:val="center"/>
              <w:rPr>
                <w:szCs w:val="21"/>
              </w:rPr>
            </w:pPr>
            <w:r>
              <w:rPr>
                <w:szCs w:val="21"/>
              </w:rPr>
              <w:t>15</w:t>
            </w:r>
          </w:p>
        </w:tc>
        <w:tc>
          <w:tcPr>
            <w:tcW w:w="323" w:type="pct"/>
            <w:vMerge w:val="restart"/>
            <w:vAlign w:val="center"/>
          </w:tcPr>
          <w:p w14:paraId="6EA27015">
            <w:pPr>
              <w:spacing w:line="300" w:lineRule="exact"/>
              <w:jc w:val="center"/>
              <w:rPr>
                <w:rFonts w:hint="eastAsia" w:eastAsia="宋体"/>
                <w:szCs w:val="21"/>
                <w:lang w:eastAsia="zh-CN"/>
              </w:rPr>
            </w:pPr>
            <w:r>
              <w:rPr>
                <w:rFonts w:hint="eastAsia"/>
                <w:szCs w:val="21"/>
              </w:rPr>
              <w:t>1.</w:t>
            </w:r>
            <w:r>
              <w:rPr>
                <w:rFonts w:hint="eastAsia"/>
                <w:szCs w:val="21"/>
                <w:lang w:val="en-US" w:eastAsia="zh-CN"/>
              </w:rPr>
              <w:t>5</w:t>
            </w:r>
          </w:p>
        </w:tc>
        <w:tc>
          <w:tcPr>
            <w:tcW w:w="379" w:type="pct"/>
            <w:vMerge w:val="restart"/>
            <w:vAlign w:val="center"/>
          </w:tcPr>
          <w:p w14:paraId="598A4012">
            <w:pPr>
              <w:spacing w:line="300" w:lineRule="exact"/>
              <w:jc w:val="center"/>
              <w:rPr>
                <w:rFonts w:hint="default" w:eastAsia="宋体"/>
                <w:szCs w:val="21"/>
                <w:lang w:val="en-US" w:eastAsia="zh-CN"/>
              </w:rPr>
            </w:pPr>
            <w:r>
              <w:rPr>
                <w:rFonts w:hint="eastAsia"/>
                <w:szCs w:val="21"/>
                <w:lang w:val="en-US" w:eastAsia="zh-CN"/>
              </w:rPr>
              <w:t>17.30</w:t>
            </w:r>
          </w:p>
        </w:tc>
        <w:tc>
          <w:tcPr>
            <w:tcW w:w="349" w:type="pct"/>
            <w:vMerge w:val="restart"/>
            <w:vAlign w:val="center"/>
          </w:tcPr>
          <w:p w14:paraId="294B7D32">
            <w:pPr>
              <w:spacing w:line="300" w:lineRule="exact"/>
              <w:jc w:val="center"/>
              <w:rPr>
                <w:rFonts w:hint="default" w:eastAsia="宋体"/>
                <w:szCs w:val="21"/>
                <w:lang w:val="en-US" w:eastAsia="zh-CN"/>
              </w:rPr>
            </w:pPr>
            <w:r>
              <w:rPr>
                <w:rFonts w:hint="eastAsia"/>
                <w:szCs w:val="21"/>
              </w:rPr>
              <w:t>3</w:t>
            </w:r>
            <w:r>
              <w:rPr>
                <w:rFonts w:hint="eastAsia"/>
                <w:szCs w:val="21"/>
                <w:lang w:val="en-US" w:eastAsia="zh-CN"/>
              </w:rPr>
              <w:t>98</w:t>
            </w:r>
          </w:p>
        </w:tc>
        <w:tc>
          <w:tcPr>
            <w:tcW w:w="369" w:type="pct"/>
            <w:vMerge w:val="restart"/>
            <w:vAlign w:val="center"/>
          </w:tcPr>
          <w:p w14:paraId="71260ECC">
            <w:pPr>
              <w:spacing w:line="300" w:lineRule="exact"/>
              <w:jc w:val="center"/>
              <w:rPr>
                <w:szCs w:val="21"/>
              </w:rPr>
            </w:pPr>
            <w:r>
              <w:rPr>
                <w:rFonts w:hint="eastAsia"/>
                <w:szCs w:val="21"/>
              </w:rPr>
              <w:t>1200</w:t>
            </w:r>
          </w:p>
        </w:tc>
        <w:tc>
          <w:tcPr>
            <w:tcW w:w="258" w:type="pct"/>
            <w:vMerge w:val="restart"/>
            <w:vAlign w:val="center"/>
          </w:tcPr>
          <w:p w14:paraId="1F925B2E">
            <w:pPr>
              <w:spacing w:line="300" w:lineRule="exact"/>
              <w:jc w:val="center"/>
              <w:rPr>
                <w:szCs w:val="21"/>
              </w:rPr>
            </w:pPr>
            <w:r>
              <w:rPr>
                <w:rFonts w:hint="eastAsia"/>
                <w:szCs w:val="21"/>
              </w:rPr>
              <w:t>正常</w:t>
            </w:r>
          </w:p>
        </w:tc>
        <w:tc>
          <w:tcPr>
            <w:tcW w:w="302" w:type="pct"/>
            <w:vAlign w:val="center"/>
          </w:tcPr>
          <w:p w14:paraId="23972200">
            <w:pPr>
              <w:spacing w:line="300" w:lineRule="exact"/>
              <w:jc w:val="center"/>
              <w:rPr>
                <w:szCs w:val="21"/>
              </w:rPr>
            </w:pPr>
            <w:r>
              <w:rPr>
                <w:rFonts w:hint="eastAsia"/>
                <w:szCs w:val="21"/>
              </w:rPr>
              <w:t>颗粒物</w:t>
            </w:r>
          </w:p>
        </w:tc>
        <w:tc>
          <w:tcPr>
            <w:tcW w:w="336" w:type="pct"/>
            <w:vAlign w:val="center"/>
          </w:tcPr>
          <w:p w14:paraId="5F9520AB">
            <w:pPr>
              <w:spacing w:line="300" w:lineRule="exact"/>
              <w:jc w:val="center"/>
              <w:rPr>
                <w:rFonts w:hint="default" w:eastAsia="宋体"/>
                <w:szCs w:val="21"/>
                <w:lang w:val="en-US" w:eastAsia="zh-CN"/>
              </w:rPr>
            </w:pPr>
            <w:r>
              <w:rPr>
                <w:rFonts w:hint="eastAsia"/>
                <w:szCs w:val="21"/>
                <w:lang w:val="en-US" w:eastAsia="zh-CN"/>
              </w:rPr>
              <w:t>1.65</w:t>
            </w:r>
          </w:p>
        </w:tc>
      </w:tr>
      <w:tr w14:paraId="4C8F0F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298" w:type="pct"/>
            <w:vMerge w:val="continue"/>
            <w:vAlign w:val="center"/>
          </w:tcPr>
          <w:p w14:paraId="37D16AAD">
            <w:pPr>
              <w:spacing w:line="300" w:lineRule="exact"/>
              <w:jc w:val="center"/>
              <w:rPr>
                <w:szCs w:val="21"/>
              </w:rPr>
            </w:pPr>
          </w:p>
        </w:tc>
        <w:tc>
          <w:tcPr>
            <w:tcW w:w="577" w:type="pct"/>
            <w:vMerge w:val="continue"/>
            <w:vAlign w:val="center"/>
          </w:tcPr>
          <w:p w14:paraId="1ABA6CAE">
            <w:pPr>
              <w:spacing w:line="300" w:lineRule="exact"/>
              <w:jc w:val="center"/>
              <w:rPr>
                <w:szCs w:val="21"/>
              </w:rPr>
            </w:pPr>
          </w:p>
        </w:tc>
        <w:tc>
          <w:tcPr>
            <w:tcW w:w="501" w:type="pct"/>
            <w:vMerge w:val="continue"/>
            <w:vAlign w:val="center"/>
          </w:tcPr>
          <w:p w14:paraId="2CBFF9E8">
            <w:pPr>
              <w:spacing w:line="300" w:lineRule="exact"/>
              <w:jc w:val="center"/>
              <w:rPr>
                <w:szCs w:val="21"/>
              </w:rPr>
            </w:pPr>
          </w:p>
        </w:tc>
        <w:tc>
          <w:tcPr>
            <w:tcW w:w="536" w:type="pct"/>
            <w:vMerge w:val="continue"/>
            <w:vAlign w:val="center"/>
          </w:tcPr>
          <w:p w14:paraId="67212D6C">
            <w:pPr>
              <w:spacing w:line="300" w:lineRule="exact"/>
              <w:jc w:val="center"/>
              <w:rPr>
                <w:szCs w:val="21"/>
              </w:rPr>
            </w:pPr>
          </w:p>
        </w:tc>
        <w:tc>
          <w:tcPr>
            <w:tcW w:w="474" w:type="pct"/>
            <w:vMerge w:val="continue"/>
            <w:vAlign w:val="center"/>
          </w:tcPr>
          <w:p w14:paraId="29D298D6">
            <w:pPr>
              <w:spacing w:line="300" w:lineRule="exact"/>
              <w:jc w:val="center"/>
              <w:rPr>
                <w:szCs w:val="21"/>
              </w:rPr>
            </w:pPr>
          </w:p>
        </w:tc>
        <w:tc>
          <w:tcPr>
            <w:tcW w:w="294" w:type="pct"/>
            <w:vMerge w:val="continue"/>
            <w:vAlign w:val="center"/>
          </w:tcPr>
          <w:p w14:paraId="1954BB7E">
            <w:pPr>
              <w:spacing w:line="300" w:lineRule="exact"/>
              <w:jc w:val="center"/>
              <w:rPr>
                <w:szCs w:val="21"/>
              </w:rPr>
            </w:pPr>
          </w:p>
        </w:tc>
        <w:tc>
          <w:tcPr>
            <w:tcW w:w="323" w:type="pct"/>
            <w:vMerge w:val="continue"/>
            <w:vAlign w:val="center"/>
          </w:tcPr>
          <w:p w14:paraId="404059DA">
            <w:pPr>
              <w:spacing w:line="300" w:lineRule="exact"/>
              <w:jc w:val="center"/>
              <w:rPr>
                <w:szCs w:val="21"/>
              </w:rPr>
            </w:pPr>
          </w:p>
        </w:tc>
        <w:tc>
          <w:tcPr>
            <w:tcW w:w="379" w:type="pct"/>
            <w:vMerge w:val="continue"/>
            <w:vAlign w:val="center"/>
          </w:tcPr>
          <w:p w14:paraId="66EDB941">
            <w:pPr>
              <w:spacing w:line="300" w:lineRule="exact"/>
              <w:jc w:val="center"/>
              <w:rPr>
                <w:szCs w:val="21"/>
              </w:rPr>
            </w:pPr>
          </w:p>
        </w:tc>
        <w:tc>
          <w:tcPr>
            <w:tcW w:w="349" w:type="pct"/>
            <w:vMerge w:val="continue"/>
            <w:vAlign w:val="center"/>
          </w:tcPr>
          <w:p w14:paraId="4D2FC648">
            <w:pPr>
              <w:spacing w:line="300" w:lineRule="exact"/>
              <w:jc w:val="center"/>
              <w:rPr>
                <w:szCs w:val="21"/>
              </w:rPr>
            </w:pPr>
          </w:p>
        </w:tc>
        <w:tc>
          <w:tcPr>
            <w:tcW w:w="369" w:type="pct"/>
            <w:vMerge w:val="continue"/>
            <w:vAlign w:val="center"/>
          </w:tcPr>
          <w:p w14:paraId="2CDDC3AF">
            <w:pPr>
              <w:spacing w:line="300" w:lineRule="exact"/>
              <w:jc w:val="center"/>
              <w:rPr>
                <w:szCs w:val="21"/>
              </w:rPr>
            </w:pPr>
          </w:p>
        </w:tc>
        <w:tc>
          <w:tcPr>
            <w:tcW w:w="258" w:type="pct"/>
            <w:vMerge w:val="continue"/>
            <w:vAlign w:val="center"/>
          </w:tcPr>
          <w:p w14:paraId="48E46B54">
            <w:pPr>
              <w:spacing w:line="300" w:lineRule="exact"/>
              <w:jc w:val="center"/>
              <w:rPr>
                <w:szCs w:val="21"/>
              </w:rPr>
            </w:pPr>
          </w:p>
        </w:tc>
        <w:tc>
          <w:tcPr>
            <w:tcW w:w="302" w:type="pct"/>
            <w:vAlign w:val="center"/>
          </w:tcPr>
          <w:p w14:paraId="11DBEA38">
            <w:pPr>
              <w:spacing w:line="300" w:lineRule="exact"/>
              <w:jc w:val="center"/>
              <w:rPr>
                <w:szCs w:val="21"/>
              </w:rPr>
            </w:pPr>
            <w:r>
              <w:rPr>
                <w:rFonts w:hint="eastAsia"/>
                <w:szCs w:val="21"/>
              </w:rPr>
              <w:t>SO</w:t>
            </w:r>
            <w:r>
              <w:rPr>
                <w:rFonts w:hint="eastAsia"/>
                <w:szCs w:val="21"/>
                <w:vertAlign w:val="subscript"/>
              </w:rPr>
              <w:t>2</w:t>
            </w:r>
          </w:p>
        </w:tc>
        <w:tc>
          <w:tcPr>
            <w:tcW w:w="336" w:type="pct"/>
            <w:vAlign w:val="center"/>
          </w:tcPr>
          <w:p w14:paraId="5E6A8461">
            <w:pPr>
              <w:spacing w:line="300" w:lineRule="exact"/>
              <w:jc w:val="center"/>
              <w:rPr>
                <w:rFonts w:hint="default" w:eastAsia="宋体"/>
                <w:szCs w:val="21"/>
                <w:lang w:val="en-US" w:eastAsia="zh-CN"/>
              </w:rPr>
            </w:pPr>
            <w:r>
              <w:rPr>
                <w:rFonts w:hint="eastAsia"/>
                <w:szCs w:val="21"/>
              </w:rPr>
              <w:t>0.</w:t>
            </w:r>
            <w:r>
              <w:rPr>
                <w:rFonts w:hint="eastAsia"/>
                <w:szCs w:val="21"/>
                <w:lang w:val="en-US" w:eastAsia="zh-CN"/>
              </w:rPr>
              <w:t>003</w:t>
            </w:r>
          </w:p>
        </w:tc>
      </w:tr>
      <w:tr w14:paraId="4E67C3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79" w:hRule="atLeast"/>
          <w:jc w:val="center"/>
        </w:trPr>
        <w:tc>
          <w:tcPr>
            <w:tcW w:w="298" w:type="pct"/>
            <w:vMerge w:val="continue"/>
            <w:vAlign w:val="center"/>
          </w:tcPr>
          <w:p w14:paraId="168D9E63">
            <w:pPr>
              <w:spacing w:line="300" w:lineRule="exact"/>
              <w:jc w:val="center"/>
              <w:rPr>
                <w:szCs w:val="21"/>
              </w:rPr>
            </w:pPr>
          </w:p>
        </w:tc>
        <w:tc>
          <w:tcPr>
            <w:tcW w:w="577" w:type="pct"/>
            <w:vMerge w:val="continue"/>
            <w:vAlign w:val="center"/>
          </w:tcPr>
          <w:p w14:paraId="15E5D347">
            <w:pPr>
              <w:spacing w:line="300" w:lineRule="exact"/>
              <w:jc w:val="center"/>
              <w:rPr>
                <w:szCs w:val="21"/>
              </w:rPr>
            </w:pPr>
          </w:p>
        </w:tc>
        <w:tc>
          <w:tcPr>
            <w:tcW w:w="501" w:type="pct"/>
            <w:vMerge w:val="continue"/>
            <w:vAlign w:val="center"/>
          </w:tcPr>
          <w:p w14:paraId="478CC7D9">
            <w:pPr>
              <w:spacing w:line="300" w:lineRule="exact"/>
              <w:jc w:val="center"/>
              <w:rPr>
                <w:szCs w:val="21"/>
              </w:rPr>
            </w:pPr>
          </w:p>
        </w:tc>
        <w:tc>
          <w:tcPr>
            <w:tcW w:w="536" w:type="pct"/>
            <w:vMerge w:val="continue"/>
            <w:vAlign w:val="center"/>
          </w:tcPr>
          <w:p w14:paraId="7411812E">
            <w:pPr>
              <w:spacing w:line="300" w:lineRule="exact"/>
              <w:jc w:val="center"/>
              <w:rPr>
                <w:szCs w:val="21"/>
              </w:rPr>
            </w:pPr>
          </w:p>
        </w:tc>
        <w:tc>
          <w:tcPr>
            <w:tcW w:w="474" w:type="pct"/>
            <w:vMerge w:val="continue"/>
            <w:vAlign w:val="center"/>
          </w:tcPr>
          <w:p w14:paraId="3C95E752">
            <w:pPr>
              <w:spacing w:line="300" w:lineRule="exact"/>
              <w:jc w:val="center"/>
              <w:rPr>
                <w:szCs w:val="21"/>
              </w:rPr>
            </w:pPr>
          </w:p>
        </w:tc>
        <w:tc>
          <w:tcPr>
            <w:tcW w:w="294" w:type="pct"/>
            <w:vMerge w:val="continue"/>
            <w:vAlign w:val="center"/>
          </w:tcPr>
          <w:p w14:paraId="36CC19A2">
            <w:pPr>
              <w:spacing w:line="300" w:lineRule="exact"/>
              <w:jc w:val="center"/>
              <w:rPr>
                <w:szCs w:val="21"/>
              </w:rPr>
            </w:pPr>
          </w:p>
        </w:tc>
        <w:tc>
          <w:tcPr>
            <w:tcW w:w="323" w:type="pct"/>
            <w:vMerge w:val="continue"/>
            <w:vAlign w:val="center"/>
          </w:tcPr>
          <w:p w14:paraId="4B9537D7">
            <w:pPr>
              <w:spacing w:line="300" w:lineRule="exact"/>
              <w:jc w:val="center"/>
              <w:rPr>
                <w:szCs w:val="21"/>
              </w:rPr>
            </w:pPr>
          </w:p>
        </w:tc>
        <w:tc>
          <w:tcPr>
            <w:tcW w:w="379" w:type="pct"/>
            <w:vMerge w:val="continue"/>
            <w:vAlign w:val="center"/>
          </w:tcPr>
          <w:p w14:paraId="7B53321D">
            <w:pPr>
              <w:spacing w:line="300" w:lineRule="exact"/>
              <w:jc w:val="center"/>
              <w:rPr>
                <w:szCs w:val="21"/>
              </w:rPr>
            </w:pPr>
          </w:p>
        </w:tc>
        <w:tc>
          <w:tcPr>
            <w:tcW w:w="349" w:type="pct"/>
            <w:vMerge w:val="continue"/>
            <w:vAlign w:val="center"/>
          </w:tcPr>
          <w:p w14:paraId="7F895A06">
            <w:pPr>
              <w:spacing w:line="300" w:lineRule="exact"/>
              <w:jc w:val="center"/>
              <w:rPr>
                <w:szCs w:val="21"/>
              </w:rPr>
            </w:pPr>
          </w:p>
        </w:tc>
        <w:tc>
          <w:tcPr>
            <w:tcW w:w="369" w:type="pct"/>
            <w:vMerge w:val="continue"/>
            <w:vAlign w:val="center"/>
          </w:tcPr>
          <w:p w14:paraId="3815729F">
            <w:pPr>
              <w:spacing w:line="300" w:lineRule="exact"/>
              <w:jc w:val="center"/>
              <w:rPr>
                <w:szCs w:val="21"/>
              </w:rPr>
            </w:pPr>
          </w:p>
        </w:tc>
        <w:tc>
          <w:tcPr>
            <w:tcW w:w="258" w:type="pct"/>
            <w:vMerge w:val="continue"/>
            <w:vAlign w:val="center"/>
          </w:tcPr>
          <w:p w14:paraId="7AD95655">
            <w:pPr>
              <w:spacing w:line="300" w:lineRule="exact"/>
              <w:jc w:val="center"/>
              <w:rPr>
                <w:szCs w:val="21"/>
              </w:rPr>
            </w:pPr>
          </w:p>
        </w:tc>
        <w:tc>
          <w:tcPr>
            <w:tcW w:w="302" w:type="pct"/>
            <w:vAlign w:val="center"/>
          </w:tcPr>
          <w:p w14:paraId="149226B4">
            <w:pPr>
              <w:spacing w:line="300" w:lineRule="exact"/>
              <w:jc w:val="center"/>
              <w:rPr>
                <w:szCs w:val="21"/>
              </w:rPr>
            </w:pPr>
            <w:r>
              <w:rPr>
                <w:rFonts w:hint="eastAsia"/>
                <w:szCs w:val="21"/>
              </w:rPr>
              <w:t>NO</w:t>
            </w:r>
            <w:r>
              <w:rPr>
                <w:rFonts w:hint="eastAsia"/>
                <w:szCs w:val="21"/>
                <w:vertAlign w:val="subscript"/>
              </w:rPr>
              <w:t>x</w:t>
            </w:r>
          </w:p>
        </w:tc>
        <w:tc>
          <w:tcPr>
            <w:tcW w:w="336" w:type="pct"/>
            <w:vAlign w:val="center"/>
          </w:tcPr>
          <w:p w14:paraId="4F923D6A">
            <w:pPr>
              <w:spacing w:line="300" w:lineRule="exact"/>
              <w:jc w:val="center"/>
              <w:rPr>
                <w:rFonts w:hint="default" w:eastAsia="宋体"/>
                <w:szCs w:val="21"/>
                <w:lang w:val="en-US" w:eastAsia="zh-CN"/>
              </w:rPr>
            </w:pPr>
            <w:r>
              <w:rPr>
                <w:rFonts w:hint="eastAsia"/>
                <w:szCs w:val="21"/>
              </w:rPr>
              <w:t>0.</w:t>
            </w:r>
            <w:r>
              <w:rPr>
                <w:rFonts w:hint="eastAsia"/>
                <w:szCs w:val="21"/>
                <w:lang w:val="en-US" w:eastAsia="zh-CN"/>
              </w:rPr>
              <w:t>460</w:t>
            </w:r>
          </w:p>
        </w:tc>
      </w:tr>
      <w:tr w14:paraId="3E734B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98" w:type="pct"/>
            <w:vMerge w:val="restart"/>
            <w:vAlign w:val="center"/>
          </w:tcPr>
          <w:p w14:paraId="4FF992E2">
            <w:pPr>
              <w:spacing w:line="300" w:lineRule="exact"/>
              <w:jc w:val="center"/>
              <w:rPr>
                <w:szCs w:val="21"/>
              </w:rPr>
            </w:pPr>
            <w:r>
              <w:rPr>
                <w:rFonts w:hint="eastAsia"/>
                <w:szCs w:val="21"/>
                <w:lang w:val="en-US" w:eastAsia="zh-CN"/>
              </w:rPr>
              <w:t>DA00</w:t>
            </w:r>
            <w:r>
              <w:rPr>
                <w:rFonts w:hint="eastAsia"/>
                <w:szCs w:val="21"/>
              </w:rPr>
              <w:t>2</w:t>
            </w:r>
          </w:p>
        </w:tc>
        <w:tc>
          <w:tcPr>
            <w:tcW w:w="577" w:type="pct"/>
            <w:vMerge w:val="restart"/>
            <w:vAlign w:val="center"/>
          </w:tcPr>
          <w:p w14:paraId="7CF6DEBB">
            <w:pPr>
              <w:spacing w:line="300" w:lineRule="exact"/>
              <w:jc w:val="center"/>
              <w:rPr>
                <w:bCs/>
                <w:szCs w:val="21"/>
              </w:rPr>
            </w:pPr>
            <w:r>
              <w:rPr>
                <w:rFonts w:hint="eastAsia"/>
                <w:bCs/>
                <w:szCs w:val="21"/>
              </w:rPr>
              <w:t>导热油炉烟囱</w:t>
            </w:r>
          </w:p>
        </w:tc>
        <w:tc>
          <w:tcPr>
            <w:tcW w:w="501" w:type="pct"/>
            <w:vMerge w:val="restart"/>
            <w:vAlign w:val="center"/>
          </w:tcPr>
          <w:p w14:paraId="0958DB68">
            <w:pPr>
              <w:spacing w:line="300" w:lineRule="exact"/>
              <w:jc w:val="center"/>
              <w:rPr>
                <w:szCs w:val="21"/>
              </w:rPr>
            </w:pPr>
            <w:r>
              <w:rPr>
                <w:rFonts w:hint="eastAsia"/>
                <w:szCs w:val="21"/>
              </w:rPr>
              <w:t>40.</w:t>
            </w:r>
            <w:r>
              <w:rPr>
                <w:rFonts w:hint="eastAsia"/>
                <w:szCs w:val="21"/>
                <w:lang w:val="en-US" w:eastAsia="zh-CN"/>
              </w:rPr>
              <w:t>41383053</w:t>
            </w:r>
            <w:r>
              <w:rPr>
                <w:szCs w:val="21"/>
              </w:rPr>
              <w:t>°</w:t>
            </w:r>
          </w:p>
        </w:tc>
        <w:tc>
          <w:tcPr>
            <w:tcW w:w="536" w:type="pct"/>
            <w:vMerge w:val="restart"/>
            <w:vAlign w:val="center"/>
          </w:tcPr>
          <w:p w14:paraId="5BEA8DA0">
            <w:pPr>
              <w:spacing w:line="300" w:lineRule="exact"/>
              <w:jc w:val="center"/>
              <w:rPr>
                <w:szCs w:val="21"/>
              </w:rPr>
            </w:pPr>
            <w:r>
              <w:rPr>
                <w:szCs w:val="21"/>
              </w:rPr>
              <w:t>11</w:t>
            </w:r>
            <w:r>
              <w:rPr>
                <w:rFonts w:hint="eastAsia"/>
                <w:szCs w:val="21"/>
                <w:lang w:val="en-US" w:eastAsia="zh-CN"/>
              </w:rPr>
              <w:t>4.10426161</w:t>
            </w:r>
            <w:r>
              <w:rPr>
                <w:szCs w:val="21"/>
              </w:rPr>
              <w:t>°</w:t>
            </w:r>
          </w:p>
        </w:tc>
        <w:tc>
          <w:tcPr>
            <w:tcW w:w="474" w:type="pct"/>
            <w:vMerge w:val="restart"/>
            <w:vAlign w:val="center"/>
          </w:tcPr>
          <w:p w14:paraId="60D2A2A7">
            <w:pPr>
              <w:spacing w:line="300" w:lineRule="exact"/>
              <w:jc w:val="center"/>
              <w:rPr>
                <w:szCs w:val="21"/>
              </w:rPr>
            </w:pPr>
            <w:r>
              <w:rPr>
                <w:rFonts w:hint="eastAsia"/>
                <w:szCs w:val="21"/>
              </w:rPr>
              <w:t>1150</w:t>
            </w:r>
          </w:p>
        </w:tc>
        <w:tc>
          <w:tcPr>
            <w:tcW w:w="294" w:type="pct"/>
            <w:vMerge w:val="restart"/>
            <w:vAlign w:val="center"/>
          </w:tcPr>
          <w:p w14:paraId="115FF448">
            <w:pPr>
              <w:spacing w:line="300" w:lineRule="exact"/>
              <w:jc w:val="center"/>
              <w:rPr>
                <w:szCs w:val="21"/>
              </w:rPr>
            </w:pPr>
            <w:r>
              <w:rPr>
                <w:rFonts w:hint="eastAsia"/>
                <w:szCs w:val="21"/>
              </w:rPr>
              <w:t>8</w:t>
            </w:r>
          </w:p>
        </w:tc>
        <w:tc>
          <w:tcPr>
            <w:tcW w:w="323" w:type="pct"/>
            <w:vMerge w:val="restart"/>
            <w:vAlign w:val="center"/>
          </w:tcPr>
          <w:p w14:paraId="4E11BFBE">
            <w:pPr>
              <w:spacing w:line="300" w:lineRule="exact"/>
              <w:jc w:val="center"/>
              <w:rPr>
                <w:rFonts w:hint="eastAsia" w:eastAsia="宋体"/>
                <w:szCs w:val="21"/>
                <w:lang w:eastAsia="zh-CN"/>
              </w:rPr>
            </w:pPr>
            <w:r>
              <w:rPr>
                <w:rFonts w:hint="eastAsia"/>
                <w:szCs w:val="21"/>
              </w:rPr>
              <w:t>0.</w:t>
            </w:r>
            <w:r>
              <w:rPr>
                <w:rFonts w:hint="eastAsia"/>
                <w:szCs w:val="21"/>
                <w:lang w:val="en-US" w:eastAsia="zh-CN"/>
              </w:rPr>
              <w:t>3</w:t>
            </w:r>
          </w:p>
        </w:tc>
        <w:tc>
          <w:tcPr>
            <w:tcW w:w="379" w:type="pct"/>
            <w:vMerge w:val="restart"/>
            <w:vAlign w:val="center"/>
          </w:tcPr>
          <w:p w14:paraId="643029C3">
            <w:pPr>
              <w:spacing w:line="300" w:lineRule="exact"/>
              <w:jc w:val="center"/>
              <w:rPr>
                <w:rFonts w:hint="default" w:eastAsia="宋体"/>
                <w:szCs w:val="21"/>
                <w:lang w:val="en-US" w:eastAsia="zh-CN"/>
              </w:rPr>
            </w:pPr>
            <w:r>
              <w:rPr>
                <w:rFonts w:hint="eastAsia"/>
                <w:szCs w:val="21"/>
                <w:lang w:val="en-US" w:eastAsia="zh-CN"/>
              </w:rPr>
              <w:t>10.81</w:t>
            </w:r>
          </w:p>
        </w:tc>
        <w:tc>
          <w:tcPr>
            <w:tcW w:w="349" w:type="pct"/>
            <w:vMerge w:val="restart"/>
            <w:vAlign w:val="center"/>
          </w:tcPr>
          <w:p w14:paraId="3375B6A2">
            <w:pPr>
              <w:spacing w:line="300" w:lineRule="exact"/>
              <w:jc w:val="center"/>
              <w:rPr>
                <w:rFonts w:hint="default" w:eastAsia="宋体"/>
                <w:szCs w:val="21"/>
                <w:lang w:val="en-US" w:eastAsia="zh-CN"/>
              </w:rPr>
            </w:pPr>
            <w:r>
              <w:rPr>
                <w:rFonts w:hint="eastAsia"/>
                <w:szCs w:val="21"/>
              </w:rPr>
              <w:t>3</w:t>
            </w:r>
            <w:r>
              <w:rPr>
                <w:rFonts w:hint="eastAsia"/>
                <w:szCs w:val="21"/>
                <w:lang w:val="en-US" w:eastAsia="zh-CN"/>
              </w:rPr>
              <w:t>98</w:t>
            </w:r>
          </w:p>
        </w:tc>
        <w:tc>
          <w:tcPr>
            <w:tcW w:w="369" w:type="pct"/>
            <w:vMerge w:val="restart"/>
            <w:vAlign w:val="center"/>
          </w:tcPr>
          <w:p w14:paraId="7999E7C8">
            <w:pPr>
              <w:spacing w:line="300" w:lineRule="exact"/>
              <w:jc w:val="center"/>
              <w:rPr>
                <w:szCs w:val="21"/>
              </w:rPr>
            </w:pPr>
            <w:r>
              <w:rPr>
                <w:rFonts w:hint="eastAsia"/>
                <w:szCs w:val="21"/>
              </w:rPr>
              <w:t>1200</w:t>
            </w:r>
          </w:p>
        </w:tc>
        <w:tc>
          <w:tcPr>
            <w:tcW w:w="258" w:type="pct"/>
            <w:vMerge w:val="restart"/>
            <w:vAlign w:val="center"/>
          </w:tcPr>
          <w:p w14:paraId="6A021302">
            <w:pPr>
              <w:spacing w:line="300" w:lineRule="exact"/>
              <w:jc w:val="center"/>
              <w:rPr>
                <w:szCs w:val="21"/>
              </w:rPr>
            </w:pPr>
            <w:r>
              <w:rPr>
                <w:rFonts w:hint="eastAsia"/>
                <w:szCs w:val="21"/>
              </w:rPr>
              <w:t>正常</w:t>
            </w:r>
          </w:p>
        </w:tc>
        <w:tc>
          <w:tcPr>
            <w:tcW w:w="302" w:type="pct"/>
            <w:vAlign w:val="center"/>
          </w:tcPr>
          <w:p w14:paraId="31EB539D">
            <w:pPr>
              <w:spacing w:line="300" w:lineRule="exact"/>
              <w:jc w:val="center"/>
              <w:rPr>
                <w:szCs w:val="21"/>
              </w:rPr>
            </w:pPr>
            <w:r>
              <w:rPr>
                <w:rFonts w:hint="eastAsia"/>
                <w:szCs w:val="21"/>
              </w:rPr>
              <w:t>颗粒物</w:t>
            </w:r>
          </w:p>
        </w:tc>
        <w:tc>
          <w:tcPr>
            <w:tcW w:w="336" w:type="pct"/>
            <w:vAlign w:val="center"/>
          </w:tcPr>
          <w:p w14:paraId="6F38E6FF">
            <w:pPr>
              <w:spacing w:line="300" w:lineRule="exact"/>
              <w:jc w:val="center"/>
              <w:rPr>
                <w:rFonts w:hint="eastAsia" w:eastAsia="宋体"/>
                <w:szCs w:val="21"/>
                <w:lang w:eastAsia="zh-CN"/>
              </w:rPr>
            </w:pPr>
            <w:r>
              <w:rPr>
                <w:rFonts w:hint="eastAsia"/>
                <w:szCs w:val="21"/>
              </w:rPr>
              <w:t>0.00</w:t>
            </w:r>
            <w:r>
              <w:rPr>
                <w:rFonts w:hint="eastAsia"/>
                <w:szCs w:val="21"/>
                <w:lang w:val="en-US" w:eastAsia="zh-CN"/>
              </w:rPr>
              <w:t>9</w:t>
            </w:r>
          </w:p>
        </w:tc>
      </w:tr>
      <w:tr w14:paraId="043D1F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298" w:type="pct"/>
            <w:vMerge w:val="continue"/>
            <w:vAlign w:val="center"/>
          </w:tcPr>
          <w:p w14:paraId="617DAAA9">
            <w:pPr>
              <w:spacing w:line="300" w:lineRule="exact"/>
              <w:jc w:val="center"/>
              <w:rPr>
                <w:szCs w:val="21"/>
              </w:rPr>
            </w:pPr>
          </w:p>
        </w:tc>
        <w:tc>
          <w:tcPr>
            <w:tcW w:w="577" w:type="pct"/>
            <w:vMerge w:val="continue"/>
            <w:vAlign w:val="center"/>
          </w:tcPr>
          <w:p w14:paraId="6D1C28EA">
            <w:pPr>
              <w:spacing w:line="300" w:lineRule="exact"/>
              <w:jc w:val="center"/>
              <w:rPr>
                <w:bCs/>
                <w:szCs w:val="21"/>
              </w:rPr>
            </w:pPr>
          </w:p>
        </w:tc>
        <w:tc>
          <w:tcPr>
            <w:tcW w:w="501" w:type="pct"/>
            <w:vMerge w:val="continue"/>
            <w:vAlign w:val="center"/>
          </w:tcPr>
          <w:p w14:paraId="0195F8F2">
            <w:pPr>
              <w:spacing w:line="300" w:lineRule="exact"/>
              <w:jc w:val="center"/>
              <w:rPr>
                <w:szCs w:val="21"/>
              </w:rPr>
            </w:pPr>
          </w:p>
        </w:tc>
        <w:tc>
          <w:tcPr>
            <w:tcW w:w="536" w:type="pct"/>
            <w:vMerge w:val="continue"/>
            <w:vAlign w:val="center"/>
          </w:tcPr>
          <w:p w14:paraId="1DA91862">
            <w:pPr>
              <w:spacing w:line="300" w:lineRule="exact"/>
              <w:jc w:val="center"/>
              <w:rPr>
                <w:szCs w:val="21"/>
              </w:rPr>
            </w:pPr>
          </w:p>
        </w:tc>
        <w:tc>
          <w:tcPr>
            <w:tcW w:w="474" w:type="pct"/>
            <w:vMerge w:val="continue"/>
            <w:vAlign w:val="center"/>
          </w:tcPr>
          <w:p w14:paraId="024E8C85">
            <w:pPr>
              <w:spacing w:line="300" w:lineRule="exact"/>
              <w:jc w:val="center"/>
              <w:rPr>
                <w:szCs w:val="21"/>
              </w:rPr>
            </w:pPr>
          </w:p>
        </w:tc>
        <w:tc>
          <w:tcPr>
            <w:tcW w:w="294" w:type="pct"/>
            <w:vMerge w:val="continue"/>
            <w:vAlign w:val="center"/>
          </w:tcPr>
          <w:p w14:paraId="2234DC94">
            <w:pPr>
              <w:spacing w:line="300" w:lineRule="exact"/>
              <w:jc w:val="center"/>
              <w:rPr>
                <w:szCs w:val="21"/>
              </w:rPr>
            </w:pPr>
          </w:p>
        </w:tc>
        <w:tc>
          <w:tcPr>
            <w:tcW w:w="323" w:type="pct"/>
            <w:vMerge w:val="continue"/>
            <w:vAlign w:val="center"/>
          </w:tcPr>
          <w:p w14:paraId="101CBD61">
            <w:pPr>
              <w:spacing w:line="300" w:lineRule="exact"/>
              <w:jc w:val="center"/>
              <w:rPr>
                <w:szCs w:val="21"/>
              </w:rPr>
            </w:pPr>
          </w:p>
        </w:tc>
        <w:tc>
          <w:tcPr>
            <w:tcW w:w="379" w:type="pct"/>
            <w:vMerge w:val="continue"/>
            <w:vAlign w:val="center"/>
          </w:tcPr>
          <w:p w14:paraId="195184B8">
            <w:pPr>
              <w:spacing w:line="300" w:lineRule="exact"/>
              <w:jc w:val="center"/>
              <w:rPr>
                <w:szCs w:val="21"/>
              </w:rPr>
            </w:pPr>
          </w:p>
        </w:tc>
        <w:tc>
          <w:tcPr>
            <w:tcW w:w="349" w:type="pct"/>
            <w:vMerge w:val="continue"/>
            <w:vAlign w:val="center"/>
          </w:tcPr>
          <w:p w14:paraId="16F4B3BC">
            <w:pPr>
              <w:spacing w:line="300" w:lineRule="exact"/>
              <w:jc w:val="center"/>
              <w:rPr>
                <w:szCs w:val="21"/>
              </w:rPr>
            </w:pPr>
          </w:p>
        </w:tc>
        <w:tc>
          <w:tcPr>
            <w:tcW w:w="369" w:type="pct"/>
            <w:vMerge w:val="continue"/>
            <w:vAlign w:val="center"/>
          </w:tcPr>
          <w:p w14:paraId="5FADD284">
            <w:pPr>
              <w:spacing w:line="300" w:lineRule="exact"/>
              <w:jc w:val="center"/>
              <w:rPr>
                <w:szCs w:val="21"/>
              </w:rPr>
            </w:pPr>
          </w:p>
        </w:tc>
        <w:tc>
          <w:tcPr>
            <w:tcW w:w="258" w:type="pct"/>
            <w:vMerge w:val="continue"/>
            <w:vAlign w:val="center"/>
          </w:tcPr>
          <w:p w14:paraId="11510126">
            <w:pPr>
              <w:spacing w:line="300" w:lineRule="exact"/>
              <w:jc w:val="center"/>
              <w:rPr>
                <w:szCs w:val="21"/>
              </w:rPr>
            </w:pPr>
          </w:p>
        </w:tc>
        <w:tc>
          <w:tcPr>
            <w:tcW w:w="302" w:type="pct"/>
            <w:vAlign w:val="center"/>
          </w:tcPr>
          <w:p w14:paraId="511DDCE6">
            <w:pPr>
              <w:spacing w:line="300" w:lineRule="exact"/>
              <w:jc w:val="center"/>
              <w:rPr>
                <w:szCs w:val="21"/>
              </w:rPr>
            </w:pPr>
            <w:r>
              <w:rPr>
                <w:rFonts w:hint="eastAsia"/>
                <w:szCs w:val="21"/>
              </w:rPr>
              <w:t>SO</w:t>
            </w:r>
            <w:r>
              <w:rPr>
                <w:rFonts w:hint="eastAsia"/>
                <w:szCs w:val="21"/>
                <w:vertAlign w:val="subscript"/>
              </w:rPr>
              <w:t>2</w:t>
            </w:r>
          </w:p>
        </w:tc>
        <w:tc>
          <w:tcPr>
            <w:tcW w:w="336" w:type="pct"/>
            <w:vAlign w:val="center"/>
          </w:tcPr>
          <w:p w14:paraId="4812C447">
            <w:pPr>
              <w:spacing w:line="300" w:lineRule="exact"/>
              <w:jc w:val="center"/>
              <w:rPr>
                <w:rFonts w:hint="eastAsia" w:eastAsia="宋体"/>
                <w:szCs w:val="21"/>
                <w:lang w:val="en-US" w:eastAsia="zh-CN"/>
              </w:rPr>
            </w:pPr>
            <w:r>
              <w:rPr>
                <w:rFonts w:hint="eastAsia"/>
                <w:szCs w:val="21"/>
              </w:rPr>
              <w:t>0.00</w:t>
            </w:r>
            <w:r>
              <w:rPr>
                <w:rFonts w:hint="eastAsia"/>
                <w:szCs w:val="21"/>
                <w:lang w:val="en-US" w:eastAsia="zh-CN"/>
              </w:rPr>
              <w:t>1</w:t>
            </w:r>
          </w:p>
        </w:tc>
      </w:tr>
      <w:tr w14:paraId="53137D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98" w:type="pct"/>
            <w:vMerge w:val="continue"/>
            <w:vAlign w:val="center"/>
          </w:tcPr>
          <w:p w14:paraId="0429BE84">
            <w:pPr>
              <w:spacing w:line="300" w:lineRule="exact"/>
              <w:jc w:val="center"/>
              <w:rPr>
                <w:szCs w:val="21"/>
              </w:rPr>
            </w:pPr>
          </w:p>
        </w:tc>
        <w:tc>
          <w:tcPr>
            <w:tcW w:w="577" w:type="pct"/>
            <w:vMerge w:val="continue"/>
            <w:vAlign w:val="center"/>
          </w:tcPr>
          <w:p w14:paraId="790B28B9">
            <w:pPr>
              <w:spacing w:line="300" w:lineRule="exact"/>
              <w:jc w:val="center"/>
              <w:rPr>
                <w:bCs/>
                <w:szCs w:val="21"/>
              </w:rPr>
            </w:pPr>
          </w:p>
        </w:tc>
        <w:tc>
          <w:tcPr>
            <w:tcW w:w="501" w:type="pct"/>
            <w:vMerge w:val="continue"/>
            <w:vAlign w:val="center"/>
          </w:tcPr>
          <w:p w14:paraId="0AA8C433">
            <w:pPr>
              <w:spacing w:line="300" w:lineRule="exact"/>
              <w:jc w:val="center"/>
              <w:rPr>
                <w:szCs w:val="21"/>
              </w:rPr>
            </w:pPr>
          </w:p>
        </w:tc>
        <w:tc>
          <w:tcPr>
            <w:tcW w:w="536" w:type="pct"/>
            <w:vMerge w:val="continue"/>
            <w:vAlign w:val="center"/>
          </w:tcPr>
          <w:p w14:paraId="370BDF75">
            <w:pPr>
              <w:spacing w:line="300" w:lineRule="exact"/>
              <w:jc w:val="center"/>
              <w:rPr>
                <w:szCs w:val="21"/>
              </w:rPr>
            </w:pPr>
          </w:p>
        </w:tc>
        <w:tc>
          <w:tcPr>
            <w:tcW w:w="474" w:type="pct"/>
            <w:vMerge w:val="continue"/>
            <w:vAlign w:val="center"/>
          </w:tcPr>
          <w:p w14:paraId="6B6F10DD">
            <w:pPr>
              <w:spacing w:line="300" w:lineRule="exact"/>
              <w:jc w:val="center"/>
              <w:rPr>
                <w:szCs w:val="21"/>
              </w:rPr>
            </w:pPr>
          </w:p>
        </w:tc>
        <w:tc>
          <w:tcPr>
            <w:tcW w:w="294" w:type="pct"/>
            <w:vMerge w:val="continue"/>
            <w:vAlign w:val="center"/>
          </w:tcPr>
          <w:p w14:paraId="0DC4F4C1">
            <w:pPr>
              <w:spacing w:line="300" w:lineRule="exact"/>
              <w:jc w:val="center"/>
              <w:rPr>
                <w:szCs w:val="21"/>
              </w:rPr>
            </w:pPr>
          </w:p>
        </w:tc>
        <w:tc>
          <w:tcPr>
            <w:tcW w:w="323" w:type="pct"/>
            <w:vMerge w:val="continue"/>
            <w:vAlign w:val="center"/>
          </w:tcPr>
          <w:p w14:paraId="75A6EF75">
            <w:pPr>
              <w:spacing w:line="300" w:lineRule="exact"/>
              <w:jc w:val="center"/>
              <w:rPr>
                <w:szCs w:val="21"/>
              </w:rPr>
            </w:pPr>
          </w:p>
        </w:tc>
        <w:tc>
          <w:tcPr>
            <w:tcW w:w="379" w:type="pct"/>
            <w:vMerge w:val="continue"/>
            <w:vAlign w:val="center"/>
          </w:tcPr>
          <w:p w14:paraId="3CBD2A49">
            <w:pPr>
              <w:spacing w:line="300" w:lineRule="exact"/>
              <w:jc w:val="center"/>
              <w:rPr>
                <w:szCs w:val="21"/>
              </w:rPr>
            </w:pPr>
          </w:p>
        </w:tc>
        <w:tc>
          <w:tcPr>
            <w:tcW w:w="349" w:type="pct"/>
            <w:vMerge w:val="continue"/>
            <w:vAlign w:val="center"/>
          </w:tcPr>
          <w:p w14:paraId="4882557C">
            <w:pPr>
              <w:spacing w:line="300" w:lineRule="exact"/>
              <w:jc w:val="center"/>
              <w:rPr>
                <w:szCs w:val="21"/>
              </w:rPr>
            </w:pPr>
          </w:p>
        </w:tc>
        <w:tc>
          <w:tcPr>
            <w:tcW w:w="369" w:type="pct"/>
            <w:vMerge w:val="continue"/>
            <w:vAlign w:val="center"/>
          </w:tcPr>
          <w:p w14:paraId="45642FFF">
            <w:pPr>
              <w:spacing w:line="300" w:lineRule="exact"/>
              <w:jc w:val="center"/>
              <w:rPr>
                <w:szCs w:val="21"/>
              </w:rPr>
            </w:pPr>
          </w:p>
        </w:tc>
        <w:tc>
          <w:tcPr>
            <w:tcW w:w="258" w:type="pct"/>
            <w:vMerge w:val="continue"/>
            <w:vAlign w:val="center"/>
          </w:tcPr>
          <w:p w14:paraId="1F3D33F6">
            <w:pPr>
              <w:spacing w:line="300" w:lineRule="exact"/>
              <w:jc w:val="center"/>
              <w:rPr>
                <w:szCs w:val="21"/>
              </w:rPr>
            </w:pPr>
          </w:p>
        </w:tc>
        <w:tc>
          <w:tcPr>
            <w:tcW w:w="302" w:type="pct"/>
            <w:vAlign w:val="center"/>
          </w:tcPr>
          <w:p w14:paraId="49281BD2">
            <w:pPr>
              <w:spacing w:line="300" w:lineRule="exact"/>
              <w:jc w:val="center"/>
              <w:rPr>
                <w:szCs w:val="21"/>
              </w:rPr>
            </w:pPr>
            <w:r>
              <w:rPr>
                <w:rFonts w:hint="eastAsia"/>
                <w:szCs w:val="21"/>
              </w:rPr>
              <w:t>NO</w:t>
            </w:r>
            <w:r>
              <w:rPr>
                <w:rFonts w:hint="eastAsia"/>
                <w:szCs w:val="21"/>
                <w:vertAlign w:val="subscript"/>
              </w:rPr>
              <w:t>x</w:t>
            </w:r>
          </w:p>
        </w:tc>
        <w:tc>
          <w:tcPr>
            <w:tcW w:w="336" w:type="pct"/>
            <w:vAlign w:val="center"/>
          </w:tcPr>
          <w:p w14:paraId="5F019376">
            <w:pPr>
              <w:spacing w:line="300" w:lineRule="exact"/>
              <w:jc w:val="center"/>
              <w:rPr>
                <w:rFonts w:hint="default" w:eastAsia="宋体"/>
                <w:szCs w:val="21"/>
                <w:lang w:val="en-US" w:eastAsia="zh-CN"/>
              </w:rPr>
            </w:pPr>
            <w:r>
              <w:rPr>
                <w:rFonts w:hint="eastAsia"/>
                <w:szCs w:val="21"/>
              </w:rPr>
              <w:t>0.0</w:t>
            </w:r>
            <w:r>
              <w:rPr>
                <w:rFonts w:hint="eastAsia"/>
                <w:szCs w:val="21"/>
                <w:lang w:val="en-US" w:eastAsia="zh-CN"/>
              </w:rPr>
              <w:t>73</w:t>
            </w:r>
          </w:p>
        </w:tc>
      </w:tr>
      <w:tr w14:paraId="0B89BA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298" w:type="pct"/>
            <w:vMerge w:val="restart"/>
            <w:vAlign w:val="center"/>
          </w:tcPr>
          <w:p w14:paraId="60A707E7">
            <w:pPr>
              <w:spacing w:line="300" w:lineRule="exact"/>
              <w:jc w:val="center"/>
              <w:rPr>
                <w:szCs w:val="21"/>
              </w:rPr>
            </w:pPr>
          </w:p>
          <w:p w14:paraId="1C6C230B">
            <w:pPr>
              <w:spacing w:line="300" w:lineRule="exact"/>
              <w:jc w:val="center"/>
              <w:rPr>
                <w:rFonts w:hint="default"/>
                <w:szCs w:val="21"/>
                <w:lang w:val="en-US"/>
              </w:rPr>
            </w:pPr>
            <w:r>
              <w:rPr>
                <w:rFonts w:hint="eastAsia"/>
                <w:szCs w:val="21"/>
                <w:lang w:val="en-US" w:eastAsia="zh-CN"/>
              </w:rPr>
              <w:t>DA003</w:t>
            </w:r>
          </w:p>
        </w:tc>
        <w:tc>
          <w:tcPr>
            <w:tcW w:w="577" w:type="pct"/>
            <w:vMerge w:val="restart"/>
            <w:vAlign w:val="center"/>
          </w:tcPr>
          <w:p w14:paraId="4CF04633">
            <w:pPr>
              <w:spacing w:line="300" w:lineRule="exact"/>
              <w:jc w:val="center"/>
              <w:rPr>
                <w:bCs/>
                <w:szCs w:val="21"/>
              </w:rPr>
            </w:pPr>
            <w:r>
              <w:rPr>
                <w:rFonts w:hint="eastAsia"/>
                <w:bCs/>
                <w:szCs w:val="21"/>
              </w:rPr>
              <w:t>沥青</w:t>
            </w:r>
            <w:r>
              <w:rPr>
                <w:rFonts w:hint="eastAsia"/>
                <w:bCs/>
                <w:szCs w:val="21"/>
                <w:lang w:eastAsia="zh-CN"/>
              </w:rPr>
              <w:t>预</w:t>
            </w:r>
            <w:r>
              <w:rPr>
                <w:rFonts w:hint="eastAsia"/>
                <w:bCs/>
                <w:szCs w:val="21"/>
              </w:rPr>
              <w:t>处理</w:t>
            </w:r>
            <w:r>
              <w:rPr>
                <w:rFonts w:hint="eastAsia"/>
                <w:bCs/>
                <w:szCs w:val="21"/>
                <w:lang w:eastAsia="zh-CN"/>
              </w:rPr>
              <w:t>及搅拌废气</w:t>
            </w:r>
            <w:r>
              <w:rPr>
                <w:rFonts w:hint="eastAsia"/>
                <w:bCs/>
                <w:szCs w:val="21"/>
              </w:rPr>
              <w:t>装置</w:t>
            </w:r>
          </w:p>
        </w:tc>
        <w:tc>
          <w:tcPr>
            <w:tcW w:w="501" w:type="pct"/>
            <w:vMerge w:val="restart"/>
            <w:vAlign w:val="center"/>
          </w:tcPr>
          <w:p w14:paraId="4D64478E">
            <w:pPr>
              <w:spacing w:line="300" w:lineRule="exact"/>
              <w:jc w:val="center"/>
              <w:rPr>
                <w:szCs w:val="21"/>
              </w:rPr>
            </w:pPr>
            <w:r>
              <w:rPr>
                <w:rFonts w:hint="eastAsia"/>
                <w:szCs w:val="21"/>
              </w:rPr>
              <w:t>40.</w:t>
            </w:r>
            <w:r>
              <w:rPr>
                <w:rFonts w:hint="eastAsia"/>
                <w:szCs w:val="21"/>
                <w:lang w:val="en-US" w:eastAsia="zh-CN"/>
              </w:rPr>
              <w:t>41385199</w:t>
            </w:r>
            <w:r>
              <w:rPr>
                <w:szCs w:val="21"/>
              </w:rPr>
              <w:t>°</w:t>
            </w:r>
          </w:p>
        </w:tc>
        <w:tc>
          <w:tcPr>
            <w:tcW w:w="536" w:type="pct"/>
            <w:vMerge w:val="restart"/>
            <w:vAlign w:val="center"/>
          </w:tcPr>
          <w:p w14:paraId="0DCF5FF3">
            <w:pPr>
              <w:spacing w:line="300" w:lineRule="exact"/>
              <w:jc w:val="center"/>
              <w:rPr>
                <w:szCs w:val="21"/>
              </w:rPr>
            </w:pPr>
            <w:r>
              <w:rPr>
                <w:szCs w:val="21"/>
              </w:rPr>
              <w:t>11</w:t>
            </w:r>
            <w:r>
              <w:rPr>
                <w:rFonts w:hint="eastAsia"/>
                <w:szCs w:val="21"/>
                <w:lang w:val="en-US" w:eastAsia="zh-CN"/>
              </w:rPr>
              <w:t>4.10410604</w:t>
            </w:r>
            <w:r>
              <w:rPr>
                <w:szCs w:val="21"/>
              </w:rPr>
              <w:t>°</w:t>
            </w:r>
          </w:p>
        </w:tc>
        <w:tc>
          <w:tcPr>
            <w:tcW w:w="474" w:type="pct"/>
            <w:vMerge w:val="restart"/>
            <w:vAlign w:val="center"/>
          </w:tcPr>
          <w:p w14:paraId="4C03D8E3">
            <w:pPr>
              <w:spacing w:line="300" w:lineRule="exact"/>
              <w:jc w:val="center"/>
              <w:rPr>
                <w:szCs w:val="21"/>
              </w:rPr>
            </w:pPr>
            <w:r>
              <w:rPr>
                <w:rFonts w:hint="eastAsia"/>
                <w:szCs w:val="21"/>
              </w:rPr>
              <w:t>1150</w:t>
            </w:r>
          </w:p>
        </w:tc>
        <w:tc>
          <w:tcPr>
            <w:tcW w:w="294" w:type="pct"/>
            <w:vMerge w:val="restart"/>
            <w:vAlign w:val="center"/>
          </w:tcPr>
          <w:p w14:paraId="3F8FD02B">
            <w:pPr>
              <w:spacing w:line="300" w:lineRule="exact"/>
              <w:jc w:val="center"/>
              <w:rPr>
                <w:szCs w:val="21"/>
              </w:rPr>
            </w:pPr>
            <w:r>
              <w:rPr>
                <w:rFonts w:hint="eastAsia"/>
                <w:szCs w:val="21"/>
              </w:rPr>
              <w:t>15</w:t>
            </w:r>
          </w:p>
        </w:tc>
        <w:tc>
          <w:tcPr>
            <w:tcW w:w="323" w:type="pct"/>
            <w:vMerge w:val="restart"/>
            <w:vAlign w:val="center"/>
          </w:tcPr>
          <w:p w14:paraId="752395C0">
            <w:pPr>
              <w:spacing w:line="300" w:lineRule="exact"/>
              <w:jc w:val="center"/>
              <w:rPr>
                <w:rFonts w:hint="eastAsia" w:eastAsia="宋体"/>
                <w:szCs w:val="21"/>
                <w:lang w:eastAsia="zh-CN"/>
              </w:rPr>
            </w:pPr>
            <w:r>
              <w:rPr>
                <w:rFonts w:hint="eastAsia"/>
                <w:szCs w:val="21"/>
              </w:rPr>
              <w:t>0.</w:t>
            </w:r>
            <w:r>
              <w:rPr>
                <w:rFonts w:hint="eastAsia"/>
                <w:szCs w:val="21"/>
                <w:lang w:val="en-US" w:eastAsia="zh-CN"/>
              </w:rPr>
              <w:t>3</w:t>
            </w:r>
          </w:p>
        </w:tc>
        <w:tc>
          <w:tcPr>
            <w:tcW w:w="379" w:type="pct"/>
            <w:vMerge w:val="restart"/>
            <w:vAlign w:val="center"/>
          </w:tcPr>
          <w:p w14:paraId="2A17AF3F">
            <w:pPr>
              <w:spacing w:line="300" w:lineRule="exact"/>
              <w:jc w:val="center"/>
              <w:rPr>
                <w:rFonts w:hint="default" w:eastAsia="宋体"/>
                <w:szCs w:val="21"/>
                <w:lang w:val="en-US" w:eastAsia="zh-CN"/>
              </w:rPr>
            </w:pPr>
            <w:r>
              <w:rPr>
                <w:rFonts w:hint="eastAsia"/>
                <w:szCs w:val="21"/>
                <w:lang w:val="en-US" w:eastAsia="zh-CN"/>
              </w:rPr>
              <w:t>3.36</w:t>
            </w:r>
          </w:p>
        </w:tc>
        <w:tc>
          <w:tcPr>
            <w:tcW w:w="349" w:type="pct"/>
            <w:vMerge w:val="restart"/>
            <w:vAlign w:val="center"/>
          </w:tcPr>
          <w:p w14:paraId="2F96CCFE">
            <w:pPr>
              <w:spacing w:line="300" w:lineRule="exact"/>
              <w:jc w:val="center"/>
              <w:rPr>
                <w:rFonts w:hint="default" w:eastAsia="宋体"/>
                <w:szCs w:val="21"/>
                <w:lang w:val="en-US" w:eastAsia="zh-CN"/>
              </w:rPr>
            </w:pPr>
            <w:r>
              <w:rPr>
                <w:rFonts w:hint="eastAsia"/>
                <w:szCs w:val="21"/>
                <w:lang w:val="en-US" w:eastAsia="zh-CN"/>
              </w:rPr>
              <w:t>398</w:t>
            </w:r>
          </w:p>
        </w:tc>
        <w:tc>
          <w:tcPr>
            <w:tcW w:w="369" w:type="pct"/>
            <w:vMerge w:val="restart"/>
            <w:vAlign w:val="center"/>
          </w:tcPr>
          <w:p w14:paraId="3A5C9D37">
            <w:pPr>
              <w:spacing w:line="300" w:lineRule="exact"/>
              <w:jc w:val="center"/>
              <w:rPr>
                <w:szCs w:val="21"/>
              </w:rPr>
            </w:pPr>
            <w:r>
              <w:rPr>
                <w:rFonts w:hint="eastAsia"/>
                <w:szCs w:val="21"/>
              </w:rPr>
              <w:t>1200</w:t>
            </w:r>
          </w:p>
        </w:tc>
        <w:tc>
          <w:tcPr>
            <w:tcW w:w="258" w:type="pct"/>
            <w:vMerge w:val="restart"/>
            <w:vAlign w:val="center"/>
          </w:tcPr>
          <w:p w14:paraId="2410A272">
            <w:pPr>
              <w:spacing w:line="300" w:lineRule="exact"/>
              <w:jc w:val="center"/>
              <w:rPr>
                <w:szCs w:val="21"/>
              </w:rPr>
            </w:pPr>
            <w:r>
              <w:rPr>
                <w:rFonts w:hint="eastAsia"/>
                <w:szCs w:val="21"/>
              </w:rPr>
              <w:t>正常</w:t>
            </w:r>
          </w:p>
        </w:tc>
        <w:tc>
          <w:tcPr>
            <w:tcW w:w="302" w:type="pct"/>
            <w:vAlign w:val="center"/>
          </w:tcPr>
          <w:p w14:paraId="3E261526">
            <w:pPr>
              <w:spacing w:line="300" w:lineRule="exact"/>
              <w:jc w:val="center"/>
              <w:rPr>
                <w:rFonts w:hint="eastAsia" w:eastAsia="宋体"/>
                <w:szCs w:val="21"/>
                <w:lang w:eastAsia="zh-CN"/>
              </w:rPr>
            </w:pPr>
            <w:r>
              <w:rPr>
                <w:rFonts w:hint="eastAsia"/>
                <w:szCs w:val="21"/>
                <w:lang w:eastAsia="zh-CN"/>
              </w:rPr>
              <w:t>沥青烟</w:t>
            </w:r>
          </w:p>
        </w:tc>
        <w:tc>
          <w:tcPr>
            <w:tcW w:w="336" w:type="pct"/>
            <w:vAlign w:val="center"/>
          </w:tcPr>
          <w:p w14:paraId="32DB2425">
            <w:pPr>
              <w:spacing w:line="300" w:lineRule="exact"/>
              <w:jc w:val="center"/>
              <w:rPr>
                <w:rFonts w:hint="default" w:eastAsia="宋体"/>
                <w:szCs w:val="21"/>
                <w:lang w:val="en-US" w:eastAsia="zh-CN"/>
              </w:rPr>
            </w:pPr>
            <w:r>
              <w:rPr>
                <w:rFonts w:hint="eastAsia"/>
                <w:szCs w:val="21"/>
                <w:lang w:val="en-US" w:eastAsia="zh-CN"/>
              </w:rPr>
              <w:t>0.009</w:t>
            </w:r>
          </w:p>
        </w:tc>
      </w:tr>
      <w:tr w14:paraId="7B68B5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298" w:type="pct"/>
            <w:vMerge w:val="continue"/>
            <w:vAlign w:val="center"/>
          </w:tcPr>
          <w:p w14:paraId="43CCE869">
            <w:pPr>
              <w:spacing w:line="300" w:lineRule="exact"/>
              <w:jc w:val="center"/>
              <w:rPr>
                <w:rFonts w:hint="eastAsia"/>
                <w:szCs w:val="21"/>
                <w:lang w:val="en-US" w:eastAsia="zh-CN"/>
              </w:rPr>
            </w:pPr>
          </w:p>
        </w:tc>
        <w:tc>
          <w:tcPr>
            <w:tcW w:w="577" w:type="pct"/>
            <w:vMerge w:val="continue"/>
            <w:vAlign w:val="center"/>
          </w:tcPr>
          <w:p w14:paraId="5696533F">
            <w:pPr>
              <w:spacing w:line="300" w:lineRule="exact"/>
              <w:jc w:val="center"/>
              <w:rPr>
                <w:rFonts w:hint="eastAsia"/>
                <w:bCs/>
                <w:szCs w:val="21"/>
              </w:rPr>
            </w:pPr>
          </w:p>
        </w:tc>
        <w:tc>
          <w:tcPr>
            <w:tcW w:w="501" w:type="pct"/>
            <w:vMerge w:val="continue"/>
            <w:vAlign w:val="center"/>
          </w:tcPr>
          <w:p w14:paraId="6FA0D960">
            <w:pPr>
              <w:spacing w:line="300" w:lineRule="exact"/>
              <w:jc w:val="center"/>
              <w:rPr>
                <w:rFonts w:hint="eastAsia"/>
                <w:szCs w:val="21"/>
              </w:rPr>
            </w:pPr>
          </w:p>
        </w:tc>
        <w:tc>
          <w:tcPr>
            <w:tcW w:w="536" w:type="pct"/>
            <w:vMerge w:val="continue"/>
            <w:vAlign w:val="center"/>
          </w:tcPr>
          <w:p w14:paraId="7E592494">
            <w:pPr>
              <w:spacing w:line="300" w:lineRule="exact"/>
              <w:jc w:val="center"/>
              <w:rPr>
                <w:szCs w:val="21"/>
              </w:rPr>
            </w:pPr>
          </w:p>
        </w:tc>
        <w:tc>
          <w:tcPr>
            <w:tcW w:w="474" w:type="pct"/>
            <w:vMerge w:val="continue"/>
            <w:vAlign w:val="center"/>
          </w:tcPr>
          <w:p w14:paraId="1E187D38">
            <w:pPr>
              <w:spacing w:line="300" w:lineRule="exact"/>
              <w:jc w:val="center"/>
              <w:rPr>
                <w:rFonts w:hint="eastAsia"/>
                <w:szCs w:val="21"/>
              </w:rPr>
            </w:pPr>
          </w:p>
        </w:tc>
        <w:tc>
          <w:tcPr>
            <w:tcW w:w="294" w:type="pct"/>
            <w:vMerge w:val="continue"/>
            <w:vAlign w:val="center"/>
          </w:tcPr>
          <w:p w14:paraId="2F6D22A8">
            <w:pPr>
              <w:spacing w:line="300" w:lineRule="exact"/>
              <w:jc w:val="center"/>
              <w:rPr>
                <w:rFonts w:hint="eastAsia"/>
                <w:szCs w:val="21"/>
              </w:rPr>
            </w:pPr>
          </w:p>
        </w:tc>
        <w:tc>
          <w:tcPr>
            <w:tcW w:w="323" w:type="pct"/>
            <w:vMerge w:val="continue"/>
            <w:vAlign w:val="center"/>
          </w:tcPr>
          <w:p w14:paraId="5695BC64">
            <w:pPr>
              <w:spacing w:line="300" w:lineRule="exact"/>
              <w:jc w:val="center"/>
              <w:rPr>
                <w:rFonts w:hint="eastAsia"/>
                <w:szCs w:val="21"/>
              </w:rPr>
            </w:pPr>
          </w:p>
        </w:tc>
        <w:tc>
          <w:tcPr>
            <w:tcW w:w="379" w:type="pct"/>
            <w:vMerge w:val="continue"/>
            <w:vAlign w:val="center"/>
          </w:tcPr>
          <w:p w14:paraId="0D69EEE2">
            <w:pPr>
              <w:spacing w:line="300" w:lineRule="exact"/>
              <w:jc w:val="center"/>
              <w:rPr>
                <w:rFonts w:hint="eastAsia"/>
                <w:szCs w:val="21"/>
                <w:lang w:val="en-US" w:eastAsia="zh-CN"/>
              </w:rPr>
            </w:pPr>
          </w:p>
        </w:tc>
        <w:tc>
          <w:tcPr>
            <w:tcW w:w="349" w:type="pct"/>
            <w:vMerge w:val="continue"/>
            <w:vAlign w:val="center"/>
          </w:tcPr>
          <w:p w14:paraId="1D84E221">
            <w:pPr>
              <w:spacing w:line="300" w:lineRule="exact"/>
              <w:jc w:val="center"/>
              <w:rPr>
                <w:rFonts w:hint="eastAsia"/>
                <w:szCs w:val="21"/>
                <w:lang w:val="en-US" w:eastAsia="zh-CN"/>
              </w:rPr>
            </w:pPr>
          </w:p>
        </w:tc>
        <w:tc>
          <w:tcPr>
            <w:tcW w:w="369" w:type="pct"/>
            <w:vMerge w:val="continue"/>
            <w:vAlign w:val="center"/>
          </w:tcPr>
          <w:p w14:paraId="25CD6CB1">
            <w:pPr>
              <w:spacing w:line="300" w:lineRule="exact"/>
              <w:jc w:val="center"/>
              <w:rPr>
                <w:rFonts w:hint="eastAsia"/>
                <w:szCs w:val="21"/>
              </w:rPr>
            </w:pPr>
          </w:p>
        </w:tc>
        <w:tc>
          <w:tcPr>
            <w:tcW w:w="258" w:type="pct"/>
            <w:vMerge w:val="continue"/>
            <w:vAlign w:val="center"/>
          </w:tcPr>
          <w:p w14:paraId="4C664229">
            <w:pPr>
              <w:spacing w:line="300" w:lineRule="exact"/>
              <w:jc w:val="center"/>
              <w:rPr>
                <w:rFonts w:hint="eastAsia"/>
                <w:szCs w:val="21"/>
              </w:rPr>
            </w:pPr>
          </w:p>
        </w:tc>
        <w:tc>
          <w:tcPr>
            <w:tcW w:w="302" w:type="pct"/>
            <w:shd w:val="clear" w:color="auto" w:fill="auto"/>
            <w:vAlign w:val="center"/>
          </w:tcPr>
          <w:p w14:paraId="3602416E">
            <w:pPr>
              <w:spacing w:line="300" w:lineRule="exact"/>
              <w:jc w:val="center"/>
              <w:rPr>
                <w:rFonts w:hint="eastAsia" w:ascii="Times New Roman" w:hAnsi="Times New Roman" w:eastAsia="宋体" w:cs="Times New Roman"/>
                <w:kern w:val="2"/>
                <w:sz w:val="21"/>
                <w:szCs w:val="21"/>
                <w:lang w:val="en-US" w:eastAsia="zh-CN" w:bidi="ar-SA"/>
              </w:rPr>
            </w:pPr>
            <w:r>
              <w:rPr>
                <w:rFonts w:hint="eastAsia"/>
                <w:szCs w:val="21"/>
              </w:rPr>
              <w:t>B[a]P</w:t>
            </w:r>
          </w:p>
        </w:tc>
        <w:tc>
          <w:tcPr>
            <w:tcW w:w="336" w:type="pct"/>
            <w:shd w:val="clear" w:color="auto" w:fill="auto"/>
            <w:vAlign w:val="center"/>
          </w:tcPr>
          <w:p w14:paraId="5EB1CAE8">
            <w:pPr>
              <w:spacing w:line="300" w:lineRule="exact"/>
              <w:jc w:val="center"/>
              <w:rPr>
                <w:rFonts w:hint="default" w:ascii="Times New Roman" w:hAnsi="Times New Roman" w:eastAsia="宋体" w:cs="Times New Roman"/>
                <w:kern w:val="2"/>
                <w:sz w:val="21"/>
                <w:szCs w:val="21"/>
                <w:lang w:val="en-US" w:eastAsia="zh-CN" w:bidi="ar-SA"/>
              </w:rPr>
            </w:pPr>
            <w:r>
              <w:rPr>
                <w:rFonts w:hint="eastAsia"/>
                <w:spacing w:val="6"/>
                <w:szCs w:val="21"/>
                <w:lang w:val="en-US" w:eastAsia="zh-CN"/>
              </w:rPr>
              <w:t>0.00002</w:t>
            </w:r>
          </w:p>
        </w:tc>
      </w:tr>
      <w:tr w14:paraId="316D25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9" w:hRule="atLeast"/>
          <w:jc w:val="center"/>
        </w:trPr>
        <w:tc>
          <w:tcPr>
            <w:tcW w:w="298" w:type="pct"/>
            <w:vMerge w:val="continue"/>
            <w:vAlign w:val="center"/>
          </w:tcPr>
          <w:p w14:paraId="2BDFB1D2">
            <w:pPr>
              <w:spacing w:line="300" w:lineRule="exact"/>
              <w:jc w:val="center"/>
              <w:rPr>
                <w:rFonts w:hint="eastAsia"/>
                <w:szCs w:val="21"/>
                <w:lang w:val="en-US" w:eastAsia="zh-CN"/>
              </w:rPr>
            </w:pPr>
          </w:p>
        </w:tc>
        <w:tc>
          <w:tcPr>
            <w:tcW w:w="577" w:type="pct"/>
            <w:vMerge w:val="continue"/>
            <w:vAlign w:val="center"/>
          </w:tcPr>
          <w:p w14:paraId="632B9F1B">
            <w:pPr>
              <w:spacing w:line="300" w:lineRule="exact"/>
              <w:jc w:val="center"/>
              <w:rPr>
                <w:rFonts w:hint="eastAsia"/>
                <w:bCs/>
                <w:szCs w:val="21"/>
              </w:rPr>
            </w:pPr>
          </w:p>
        </w:tc>
        <w:tc>
          <w:tcPr>
            <w:tcW w:w="501" w:type="pct"/>
            <w:vMerge w:val="continue"/>
            <w:vAlign w:val="center"/>
          </w:tcPr>
          <w:p w14:paraId="103FA4B1">
            <w:pPr>
              <w:spacing w:line="300" w:lineRule="exact"/>
              <w:jc w:val="center"/>
              <w:rPr>
                <w:rFonts w:hint="eastAsia"/>
                <w:szCs w:val="21"/>
              </w:rPr>
            </w:pPr>
          </w:p>
        </w:tc>
        <w:tc>
          <w:tcPr>
            <w:tcW w:w="536" w:type="pct"/>
            <w:vMerge w:val="continue"/>
            <w:vAlign w:val="center"/>
          </w:tcPr>
          <w:p w14:paraId="6DC6735F">
            <w:pPr>
              <w:spacing w:line="300" w:lineRule="exact"/>
              <w:jc w:val="center"/>
              <w:rPr>
                <w:szCs w:val="21"/>
              </w:rPr>
            </w:pPr>
          </w:p>
        </w:tc>
        <w:tc>
          <w:tcPr>
            <w:tcW w:w="474" w:type="pct"/>
            <w:vMerge w:val="continue"/>
            <w:vAlign w:val="center"/>
          </w:tcPr>
          <w:p w14:paraId="36DC82A2">
            <w:pPr>
              <w:spacing w:line="300" w:lineRule="exact"/>
              <w:jc w:val="center"/>
              <w:rPr>
                <w:rFonts w:hint="eastAsia"/>
                <w:szCs w:val="21"/>
              </w:rPr>
            </w:pPr>
          </w:p>
        </w:tc>
        <w:tc>
          <w:tcPr>
            <w:tcW w:w="294" w:type="pct"/>
            <w:vMerge w:val="continue"/>
            <w:vAlign w:val="center"/>
          </w:tcPr>
          <w:p w14:paraId="6FB3EAF4">
            <w:pPr>
              <w:spacing w:line="300" w:lineRule="exact"/>
              <w:jc w:val="center"/>
              <w:rPr>
                <w:rFonts w:hint="eastAsia"/>
                <w:szCs w:val="21"/>
              </w:rPr>
            </w:pPr>
          </w:p>
        </w:tc>
        <w:tc>
          <w:tcPr>
            <w:tcW w:w="323" w:type="pct"/>
            <w:vMerge w:val="continue"/>
            <w:vAlign w:val="center"/>
          </w:tcPr>
          <w:p w14:paraId="5BB0569A">
            <w:pPr>
              <w:spacing w:line="300" w:lineRule="exact"/>
              <w:jc w:val="center"/>
              <w:rPr>
                <w:rFonts w:hint="eastAsia"/>
                <w:szCs w:val="21"/>
              </w:rPr>
            </w:pPr>
          </w:p>
        </w:tc>
        <w:tc>
          <w:tcPr>
            <w:tcW w:w="379" w:type="pct"/>
            <w:vMerge w:val="continue"/>
            <w:vAlign w:val="center"/>
          </w:tcPr>
          <w:p w14:paraId="1C14C5BF">
            <w:pPr>
              <w:spacing w:line="300" w:lineRule="exact"/>
              <w:jc w:val="center"/>
              <w:rPr>
                <w:rFonts w:hint="eastAsia"/>
                <w:szCs w:val="21"/>
                <w:lang w:val="en-US" w:eastAsia="zh-CN"/>
              </w:rPr>
            </w:pPr>
          </w:p>
        </w:tc>
        <w:tc>
          <w:tcPr>
            <w:tcW w:w="349" w:type="pct"/>
            <w:vMerge w:val="continue"/>
            <w:vAlign w:val="center"/>
          </w:tcPr>
          <w:p w14:paraId="3E98007D">
            <w:pPr>
              <w:spacing w:line="300" w:lineRule="exact"/>
              <w:jc w:val="center"/>
              <w:rPr>
                <w:rFonts w:hint="eastAsia"/>
                <w:szCs w:val="21"/>
                <w:lang w:val="en-US" w:eastAsia="zh-CN"/>
              </w:rPr>
            </w:pPr>
          </w:p>
        </w:tc>
        <w:tc>
          <w:tcPr>
            <w:tcW w:w="369" w:type="pct"/>
            <w:vMerge w:val="continue"/>
            <w:vAlign w:val="center"/>
          </w:tcPr>
          <w:p w14:paraId="352520DC">
            <w:pPr>
              <w:spacing w:line="300" w:lineRule="exact"/>
              <w:jc w:val="center"/>
              <w:rPr>
                <w:rFonts w:hint="eastAsia"/>
                <w:szCs w:val="21"/>
              </w:rPr>
            </w:pPr>
          </w:p>
        </w:tc>
        <w:tc>
          <w:tcPr>
            <w:tcW w:w="258" w:type="pct"/>
            <w:vMerge w:val="continue"/>
            <w:vAlign w:val="center"/>
          </w:tcPr>
          <w:p w14:paraId="48F21B07">
            <w:pPr>
              <w:spacing w:line="300" w:lineRule="exact"/>
              <w:jc w:val="center"/>
              <w:rPr>
                <w:rFonts w:hint="eastAsia"/>
                <w:szCs w:val="21"/>
              </w:rPr>
            </w:pPr>
          </w:p>
        </w:tc>
        <w:tc>
          <w:tcPr>
            <w:tcW w:w="302" w:type="pct"/>
            <w:vAlign w:val="center"/>
          </w:tcPr>
          <w:p w14:paraId="4D1FF929">
            <w:pPr>
              <w:spacing w:line="300" w:lineRule="exact"/>
              <w:jc w:val="center"/>
              <w:rPr>
                <w:rFonts w:hint="default" w:eastAsia="宋体"/>
                <w:szCs w:val="21"/>
                <w:lang w:val="en-US" w:eastAsia="zh-CN"/>
              </w:rPr>
            </w:pPr>
            <w:r>
              <w:rPr>
                <w:rFonts w:hint="eastAsia"/>
                <w:szCs w:val="21"/>
                <w:lang w:val="en-US" w:eastAsia="zh-CN"/>
              </w:rPr>
              <w:t>NMHC</w:t>
            </w:r>
          </w:p>
        </w:tc>
        <w:tc>
          <w:tcPr>
            <w:tcW w:w="336" w:type="pct"/>
            <w:vAlign w:val="center"/>
          </w:tcPr>
          <w:p w14:paraId="07261ACA">
            <w:pPr>
              <w:spacing w:line="300" w:lineRule="exact"/>
              <w:jc w:val="center"/>
              <w:rPr>
                <w:rFonts w:hint="default" w:eastAsia="宋体"/>
                <w:spacing w:val="6"/>
                <w:szCs w:val="21"/>
                <w:lang w:val="en-US" w:eastAsia="zh-CN"/>
              </w:rPr>
            </w:pPr>
            <w:r>
              <w:rPr>
                <w:rFonts w:hint="eastAsia"/>
                <w:spacing w:val="6"/>
                <w:szCs w:val="21"/>
                <w:lang w:val="en-US" w:eastAsia="zh-CN"/>
              </w:rPr>
              <w:t>0.006</w:t>
            </w:r>
          </w:p>
        </w:tc>
      </w:tr>
      <w:tr w14:paraId="5D49AE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98" w:type="pct"/>
            <w:vAlign w:val="center"/>
          </w:tcPr>
          <w:p w14:paraId="384D5691">
            <w:pPr>
              <w:spacing w:line="300" w:lineRule="exact"/>
              <w:jc w:val="center"/>
              <w:rPr>
                <w:rFonts w:hint="default"/>
                <w:szCs w:val="21"/>
                <w:lang w:val="en-US"/>
              </w:rPr>
            </w:pPr>
            <w:r>
              <w:rPr>
                <w:rFonts w:hint="eastAsia"/>
                <w:szCs w:val="21"/>
                <w:lang w:val="en-US" w:eastAsia="zh-CN"/>
              </w:rPr>
              <w:t>DA004</w:t>
            </w:r>
          </w:p>
        </w:tc>
        <w:tc>
          <w:tcPr>
            <w:tcW w:w="577" w:type="pct"/>
            <w:vAlign w:val="center"/>
          </w:tcPr>
          <w:p w14:paraId="4D7375C5">
            <w:pPr>
              <w:spacing w:line="300" w:lineRule="exact"/>
              <w:jc w:val="center"/>
              <w:rPr>
                <w:rFonts w:hint="eastAsia" w:eastAsia="宋体"/>
                <w:bCs/>
                <w:szCs w:val="21"/>
                <w:lang w:eastAsia="zh-CN"/>
              </w:rPr>
            </w:pPr>
            <w:r>
              <w:rPr>
                <w:rFonts w:hint="eastAsia"/>
                <w:bCs/>
                <w:szCs w:val="21"/>
                <w:lang w:eastAsia="zh-CN"/>
              </w:rPr>
              <w:t>混凝土搅拌废气排气筒</w:t>
            </w:r>
          </w:p>
        </w:tc>
        <w:tc>
          <w:tcPr>
            <w:tcW w:w="501" w:type="pct"/>
            <w:vAlign w:val="center"/>
          </w:tcPr>
          <w:p w14:paraId="46C2CF5B">
            <w:pPr>
              <w:spacing w:line="300" w:lineRule="exact"/>
              <w:jc w:val="center"/>
              <w:rPr>
                <w:rFonts w:hint="eastAsia"/>
                <w:szCs w:val="21"/>
              </w:rPr>
            </w:pPr>
            <w:r>
              <w:rPr>
                <w:rFonts w:hint="eastAsia"/>
                <w:szCs w:val="21"/>
              </w:rPr>
              <w:t>40.</w:t>
            </w:r>
            <w:r>
              <w:rPr>
                <w:rFonts w:hint="eastAsia"/>
                <w:szCs w:val="21"/>
                <w:lang w:val="en-US" w:eastAsia="zh-CN"/>
              </w:rPr>
              <w:t>41299904</w:t>
            </w:r>
            <w:r>
              <w:rPr>
                <w:szCs w:val="21"/>
              </w:rPr>
              <w:t>°</w:t>
            </w:r>
          </w:p>
        </w:tc>
        <w:tc>
          <w:tcPr>
            <w:tcW w:w="536" w:type="pct"/>
            <w:vAlign w:val="center"/>
          </w:tcPr>
          <w:p w14:paraId="2CD58E1E">
            <w:pPr>
              <w:spacing w:line="300" w:lineRule="exact"/>
              <w:jc w:val="center"/>
              <w:rPr>
                <w:szCs w:val="21"/>
              </w:rPr>
            </w:pPr>
            <w:r>
              <w:rPr>
                <w:szCs w:val="21"/>
              </w:rPr>
              <w:t>11</w:t>
            </w:r>
            <w:r>
              <w:rPr>
                <w:rFonts w:hint="eastAsia"/>
                <w:szCs w:val="21"/>
                <w:lang w:val="en-US" w:eastAsia="zh-CN"/>
              </w:rPr>
              <w:t>4.10450301</w:t>
            </w:r>
            <w:r>
              <w:rPr>
                <w:szCs w:val="21"/>
              </w:rPr>
              <w:t>°</w:t>
            </w:r>
          </w:p>
        </w:tc>
        <w:tc>
          <w:tcPr>
            <w:tcW w:w="474" w:type="pct"/>
            <w:vAlign w:val="center"/>
          </w:tcPr>
          <w:p w14:paraId="6911F594">
            <w:pPr>
              <w:spacing w:line="300" w:lineRule="exact"/>
              <w:jc w:val="center"/>
              <w:rPr>
                <w:rFonts w:hint="eastAsia"/>
                <w:szCs w:val="21"/>
              </w:rPr>
            </w:pPr>
            <w:r>
              <w:rPr>
                <w:rFonts w:hint="eastAsia"/>
                <w:szCs w:val="21"/>
              </w:rPr>
              <w:t>1150</w:t>
            </w:r>
          </w:p>
        </w:tc>
        <w:tc>
          <w:tcPr>
            <w:tcW w:w="294" w:type="pct"/>
            <w:vAlign w:val="center"/>
          </w:tcPr>
          <w:p w14:paraId="050EA360">
            <w:pPr>
              <w:spacing w:line="300" w:lineRule="exact"/>
              <w:jc w:val="center"/>
              <w:rPr>
                <w:rFonts w:hint="default" w:eastAsia="宋体"/>
                <w:szCs w:val="21"/>
                <w:lang w:val="en-US" w:eastAsia="zh-CN"/>
              </w:rPr>
            </w:pPr>
            <w:r>
              <w:rPr>
                <w:rFonts w:hint="eastAsia"/>
                <w:szCs w:val="21"/>
                <w:lang w:val="en-US" w:eastAsia="zh-CN"/>
              </w:rPr>
              <w:t>15</w:t>
            </w:r>
          </w:p>
        </w:tc>
        <w:tc>
          <w:tcPr>
            <w:tcW w:w="323" w:type="pct"/>
            <w:vAlign w:val="center"/>
          </w:tcPr>
          <w:p w14:paraId="4AC14A83">
            <w:pPr>
              <w:spacing w:line="300" w:lineRule="exact"/>
              <w:jc w:val="center"/>
              <w:rPr>
                <w:rFonts w:hint="default" w:eastAsia="宋体"/>
                <w:szCs w:val="21"/>
                <w:lang w:val="en-US" w:eastAsia="zh-CN"/>
              </w:rPr>
            </w:pPr>
            <w:r>
              <w:rPr>
                <w:rFonts w:hint="eastAsia"/>
                <w:szCs w:val="21"/>
                <w:lang w:val="en-US" w:eastAsia="zh-CN"/>
              </w:rPr>
              <w:t>0.5</w:t>
            </w:r>
          </w:p>
        </w:tc>
        <w:tc>
          <w:tcPr>
            <w:tcW w:w="379" w:type="pct"/>
            <w:vAlign w:val="center"/>
          </w:tcPr>
          <w:p w14:paraId="0DB17730">
            <w:pPr>
              <w:spacing w:line="300" w:lineRule="exact"/>
              <w:jc w:val="center"/>
              <w:rPr>
                <w:rFonts w:hint="default" w:eastAsia="宋体"/>
                <w:szCs w:val="21"/>
                <w:lang w:val="en-US" w:eastAsia="zh-CN"/>
              </w:rPr>
            </w:pPr>
            <w:r>
              <w:rPr>
                <w:rFonts w:hint="eastAsia"/>
                <w:szCs w:val="21"/>
                <w:lang w:val="en-US" w:eastAsia="zh-CN"/>
              </w:rPr>
              <w:t>14.15</w:t>
            </w:r>
          </w:p>
        </w:tc>
        <w:tc>
          <w:tcPr>
            <w:tcW w:w="349" w:type="pct"/>
            <w:vAlign w:val="center"/>
          </w:tcPr>
          <w:p w14:paraId="7C12A417">
            <w:pPr>
              <w:spacing w:line="300" w:lineRule="exact"/>
              <w:jc w:val="center"/>
              <w:rPr>
                <w:rFonts w:hint="default" w:eastAsia="宋体"/>
                <w:szCs w:val="21"/>
                <w:lang w:val="en-US" w:eastAsia="zh-CN"/>
              </w:rPr>
            </w:pPr>
            <w:r>
              <w:rPr>
                <w:rFonts w:hint="eastAsia"/>
                <w:szCs w:val="21"/>
                <w:lang w:val="en-US" w:eastAsia="zh-CN"/>
              </w:rPr>
              <w:t>293</w:t>
            </w:r>
          </w:p>
        </w:tc>
        <w:tc>
          <w:tcPr>
            <w:tcW w:w="369" w:type="pct"/>
            <w:vAlign w:val="center"/>
          </w:tcPr>
          <w:p w14:paraId="2C3B9985">
            <w:pPr>
              <w:spacing w:line="300" w:lineRule="exact"/>
              <w:jc w:val="center"/>
              <w:rPr>
                <w:rFonts w:hint="eastAsia"/>
                <w:szCs w:val="21"/>
              </w:rPr>
            </w:pPr>
            <w:r>
              <w:rPr>
                <w:rFonts w:hint="eastAsia"/>
                <w:szCs w:val="21"/>
              </w:rPr>
              <w:t>1200</w:t>
            </w:r>
          </w:p>
        </w:tc>
        <w:tc>
          <w:tcPr>
            <w:tcW w:w="258" w:type="pct"/>
            <w:vAlign w:val="center"/>
          </w:tcPr>
          <w:p w14:paraId="5F830222">
            <w:pPr>
              <w:spacing w:line="300" w:lineRule="exact"/>
              <w:jc w:val="center"/>
              <w:rPr>
                <w:rFonts w:hint="eastAsia"/>
                <w:szCs w:val="21"/>
              </w:rPr>
            </w:pPr>
            <w:r>
              <w:rPr>
                <w:rFonts w:hint="eastAsia"/>
                <w:szCs w:val="21"/>
              </w:rPr>
              <w:t>正常</w:t>
            </w:r>
          </w:p>
        </w:tc>
        <w:tc>
          <w:tcPr>
            <w:tcW w:w="302" w:type="pct"/>
            <w:vAlign w:val="center"/>
          </w:tcPr>
          <w:p w14:paraId="5F959975">
            <w:pPr>
              <w:spacing w:line="300" w:lineRule="exact"/>
              <w:jc w:val="center"/>
              <w:rPr>
                <w:rFonts w:hint="eastAsia"/>
                <w:szCs w:val="21"/>
              </w:rPr>
            </w:pPr>
            <w:r>
              <w:rPr>
                <w:rFonts w:hint="eastAsia"/>
                <w:szCs w:val="21"/>
              </w:rPr>
              <w:t>颗粒物</w:t>
            </w:r>
          </w:p>
        </w:tc>
        <w:tc>
          <w:tcPr>
            <w:tcW w:w="336" w:type="pct"/>
            <w:vAlign w:val="center"/>
          </w:tcPr>
          <w:p w14:paraId="7A0A7369">
            <w:pPr>
              <w:spacing w:line="300" w:lineRule="exact"/>
              <w:jc w:val="center"/>
              <w:rPr>
                <w:rFonts w:hint="default" w:eastAsia="宋体"/>
                <w:spacing w:val="6"/>
                <w:szCs w:val="21"/>
                <w:lang w:val="en-US" w:eastAsia="zh-CN"/>
              </w:rPr>
            </w:pPr>
            <w:r>
              <w:rPr>
                <w:rFonts w:hint="eastAsia"/>
                <w:spacing w:val="6"/>
                <w:szCs w:val="21"/>
                <w:lang w:val="en-US" w:eastAsia="zh-CN"/>
              </w:rPr>
              <w:t>0.49</w:t>
            </w:r>
          </w:p>
        </w:tc>
      </w:tr>
      <w:tr w14:paraId="4D1461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98" w:type="pct"/>
            <w:vAlign w:val="center"/>
          </w:tcPr>
          <w:p w14:paraId="565E3822">
            <w:pPr>
              <w:spacing w:line="300" w:lineRule="exact"/>
              <w:jc w:val="center"/>
              <w:rPr>
                <w:rFonts w:hint="default"/>
                <w:szCs w:val="21"/>
                <w:lang w:val="en-US"/>
              </w:rPr>
            </w:pPr>
            <w:r>
              <w:rPr>
                <w:rFonts w:hint="eastAsia"/>
                <w:szCs w:val="21"/>
                <w:lang w:val="en-US" w:eastAsia="zh-CN"/>
              </w:rPr>
              <w:t>DA005</w:t>
            </w:r>
          </w:p>
        </w:tc>
        <w:tc>
          <w:tcPr>
            <w:tcW w:w="577" w:type="pct"/>
            <w:vAlign w:val="center"/>
          </w:tcPr>
          <w:p w14:paraId="78092FEC">
            <w:pPr>
              <w:spacing w:line="300" w:lineRule="exact"/>
              <w:jc w:val="center"/>
              <w:rPr>
                <w:rFonts w:hint="eastAsia" w:eastAsia="宋体"/>
                <w:bCs/>
                <w:szCs w:val="21"/>
                <w:lang w:eastAsia="zh-CN"/>
              </w:rPr>
            </w:pPr>
            <w:r>
              <w:rPr>
                <w:rFonts w:hint="eastAsia"/>
                <w:bCs/>
                <w:szCs w:val="21"/>
                <w:lang w:eastAsia="zh-CN"/>
              </w:rPr>
              <w:t>水稳土搅拌废气排气筒</w:t>
            </w:r>
          </w:p>
        </w:tc>
        <w:tc>
          <w:tcPr>
            <w:tcW w:w="501" w:type="pct"/>
            <w:vAlign w:val="center"/>
          </w:tcPr>
          <w:p w14:paraId="4C1C66E4">
            <w:pPr>
              <w:spacing w:line="300" w:lineRule="exact"/>
              <w:jc w:val="center"/>
              <w:rPr>
                <w:rFonts w:hint="eastAsia"/>
                <w:szCs w:val="21"/>
              </w:rPr>
            </w:pPr>
            <w:r>
              <w:rPr>
                <w:rFonts w:hint="eastAsia"/>
                <w:szCs w:val="21"/>
              </w:rPr>
              <w:t>40.</w:t>
            </w:r>
            <w:r>
              <w:rPr>
                <w:rFonts w:hint="eastAsia"/>
                <w:szCs w:val="21"/>
                <w:lang w:val="en-US" w:eastAsia="zh-CN"/>
              </w:rPr>
              <w:t>41382516</w:t>
            </w:r>
            <w:r>
              <w:rPr>
                <w:szCs w:val="21"/>
              </w:rPr>
              <w:t>°</w:t>
            </w:r>
          </w:p>
        </w:tc>
        <w:tc>
          <w:tcPr>
            <w:tcW w:w="536" w:type="pct"/>
            <w:vAlign w:val="center"/>
          </w:tcPr>
          <w:p w14:paraId="5030D0EF">
            <w:pPr>
              <w:spacing w:line="300" w:lineRule="exact"/>
              <w:jc w:val="center"/>
              <w:rPr>
                <w:szCs w:val="21"/>
              </w:rPr>
            </w:pPr>
            <w:r>
              <w:rPr>
                <w:szCs w:val="21"/>
              </w:rPr>
              <w:t>11</w:t>
            </w:r>
            <w:r>
              <w:rPr>
                <w:rFonts w:hint="eastAsia"/>
                <w:szCs w:val="21"/>
                <w:lang w:val="en-US" w:eastAsia="zh-CN"/>
              </w:rPr>
              <w:t>4.10458347</w:t>
            </w:r>
            <w:r>
              <w:rPr>
                <w:szCs w:val="21"/>
              </w:rPr>
              <w:t>°</w:t>
            </w:r>
          </w:p>
        </w:tc>
        <w:tc>
          <w:tcPr>
            <w:tcW w:w="474" w:type="pct"/>
            <w:vAlign w:val="center"/>
          </w:tcPr>
          <w:p w14:paraId="359A4BD0">
            <w:pPr>
              <w:spacing w:line="300" w:lineRule="exact"/>
              <w:jc w:val="center"/>
              <w:rPr>
                <w:rFonts w:hint="eastAsia"/>
                <w:szCs w:val="21"/>
              </w:rPr>
            </w:pPr>
            <w:r>
              <w:rPr>
                <w:rFonts w:hint="eastAsia"/>
                <w:szCs w:val="21"/>
              </w:rPr>
              <w:t>1150</w:t>
            </w:r>
          </w:p>
        </w:tc>
        <w:tc>
          <w:tcPr>
            <w:tcW w:w="294" w:type="pct"/>
            <w:vAlign w:val="center"/>
          </w:tcPr>
          <w:p w14:paraId="2392BA80">
            <w:pPr>
              <w:spacing w:line="300" w:lineRule="exact"/>
              <w:jc w:val="center"/>
              <w:rPr>
                <w:rFonts w:hint="default" w:eastAsia="宋体"/>
                <w:szCs w:val="21"/>
                <w:lang w:val="en-US" w:eastAsia="zh-CN"/>
              </w:rPr>
            </w:pPr>
            <w:r>
              <w:rPr>
                <w:rFonts w:hint="eastAsia"/>
                <w:szCs w:val="21"/>
                <w:lang w:val="en-US" w:eastAsia="zh-CN"/>
              </w:rPr>
              <w:t>15</w:t>
            </w:r>
          </w:p>
        </w:tc>
        <w:tc>
          <w:tcPr>
            <w:tcW w:w="323" w:type="pct"/>
            <w:vAlign w:val="center"/>
          </w:tcPr>
          <w:p w14:paraId="63A1B265">
            <w:pPr>
              <w:spacing w:line="300" w:lineRule="exact"/>
              <w:jc w:val="center"/>
              <w:rPr>
                <w:rFonts w:hint="default" w:eastAsia="宋体"/>
                <w:szCs w:val="21"/>
                <w:lang w:val="en-US" w:eastAsia="zh-CN"/>
              </w:rPr>
            </w:pPr>
            <w:r>
              <w:rPr>
                <w:rFonts w:hint="eastAsia"/>
                <w:szCs w:val="21"/>
                <w:lang w:val="en-US" w:eastAsia="zh-CN"/>
              </w:rPr>
              <w:t>0.5</w:t>
            </w:r>
          </w:p>
        </w:tc>
        <w:tc>
          <w:tcPr>
            <w:tcW w:w="379" w:type="pct"/>
            <w:vAlign w:val="center"/>
          </w:tcPr>
          <w:p w14:paraId="73B93827">
            <w:pPr>
              <w:spacing w:line="300" w:lineRule="exact"/>
              <w:jc w:val="center"/>
              <w:rPr>
                <w:rFonts w:hint="default" w:eastAsia="宋体"/>
                <w:szCs w:val="21"/>
                <w:lang w:val="en-US" w:eastAsia="zh-CN"/>
              </w:rPr>
            </w:pPr>
            <w:r>
              <w:rPr>
                <w:rFonts w:hint="eastAsia"/>
                <w:szCs w:val="21"/>
                <w:lang w:val="en-US" w:eastAsia="zh-CN"/>
              </w:rPr>
              <w:t>8.49</w:t>
            </w:r>
          </w:p>
        </w:tc>
        <w:tc>
          <w:tcPr>
            <w:tcW w:w="349" w:type="pct"/>
            <w:vAlign w:val="center"/>
          </w:tcPr>
          <w:p w14:paraId="5D3567AF">
            <w:pPr>
              <w:spacing w:line="300" w:lineRule="exact"/>
              <w:jc w:val="center"/>
              <w:rPr>
                <w:rFonts w:hint="eastAsia"/>
                <w:szCs w:val="21"/>
              </w:rPr>
            </w:pPr>
            <w:r>
              <w:rPr>
                <w:rFonts w:hint="eastAsia"/>
                <w:szCs w:val="21"/>
                <w:lang w:val="en-US" w:eastAsia="zh-CN"/>
              </w:rPr>
              <w:t>293</w:t>
            </w:r>
          </w:p>
        </w:tc>
        <w:tc>
          <w:tcPr>
            <w:tcW w:w="369" w:type="pct"/>
            <w:vAlign w:val="center"/>
          </w:tcPr>
          <w:p w14:paraId="0E242DBE">
            <w:pPr>
              <w:spacing w:line="300" w:lineRule="exact"/>
              <w:jc w:val="center"/>
              <w:rPr>
                <w:rFonts w:hint="eastAsia"/>
                <w:szCs w:val="21"/>
              </w:rPr>
            </w:pPr>
            <w:r>
              <w:rPr>
                <w:rFonts w:hint="eastAsia"/>
                <w:szCs w:val="21"/>
              </w:rPr>
              <w:t>1200</w:t>
            </w:r>
          </w:p>
        </w:tc>
        <w:tc>
          <w:tcPr>
            <w:tcW w:w="258" w:type="pct"/>
            <w:vAlign w:val="center"/>
          </w:tcPr>
          <w:p w14:paraId="55B818C0">
            <w:pPr>
              <w:spacing w:line="300" w:lineRule="exact"/>
              <w:jc w:val="center"/>
              <w:rPr>
                <w:rFonts w:hint="eastAsia"/>
                <w:szCs w:val="21"/>
              </w:rPr>
            </w:pPr>
            <w:r>
              <w:rPr>
                <w:rFonts w:hint="eastAsia"/>
                <w:szCs w:val="21"/>
              </w:rPr>
              <w:t>正常</w:t>
            </w:r>
          </w:p>
        </w:tc>
        <w:tc>
          <w:tcPr>
            <w:tcW w:w="302" w:type="pct"/>
            <w:vAlign w:val="center"/>
          </w:tcPr>
          <w:p w14:paraId="0BEAA57D">
            <w:pPr>
              <w:spacing w:line="300" w:lineRule="exact"/>
              <w:jc w:val="center"/>
              <w:rPr>
                <w:rFonts w:hint="eastAsia"/>
                <w:szCs w:val="21"/>
              </w:rPr>
            </w:pPr>
            <w:r>
              <w:rPr>
                <w:rFonts w:hint="eastAsia"/>
                <w:szCs w:val="21"/>
              </w:rPr>
              <w:t>颗粒物</w:t>
            </w:r>
          </w:p>
        </w:tc>
        <w:tc>
          <w:tcPr>
            <w:tcW w:w="336" w:type="pct"/>
            <w:vAlign w:val="center"/>
          </w:tcPr>
          <w:p w14:paraId="4F7DC91E">
            <w:pPr>
              <w:spacing w:line="300" w:lineRule="exact"/>
              <w:jc w:val="center"/>
              <w:rPr>
                <w:rFonts w:hint="default" w:eastAsia="宋体"/>
                <w:spacing w:val="6"/>
                <w:szCs w:val="21"/>
                <w:lang w:val="en-US" w:eastAsia="zh-CN"/>
              </w:rPr>
            </w:pPr>
            <w:r>
              <w:rPr>
                <w:rFonts w:hint="eastAsia"/>
                <w:spacing w:val="6"/>
                <w:szCs w:val="21"/>
                <w:lang w:val="en-US" w:eastAsia="zh-CN"/>
              </w:rPr>
              <w:t>0.11</w:t>
            </w:r>
          </w:p>
        </w:tc>
      </w:tr>
      <w:tr w14:paraId="31E765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98" w:type="pct"/>
            <w:vAlign w:val="center"/>
          </w:tcPr>
          <w:p w14:paraId="6631F6ED">
            <w:pPr>
              <w:spacing w:line="300" w:lineRule="exact"/>
              <w:jc w:val="center"/>
              <w:rPr>
                <w:rFonts w:hint="default"/>
                <w:szCs w:val="21"/>
                <w:lang w:val="en-US"/>
              </w:rPr>
            </w:pPr>
            <w:r>
              <w:rPr>
                <w:rFonts w:hint="eastAsia"/>
                <w:szCs w:val="21"/>
                <w:lang w:val="en-US" w:eastAsia="zh-CN"/>
              </w:rPr>
              <w:t>DA006</w:t>
            </w:r>
          </w:p>
        </w:tc>
        <w:tc>
          <w:tcPr>
            <w:tcW w:w="577" w:type="pct"/>
            <w:vAlign w:val="center"/>
          </w:tcPr>
          <w:p w14:paraId="653D18A7">
            <w:pPr>
              <w:spacing w:line="300" w:lineRule="exact"/>
              <w:jc w:val="center"/>
              <w:rPr>
                <w:rFonts w:hint="default" w:eastAsia="宋体"/>
                <w:bCs/>
                <w:szCs w:val="21"/>
                <w:lang w:val="en-US" w:eastAsia="zh-CN"/>
              </w:rPr>
            </w:pPr>
            <w:r>
              <w:rPr>
                <w:rFonts w:hint="eastAsia"/>
                <w:bCs/>
                <w:szCs w:val="21"/>
                <w:lang w:eastAsia="zh-CN"/>
              </w:rPr>
              <w:t>沥青矿粉筒仓废气排气筒</w:t>
            </w:r>
          </w:p>
        </w:tc>
        <w:tc>
          <w:tcPr>
            <w:tcW w:w="501" w:type="pct"/>
            <w:vAlign w:val="center"/>
          </w:tcPr>
          <w:p w14:paraId="5409D966">
            <w:pPr>
              <w:spacing w:line="300" w:lineRule="exact"/>
              <w:jc w:val="center"/>
              <w:rPr>
                <w:rFonts w:hint="eastAsia"/>
                <w:szCs w:val="21"/>
              </w:rPr>
            </w:pPr>
            <w:r>
              <w:rPr>
                <w:rFonts w:hint="eastAsia"/>
                <w:szCs w:val="21"/>
              </w:rPr>
              <w:t>40.</w:t>
            </w:r>
            <w:r>
              <w:rPr>
                <w:rFonts w:hint="eastAsia"/>
                <w:szCs w:val="21"/>
                <w:lang w:val="en-US" w:eastAsia="zh-CN"/>
              </w:rPr>
              <w:t>41370178</w:t>
            </w:r>
            <w:r>
              <w:rPr>
                <w:szCs w:val="21"/>
              </w:rPr>
              <w:t>°</w:t>
            </w:r>
          </w:p>
        </w:tc>
        <w:tc>
          <w:tcPr>
            <w:tcW w:w="536" w:type="pct"/>
            <w:vAlign w:val="center"/>
          </w:tcPr>
          <w:p w14:paraId="7246CB32">
            <w:pPr>
              <w:spacing w:line="300" w:lineRule="exact"/>
              <w:jc w:val="center"/>
              <w:rPr>
                <w:szCs w:val="21"/>
              </w:rPr>
            </w:pPr>
            <w:r>
              <w:rPr>
                <w:szCs w:val="21"/>
              </w:rPr>
              <w:t>11</w:t>
            </w:r>
            <w:r>
              <w:rPr>
                <w:rFonts w:hint="eastAsia"/>
                <w:szCs w:val="21"/>
                <w:lang w:val="en-US" w:eastAsia="zh-CN"/>
              </w:rPr>
              <w:t>4.10405776</w:t>
            </w:r>
            <w:r>
              <w:rPr>
                <w:szCs w:val="21"/>
              </w:rPr>
              <w:t>°</w:t>
            </w:r>
          </w:p>
        </w:tc>
        <w:tc>
          <w:tcPr>
            <w:tcW w:w="474" w:type="pct"/>
            <w:vAlign w:val="center"/>
          </w:tcPr>
          <w:p w14:paraId="1DB60A4A">
            <w:pPr>
              <w:spacing w:line="300" w:lineRule="exact"/>
              <w:jc w:val="center"/>
              <w:rPr>
                <w:rFonts w:hint="eastAsia"/>
                <w:szCs w:val="21"/>
              </w:rPr>
            </w:pPr>
            <w:r>
              <w:rPr>
                <w:rFonts w:hint="eastAsia"/>
                <w:szCs w:val="21"/>
              </w:rPr>
              <w:t>1150</w:t>
            </w:r>
          </w:p>
        </w:tc>
        <w:tc>
          <w:tcPr>
            <w:tcW w:w="294" w:type="pct"/>
            <w:vAlign w:val="center"/>
          </w:tcPr>
          <w:p w14:paraId="5DCDFBDB">
            <w:pPr>
              <w:spacing w:line="300" w:lineRule="exact"/>
              <w:jc w:val="center"/>
              <w:rPr>
                <w:rFonts w:hint="default" w:eastAsia="宋体"/>
                <w:szCs w:val="21"/>
                <w:lang w:val="en-US" w:eastAsia="zh-CN"/>
              </w:rPr>
            </w:pPr>
            <w:r>
              <w:rPr>
                <w:rFonts w:hint="eastAsia"/>
                <w:szCs w:val="21"/>
                <w:lang w:val="en-US" w:eastAsia="zh-CN"/>
              </w:rPr>
              <w:t>15</w:t>
            </w:r>
          </w:p>
        </w:tc>
        <w:tc>
          <w:tcPr>
            <w:tcW w:w="323" w:type="pct"/>
            <w:vAlign w:val="center"/>
          </w:tcPr>
          <w:p w14:paraId="35C655D1">
            <w:pPr>
              <w:spacing w:line="300" w:lineRule="exact"/>
              <w:jc w:val="center"/>
              <w:rPr>
                <w:rFonts w:hint="default" w:eastAsia="宋体"/>
                <w:szCs w:val="21"/>
                <w:lang w:val="en-US" w:eastAsia="zh-CN"/>
              </w:rPr>
            </w:pPr>
            <w:r>
              <w:rPr>
                <w:rFonts w:hint="eastAsia"/>
                <w:szCs w:val="21"/>
                <w:lang w:val="en-US" w:eastAsia="zh-CN"/>
              </w:rPr>
              <w:t>0.15</w:t>
            </w:r>
          </w:p>
        </w:tc>
        <w:tc>
          <w:tcPr>
            <w:tcW w:w="379" w:type="pct"/>
            <w:vAlign w:val="center"/>
          </w:tcPr>
          <w:p w14:paraId="50145733">
            <w:pPr>
              <w:spacing w:line="300" w:lineRule="exact"/>
              <w:jc w:val="center"/>
              <w:rPr>
                <w:rFonts w:hint="default" w:eastAsia="宋体"/>
                <w:szCs w:val="21"/>
                <w:lang w:val="en-US" w:eastAsia="zh-CN"/>
              </w:rPr>
            </w:pPr>
            <w:r>
              <w:rPr>
                <w:rFonts w:hint="eastAsia"/>
                <w:szCs w:val="21"/>
                <w:lang w:val="en-US" w:eastAsia="zh-CN"/>
              </w:rPr>
              <w:t>9.44</w:t>
            </w:r>
          </w:p>
        </w:tc>
        <w:tc>
          <w:tcPr>
            <w:tcW w:w="349" w:type="pct"/>
            <w:vAlign w:val="center"/>
          </w:tcPr>
          <w:p w14:paraId="094986EF">
            <w:pPr>
              <w:spacing w:line="300" w:lineRule="exact"/>
              <w:jc w:val="center"/>
              <w:rPr>
                <w:rFonts w:hint="eastAsia"/>
                <w:szCs w:val="21"/>
              </w:rPr>
            </w:pPr>
            <w:r>
              <w:rPr>
                <w:rFonts w:hint="eastAsia"/>
                <w:szCs w:val="21"/>
                <w:lang w:val="en-US" w:eastAsia="zh-CN"/>
              </w:rPr>
              <w:t>293</w:t>
            </w:r>
          </w:p>
        </w:tc>
        <w:tc>
          <w:tcPr>
            <w:tcW w:w="369" w:type="pct"/>
            <w:vAlign w:val="center"/>
          </w:tcPr>
          <w:p w14:paraId="20C0562B">
            <w:pPr>
              <w:spacing w:line="300" w:lineRule="exact"/>
              <w:jc w:val="center"/>
              <w:rPr>
                <w:rFonts w:hint="eastAsia" w:eastAsia="宋体"/>
                <w:szCs w:val="21"/>
                <w:lang w:val="en-US" w:eastAsia="zh-CN"/>
              </w:rPr>
            </w:pPr>
            <w:r>
              <w:rPr>
                <w:rFonts w:hint="eastAsia"/>
                <w:szCs w:val="21"/>
                <w:lang w:val="en-US" w:eastAsia="zh-CN"/>
              </w:rPr>
              <w:t>7</w:t>
            </w:r>
          </w:p>
        </w:tc>
        <w:tc>
          <w:tcPr>
            <w:tcW w:w="258" w:type="pct"/>
            <w:vAlign w:val="center"/>
          </w:tcPr>
          <w:p w14:paraId="3416E5F6">
            <w:pPr>
              <w:spacing w:line="300" w:lineRule="exact"/>
              <w:jc w:val="center"/>
              <w:rPr>
                <w:rFonts w:hint="eastAsia"/>
                <w:szCs w:val="21"/>
              </w:rPr>
            </w:pPr>
            <w:r>
              <w:rPr>
                <w:rFonts w:hint="eastAsia"/>
                <w:szCs w:val="21"/>
              </w:rPr>
              <w:t>正常</w:t>
            </w:r>
          </w:p>
        </w:tc>
        <w:tc>
          <w:tcPr>
            <w:tcW w:w="302" w:type="pct"/>
            <w:vAlign w:val="center"/>
          </w:tcPr>
          <w:p w14:paraId="1893E5CB">
            <w:pPr>
              <w:spacing w:line="300" w:lineRule="exact"/>
              <w:jc w:val="center"/>
              <w:rPr>
                <w:rFonts w:hint="eastAsia"/>
                <w:szCs w:val="21"/>
              </w:rPr>
            </w:pPr>
            <w:r>
              <w:rPr>
                <w:rFonts w:hint="eastAsia"/>
                <w:szCs w:val="21"/>
              </w:rPr>
              <w:t>颗粒物</w:t>
            </w:r>
          </w:p>
        </w:tc>
        <w:tc>
          <w:tcPr>
            <w:tcW w:w="336" w:type="pct"/>
            <w:vAlign w:val="center"/>
          </w:tcPr>
          <w:p w14:paraId="76BC6DF3">
            <w:pPr>
              <w:spacing w:line="300" w:lineRule="exact"/>
              <w:jc w:val="center"/>
              <w:rPr>
                <w:rFonts w:hint="default" w:eastAsia="宋体"/>
                <w:spacing w:val="6"/>
                <w:szCs w:val="21"/>
                <w:lang w:val="en-US" w:eastAsia="zh-CN"/>
              </w:rPr>
            </w:pPr>
            <w:r>
              <w:rPr>
                <w:rFonts w:hint="eastAsia"/>
                <w:spacing w:val="6"/>
                <w:szCs w:val="21"/>
                <w:lang w:val="en-US" w:eastAsia="zh-CN"/>
              </w:rPr>
              <w:t>0.116</w:t>
            </w:r>
          </w:p>
        </w:tc>
      </w:tr>
      <w:tr w14:paraId="05D4A4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98" w:type="pct"/>
            <w:vAlign w:val="center"/>
          </w:tcPr>
          <w:p w14:paraId="7C2219FC">
            <w:pPr>
              <w:spacing w:line="300" w:lineRule="exact"/>
              <w:jc w:val="center"/>
              <w:rPr>
                <w:rFonts w:hint="default"/>
                <w:szCs w:val="21"/>
                <w:lang w:val="en-US"/>
              </w:rPr>
            </w:pPr>
            <w:r>
              <w:rPr>
                <w:rFonts w:hint="eastAsia"/>
                <w:szCs w:val="21"/>
                <w:lang w:val="en-US" w:eastAsia="zh-CN"/>
              </w:rPr>
              <w:t>DA007</w:t>
            </w:r>
          </w:p>
        </w:tc>
        <w:tc>
          <w:tcPr>
            <w:tcW w:w="577" w:type="pct"/>
            <w:vAlign w:val="center"/>
          </w:tcPr>
          <w:p w14:paraId="17A362C1">
            <w:pPr>
              <w:spacing w:line="300" w:lineRule="exact"/>
              <w:jc w:val="center"/>
              <w:rPr>
                <w:rFonts w:hint="eastAsia"/>
                <w:bCs/>
                <w:szCs w:val="21"/>
              </w:rPr>
            </w:pPr>
            <w:r>
              <w:rPr>
                <w:rFonts w:hint="eastAsia"/>
                <w:bCs/>
                <w:szCs w:val="21"/>
                <w:lang w:eastAsia="zh-CN"/>
              </w:rPr>
              <w:t>混凝土水泥筒仓废气排气筒</w:t>
            </w:r>
          </w:p>
        </w:tc>
        <w:tc>
          <w:tcPr>
            <w:tcW w:w="501" w:type="pct"/>
            <w:vAlign w:val="center"/>
          </w:tcPr>
          <w:p w14:paraId="751B6FED">
            <w:pPr>
              <w:spacing w:line="300" w:lineRule="exact"/>
              <w:jc w:val="center"/>
              <w:rPr>
                <w:rFonts w:hint="eastAsia"/>
                <w:szCs w:val="21"/>
              </w:rPr>
            </w:pPr>
            <w:r>
              <w:rPr>
                <w:rFonts w:hint="eastAsia"/>
                <w:szCs w:val="21"/>
              </w:rPr>
              <w:t>40.</w:t>
            </w:r>
            <w:r>
              <w:rPr>
                <w:rFonts w:hint="eastAsia"/>
                <w:szCs w:val="21"/>
                <w:lang w:val="en-US" w:eastAsia="zh-CN"/>
              </w:rPr>
              <w:t>41294003</w:t>
            </w:r>
            <w:r>
              <w:rPr>
                <w:szCs w:val="21"/>
              </w:rPr>
              <w:t>°</w:t>
            </w:r>
          </w:p>
        </w:tc>
        <w:tc>
          <w:tcPr>
            <w:tcW w:w="536" w:type="pct"/>
            <w:vAlign w:val="center"/>
          </w:tcPr>
          <w:p w14:paraId="3D149E8C">
            <w:pPr>
              <w:spacing w:line="300" w:lineRule="exact"/>
              <w:jc w:val="center"/>
              <w:rPr>
                <w:szCs w:val="21"/>
              </w:rPr>
            </w:pPr>
            <w:r>
              <w:rPr>
                <w:szCs w:val="21"/>
              </w:rPr>
              <w:t>11</w:t>
            </w:r>
            <w:r>
              <w:rPr>
                <w:rFonts w:hint="eastAsia"/>
                <w:szCs w:val="21"/>
                <w:lang w:val="en-US" w:eastAsia="zh-CN"/>
              </w:rPr>
              <w:t>4.10450301</w:t>
            </w:r>
            <w:r>
              <w:rPr>
                <w:szCs w:val="21"/>
              </w:rPr>
              <w:t>°</w:t>
            </w:r>
          </w:p>
        </w:tc>
        <w:tc>
          <w:tcPr>
            <w:tcW w:w="474" w:type="pct"/>
            <w:vAlign w:val="center"/>
          </w:tcPr>
          <w:p w14:paraId="613A9B55">
            <w:pPr>
              <w:spacing w:line="300" w:lineRule="exact"/>
              <w:jc w:val="center"/>
              <w:rPr>
                <w:rFonts w:hint="eastAsia"/>
                <w:szCs w:val="21"/>
              </w:rPr>
            </w:pPr>
            <w:r>
              <w:rPr>
                <w:rFonts w:hint="eastAsia"/>
                <w:szCs w:val="21"/>
              </w:rPr>
              <w:t>1150</w:t>
            </w:r>
          </w:p>
        </w:tc>
        <w:tc>
          <w:tcPr>
            <w:tcW w:w="294" w:type="pct"/>
            <w:vAlign w:val="center"/>
          </w:tcPr>
          <w:p w14:paraId="34B72E41">
            <w:pPr>
              <w:spacing w:line="300" w:lineRule="exact"/>
              <w:jc w:val="center"/>
              <w:rPr>
                <w:rFonts w:hint="default" w:eastAsia="宋体"/>
                <w:szCs w:val="21"/>
                <w:lang w:val="en-US" w:eastAsia="zh-CN"/>
              </w:rPr>
            </w:pPr>
            <w:r>
              <w:rPr>
                <w:rFonts w:hint="eastAsia"/>
                <w:szCs w:val="21"/>
                <w:lang w:val="en-US" w:eastAsia="zh-CN"/>
              </w:rPr>
              <w:t>15</w:t>
            </w:r>
          </w:p>
        </w:tc>
        <w:tc>
          <w:tcPr>
            <w:tcW w:w="323" w:type="pct"/>
            <w:vAlign w:val="center"/>
          </w:tcPr>
          <w:p w14:paraId="69208DAA">
            <w:pPr>
              <w:spacing w:line="300" w:lineRule="exact"/>
              <w:jc w:val="center"/>
              <w:rPr>
                <w:rFonts w:hint="eastAsia"/>
                <w:szCs w:val="21"/>
              </w:rPr>
            </w:pPr>
            <w:r>
              <w:rPr>
                <w:rFonts w:hint="eastAsia"/>
                <w:szCs w:val="21"/>
                <w:lang w:val="en-US" w:eastAsia="zh-CN"/>
              </w:rPr>
              <w:t>0.15</w:t>
            </w:r>
          </w:p>
        </w:tc>
        <w:tc>
          <w:tcPr>
            <w:tcW w:w="379" w:type="pct"/>
            <w:vAlign w:val="center"/>
          </w:tcPr>
          <w:p w14:paraId="081A4F36">
            <w:pPr>
              <w:spacing w:line="300" w:lineRule="exact"/>
              <w:jc w:val="center"/>
              <w:rPr>
                <w:rFonts w:hint="default" w:eastAsia="宋体"/>
                <w:szCs w:val="21"/>
                <w:lang w:val="en-US" w:eastAsia="zh-CN"/>
              </w:rPr>
            </w:pPr>
            <w:r>
              <w:rPr>
                <w:rFonts w:hint="eastAsia"/>
                <w:szCs w:val="21"/>
                <w:lang w:val="en-US" w:eastAsia="zh-CN"/>
              </w:rPr>
              <w:t>9.44</w:t>
            </w:r>
          </w:p>
        </w:tc>
        <w:tc>
          <w:tcPr>
            <w:tcW w:w="349" w:type="pct"/>
            <w:vAlign w:val="center"/>
          </w:tcPr>
          <w:p w14:paraId="2829A28D">
            <w:pPr>
              <w:spacing w:line="300" w:lineRule="exact"/>
              <w:jc w:val="center"/>
              <w:rPr>
                <w:rFonts w:hint="eastAsia"/>
                <w:szCs w:val="21"/>
              </w:rPr>
            </w:pPr>
            <w:r>
              <w:rPr>
                <w:rFonts w:hint="eastAsia"/>
                <w:szCs w:val="21"/>
                <w:lang w:val="en-US" w:eastAsia="zh-CN"/>
              </w:rPr>
              <w:t>293</w:t>
            </w:r>
          </w:p>
        </w:tc>
        <w:tc>
          <w:tcPr>
            <w:tcW w:w="369" w:type="pct"/>
            <w:vAlign w:val="center"/>
          </w:tcPr>
          <w:p w14:paraId="4832349A">
            <w:pPr>
              <w:spacing w:line="300" w:lineRule="exact"/>
              <w:jc w:val="center"/>
              <w:rPr>
                <w:rFonts w:hint="default" w:eastAsia="宋体"/>
                <w:szCs w:val="21"/>
                <w:lang w:val="en-US" w:eastAsia="zh-CN"/>
              </w:rPr>
            </w:pPr>
            <w:r>
              <w:rPr>
                <w:rFonts w:hint="eastAsia"/>
                <w:szCs w:val="21"/>
                <w:lang w:val="en-US" w:eastAsia="zh-CN"/>
              </w:rPr>
              <w:t>2267</w:t>
            </w:r>
          </w:p>
        </w:tc>
        <w:tc>
          <w:tcPr>
            <w:tcW w:w="258" w:type="pct"/>
            <w:vAlign w:val="center"/>
          </w:tcPr>
          <w:p w14:paraId="14465A1E">
            <w:pPr>
              <w:spacing w:line="300" w:lineRule="exact"/>
              <w:jc w:val="center"/>
              <w:rPr>
                <w:rFonts w:hint="eastAsia"/>
                <w:szCs w:val="21"/>
              </w:rPr>
            </w:pPr>
            <w:r>
              <w:rPr>
                <w:rFonts w:hint="eastAsia"/>
                <w:szCs w:val="21"/>
              </w:rPr>
              <w:t>正常</w:t>
            </w:r>
          </w:p>
        </w:tc>
        <w:tc>
          <w:tcPr>
            <w:tcW w:w="302" w:type="pct"/>
            <w:vAlign w:val="center"/>
          </w:tcPr>
          <w:p w14:paraId="0F993761">
            <w:pPr>
              <w:spacing w:line="300" w:lineRule="exact"/>
              <w:jc w:val="center"/>
              <w:rPr>
                <w:rFonts w:hint="eastAsia"/>
                <w:szCs w:val="21"/>
              </w:rPr>
            </w:pPr>
            <w:r>
              <w:rPr>
                <w:rFonts w:hint="eastAsia"/>
                <w:szCs w:val="21"/>
              </w:rPr>
              <w:t>颗粒物</w:t>
            </w:r>
          </w:p>
        </w:tc>
        <w:tc>
          <w:tcPr>
            <w:tcW w:w="336" w:type="pct"/>
            <w:vAlign w:val="center"/>
          </w:tcPr>
          <w:p w14:paraId="1B8F2C2B">
            <w:pPr>
              <w:spacing w:line="300" w:lineRule="exact"/>
              <w:jc w:val="center"/>
              <w:rPr>
                <w:rFonts w:hint="default" w:eastAsia="宋体"/>
                <w:spacing w:val="6"/>
                <w:szCs w:val="21"/>
                <w:lang w:val="en-US" w:eastAsia="zh-CN"/>
              </w:rPr>
            </w:pPr>
            <w:r>
              <w:rPr>
                <w:rFonts w:hint="eastAsia"/>
                <w:spacing w:val="6"/>
                <w:szCs w:val="21"/>
                <w:lang w:val="en-US" w:eastAsia="zh-CN"/>
              </w:rPr>
              <w:t>0.015</w:t>
            </w:r>
          </w:p>
        </w:tc>
      </w:tr>
      <w:tr w14:paraId="4422AE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98" w:type="pct"/>
            <w:vAlign w:val="center"/>
          </w:tcPr>
          <w:p w14:paraId="6AB5861F">
            <w:pPr>
              <w:spacing w:line="300" w:lineRule="exact"/>
              <w:jc w:val="center"/>
              <w:rPr>
                <w:rFonts w:hint="default"/>
                <w:szCs w:val="21"/>
                <w:lang w:val="en-US"/>
              </w:rPr>
            </w:pPr>
            <w:r>
              <w:rPr>
                <w:rFonts w:hint="eastAsia"/>
                <w:szCs w:val="21"/>
                <w:lang w:val="en-US" w:eastAsia="zh-CN"/>
              </w:rPr>
              <w:t>DA008</w:t>
            </w:r>
          </w:p>
        </w:tc>
        <w:tc>
          <w:tcPr>
            <w:tcW w:w="577" w:type="pct"/>
            <w:vAlign w:val="center"/>
          </w:tcPr>
          <w:p w14:paraId="5F2F7F81">
            <w:pPr>
              <w:spacing w:line="300" w:lineRule="exact"/>
              <w:jc w:val="center"/>
              <w:rPr>
                <w:rFonts w:hint="eastAsia"/>
                <w:bCs/>
                <w:szCs w:val="21"/>
              </w:rPr>
            </w:pPr>
            <w:r>
              <w:rPr>
                <w:rFonts w:hint="eastAsia"/>
                <w:bCs/>
                <w:szCs w:val="21"/>
                <w:lang w:eastAsia="zh-CN"/>
              </w:rPr>
              <w:t>混凝土粉煤灰筒仓废气排气筒</w:t>
            </w:r>
          </w:p>
        </w:tc>
        <w:tc>
          <w:tcPr>
            <w:tcW w:w="501" w:type="pct"/>
            <w:vAlign w:val="center"/>
          </w:tcPr>
          <w:p w14:paraId="4D5012F3">
            <w:pPr>
              <w:spacing w:line="300" w:lineRule="exact"/>
              <w:jc w:val="center"/>
              <w:rPr>
                <w:rFonts w:hint="eastAsia"/>
                <w:szCs w:val="21"/>
              </w:rPr>
            </w:pPr>
            <w:r>
              <w:rPr>
                <w:rFonts w:hint="eastAsia"/>
                <w:szCs w:val="21"/>
              </w:rPr>
              <w:t>40.</w:t>
            </w:r>
            <w:r>
              <w:rPr>
                <w:rFonts w:hint="eastAsia"/>
                <w:szCs w:val="21"/>
                <w:lang w:val="en-US" w:eastAsia="zh-CN"/>
              </w:rPr>
              <w:t>41294540</w:t>
            </w:r>
            <w:r>
              <w:rPr>
                <w:szCs w:val="21"/>
              </w:rPr>
              <w:t>°</w:t>
            </w:r>
          </w:p>
        </w:tc>
        <w:tc>
          <w:tcPr>
            <w:tcW w:w="536" w:type="pct"/>
            <w:vAlign w:val="center"/>
          </w:tcPr>
          <w:p w14:paraId="04367F88">
            <w:pPr>
              <w:spacing w:line="300" w:lineRule="exact"/>
              <w:jc w:val="center"/>
              <w:rPr>
                <w:szCs w:val="21"/>
              </w:rPr>
            </w:pPr>
            <w:r>
              <w:rPr>
                <w:szCs w:val="21"/>
              </w:rPr>
              <w:t>11</w:t>
            </w:r>
            <w:r>
              <w:rPr>
                <w:rFonts w:hint="eastAsia"/>
                <w:szCs w:val="21"/>
                <w:lang w:val="en-US" w:eastAsia="zh-CN"/>
              </w:rPr>
              <w:t>4.10445473</w:t>
            </w:r>
            <w:r>
              <w:rPr>
                <w:szCs w:val="21"/>
              </w:rPr>
              <w:t>°</w:t>
            </w:r>
          </w:p>
        </w:tc>
        <w:tc>
          <w:tcPr>
            <w:tcW w:w="474" w:type="pct"/>
            <w:vAlign w:val="center"/>
          </w:tcPr>
          <w:p w14:paraId="4A62908E">
            <w:pPr>
              <w:spacing w:line="300" w:lineRule="exact"/>
              <w:jc w:val="center"/>
              <w:rPr>
                <w:rFonts w:hint="eastAsia"/>
                <w:szCs w:val="21"/>
              </w:rPr>
            </w:pPr>
            <w:r>
              <w:rPr>
                <w:rFonts w:hint="eastAsia"/>
                <w:szCs w:val="21"/>
              </w:rPr>
              <w:t>1150</w:t>
            </w:r>
          </w:p>
        </w:tc>
        <w:tc>
          <w:tcPr>
            <w:tcW w:w="294" w:type="pct"/>
            <w:vAlign w:val="center"/>
          </w:tcPr>
          <w:p w14:paraId="23CF1EDC">
            <w:pPr>
              <w:spacing w:line="300" w:lineRule="exact"/>
              <w:jc w:val="center"/>
              <w:rPr>
                <w:rFonts w:hint="default" w:eastAsia="宋体"/>
                <w:szCs w:val="21"/>
                <w:lang w:val="en-US" w:eastAsia="zh-CN"/>
              </w:rPr>
            </w:pPr>
            <w:r>
              <w:rPr>
                <w:rFonts w:hint="eastAsia"/>
                <w:szCs w:val="21"/>
                <w:lang w:val="en-US" w:eastAsia="zh-CN"/>
              </w:rPr>
              <w:t>15</w:t>
            </w:r>
          </w:p>
        </w:tc>
        <w:tc>
          <w:tcPr>
            <w:tcW w:w="323" w:type="pct"/>
            <w:vAlign w:val="center"/>
          </w:tcPr>
          <w:p w14:paraId="5B0D0951">
            <w:pPr>
              <w:spacing w:line="300" w:lineRule="exact"/>
              <w:jc w:val="center"/>
              <w:rPr>
                <w:rFonts w:hint="eastAsia"/>
                <w:szCs w:val="21"/>
              </w:rPr>
            </w:pPr>
            <w:r>
              <w:rPr>
                <w:rFonts w:hint="eastAsia"/>
                <w:szCs w:val="21"/>
                <w:lang w:val="en-US" w:eastAsia="zh-CN"/>
              </w:rPr>
              <w:t>0.15</w:t>
            </w:r>
          </w:p>
        </w:tc>
        <w:tc>
          <w:tcPr>
            <w:tcW w:w="379" w:type="pct"/>
            <w:vAlign w:val="center"/>
          </w:tcPr>
          <w:p w14:paraId="698E9E54">
            <w:pPr>
              <w:spacing w:line="300" w:lineRule="exact"/>
              <w:jc w:val="center"/>
              <w:rPr>
                <w:rFonts w:hint="default" w:eastAsia="宋体"/>
                <w:szCs w:val="21"/>
                <w:lang w:val="en-US" w:eastAsia="zh-CN"/>
              </w:rPr>
            </w:pPr>
            <w:r>
              <w:rPr>
                <w:rFonts w:hint="eastAsia"/>
                <w:szCs w:val="21"/>
                <w:lang w:val="en-US" w:eastAsia="zh-CN"/>
              </w:rPr>
              <w:t>4.72</w:t>
            </w:r>
          </w:p>
        </w:tc>
        <w:tc>
          <w:tcPr>
            <w:tcW w:w="349" w:type="pct"/>
            <w:vAlign w:val="center"/>
          </w:tcPr>
          <w:p w14:paraId="6CA20D9C">
            <w:pPr>
              <w:spacing w:line="300" w:lineRule="exact"/>
              <w:jc w:val="center"/>
              <w:rPr>
                <w:rFonts w:hint="eastAsia"/>
                <w:szCs w:val="21"/>
              </w:rPr>
            </w:pPr>
            <w:r>
              <w:rPr>
                <w:rFonts w:hint="eastAsia"/>
                <w:szCs w:val="21"/>
                <w:lang w:val="en-US" w:eastAsia="zh-CN"/>
              </w:rPr>
              <w:t>293</w:t>
            </w:r>
          </w:p>
        </w:tc>
        <w:tc>
          <w:tcPr>
            <w:tcW w:w="369" w:type="pct"/>
            <w:vAlign w:val="center"/>
          </w:tcPr>
          <w:p w14:paraId="7ED3102C">
            <w:pPr>
              <w:spacing w:line="300" w:lineRule="exact"/>
              <w:jc w:val="center"/>
              <w:rPr>
                <w:rFonts w:hint="default" w:eastAsia="宋体"/>
                <w:szCs w:val="21"/>
                <w:lang w:val="en-US" w:eastAsia="zh-CN"/>
              </w:rPr>
            </w:pPr>
            <w:r>
              <w:rPr>
                <w:rFonts w:hint="eastAsia"/>
                <w:szCs w:val="21"/>
                <w:lang w:val="en-US" w:eastAsia="zh-CN"/>
              </w:rPr>
              <w:t>214</w:t>
            </w:r>
          </w:p>
        </w:tc>
        <w:tc>
          <w:tcPr>
            <w:tcW w:w="258" w:type="pct"/>
            <w:vAlign w:val="center"/>
          </w:tcPr>
          <w:p w14:paraId="20F710F9">
            <w:pPr>
              <w:spacing w:line="300" w:lineRule="exact"/>
              <w:jc w:val="center"/>
              <w:rPr>
                <w:rFonts w:hint="eastAsia"/>
                <w:szCs w:val="21"/>
              </w:rPr>
            </w:pPr>
            <w:r>
              <w:rPr>
                <w:rFonts w:hint="eastAsia"/>
                <w:szCs w:val="21"/>
              </w:rPr>
              <w:t>正常</w:t>
            </w:r>
          </w:p>
        </w:tc>
        <w:tc>
          <w:tcPr>
            <w:tcW w:w="302" w:type="pct"/>
            <w:vAlign w:val="center"/>
          </w:tcPr>
          <w:p w14:paraId="00EE128E">
            <w:pPr>
              <w:spacing w:line="300" w:lineRule="exact"/>
              <w:jc w:val="center"/>
              <w:rPr>
                <w:rFonts w:hint="eastAsia"/>
                <w:szCs w:val="21"/>
              </w:rPr>
            </w:pPr>
            <w:r>
              <w:rPr>
                <w:rFonts w:hint="eastAsia"/>
                <w:szCs w:val="21"/>
              </w:rPr>
              <w:t>颗粒物</w:t>
            </w:r>
          </w:p>
        </w:tc>
        <w:tc>
          <w:tcPr>
            <w:tcW w:w="336" w:type="pct"/>
            <w:vAlign w:val="center"/>
          </w:tcPr>
          <w:p w14:paraId="6AD480A0">
            <w:pPr>
              <w:spacing w:line="300" w:lineRule="exact"/>
              <w:jc w:val="center"/>
              <w:rPr>
                <w:spacing w:val="6"/>
                <w:szCs w:val="21"/>
              </w:rPr>
            </w:pPr>
            <w:r>
              <w:rPr>
                <w:rFonts w:hint="eastAsia"/>
                <w:spacing w:val="6"/>
                <w:szCs w:val="21"/>
                <w:lang w:val="en-US" w:eastAsia="zh-CN"/>
              </w:rPr>
              <w:t>0.015</w:t>
            </w:r>
          </w:p>
        </w:tc>
      </w:tr>
      <w:tr w14:paraId="17E63A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98" w:type="pct"/>
            <w:vAlign w:val="center"/>
          </w:tcPr>
          <w:p w14:paraId="60A58114">
            <w:pPr>
              <w:spacing w:line="300" w:lineRule="exact"/>
              <w:jc w:val="center"/>
              <w:rPr>
                <w:rFonts w:hint="default"/>
                <w:szCs w:val="21"/>
                <w:lang w:val="en-US"/>
              </w:rPr>
            </w:pPr>
            <w:r>
              <w:rPr>
                <w:rFonts w:hint="eastAsia"/>
                <w:szCs w:val="21"/>
                <w:lang w:val="en-US" w:eastAsia="zh-CN"/>
              </w:rPr>
              <w:t>DA009</w:t>
            </w:r>
          </w:p>
        </w:tc>
        <w:tc>
          <w:tcPr>
            <w:tcW w:w="577" w:type="pct"/>
            <w:vAlign w:val="center"/>
          </w:tcPr>
          <w:p w14:paraId="007A5C32">
            <w:pPr>
              <w:spacing w:line="300" w:lineRule="exact"/>
              <w:jc w:val="center"/>
              <w:rPr>
                <w:rFonts w:hint="eastAsia"/>
                <w:bCs/>
                <w:szCs w:val="21"/>
              </w:rPr>
            </w:pPr>
            <w:r>
              <w:rPr>
                <w:rFonts w:hint="eastAsia"/>
                <w:bCs/>
                <w:szCs w:val="21"/>
                <w:lang w:eastAsia="zh-CN"/>
              </w:rPr>
              <w:t>混凝土矿粉筒仓废气排气筒</w:t>
            </w:r>
          </w:p>
        </w:tc>
        <w:tc>
          <w:tcPr>
            <w:tcW w:w="501" w:type="pct"/>
            <w:vAlign w:val="center"/>
          </w:tcPr>
          <w:p w14:paraId="05A68307">
            <w:pPr>
              <w:spacing w:line="300" w:lineRule="exact"/>
              <w:jc w:val="center"/>
              <w:rPr>
                <w:rFonts w:hint="eastAsia"/>
                <w:szCs w:val="21"/>
              </w:rPr>
            </w:pPr>
            <w:r>
              <w:rPr>
                <w:rFonts w:hint="eastAsia"/>
                <w:szCs w:val="21"/>
              </w:rPr>
              <w:t>40.</w:t>
            </w:r>
            <w:r>
              <w:rPr>
                <w:rFonts w:hint="eastAsia"/>
                <w:szCs w:val="21"/>
                <w:lang w:val="en-US" w:eastAsia="zh-CN"/>
              </w:rPr>
              <w:t>41295613</w:t>
            </w:r>
            <w:r>
              <w:rPr>
                <w:szCs w:val="21"/>
              </w:rPr>
              <w:t>°</w:t>
            </w:r>
          </w:p>
        </w:tc>
        <w:tc>
          <w:tcPr>
            <w:tcW w:w="536" w:type="pct"/>
            <w:vAlign w:val="center"/>
          </w:tcPr>
          <w:p w14:paraId="5146BC10">
            <w:pPr>
              <w:spacing w:line="300" w:lineRule="exact"/>
              <w:jc w:val="center"/>
              <w:rPr>
                <w:szCs w:val="21"/>
              </w:rPr>
            </w:pPr>
            <w:r>
              <w:rPr>
                <w:szCs w:val="21"/>
              </w:rPr>
              <w:t>11</w:t>
            </w:r>
            <w:r>
              <w:rPr>
                <w:rFonts w:hint="eastAsia"/>
                <w:szCs w:val="21"/>
                <w:lang w:val="en-US" w:eastAsia="zh-CN"/>
              </w:rPr>
              <w:t>4.10442791</w:t>
            </w:r>
            <w:r>
              <w:rPr>
                <w:szCs w:val="21"/>
              </w:rPr>
              <w:t>°</w:t>
            </w:r>
          </w:p>
        </w:tc>
        <w:tc>
          <w:tcPr>
            <w:tcW w:w="474" w:type="pct"/>
            <w:vAlign w:val="center"/>
          </w:tcPr>
          <w:p w14:paraId="03D6AAA5">
            <w:pPr>
              <w:spacing w:line="300" w:lineRule="exact"/>
              <w:jc w:val="center"/>
              <w:rPr>
                <w:rFonts w:hint="eastAsia"/>
                <w:szCs w:val="21"/>
              </w:rPr>
            </w:pPr>
            <w:r>
              <w:rPr>
                <w:rFonts w:hint="eastAsia"/>
                <w:szCs w:val="21"/>
              </w:rPr>
              <w:t>1150</w:t>
            </w:r>
          </w:p>
        </w:tc>
        <w:tc>
          <w:tcPr>
            <w:tcW w:w="294" w:type="pct"/>
            <w:vAlign w:val="center"/>
          </w:tcPr>
          <w:p w14:paraId="697D206C">
            <w:pPr>
              <w:spacing w:line="300" w:lineRule="exact"/>
              <w:jc w:val="center"/>
              <w:rPr>
                <w:rFonts w:hint="default" w:eastAsia="宋体"/>
                <w:szCs w:val="21"/>
                <w:lang w:val="en-US" w:eastAsia="zh-CN"/>
              </w:rPr>
            </w:pPr>
            <w:r>
              <w:rPr>
                <w:rFonts w:hint="eastAsia"/>
                <w:szCs w:val="21"/>
                <w:lang w:val="en-US" w:eastAsia="zh-CN"/>
              </w:rPr>
              <w:t>15</w:t>
            </w:r>
          </w:p>
        </w:tc>
        <w:tc>
          <w:tcPr>
            <w:tcW w:w="323" w:type="pct"/>
            <w:vAlign w:val="center"/>
          </w:tcPr>
          <w:p w14:paraId="3622E15C">
            <w:pPr>
              <w:spacing w:line="300" w:lineRule="exact"/>
              <w:jc w:val="center"/>
              <w:rPr>
                <w:rFonts w:hint="eastAsia"/>
                <w:szCs w:val="21"/>
              </w:rPr>
            </w:pPr>
            <w:r>
              <w:rPr>
                <w:rFonts w:hint="eastAsia"/>
                <w:szCs w:val="21"/>
                <w:lang w:val="en-US" w:eastAsia="zh-CN"/>
              </w:rPr>
              <w:t>0.15</w:t>
            </w:r>
          </w:p>
        </w:tc>
        <w:tc>
          <w:tcPr>
            <w:tcW w:w="379" w:type="pct"/>
            <w:vAlign w:val="center"/>
          </w:tcPr>
          <w:p w14:paraId="5426BA29">
            <w:pPr>
              <w:spacing w:line="300" w:lineRule="exact"/>
              <w:jc w:val="center"/>
              <w:rPr>
                <w:rFonts w:hint="default" w:eastAsia="宋体"/>
                <w:szCs w:val="21"/>
                <w:lang w:val="en-US" w:eastAsia="zh-CN"/>
              </w:rPr>
            </w:pPr>
            <w:r>
              <w:rPr>
                <w:rFonts w:hint="eastAsia"/>
                <w:szCs w:val="21"/>
                <w:lang w:val="en-US" w:eastAsia="zh-CN"/>
              </w:rPr>
              <w:t>4.72</w:t>
            </w:r>
          </w:p>
        </w:tc>
        <w:tc>
          <w:tcPr>
            <w:tcW w:w="349" w:type="pct"/>
            <w:vAlign w:val="center"/>
          </w:tcPr>
          <w:p w14:paraId="1A9B5FBB">
            <w:pPr>
              <w:spacing w:line="300" w:lineRule="exact"/>
              <w:jc w:val="center"/>
              <w:rPr>
                <w:rFonts w:hint="eastAsia"/>
                <w:szCs w:val="21"/>
              </w:rPr>
            </w:pPr>
            <w:r>
              <w:rPr>
                <w:rFonts w:hint="eastAsia"/>
                <w:szCs w:val="21"/>
                <w:lang w:val="en-US" w:eastAsia="zh-CN"/>
              </w:rPr>
              <w:t>293</w:t>
            </w:r>
          </w:p>
        </w:tc>
        <w:tc>
          <w:tcPr>
            <w:tcW w:w="369" w:type="pct"/>
            <w:vAlign w:val="center"/>
          </w:tcPr>
          <w:p w14:paraId="166E1F3D">
            <w:pPr>
              <w:spacing w:line="300" w:lineRule="exact"/>
              <w:jc w:val="center"/>
              <w:rPr>
                <w:rFonts w:hint="default" w:eastAsia="宋体"/>
                <w:szCs w:val="21"/>
                <w:lang w:val="en-US" w:eastAsia="zh-CN"/>
              </w:rPr>
            </w:pPr>
            <w:r>
              <w:rPr>
                <w:rFonts w:hint="eastAsia"/>
                <w:szCs w:val="21"/>
                <w:lang w:val="en-US" w:eastAsia="zh-CN"/>
              </w:rPr>
              <w:t>107</w:t>
            </w:r>
          </w:p>
        </w:tc>
        <w:tc>
          <w:tcPr>
            <w:tcW w:w="258" w:type="pct"/>
            <w:vAlign w:val="center"/>
          </w:tcPr>
          <w:p w14:paraId="31FA8585">
            <w:pPr>
              <w:spacing w:line="300" w:lineRule="exact"/>
              <w:jc w:val="center"/>
              <w:rPr>
                <w:rFonts w:hint="eastAsia"/>
                <w:szCs w:val="21"/>
              </w:rPr>
            </w:pPr>
            <w:r>
              <w:rPr>
                <w:rFonts w:hint="eastAsia"/>
                <w:szCs w:val="21"/>
              </w:rPr>
              <w:t>正常</w:t>
            </w:r>
          </w:p>
        </w:tc>
        <w:tc>
          <w:tcPr>
            <w:tcW w:w="302" w:type="pct"/>
            <w:vAlign w:val="center"/>
          </w:tcPr>
          <w:p w14:paraId="14E5C753">
            <w:pPr>
              <w:spacing w:line="300" w:lineRule="exact"/>
              <w:jc w:val="center"/>
              <w:rPr>
                <w:rFonts w:hint="eastAsia"/>
                <w:szCs w:val="21"/>
              </w:rPr>
            </w:pPr>
            <w:r>
              <w:rPr>
                <w:rFonts w:hint="eastAsia"/>
                <w:szCs w:val="21"/>
              </w:rPr>
              <w:t>颗粒物</w:t>
            </w:r>
          </w:p>
        </w:tc>
        <w:tc>
          <w:tcPr>
            <w:tcW w:w="336" w:type="pct"/>
            <w:vAlign w:val="center"/>
          </w:tcPr>
          <w:p w14:paraId="5D3CA6A5">
            <w:pPr>
              <w:spacing w:line="300" w:lineRule="exact"/>
              <w:jc w:val="center"/>
              <w:rPr>
                <w:spacing w:val="6"/>
                <w:szCs w:val="21"/>
              </w:rPr>
            </w:pPr>
            <w:r>
              <w:rPr>
                <w:rFonts w:hint="eastAsia"/>
                <w:spacing w:val="6"/>
                <w:szCs w:val="21"/>
                <w:lang w:val="en-US" w:eastAsia="zh-CN"/>
              </w:rPr>
              <w:t>0.015</w:t>
            </w:r>
          </w:p>
        </w:tc>
      </w:tr>
      <w:tr w14:paraId="001E12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98" w:type="pct"/>
            <w:vAlign w:val="center"/>
          </w:tcPr>
          <w:p w14:paraId="58250644">
            <w:pPr>
              <w:spacing w:line="300" w:lineRule="exact"/>
              <w:jc w:val="center"/>
              <w:rPr>
                <w:rFonts w:hint="default"/>
                <w:szCs w:val="21"/>
                <w:lang w:val="en-US" w:eastAsia="zh-CN"/>
              </w:rPr>
            </w:pPr>
            <w:r>
              <w:rPr>
                <w:rFonts w:hint="eastAsia"/>
                <w:szCs w:val="21"/>
                <w:lang w:val="en-US" w:eastAsia="zh-CN"/>
              </w:rPr>
              <w:t>DA010</w:t>
            </w:r>
          </w:p>
        </w:tc>
        <w:tc>
          <w:tcPr>
            <w:tcW w:w="577" w:type="pct"/>
            <w:vAlign w:val="center"/>
          </w:tcPr>
          <w:p w14:paraId="0060505F">
            <w:pPr>
              <w:spacing w:line="300" w:lineRule="exact"/>
              <w:jc w:val="center"/>
              <w:rPr>
                <w:rFonts w:hint="eastAsia"/>
                <w:bCs/>
                <w:szCs w:val="21"/>
              </w:rPr>
            </w:pPr>
            <w:r>
              <w:rPr>
                <w:rFonts w:hint="eastAsia"/>
                <w:bCs/>
                <w:szCs w:val="21"/>
                <w:lang w:eastAsia="zh-CN"/>
              </w:rPr>
              <w:t>水稳土水泥筒仓废气排气筒</w:t>
            </w:r>
          </w:p>
        </w:tc>
        <w:tc>
          <w:tcPr>
            <w:tcW w:w="501" w:type="pct"/>
            <w:vAlign w:val="center"/>
          </w:tcPr>
          <w:p w14:paraId="32DFEBB5">
            <w:pPr>
              <w:spacing w:line="300" w:lineRule="exact"/>
              <w:jc w:val="center"/>
              <w:rPr>
                <w:rFonts w:hint="eastAsia"/>
                <w:szCs w:val="21"/>
              </w:rPr>
            </w:pPr>
            <w:r>
              <w:rPr>
                <w:rFonts w:hint="eastAsia"/>
                <w:szCs w:val="21"/>
              </w:rPr>
              <w:t>40.</w:t>
            </w:r>
            <w:r>
              <w:rPr>
                <w:rFonts w:hint="eastAsia"/>
                <w:szCs w:val="21"/>
                <w:lang w:val="en-US" w:eastAsia="zh-CN"/>
              </w:rPr>
              <w:t>41377152</w:t>
            </w:r>
            <w:r>
              <w:rPr>
                <w:szCs w:val="21"/>
              </w:rPr>
              <w:t>°</w:t>
            </w:r>
          </w:p>
        </w:tc>
        <w:tc>
          <w:tcPr>
            <w:tcW w:w="536" w:type="pct"/>
            <w:vAlign w:val="center"/>
          </w:tcPr>
          <w:p w14:paraId="3F7EEE16">
            <w:pPr>
              <w:spacing w:line="300" w:lineRule="exact"/>
              <w:jc w:val="center"/>
              <w:rPr>
                <w:szCs w:val="21"/>
              </w:rPr>
            </w:pPr>
            <w:r>
              <w:rPr>
                <w:szCs w:val="21"/>
              </w:rPr>
              <w:t>11</w:t>
            </w:r>
            <w:r>
              <w:rPr>
                <w:rFonts w:hint="eastAsia"/>
                <w:szCs w:val="21"/>
                <w:lang w:val="en-US" w:eastAsia="zh-CN"/>
              </w:rPr>
              <w:t>4.10447082</w:t>
            </w:r>
            <w:r>
              <w:rPr>
                <w:szCs w:val="21"/>
              </w:rPr>
              <w:t>°</w:t>
            </w:r>
          </w:p>
        </w:tc>
        <w:tc>
          <w:tcPr>
            <w:tcW w:w="474" w:type="pct"/>
            <w:vAlign w:val="center"/>
          </w:tcPr>
          <w:p w14:paraId="26F43655">
            <w:pPr>
              <w:spacing w:line="300" w:lineRule="exact"/>
              <w:jc w:val="center"/>
              <w:rPr>
                <w:rFonts w:hint="eastAsia"/>
                <w:szCs w:val="21"/>
              </w:rPr>
            </w:pPr>
            <w:r>
              <w:rPr>
                <w:rFonts w:hint="eastAsia"/>
                <w:szCs w:val="21"/>
              </w:rPr>
              <w:t>1150</w:t>
            </w:r>
          </w:p>
        </w:tc>
        <w:tc>
          <w:tcPr>
            <w:tcW w:w="294" w:type="pct"/>
            <w:vAlign w:val="center"/>
          </w:tcPr>
          <w:p w14:paraId="0150230D">
            <w:pPr>
              <w:spacing w:line="300" w:lineRule="exact"/>
              <w:jc w:val="center"/>
              <w:rPr>
                <w:rFonts w:hint="default" w:eastAsia="宋体"/>
                <w:szCs w:val="21"/>
                <w:lang w:val="en-US" w:eastAsia="zh-CN"/>
              </w:rPr>
            </w:pPr>
            <w:r>
              <w:rPr>
                <w:rFonts w:hint="eastAsia"/>
                <w:szCs w:val="21"/>
                <w:lang w:val="en-US" w:eastAsia="zh-CN"/>
              </w:rPr>
              <w:t>15</w:t>
            </w:r>
          </w:p>
        </w:tc>
        <w:tc>
          <w:tcPr>
            <w:tcW w:w="323" w:type="pct"/>
            <w:vAlign w:val="center"/>
          </w:tcPr>
          <w:p w14:paraId="3976E901">
            <w:pPr>
              <w:spacing w:line="300" w:lineRule="exact"/>
              <w:jc w:val="center"/>
              <w:rPr>
                <w:rFonts w:hint="eastAsia"/>
                <w:szCs w:val="21"/>
              </w:rPr>
            </w:pPr>
            <w:r>
              <w:rPr>
                <w:rFonts w:hint="eastAsia"/>
                <w:szCs w:val="21"/>
                <w:lang w:val="en-US" w:eastAsia="zh-CN"/>
              </w:rPr>
              <w:t>0.15</w:t>
            </w:r>
          </w:p>
        </w:tc>
        <w:tc>
          <w:tcPr>
            <w:tcW w:w="379" w:type="pct"/>
            <w:vAlign w:val="center"/>
          </w:tcPr>
          <w:p w14:paraId="38E9449F">
            <w:pPr>
              <w:spacing w:line="300" w:lineRule="exact"/>
              <w:jc w:val="center"/>
              <w:rPr>
                <w:rFonts w:hint="default" w:eastAsia="宋体"/>
                <w:szCs w:val="21"/>
                <w:lang w:val="en-US" w:eastAsia="zh-CN"/>
              </w:rPr>
            </w:pPr>
            <w:r>
              <w:rPr>
                <w:rFonts w:hint="eastAsia"/>
                <w:szCs w:val="21"/>
                <w:lang w:val="en-US" w:eastAsia="zh-CN"/>
              </w:rPr>
              <w:t>4.72</w:t>
            </w:r>
          </w:p>
        </w:tc>
        <w:tc>
          <w:tcPr>
            <w:tcW w:w="349" w:type="pct"/>
            <w:vAlign w:val="center"/>
          </w:tcPr>
          <w:p w14:paraId="5F84E4DF">
            <w:pPr>
              <w:spacing w:line="300" w:lineRule="exact"/>
              <w:jc w:val="center"/>
              <w:rPr>
                <w:rFonts w:hint="eastAsia"/>
                <w:szCs w:val="21"/>
              </w:rPr>
            </w:pPr>
            <w:r>
              <w:rPr>
                <w:rFonts w:hint="eastAsia"/>
                <w:szCs w:val="21"/>
                <w:lang w:val="en-US" w:eastAsia="zh-CN"/>
              </w:rPr>
              <w:t>293</w:t>
            </w:r>
          </w:p>
        </w:tc>
        <w:tc>
          <w:tcPr>
            <w:tcW w:w="369" w:type="pct"/>
            <w:vAlign w:val="center"/>
          </w:tcPr>
          <w:p w14:paraId="687CFF4A">
            <w:pPr>
              <w:spacing w:line="300" w:lineRule="exact"/>
              <w:jc w:val="center"/>
              <w:rPr>
                <w:rFonts w:hint="default" w:eastAsia="宋体"/>
                <w:szCs w:val="21"/>
                <w:lang w:val="en-US" w:eastAsia="zh-CN"/>
              </w:rPr>
            </w:pPr>
            <w:r>
              <w:rPr>
                <w:rFonts w:hint="eastAsia"/>
                <w:szCs w:val="21"/>
                <w:lang w:val="en-US" w:eastAsia="zh-CN"/>
              </w:rPr>
              <w:t>41</w:t>
            </w:r>
          </w:p>
        </w:tc>
        <w:tc>
          <w:tcPr>
            <w:tcW w:w="258" w:type="pct"/>
            <w:vAlign w:val="center"/>
          </w:tcPr>
          <w:p w14:paraId="7D328AEA">
            <w:pPr>
              <w:spacing w:line="300" w:lineRule="exact"/>
              <w:jc w:val="center"/>
              <w:rPr>
                <w:rFonts w:hint="eastAsia"/>
                <w:szCs w:val="21"/>
              </w:rPr>
            </w:pPr>
            <w:r>
              <w:rPr>
                <w:rFonts w:hint="eastAsia"/>
                <w:szCs w:val="21"/>
              </w:rPr>
              <w:t>正常</w:t>
            </w:r>
          </w:p>
        </w:tc>
        <w:tc>
          <w:tcPr>
            <w:tcW w:w="302" w:type="pct"/>
            <w:vAlign w:val="center"/>
          </w:tcPr>
          <w:p w14:paraId="3B7315B1">
            <w:pPr>
              <w:spacing w:line="300" w:lineRule="exact"/>
              <w:jc w:val="center"/>
              <w:rPr>
                <w:rFonts w:hint="eastAsia"/>
                <w:szCs w:val="21"/>
              </w:rPr>
            </w:pPr>
            <w:r>
              <w:rPr>
                <w:rFonts w:hint="eastAsia"/>
                <w:szCs w:val="21"/>
              </w:rPr>
              <w:t>颗粒物</w:t>
            </w:r>
          </w:p>
        </w:tc>
        <w:tc>
          <w:tcPr>
            <w:tcW w:w="336" w:type="pct"/>
            <w:vAlign w:val="center"/>
          </w:tcPr>
          <w:p w14:paraId="3C0FC8E0">
            <w:pPr>
              <w:spacing w:line="300" w:lineRule="exact"/>
              <w:jc w:val="center"/>
              <w:rPr>
                <w:rFonts w:hint="default" w:eastAsia="宋体"/>
                <w:spacing w:val="6"/>
                <w:szCs w:val="21"/>
                <w:lang w:val="en-US" w:eastAsia="zh-CN"/>
              </w:rPr>
            </w:pPr>
            <w:r>
              <w:rPr>
                <w:rFonts w:hint="eastAsia"/>
                <w:spacing w:val="6"/>
                <w:szCs w:val="21"/>
                <w:lang w:val="en-US" w:eastAsia="zh-CN"/>
              </w:rPr>
              <w:t>0.039</w:t>
            </w:r>
          </w:p>
        </w:tc>
      </w:tr>
    </w:tbl>
    <w:p w14:paraId="2933E68A">
      <w:pPr>
        <w:keepNext/>
        <w:keepLines/>
        <w:widowControl/>
        <w:spacing w:line="240" w:lineRule="atLeast"/>
        <w:jc w:val="center"/>
        <w:rPr>
          <w:b/>
          <w:bCs/>
          <w:szCs w:val="21"/>
        </w:rPr>
      </w:pPr>
      <w:r>
        <w:rPr>
          <w:b/>
          <w:bCs/>
          <w:szCs w:val="21"/>
        </w:rPr>
        <w:t>表</w:t>
      </w:r>
      <w:r>
        <w:rPr>
          <w:rFonts w:hint="eastAsia"/>
          <w:b/>
          <w:bCs/>
          <w:szCs w:val="21"/>
        </w:rPr>
        <w:t>5</w:t>
      </w:r>
      <w:r>
        <w:rPr>
          <w:rFonts w:hint="eastAsia"/>
          <w:b/>
          <w:bCs/>
          <w:szCs w:val="21"/>
          <w:lang w:val="en-US" w:eastAsia="zh-CN"/>
        </w:rPr>
        <w:t xml:space="preserve"> </w:t>
      </w:r>
      <w:r>
        <w:rPr>
          <w:rFonts w:hint="eastAsia"/>
          <w:b/>
          <w:bCs/>
          <w:szCs w:val="21"/>
        </w:rPr>
        <w:t xml:space="preserve"> </w:t>
      </w:r>
      <w:r>
        <w:rPr>
          <w:b/>
          <w:bCs/>
          <w:szCs w:val="21"/>
        </w:rPr>
        <w:t xml:space="preserve">  </w:t>
      </w:r>
      <w:r>
        <w:rPr>
          <w:rFonts w:hint="eastAsia"/>
          <w:b/>
          <w:bCs/>
          <w:szCs w:val="21"/>
        </w:rPr>
        <w:t>项目无组织废气排放</w:t>
      </w:r>
      <w:r>
        <w:rPr>
          <w:b/>
          <w:bCs/>
          <w:szCs w:val="21"/>
        </w:rPr>
        <w:t>参数调查</w:t>
      </w:r>
      <w:r>
        <w:rPr>
          <w:rFonts w:hint="eastAsia"/>
          <w:b/>
          <w:bCs/>
          <w:szCs w:val="21"/>
        </w:rPr>
        <w:t>表</w:t>
      </w:r>
      <w:r>
        <w:rPr>
          <w:b/>
          <w:bCs/>
          <w:szCs w:val="21"/>
        </w:rPr>
        <w:t>（</w:t>
      </w:r>
      <w:r>
        <w:rPr>
          <w:rFonts w:hint="eastAsia"/>
          <w:b/>
          <w:bCs/>
          <w:szCs w:val="21"/>
        </w:rPr>
        <w:t>面源</w:t>
      </w:r>
      <w:r>
        <w:rPr>
          <w:b/>
          <w:bCs/>
          <w:szCs w:val="21"/>
        </w:rPr>
        <w:t>）</w:t>
      </w:r>
    </w:p>
    <w:tbl>
      <w:tblPr>
        <w:tblStyle w:val="47"/>
        <w:tblW w:w="4997" w:type="pct"/>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autofit"/>
        <w:tblCellMar>
          <w:top w:w="0" w:type="dxa"/>
          <w:left w:w="0" w:type="dxa"/>
          <w:bottom w:w="0" w:type="dxa"/>
          <w:right w:w="0" w:type="dxa"/>
        </w:tblCellMar>
      </w:tblPr>
      <w:tblGrid>
        <w:gridCol w:w="493"/>
        <w:gridCol w:w="1538"/>
        <w:gridCol w:w="1444"/>
        <w:gridCol w:w="1314"/>
        <w:gridCol w:w="1154"/>
        <w:gridCol w:w="776"/>
        <w:gridCol w:w="908"/>
        <w:gridCol w:w="1135"/>
        <w:gridCol w:w="1143"/>
        <w:gridCol w:w="1135"/>
        <w:gridCol w:w="905"/>
        <w:gridCol w:w="1853"/>
      </w:tblGrid>
      <w:tr w14:paraId="31642684">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0" w:type="dxa"/>
            <w:bottom w:w="0" w:type="dxa"/>
            <w:right w:w="0" w:type="dxa"/>
          </w:tblCellMar>
        </w:tblPrEx>
        <w:trPr>
          <w:jc w:val="center"/>
        </w:trPr>
        <w:tc>
          <w:tcPr>
            <w:tcW w:w="179" w:type="pct"/>
            <w:vMerge w:val="restart"/>
            <w:tcMar>
              <w:top w:w="15" w:type="dxa"/>
              <w:left w:w="15" w:type="dxa"/>
              <w:bottom w:w="0" w:type="dxa"/>
              <w:right w:w="15" w:type="dxa"/>
            </w:tcMar>
            <w:vAlign w:val="center"/>
          </w:tcPr>
          <w:p w14:paraId="077CAD1F">
            <w:pPr>
              <w:spacing w:line="300" w:lineRule="exact"/>
              <w:jc w:val="center"/>
              <w:rPr>
                <w:bCs/>
                <w:szCs w:val="21"/>
              </w:rPr>
            </w:pPr>
            <w:r>
              <w:rPr>
                <w:bCs/>
                <w:szCs w:val="21"/>
              </w:rPr>
              <w:t>序号</w:t>
            </w:r>
          </w:p>
        </w:tc>
        <w:tc>
          <w:tcPr>
            <w:tcW w:w="557" w:type="pct"/>
            <w:vMerge w:val="restart"/>
            <w:tcMar>
              <w:top w:w="15" w:type="dxa"/>
              <w:left w:w="15" w:type="dxa"/>
              <w:bottom w:w="0" w:type="dxa"/>
              <w:right w:w="15" w:type="dxa"/>
            </w:tcMar>
            <w:vAlign w:val="center"/>
          </w:tcPr>
          <w:p w14:paraId="5223607B">
            <w:pPr>
              <w:spacing w:line="300" w:lineRule="exact"/>
              <w:jc w:val="center"/>
              <w:rPr>
                <w:bCs/>
                <w:szCs w:val="21"/>
              </w:rPr>
            </w:pPr>
            <w:r>
              <w:rPr>
                <w:bCs/>
                <w:szCs w:val="21"/>
              </w:rPr>
              <w:t>面源名称</w:t>
            </w:r>
          </w:p>
        </w:tc>
        <w:tc>
          <w:tcPr>
            <w:tcW w:w="994" w:type="pct"/>
            <w:gridSpan w:val="2"/>
            <w:tcMar>
              <w:top w:w="15" w:type="dxa"/>
              <w:left w:w="15" w:type="dxa"/>
              <w:bottom w:w="0" w:type="dxa"/>
              <w:right w:w="15" w:type="dxa"/>
            </w:tcMar>
            <w:vAlign w:val="center"/>
          </w:tcPr>
          <w:p w14:paraId="0CA5339B">
            <w:pPr>
              <w:spacing w:line="300" w:lineRule="exact"/>
              <w:jc w:val="center"/>
              <w:rPr>
                <w:bCs/>
                <w:szCs w:val="21"/>
              </w:rPr>
            </w:pPr>
            <w:r>
              <w:rPr>
                <w:szCs w:val="21"/>
              </w:rPr>
              <w:t>面源起点坐标</w:t>
            </w:r>
          </w:p>
        </w:tc>
        <w:tc>
          <w:tcPr>
            <w:tcW w:w="418" w:type="pct"/>
            <w:vMerge w:val="restart"/>
            <w:tcMar>
              <w:top w:w="15" w:type="dxa"/>
              <w:left w:w="15" w:type="dxa"/>
              <w:bottom w:w="0" w:type="dxa"/>
              <w:right w:w="15" w:type="dxa"/>
            </w:tcMar>
            <w:vAlign w:val="center"/>
          </w:tcPr>
          <w:p w14:paraId="6BC8F2D9">
            <w:pPr>
              <w:spacing w:line="300" w:lineRule="exact"/>
              <w:jc w:val="center"/>
              <w:rPr>
                <w:bCs/>
                <w:szCs w:val="21"/>
              </w:rPr>
            </w:pPr>
            <w:r>
              <w:rPr>
                <w:szCs w:val="21"/>
              </w:rPr>
              <w:t>面源海拔高度/m</w:t>
            </w:r>
          </w:p>
        </w:tc>
        <w:tc>
          <w:tcPr>
            <w:tcW w:w="281" w:type="pct"/>
            <w:vMerge w:val="restart"/>
            <w:tcMar>
              <w:top w:w="15" w:type="dxa"/>
              <w:left w:w="15" w:type="dxa"/>
              <w:bottom w:w="0" w:type="dxa"/>
              <w:right w:w="15" w:type="dxa"/>
            </w:tcMar>
            <w:vAlign w:val="center"/>
          </w:tcPr>
          <w:p w14:paraId="0CED9A51">
            <w:pPr>
              <w:spacing w:line="300" w:lineRule="exact"/>
              <w:jc w:val="center"/>
              <w:rPr>
                <w:bCs/>
                <w:szCs w:val="21"/>
              </w:rPr>
            </w:pPr>
            <w:r>
              <w:rPr>
                <w:bCs/>
                <w:szCs w:val="21"/>
              </w:rPr>
              <w:t>面源长度m</w:t>
            </w:r>
          </w:p>
        </w:tc>
        <w:tc>
          <w:tcPr>
            <w:tcW w:w="329" w:type="pct"/>
            <w:vMerge w:val="restart"/>
            <w:tcMar>
              <w:top w:w="15" w:type="dxa"/>
              <w:left w:w="15" w:type="dxa"/>
              <w:bottom w:w="0" w:type="dxa"/>
              <w:right w:w="15" w:type="dxa"/>
            </w:tcMar>
            <w:vAlign w:val="center"/>
          </w:tcPr>
          <w:p w14:paraId="7476352C">
            <w:pPr>
              <w:spacing w:line="300" w:lineRule="exact"/>
              <w:jc w:val="center"/>
              <w:rPr>
                <w:bCs/>
                <w:szCs w:val="21"/>
              </w:rPr>
            </w:pPr>
            <w:r>
              <w:rPr>
                <w:bCs/>
                <w:szCs w:val="21"/>
              </w:rPr>
              <w:t>面源宽度m</w:t>
            </w:r>
          </w:p>
        </w:tc>
        <w:tc>
          <w:tcPr>
            <w:tcW w:w="411" w:type="pct"/>
            <w:vMerge w:val="restart"/>
            <w:tcMar>
              <w:top w:w="15" w:type="dxa"/>
              <w:left w:w="15" w:type="dxa"/>
              <w:bottom w:w="0" w:type="dxa"/>
              <w:right w:w="15" w:type="dxa"/>
            </w:tcMar>
            <w:vAlign w:val="center"/>
          </w:tcPr>
          <w:p w14:paraId="336703B7">
            <w:pPr>
              <w:spacing w:line="300" w:lineRule="exact"/>
              <w:jc w:val="center"/>
              <w:rPr>
                <w:bCs/>
                <w:szCs w:val="21"/>
              </w:rPr>
            </w:pPr>
            <w:r>
              <w:rPr>
                <w:szCs w:val="21"/>
              </w:rPr>
              <w:t>与正北向夹角/°</w:t>
            </w:r>
          </w:p>
        </w:tc>
        <w:tc>
          <w:tcPr>
            <w:tcW w:w="414" w:type="pct"/>
            <w:vMerge w:val="restart"/>
            <w:tcMar>
              <w:top w:w="15" w:type="dxa"/>
              <w:left w:w="15" w:type="dxa"/>
              <w:bottom w:w="0" w:type="dxa"/>
              <w:right w:w="15" w:type="dxa"/>
            </w:tcMar>
            <w:vAlign w:val="center"/>
          </w:tcPr>
          <w:p w14:paraId="32E17BC9">
            <w:pPr>
              <w:spacing w:line="300" w:lineRule="exact"/>
              <w:jc w:val="center"/>
              <w:rPr>
                <w:bCs/>
                <w:szCs w:val="21"/>
              </w:rPr>
            </w:pPr>
            <w:r>
              <w:rPr>
                <w:bCs/>
                <w:szCs w:val="21"/>
              </w:rPr>
              <w:t>面源初始排放高度m</w:t>
            </w:r>
          </w:p>
        </w:tc>
        <w:tc>
          <w:tcPr>
            <w:tcW w:w="411" w:type="pct"/>
            <w:vMerge w:val="restart"/>
            <w:tcMar>
              <w:top w:w="15" w:type="dxa"/>
              <w:left w:w="15" w:type="dxa"/>
              <w:bottom w:w="0" w:type="dxa"/>
              <w:right w:w="15" w:type="dxa"/>
            </w:tcMar>
            <w:vAlign w:val="center"/>
          </w:tcPr>
          <w:p w14:paraId="363603BB">
            <w:pPr>
              <w:spacing w:line="300" w:lineRule="exact"/>
              <w:jc w:val="center"/>
              <w:rPr>
                <w:bCs/>
                <w:szCs w:val="21"/>
              </w:rPr>
            </w:pPr>
            <w:r>
              <w:rPr>
                <w:bCs/>
                <w:szCs w:val="21"/>
              </w:rPr>
              <w:t>年排放小时数h</w:t>
            </w:r>
          </w:p>
        </w:tc>
        <w:tc>
          <w:tcPr>
            <w:tcW w:w="328" w:type="pct"/>
            <w:vMerge w:val="restart"/>
            <w:tcMar>
              <w:top w:w="15" w:type="dxa"/>
              <w:left w:w="15" w:type="dxa"/>
              <w:bottom w:w="0" w:type="dxa"/>
              <w:right w:w="15" w:type="dxa"/>
            </w:tcMar>
            <w:vAlign w:val="center"/>
          </w:tcPr>
          <w:p w14:paraId="418EA7C4">
            <w:pPr>
              <w:spacing w:line="300" w:lineRule="exact"/>
              <w:jc w:val="center"/>
              <w:rPr>
                <w:bCs/>
                <w:szCs w:val="21"/>
              </w:rPr>
            </w:pPr>
            <w:r>
              <w:rPr>
                <w:szCs w:val="21"/>
              </w:rPr>
              <w:t>排放工况</w:t>
            </w:r>
          </w:p>
        </w:tc>
        <w:tc>
          <w:tcPr>
            <w:tcW w:w="671" w:type="pct"/>
            <w:tcMar>
              <w:top w:w="15" w:type="dxa"/>
              <w:left w:w="15" w:type="dxa"/>
              <w:bottom w:w="0" w:type="dxa"/>
              <w:right w:w="15" w:type="dxa"/>
            </w:tcMar>
            <w:vAlign w:val="center"/>
          </w:tcPr>
          <w:p w14:paraId="67A060C7">
            <w:pPr>
              <w:spacing w:line="300" w:lineRule="exact"/>
              <w:jc w:val="center"/>
              <w:rPr>
                <w:bCs/>
                <w:szCs w:val="21"/>
              </w:rPr>
            </w:pPr>
            <w:r>
              <w:rPr>
                <w:bCs/>
                <w:szCs w:val="21"/>
              </w:rPr>
              <w:t>评价因子源强</w:t>
            </w:r>
            <w:r>
              <w:rPr>
                <w:rFonts w:hint="eastAsia"/>
                <w:bCs/>
                <w:szCs w:val="21"/>
              </w:rPr>
              <w:t>kg/h</w:t>
            </w:r>
          </w:p>
        </w:tc>
      </w:tr>
      <w:tr w14:paraId="3FCAFF67">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0" w:type="dxa"/>
            <w:bottom w:w="0" w:type="dxa"/>
            <w:right w:w="0" w:type="dxa"/>
          </w:tblCellMar>
        </w:tblPrEx>
        <w:trPr>
          <w:trHeight w:val="481" w:hRule="atLeast"/>
          <w:jc w:val="center"/>
        </w:trPr>
        <w:tc>
          <w:tcPr>
            <w:tcW w:w="179" w:type="pct"/>
            <w:vMerge w:val="continue"/>
            <w:tcMar>
              <w:top w:w="15" w:type="dxa"/>
              <w:left w:w="15" w:type="dxa"/>
              <w:bottom w:w="0" w:type="dxa"/>
              <w:right w:w="15" w:type="dxa"/>
            </w:tcMar>
            <w:vAlign w:val="center"/>
          </w:tcPr>
          <w:p w14:paraId="18952392">
            <w:pPr>
              <w:spacing w:line="300" w:lineRule="exact"/>
              <w:jc w:val="center"/>
              <w:rPr>
                <w:bCs/>
                <w:szCs w:val="21"/>
              </w:rPr>
            </w:pPr>
          </w:p>
        </w:tc>
        <w:tc>
          <w:tcPr>
            <w:tcW w:w="557" w:type="pct"/>
            <w:vMerge w:val="continue"/>
            <w:tcMar>
              <w:top w:w="15" w:type="dxa"/>
              <w:left w:w="15" w:type="dxa"/>
              <w:bottom w:w="0" w:type="dxa"/>
              <w:right w:w="15" w:type="dxa"/>
            </w:tcMar>
            <w:vAlign w:val="center"/>
          </w:tcPr>
          <w:p w14:paraId="295200BD">
            <w:pPr>
              <w:spacing w:line="300" w:lineRule="exact"/>
              <w:jc w:val="center"/>
              <w:rPr>
                <w:bCs/>
                <w:szCs w:val="21"/>
              </w:rPr>
            </w:pPr>
          </w:p>
        </w:tc>
        <w:tc>
          <w:tcPr>
            <w:tcW w:w="523" w:type="pct"/>
            <w:tcBorders>
              <w:right w:val="single" w:color="auto" w:sz="4" w:space="0"/>
            </w:tcBorders>
            <w:tcMar>
              <w:top w:w="15" w:type="dxa"/>
              <w:left w:w="15" w:type="dxa"/>
              <w:bottom w:w="0" w:type="dxa"/>
              <w:right w:w="15" w:type="dxa"/>
            </w:tcMar>
            <w:vAlign w:val="center"/>
          </w:tcPr>
          <w:p w14:paraId="0AE5F4E1">
            <w:pPr>
              <w:spacing w:line="280" w:lineRule="exact"/>
              <w:jc w:val="center"/>
              <w:rPr>
                <w:szCs w:val="21"/>
              </w:rPr>
            </w:pPr>
            <w:r>
              <w:rPr>
                <w:rFonts w:hint="eastAsia"/>
                <w:szCs w:val="21"/>
              </w:rPr>
              <w:t>N</w:t>
            </w:r>
          </w:p>
        </w:tc>
        <w:tc>
          <w:tcPr>
            <w:tcW w:w="471" w:type="pct"/>
            <w:tcBorders>
              <w:left w:val="single" w:color="auto" w:sz="4" w:space="0"/>
            </w:tcBorders>
            <w:tcMar>
              <w:top w:w="15" w:type="dxa"/>
              <w:left w:w="15" w:type="dxa"/>
              <w:bottom w:w="0" w:type="dxa"/>
              <w:right w:w="15" w:type="dxa"/>
            </w:tcMar>
            <w:vAlign w:val="center"/>
          </w:tcPr>
          <w:p w14:paraId="40D8EE91">
            <w:pPr>
              <w:spacing w:line="280" w:lineRule="exact"/>
              <w:jc w:val="center"/>
              <w:rPr>
                <w:szCs w:val="21"/>
              </w:rPr>
            </w:pPr>
            <w:r>
              <w:rPr>
                <w:rFonts w:hint="eastAsia"/>
                <w:szCs w:val="21"/>
              </w:rPr>
              <w:t>E</w:t>
            </w:r>
          </w:p>
        </w:tc>
        <w:tc>
          <w:tcPr>
            <w:tcW w:w="418" w:type="pct"/>
            <w:vMerge w:val="continue"/>
            <w:tcMar>
              <w:top w:w="15" w:type="dxa"/>
              <w:left w:w="15" w:type="dxa"/>
              <w:bottom w:w="0" w:type="dxa"/>
              <w:right w:w="15" w:type="dxa"/>
            </w:tcMar>
            <w:vAlign w:val="center"/>
          </w:tcPr>
          <w:p w14:paraId="0207D286">
            <w:pPr>
              <w:spacing w:line="300" w:lineRule="exact"/>
              <w:jc w:val="center"/>
              <w:rPr>
                <w:bCs/>
                <w:szCs w:val="21"/>
              </w:rPr>
            </w:pPr>
          </w:p>
        </w:tc>
        <w:tc>
          <w:tcPr>
            <w:tcW w:w="281" w:type="pct"/>
            <w:vMerge w:val="continue"/>
            <w:tcMar>
              <w:top w:w="15" w:type="dxa"/>
              <w:left w:w="15" w:type="dxa"/>
              <w:bottom w:w="0" w:type="dxa"/>
              <w:right w:w="15" w:type="dxa"/>
            </w:tcMar>
            <w:vAlign w:val="center"/>
          </w:tcPr>
          <w:p w14:paraId="070BF03F">
            <w:pPr>
              <w:spacing w:line="300" w:lineRule="exact"/>
              <w:jc w:val="center"/>
              <w:rPr>
                <w:bCs/>
                <w:szCs w:val="21"/>
              </w:rPr>
            </w:pPr>
          </w:p>
        </w:tc>
        <w:tc>
          <w:tcPr>
            <w:tcW w:w="329" w:type="pct"/>
            <w:vMerge w:val="continue"/>
            <w:tcMar>
              <w:top w:w="15" w:type="dxa"/>
              <w:left w:w="15" w:type="dxa"/>
              <w:bottom w:w="0" w:type="dxa"/>
              <w:right w:w="15" w:type="dxa"/>
            </w:tcMar>
            <w:vAlign w:val="center"/>
          </w:tcPr>
          <w:p w14:paraId="08F251CE">
            <w:pPr>
              <w:spacing w:line="300" w:lineRule="exact"/>
              <w:jc w:val="center"/>
              <w:rPr>
                <w:bCs/>
                <w:szCs w:val="21"/>
              </w:rPr>
            </w:pPr>
          </w:p>
        </w:tc>
        <w:tc>
          <w:tcPr>
            <w:tcW w:w="411" w:type="pct"/>
            <w:vMerge w:val="continue"/>
            <w:tcMar>
              <w:top w:w="15" w:type="dxa"/>
              <w:left w:w="15" w:type="dxa"/>
              <w:bottom w:w="0" w:type="dxa"/>
              <w:right w:w="15" w:type="dxa"/>
            </w:tcMar>
            <w:vAlign w:val="center"/>
          </w:tcPr>
          <w:p w14:paraId="5D2B5842">
            <w:pPr>
              <w:spacing w:line="300" w:lineRule="exact"/>
              <w:jc w:val="center"/>
              <w:rPr>
                <w:bCs/>
                <w:szCs w:val="21"/>
              </w:rPr>
            </w:pPr>
          </w:p>
        </w:tc>
        <w:tc>
          <w:tcPr>
            <w:tcW w:w="414" w:type="pct"/>
            <w:vMerge w:val="continue"/>
            <w:tcMar>
              <w:top w:w="15" w:type="dxa"/>
              <w:left w:w="15" w:type="dxa"/>
              <w:bottom w:w="0" w:type="dxa"/>
              <w:right w:w="15" w:type="dxa"/>
            </w:tcMar>
            <w:vAlign w:val="center"/>
          </w:tcPr>
          <w:p w14:paraId="76306167">
            <w:pPr>
              <w:spacing w:line="300" w:lineRule="exact"/>
              <w:jc w:val="center"/>
              <w:rPr>
                <w:bCs/>
                <w:szCs w:val="21"/>
              </w:rPr>
            </w:pPr>
          </w:p>
        </w:tc>
        <w:tc>
          <w:tcPr>
            <w:tcW w:w="411" w:type="pct"/>
            <w:vMerge w:val="continue"/>
            <w:tcMar>
              <w:top w:w="15" w:type="dxa"/>
              <w:left w:w="15" w:type="dxa"/>
              <w:bottom w:w="0" w:type="dxa"/>
              <w:right w:w="15" w:type="dxa"/>
            </w:tcMar>
            <w:vAlign w:val="center"/>
          </w:tcPr>
          <w:p w14:paraId="46608F8A">
            <w:pPr>
              <w:spacing w:line="300" w:lineRule="exact"/>
              <w:jc w:val="center"/>
              <w:rPr>
                <w:bCs/>
                <w:szCs w:val="21"/>
              </w:rPr>
            </w:pPr>
          </w:p>
        </w:tc>
        <w:tc>
          <w:tcPr>
            <w:tcW w:w="328" w:type="pct"/>
            <w:vMerge w:val="continue"/>
            <w:tcMar>
              <w:top w:w="15" w:type="dxa"/>
              <w:left w:w="15" w:type="dxa"/>
              <w:bottom w:w="0" w:type="dxa"/>
              <w:right w:w="15" w:type="dxa"/>
            </w:tcMar>
            <w:vAlign w:val="center"/>
          </w:tcPr>
          <w:p w14:paraId="6C59AF0B">
            <w:pPr>
              <w:spacing w:line="300" w:lineRule="exact"/>
              <w:jc w:val="center"/>
              <w:rPr>
                <w:bCs/>
                <w:szCs w:val="21"/>
              </w:rPr>
            </w:pPr>
          </w:p>
        </w:tc>
        <w:tc>
          <w:tcPr>
            <w:tcW w:w="671" w:type="pct"/>
            <w:tcMar>
              <w:top w:w="15" w:type="dxa"/>
              <w:left w:w="15" w:type="dxa"/>
              <w:bottom w:w="0" w:type="dxa"/>
              <w:right w:w="15" w:type="dxa"/>
            </w:tcMar>
            <w:vAlign w:val="center"/>
          </w:tcPr>
          <w:p w14:paraId="2AC54E44">
            <w:pPr>
              <w:spacing w:line="300" w:lineRule="exact"/>
              <w:jc w:val="center"/>
              <w:rPr>
                <w:szCs w:val="21"/>
              </w:rPr>
            </w:pPr>
            <w:r>
              <w:rPr>
                <w:rFonts w:hint="eastAsia"/>
                <w:szCs w:val="21"/>
              </w:rPr>
              <w:t>TSP</w:t>
            </w:r>
          </w:p>
        </w:tc>
      </w:tr>
      <w:tr w14:paraId="5418744E">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0" w:type="dxa"/>
            <w:bottom w:w="0" w:type="dxa"/>
            <w:right w:w="0" w:type="dxa"/>
          </w:tblCellMar>
        </w:tblPrEx>
        <w:trPr>
          <w:trHeight w:val="726" w:hRule="atLeast"/>
          <w:jc w:val="center"/>
        </w:trPr>
        <w:tc>
          <w:tcPr>
            <w:tcW w:w="179" w:type="pct"/>
            <w:tcMar>
              <w:top w:w="15" w:type="dxa"/>
              <w:left w:w="15" w:type="dxa"/>
              <w:bottom w:w="0" w:type="dxa"/>
              <w:right w:w="15" w:type="dxa"/>
            </w:tcMar>
            <w:vAlign w:val="center"/>
          </w:tcPr>
          <w:p w14:paraId="63053C6D">
            <w:pPr>
              <w:spacing w:line="300" w:lineRule="exact"/>
              <w:jc w:val="center"/>
              <w:rPr>
                <w:bCs/>
                <w:szCs w:val="21"/>
              </w:rPr>
            </w:pPr>
            <w:r>
              <w:rPr>
                <w:rFonts w:hint="eastAsia"/>
                <w:bCs/>
                <w:szCs w:val="21"/>
              </w:rPr>
              <w:t>1</w:t>
            </w:r>
          </w:p>
        </w:tc>
        <w:tc>
          <w:tcPr>
            <w:tcW w:w="557" w:type="pct"/>
            <w:tcMar>
              <w:top w:w="15" w:type="dxa"/>
              <w:left w:w="15" w:type="dxa"/>
              <w:bottom w:w="0" w:type="dxa"/>
              <w:right w:w="15" w:type="dxa"/>
            </w:tcMar>
            <w:vAlign w:val="center"/>
          </w:tcPr>
          <w:p w14:paraId="7DF6DFD2">
            <w:pPr>
              <w:spacing w:line="300" w:lineRule="exact"/>
              <w:jc w:val="center"/>
              <w:rPr>
                <w:bCs/>
                <w:szCs w:val="21"/>
              </w:rPr>
            </w:pPr>
            <w:r>
              <w:rPr>
                <w:rFonts w:hint="eastAsia"/>
                <w:bCs/>
                <w:szCs w:val="21"/>
              </w:rPr>
              <w:t>原料库</w:t>
            </w:r>
          </w:p>
        </w:tc>
        <w:tc>
          <w:tcPr>
            <w:tcW w:w="523" w:type="pct"/>
            <w:tcBorders>
              <w:right w:val="single" w:color="auto" w:sz="4" w:space="0"/>
            </w:tcBorders>
            <w:tcMar>
              <w:top w:w="15" w:type="dxa"/>
              <w:left w:w="15" w:type="dxa"/>
              <w:bottom w:w="0" w:type="dxa"/>
              <w:right w:w="15" w:type="dxa"/>
            </w:tcMar>
            <w:vAlign w:val="center"/>
          </w:tcPr>
          <w:p w14:paraId="5B124E43">
            <w:pPr>
              <w:spacing w:line="300" w:lineRule="exact"/>
              <w:jc w:val="center"/>
              <w:rPr>
                <w:szCs w:val="21"/>
              </w:rPr>
            </w:pPr>
            <w:r>
              <w:rPr>
                <w:rFonts w:hint="eastAsia"/>
                <w:szCs w:val="21"/>
              </w:rPr>
              <w:t>40.</w:t>
            </w:r>
            <w:r>
              <w:rPr>
                <w:rFonts w:hint="eastAsia"/>
                <w:szCs w:val="21"/>
                <w:lang w:val="en-US" w:eastAsia="zh-CN"/>
              </w:rPr>
              <w:t>41332437</w:t>
            </w:r>
            <w:r>
              <w:rPr>
                <w:szCs w:val="21"/>
              </w:rPr>
              <w:t>°</w:t>
            </w:r>
          </w:p>
        </w:tc>
        <w:tc>
          <w:tcPr>
            <w:tcW w:w="471" w:type="pct"/>
            <w:tcBorders>
              <w:left w:val="single" w:color="auto" w:sz="4" w:space="0"/>
            </w:tcBorders>
            <w:tcMar>
              <w:top w:w="15" w:type="dxa"/>
              <w:left w:w="15" w:type="dxa"/>
              <w:bottom w:w="0" w:type="dxa"/>
              <w:right w:w="15" w:type="dxa"/>
            </w:tcMar>
            <w:vAlign w:val="center"/>
          </w:tcPr>
          <w:p w14:paraId="6DA366D0">
            <w:pPr>
              <w:spacing w:line="300" w:lineRule="exact"/>
              <w:jc w:val="center"/>
              <w:rPr>
                <w:szCs w:val="21"/>
              </w:rPr>
            </w:pPr>
            <w:r>
              <w:rPr>
                <w:szCs w:val="21"/>
              </w:rPr>
              <w:t>11</w:t>
            </w:r>
            <w:r>
              <w:rPr>
                <w:rFonts w:hint="eastAsia"/>
                <w:szCs w:val="21"/>
                <w:lang w:val="en-US" w:eastAsia="zh-CN"/>
              </w:rPr>
              <w:t>4.41332437</w:t>
            </w:r>
            <w:r>
              <w:rPr>
                <w:szCs w:val="21"/>
              </w:rPr>
              <w:t>°</w:t>
            </w:r>
          </w:p>
        </w:tc>
        <w:tc>
          <w:tcPr>
            <w:tcW w:w="418" w:type="pct"/>
            <w:tcMar>
              <w:top w:w="15" w:type="dxa"/>
              <w:left w:w="15" w:type="dxa"/>
              <w:bottom w:w="0" w:type="dxa"/>
              <w:right w:w="15" w:type="dxa"/>
            </w:tcMar>
            <w:vAlign w:val="center"/>
          </w:tcPr>
          <w:p w14:paraId="0B07532C">
            <w:pPr>
              <w:spacing w:line="300" w:lineRule="exact"/>
              <w:jc w:val="center"/>
              <w:rPr>
                <w:bCs/>
                <w:szCs w:val="21"/>
              </w:rPr>
            </w:pPr>
            <w:r>
              <w:rPr>
                <w:rFonts w:hint="eastAsia"/>
                <w:bCs/>
                <w:szCs w:val="21"/>
              </w:rPr>
              <w:t>1150</w:t>
            </w:r>
          </w:p>
        </w:tc>
        <w:tc>
          <w:tcPr>
            <w:tcW w:w="281" w:type="pct"/>
            <w:tcMar>
              <w:top w:w="15" w:type="dxa"/>
              <w:left w:w="15" w:type="dxa"/>
              <w:bottom w:w="0" w:type="dxa"/>
              <w:right w:w="15" w:type="dxa"/>
            </w:tcMar>
            <w:vAlign w:val="center"/>
          </w:tcPr>
          <w:p w14:paraId="7B001950">
            <w:pPr>
              <w:spacing w:line="300" w:lineRule="exact"/>
              <w:jc w:val="center"/>
              <w:rPr>
                <w:bCs/>
                <w:szCs w:val="21"/>
              </w:rPr>
            </w:pPr>
            <w:r>
              <w:rPr>
                <w:rFonts w:hint="eastAsia"/>
                <w:bCs/>
                <w:szCs w:val="21"/>
                <w:lang w:val="en-US" w:eastAsia="zh-CN"/>
              </w:rPr>
              <w:t>8</w:t>
            </w:r>
            <w:r>
              <w:rPr>
                <w:rFonts w:hint="eastAsia"/>
                <w:bCs/>
                <w:szCs w:val="21"/>
              </w:rPr>
              <w:t>0</w:t>
            </w:r>
          </w:p>
        </w:tc>
        <w:tc>
          <w:tcPr>
            <w:tcW w:w="329" w:type="pct"/>
            <w:tcMar>
              <w:top w:w="15" w:type="dxa"/>
              <w:left w:w="15" w:type="dxa"/>
              <w:bottom w:w="0" w:type="dxa"/>
              <w:right w:w="15" w:type="dxa"/>
            </w:tcMar>
            <w:vAlign w:val="center"/>
          </w:tcPr>
          <w:p w14:paraId="3479DDC4">
            <w:pPr>
              <w:spacing w:line="300" w:lineRule="exact"/>
              <w:jc w:val="center"/>
              <w:rPr>
                <w:rFonts w:hint="default" w:eastAsia="宋体"/>
                <w:bCs/>
                <w:szCs w:val="21"/>
                <w:lang w:val="en-US" w:eastAsia="zh-CN"/>
              </w:rPr>
            </w:pPr>
            <w:r>
              <w:rPr>
                <w:rFonts w:hint="eastAsia"/>
                <w:bCs/>
                <w:szCs w:val="21"/>
                <w:lang w:val="en-US" w:eastAsia="zh-CN"/>
              </w:rPr>
              <w:t>62.5</w:t>
            </w:r>
          </w:p>
        </w:tc>
        <w:tc>
          <w:tcPr>
            <w:tcW w:w="411" w:type="pct"/>
            <w:tcMar>
              <w:top w:w="15" w:type="dxa"/>
              <w:left w:w="15" w:type="dxa"/>
              <w:bottom w:w="0" w:type="dxa"/>
              <w:right w:w="15" w:type="dxa"/>
            </w:tcMar>
            <w:vAlign w:val="center"/>
          </w:tcPr>
          <w:p w14:paraId="7A13A1BA">
            <w:pPr>
              <w:spacing w:line="300" w:lineRule="exact"/>
              <w:jc w:val="center"/>
              <w:rPr>
                <w:bCs/>
                <w:szCs w:val="21"/>
              </w:rPr>
            </w:pPr>
            <w:r>
              <w:rPr>
                <w:rFonts w:hint="eastAsia"/>
                <w:bCs/>
                <w:szCs w:val="21"/>
              </w:rPr>
              <w:t>20</w:t>
            </w:r>
          </w:p>
        </w:tc>
        <w:tc>
          <w:tcPr>
            <w:tcW w:w="414" w:type="pct"/>
            <w:tcMar>
              <w:top w:w="15" w:type="dxa"/>
              <w:left w:w="15" w:type="dxa"/>
              <w:bottom w:w="0" w:type="dxa"/>
              <w:right w:w="15" w:type="dxa"/>
            </w:tcMar>
            <w:vAlign w:val="center"/>
          </w:tcPr>
          <w:p w14:paraId="692667AC">
            <w:pPr>
              <w:spacing w:line="300" w:lineRule="exact"/>
              <w:jc w:val="center"/>
              <w:rPr>
                <w:bCs/>
                <w:szCs w:val="21"/>
              </w:rPr>
            </w:pPr>
            <w:r>
              <w:rPr>
                <w:rFonts w:hint="eastAsia"/>
                <w:bCs/>
                <w:szCs w:val="21"/>
              </w:rPr>
              <w:t>8</w:t>
            </w:r>
          </w:p>
        </w:tc>
        <w:tc>
          <w:tcPr>
            <w:tcW w:w="411" w:type="pct"/>
            <w:tcMar>
              <w:top w:w="15" w:type="dxa"/>
              <w:left w:w="15" w:type="dxa"/>
              <w:bottom w:w="0" w:type="dxa"/>
              <w:right w:w="15" w:type="dxa"/>
            </w:tcMar>
            <w:vAlign w:val="center"/>
          </w:tcPr>
          <w:p w14:paraId="168E6762">
            <w:pPr>
              <w:spacing w:line="300" w:lineRule="exact"/>
              <w:jc w:val="center"/>
              <w:rPr>
                <w:bCs/>
                <w:szCs w:val="21"/>
              </w:rPr>
            </w:pPr>
            <w:r>
              <w:rPr>
                <w:rFonts w:hint="eastAsia"/>
                <w:bCs/>
                <w:szCs w:val="21"/>
                <w:lang w:val="en-US" w:eastAsia="zh-CN"/>
              </w:rPr>
              <w:t>36</w:t>
            </w:r>
            <w:r>
              <w:rPr>
                <w:rFonts w:hint="eastAsia"/>
                <w:bCs/>
                <w:szCs w:val="21"/>
              </w:rPr>
              <w:t>00</w:t>
            </w:r>
          </w:p>
        </w:tc>
        <w:tc>
          <w:tcPr>
            <w:tcW w:w="328" w:type="pct"/>
            <w:tcMar>
              <w:top w:w="15" w:type="dxa"/>
              <w:left w:w="15" w:type="dxa"/>
              <w:bottom w:w="0" w:type="dxa"/>
              <w:right w:w="15" w:type="dxa"/>
            </w:tcMar>
            <w:vAlign w:val="center"/>
          </w:tcPr>
          <w:p w14:paraId="5483CA75">
            <w:pPr>
              <w:spacing w:line="300" w:lineRule="exact"/>
              <w:jc w:val="center"/>
              <w:rPr>
                <w:bCs/>
                <w:szCs w:val="21"/>
              </w:rPr>
            </w:pPr>
            <w:r>
              <w:rPr>
                <w:rFonts w:hint="eastAsia"/>
                <w:bCs/>
                <w:szCs w:val="21"/>
              </w:rPr>
              <w:t>正常</w:t>
            </w:r>
          </w:p>
        </w:tc>
        <w:tc>
          <w:tcPr>
            <w:tcW w:w="671" w:type="pct"/>
            <w:tcMar>
              <w:top w:w="15" w:type="dxa"/>
              <w:left w:w="15" w:type="dxa"/>
              <w:bottom w:w="0" w:type="dxa"/>
              <w:right w:w="15" w:type="dxa"/>
            </w:tcMar>
            <w:vAlign w:val="center"/>
          </w:tcPr>
          <w:p w14:paraId="65EBFB1F">
            <w:pPr>
              <w:spacing w:line="300" w:lineRule="exact"/>
              <w:jc w:val="center"/>
              <w:rPr>
                <w:rFonts w:hint="default" w:eastAsia="宋体"/>
                <w:szCs w:val="21"/>
                <w:lang w:val="en-US" w:eastAsia="zh-CN"/>
              </w:rPr>
            </w:pPr>
            <w:r>
              <w:rPr>
                <w:rFonts w:hint="eastAsia"/>
                <w:szCs w:val="21"/>
              </w:rPr>
              <w:t>0.</w:t>
            </w:r>
            <w:r>
              <w:rPr>
                <w:rFonts w:hint="eastAsia"/>
                <w:szCs w:val="21"/>
                <w:lang w:val="en-US" w:eastAsia="zh-CN"/>
              </w:rPr>
              <w:t>003</w:t>
            </w:r>
          </w:p>
        </w:tc>
      </w:tr>
    </w:tbl>
    <w:p w14:paraId="4BCCCD85">
      <w:pPr>
        <w:rPr>
          <w:rFonts w:hint="eastAsia"/>
          <w:szCs w:val="21"/>
        </w:rPr>
        <w:sectPr>
          <w:footerReference r:id="rId10" w:type="default"/>
          <w:pgSz w:w="16838" w:h="11906" w:orient="landscape"/>
          <w:pgMar w:top="1701" w:right="1531" w:bottom="1701" w:left="1531" w:header="851" w:footer="850" w:gutter="0"/>
          <w:pgBorders>
            <w:top w:val="none" w:sz="0" w:space="0"/>
            <w:left w:val="none" w:sz="0" w:space="0"/>
            <w:bottom w:val="none" w:sz="0" w:space="0"/>
            <w:right w:val="none" w:sz="0" w:space="0"/>
          </w:pgBorders>
          <w:pgNumType w:fmt="decimal"/>
          <w:cols w:space="0" w:num="1"/>
          <w:rtlGutter w:val="0"/>
          <w:docGrid w:linePitch="312" w:charSpace="0"/>
        </w:sectPr>
      </w:pPr>
    </w:p>
    <w:p w14:paraId="6C30CD39">
      <w:pPr>
        <w:rPr>
          <w:rFonts w:hint="eastAsia" w:eastAsia="宋体"/>
          <w:sz w:val="24"/>
          <w:lang w:eastAsia="zh-CN"/>
        </w:rPr>
      </w:pPr>
      <w:r>
        <w:rPr>
          <w:rFonts w:hint="eastAsia"/>
          <w:szCs w:val="21"/>
        </w:rPr>
        <w:t>注：无组织源强不考虑运输扬尘</w:t>
      </w:r>
      <w:r>
        <w:rPr>
          <w:rFonts w:hint="eastAsia"/>
          <w:szCs w:val="21"/>
          <w:lang w:eastAsia="zh-CN"/>
        </w:rPr>
        <w:t>；因沥青烟无环境空气质量标准参考值，故本评价不作预测。</w:t>
      </w:r>
    </w:p>
    <w:p w14:paraId="79154636">
      <w:pPr>
        <w:spacing w:line="480" w:lineRule="exact"/>
        <w:ind w:firstLine="480" w:firstLineChars="200"/>
        <w:rPr>
          <w:sz w:val="24"/>
        </w:rPr>
      </w:pPr>
      <w:r>
        <w:rPr>
          <w:rFonts w:hint="eastAsia"/>
          <w:sz w:val="24"/>
        </w:rPr>
        <w:t>估算结果见表7。</w:t>
      </w:r>
    </w:p>
    <w:p w14:paraId="203FBA8F">
      <w:pPr>
        <w:spacing w:line="240" w:lineRule="atLeast"/>
        <w:jc w:val="center"/>
        <w:rPr>
          <w:b/>
          <w:spacing w:val="4"/>
          <w:szCs w:val="21"/>
        </w:rPr>
      </w:pPr>
      <w:r>
        <w:rPr>
          <w:b/>
          <w:spacing w:val="4"/>
          <w:szCs w:val="21"/>
        </w:rPr>
        <w:t>表</w:t>
      </w:r>
      <w:r>
        <w:rPr>
          <w:rFonts w:hint="eastAsia"/>
          <w:b/>
          <w:spacing w:val="4"/>
          <w:szCs w:val="21"/>
        </w:rPr>
        <w:t>7</w:t>
      </w:r>
      <w:r>
        <w:rPr>
          <w:rFonts w:hint="eastAsia"/>
          <w:b/>
          <w:spacing w:val="4"/>
          <w:szCs w:val="21"/>
          <w:lang w:val="en-US" w:eastAsia="zh-CN"/>
        </w:rPr>
        <w:t xml:space="preserve">    </w:t>
      </w:r>
      <w:r>
        <w:rPr>
          <w:b/>
          <w:spacing w:val="4"/>
          <w:szCs w:val="21"/>
        </w:rPr>
        <w:t>大气污染物估算结果一览表</w:t>
      </w:r>
    </w:p>
    <w:tbl>
      <w:tblPr>
        <w:tblStyle w:val="47"/>
        <w:tblW w:w="5000" w:type="pct"/>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CellMar>
          <w:top w:w="0" w:type="dxa"/>
          <w:left w:w="108" w:type="dxa"/>
          <w:bottom w:w="0" w:type="dxa"/>
          <w:right w:w="108" w:type="dxa"/>
        </w:tblCellMar>
      </w:tblPr>
      <w:tblGrid>
        <w:gridCol w:w="773"/>
        <w:gridCol w:w="1040"/>
        <w:gridCol w:w="170"/>
        <w:gridCol w:w="1353"/>
        <w:gridCol w:w="1210"/>
        <w:gridCol w:w="1144"/>
        <w:gridCol w:w="59"/>
        <w:gridCol w:w="691"/>
        <w:gridCol w:w="926"/>
        <w:gridCol w:w="1354"/>
      </w:tblGrid>
      <w:tr w14:paraId="65469E63">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000" w:type="pct"/>
            <w:gridSpan w:val="10"/>
            <w:shd w:val="clear" w:color="000000" w:fill="FFFFFF"/>
            <w:vAlign w:val="center"/>
          </w:tcPr>
          <w:p w14:paraId="6C8C6FDF">
            <w:pPr>
              <w:widowControl/>
              <w:jc w:val="center"/>
              <w:rPr>
                <w:rFonts w:hint="eastAsia"/>
                <w:kern w:val="0"/>
                <w:szCs w:val="21"/>
                <w:lang w:val="en-US" w:eastAsia="zh-CN"/>
              </w:rPr>
            </w:pPr>
            <w:r>
              <w:rPr>
                <w:rFonts w:hint="eastAsia"/>
                <w:kern w:val="0"/>
                <w:szCs w:val="21"/>
                <w:lang w:val="en-US" w:eastAsia="zh-CN"/>
              </w:rPr>
              <w:t>DA001</w:t>
            </w:r>
            <w:r>
              <w:rPr>
                <w:rFonts w:hint="eastAsia"/>
                <w:kern w:val="0"/>
                <w:szCs w:val="21"/>
              </w:rPr>
              <w:t>骨料烘干筛分排气筒</w:t>
            </w:r>
          </w:p>
        </w:tc>
      </w:tr>
      <w:tr w14:paraId="0BA68A60">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6C5CB0B0">
            <w:pPr>
              <w:widowControl/>
              <w:jc w:val="center"/>
              <w:rPr>
                <w:rFonts w:hint="eastAsia" w:eastAsia="宋体"/>
                <w:kern w:val="0"/>
                <w:szCs w:val="21"/>
                <w:lang w:val="en-US" w:eastAsia="zh-CN"/>
              </w:rPr>
            </w:pPr>
            <w:r>
              <w:rPr>
                <w:rFonts w:hint="eastAsia"/>
                <w:kern w:val="0"/>
                <w:szCs w:val="21"/>
                <w:lang w:val="en-US" w:eastAsia="zh-CN"/>
              </w:rPr>
              <w:t>-</w:t>
            </w:r>
          </w:p>
        </w:tc>
        <w:tc>
          <w:tcPr>
            <w:tcW w:w="1469" w:type="pct"/>
            <w:gridSpan w:val="3"/>
            <w:shd w:val="clear" w:color="000000" w:fill="FFFFFF"/>
            <w:vAlign w:val="center"/>
          </w:tcPr>
          <w:p w14:paraId="2CCF0F84">
            <w:pPr>
              <w:widowControl/>
              <w:jc w:val="center"/>
              <w:rPr>
                <w:rFonts w:hint="eastAsia"/>
                <w:kern w:val="0"/>
                <w:szCs w:val="21"/>
              </w:rPr>
            </w:pPr>
            <w:r>
              <w:rPr>
                <w:rFonts w:hint="eastAsia"/>
                <w:kern w:val="0"/>
                <w:szCs w:val="21"/>
              </w:rPr>
              <w:t>PM</w:t>
            </w:r>
            <w:r>
              <w:rPr>
                <w:rFonts w:hint="eastAsia"/>
                <w:kern w:val="0"/>
                <w:szCs w:val="21"/>
                <w:vertAlign w:val="subscript"/>
              </w:rPr>
              <w:t>10</w:t>
            </w:r>
          </w:p>
        </w:tc>
        <w:tc>
          <w:tcPr>
            <w:tcW w:w="1779" w:type="pct"/>
            <w:gridSpan w:val="4"/>
            <w:shd w:val="clear" w:color="000000" w:fill="FFFFFF"/>
            <w:vAlign w:val="center"/>
          </w:tcPr>
          <w:p w14:paraId="33081406">
            <w:pPr>
              <w:widowControl/>
              <w:jc w:val="center"/>
              <w:rPr>
                <w:rFonts w:hint="eastAsia"/>
                <w:kern w:val="0"/>
                <w:szCs w:val="21"/>
              </w:rPr>
            </w:pPr>
            <w:r>
              <w:rPr>
                <w:rFonts w:hint="eastAsia"/>
                <w:kern w:val="0"/>
                <w:szCs w:val="21"/>
              </w:rPr>
              <w:t>SO</w:t>
            </w:r>
            <w:r>
              <w:rPr>
                <w:rFonts w:hint="eastAsia"/>
                <w:kern w:val="0"/>
                <w:szCs w:val="21"/>
                <w:vertAlign w:val="subscript"/>
              </w:rPr>
              <w:t>2</w:t>
            </w:r>
          </w:p>
        </w:tc>
        <w:tc>
          <w:tcPr>
            <w:tcW w:w="1307" w:type="pct"/>
            <w:gridSpan w:val="2"/>
            <w:shd w:val="clear" w:color="000000" w:fill="FFFFFF"/>
            <w:vAlign w:val="center"/>
          </w:tcPr>
          <w:p w14:paraId="17E8E8B8">
            <w:pPr>
              <w:widowControl/>
              <w:jc w:val="center"/>
              <w:rPr>
                <w:kern w:val="0"/>
                <w:szCs w:val="21"/>
              </w:rPr>
            </w:pPr>
            <w:r>
              <w:rPr>
                <w:rFonts w:hint="eastAsia"/>
                <w:kern w:val="0"/>
                <w:szCs w:val="21"/>
              </w:rPr>
              <w:t>NO</w:t>
            </w:r>
            <w:r>
              <w:rPr>
                <w:rFonts w:hint="eastAsia"/>
                <w:kern w:val="0"/>
                <w:szCs w:val="21"/>
                <w:vertAlign w:val="subscript"/>
              </w:rPr>
              <w:t>x</w:t>
            </w:r>
          </w:p>
        </w:tc>
      </w:tr>
      <w:tr w14:paraId="734099ED">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3498B72E">
            <w:pPr>
              <w:widowControl/>
              <w:jc w:val="center"/>
              <w:rPr>
                <w:kern w:val="0"/>
                <w:szCs w:val="21"/>
              </w:rPr>
            </w:pPr>
            <w:r>
              <w:rPr>
                <w:kern w:val="0"/>
                <w:szCs w:val="21"/>
              </w:rPr>
              <w:t>距离</w:t>
            </w:r>
          </w:p>
        </w:tc>
        <w:tc>
          <w:tcPr>
            <w:tcW w:w="693" w:type="pct"/>
            <w:gridSpan w:val="2"/>
            <w:shd w:val="clear" w:color="000000" w:fill="FFFFFF"/>
            <w:vAlign w:val="center"/>
          </w:tcPr>
          <w:p w14:paraId="39FD2CF7">
            <w:pPr>
              <w:widowControl/>
              <w:jc w:val="center"/>
              <w:rPr>
                <w:kern w:val="0"/>
                <w:szCs w:val="21"/>
              </w:rPr>
            </w:pPr>
            <w:r>
              <w:rPr>
                <w:kern w:val="0"/>
                <w:szCs w:val="21"/>
              </w:rPr>
              <w:t>浓度</w:t>
            </w:r>
          </w:p>
        </w:tc>
        <w:tc>
          <w:tcPr>
            <w:tcW w:w="775" w:type="pct"/>
            <w:shd w:val="clear" w:color="000000" w:fill="FFFFFF"/>
            <w:vAlign w:val="center"/>
          </w:tcPr>
          <w:p w14:paraId="3F7806E9">
            <w:pPr>
              <w:widowControl/>
              <w:jc w:val="center"/>
              <w:rPr>
                <w:kern w:val="0"/>
                <w:szCs w:val="21"/>
              </w:rPr>
            </w:pPr>
            <w:r>
              <w:rPr>
                <w:kern w:val="0"/>
                <w:szCs w:val="21"/>
              </w:rPr>
              <w:t>占标率</w:t>
            </w:r>
          </w:p>
        </w:tc>
        <w:tc>
          <w:tcPr>
            <w:tcW w:w="693" w:type="pct"/>
            <w:shd w:val="clear" w:color="000000" w:fill="FFFFFF"/>
            <w:vAlign w:val="center"/>
          </w:tcPr>
          <w:p w14:paraId="73762056">
            <w:pPr>
              <w:widowControl/>
              <w:jc w:val="center"/>
              <w:rPr>
                <w:kern w:val="0"/>
                <w:szCs w:val="21"/>
              </w:rPr>
            </w:pPr>
            <w:r>
              <w:rPr>
                <w:kern w:val="0"/>
                <w:szCs w:val="21"/>
              </w:rPr>
              <w:t>浓度</w:t>
            </w:r>
          </w:p>
        </w:tc>
        <w:tc>
          <w:tcPr>
            <w:tcW w:w="1086" w:type="pct"/>
            <w:gridSpan w:val="3"/>
            <w:shd w:val="clear" w:color="000000" w:fill="FFFFFF"/>
            <w:vAlign w:val="center"/>
          </w:tcPr>
          <w:p w14:paraId="2F200072">
            <w:pPr>
              <w:widowControl/>
              <w:jc w:val="center"/>
              <w:rPr>
                <w:kern w:val="0"/>
                <w:szCs w:val="21"/>
              </w:rPr>
            </w:pPr>
            <w:r>
              <w:rPr>
                <w:kern w:val="0"/>
                <w:szCs w:val="21"/>
              </w:rPr>
              <w:t>占标率</w:t>
            </w:r>
          </w:p>
        </w:tc>
        <w:tc>
          <w:tcPr>
            <w:tcW w:w="530" w:type="pct"/>
            <w:shd w:val="clear" w:color="000000" w:fill="FFFFFF"/>
            <w:vAlign w:val="center"/>
          </w:tcPr>
          <w:p w14:paraId="1BEBA366">
            <w:pPr>
              <w:widowControl/>
              <w:jc w:val="center"/>
              <w:rPr>
                <w:kern w:val="0"/>
                <w:szCs w:val="21"/>
              </w:rPr>
            </w:pPr>
            <w:r>
              <w:rPr>
                <w:kern w:val="0"/>
                <w:szCs w:val="21"/>
              </w:rPr>
              <w:t>浓度</w:t>
            </w:r>
          </w:p>
        </w:tc>
        <w:tc>
          <w:tcPr>
            <w:tcW w:w="776" w:type="pct"/>
            <w:shd w:val="clear" w:color="000000" w:fill="FFFFFF"/>
            <w:vAlign w:val="center"/>
          </w:tcPr>
          <w:p w14:paraId="57F8F159">
            <w:pPr>
              <w:widowControl/>
              <w:jc w:val="center"/>
              <w:rPr>
                <w:kern w:val="0"/>
                <w:szCs w:val="21"/>
              </w:rPr>
            </w:pPr>
            <w:r>
              <w:rPr>
                <w:kern w:val="0"/>
                <w:szCs w:val="21"/>
              </w:rPr>
              <w:t>占标率</w:t>
            </w:r>
          </w:p>
        </w:tc>
      </w:tr>
      <w:tr w14:paraId="53358262">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500CCF4B">
            <w:pPr>
              <w:widowControl/>
              <w:jc w:val="center"/>
              <w:rPr>
                <w:kern w:val="0"/>
                <w:szCs w:val="21"/>
              </w:rPr>
            </w:pPr>
            <w:r>
              <w:rPr>
                <w:kern w:val="0"/>
                <w:szCs w:val="21"/>
              </w:rPr>
              <w:t>m</w:t>
            </w:r>
          </w:p>
        </w:tc>
        <w:tc>
          <w:tcPr>
            <w:tcW w:w="693" w:type="pct"/>
            <w:gridSpan w:val="2"/>
            <w:shd w:val="clear" w:color="000000" w:fill="FFFFFF"/>
            <w:vAlign w:val="center"/>
          </w:tcPr>
          <w:p w14:paraId="225C15ED">
            <w:pPr>
              <w:widowControl/>
              <w:jc w:val="center"/>
              <w:rPr>
                <w:kern w:val="0"/>
                <w:szCs w:val="21"/>
              </w:rPr>
            </w:pPr>
            <w:r>
              <w:rPr>
                <w:kern w:val="0"/>
                <w:szCs w:val="21"/>
              </w:rPr>
              <w:t>ug/m</w:t>
            </w:r>
            <w:r>
              <w:rPr>
                <w:kern w:val="0"/>
                <w:szCs w:val="21"/>
                <w:vertAlign w:val="superscript"/>
              </w:rPr>
              <w:t>3</w:t>
            </w:r>
          </w:p>
        </w:tc>
        <w:tc>
          <w:tcPr>
            <w:tcW w:w="775" w:type="pct"/>
            <w:shd w:val="clear" w:color="000000" w:fill="FFFFFF"/>
            <w:vAlign w:val="center"/>
          </w:tcPr>
          <w:p w14:paraId="0F69C983">
            <w:pPr>
              <w:widowControl/>
              <w:jc w:val="center"/>
              <w:rPr>
                <w:kern w:val="0"/>
                <w:szCs w:val="21"/>
              </w:rPr>
            </w:pPr>
            <w:r>
              <w:rPr>
                <w:kern w:val="0"/>
                <w:szCs w:val="21"/>
              </w:rPr>
              <w:t>%</w:t>
            </w:r>
          </w:p>
        </w:tc>
        <w:tc>
          <w:tcPr>
            <w:tcW w:w="693" w:type="pct"/>
            <w:shd w:val="clear" w:color="000000" w:fill="FFFFFF"/>
            <w:vAlign w:val="center"/>
          </w:tcPr>
          <w:p w14:paraId="66356308">
            <w:pPr>
              <w:widowControl/>
              <w:jc w:val="center"/>
              <w:rPr>
                <w:kern w:val="0"/>
                <w:szCs w:val="21"/>
              </w:rPr>
            </w:pPr>
            <w:r>
              <w:rPr>
                <w:kern w:val="0"/>
                <w:szCs w:val="21"/>
              </w:rPr>
              <w:t>ug/m</w:t>
            </w:r>
            <w:r>
              <w:rPr>
                <w:kern w:val="0"/>
                <w:szCs w:val="21"/>
                <w:vertAlign w:val="superscript"/>
              </w:rPr>
              <w:t>3</w:t>
            </w:r>
          </w:p>
        </w:tc>
        <w:tc>
          <w:tcPr>
            <w:tcW w:w="1086" w:type="pct"/>
            <w:gridSpan w:val="3"/>
            <w:shd w:val="clear" w:color="000000" w:fill="FFFFFF"/>
            <w:vAlign w:val="center"/>
          </w:tcPr>
          <w:p w14:paraId="1F253ECA">
            <w:pPr>
              <w:widowControl/>
              <w:jc w:val="center"/>
              <w:rPr>
                <w:kern w:val="0"/>
                <w:szCs w:val="21"/>
              </w:rPr>
            </w:pPr>
            <w:r>
              <w:rPr>
                <w:kern w:val="0"/>
                <w:szCs w:val="21"/>
              </w:rPr>
              <w:t>%</w:t>
            </w:r>
          </w:p>
        </w:tc>
        <w:tc>
          <w:tcPr>
            <w:tcW w:w="530" w:type="pct"/>
            <w:shd w:val="clear" w:color="000000" w:fill="FFFFFF"/>
            <w:vAlign w:val="center"/>
          </w:tcPr>
          <w:p w14:paraId="365C510B">
            <w:pPr>
              <w:widowControl/>
              <w:jc w:val="center"/>
              <w:rPr>
                <w:kern w:val="0"/>
                <w:szCs w:val="21"/>
              </w:rPr>
            </w:pPr>
            <w:r>
              <w:rPr>
                <w:kern w:val="0"/>
                <w:szCs w:val="21"/>
              </w:rPr>
              <w:t>ug/m</w:t>
            </w:r>
            <w:r>
              <w:rPr>
                <w:kern w:val="0"/>
                <w:szCs w:val="21"/>
                <w:vertAlign w:val="superscript"/>
              </w:rPr>
              <w:t>3</w:t>
            </w:r>
          </w:p>
        </w:tc>
        <w:tc>
          <w:tcPr>
            <w:tcW w:w="776" w:type="pct"/>
            <w:shd w:val="clear" w:color="000000" w:fill="FFFFFF"/>
            <w:vAlign w:val="center"/>
          </w:tcPr>
          <w:p w14:paraId="583062D9">
            <w:pPr>
              <w:widowControl/>
              <w:jc w:val="center"/>
              <w:rPr>
                <w:kern w:val="0"/>
                <w:szCs w:val="21"/>
              </w:rPr>
            </w:pPr>
            <w:r>
              <w:rPr>
                <w:kern w:val="0"/>
                <w:szCs w:val="21"/>
              </w:rPr>
              <w:t>%</w:t>
            </w:r>
          </w:p>
        </w:tc>
      </w:tr>
      <w:tr w14:paraId="7F25A5F6">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3C27C15F">
            <w:pPr>
              <w:jc w:val="center"/>
              <w:rPr>
                <w:rFonts w:hint="eastAsia"/>
                <w:szCs w:val="21"/>
              </w:rPr>
            </w:pPr>
            <w:r>
              <w:rPr>
                <w:rFonts w:hint="eastAsia"/>
                <w:szCs w:val="21"/>
                <w:lang w:val="en-US" w:eastAsia="zh-CN"/>
              </w:rPr>
              <w:t>10</w:t>
            </w:r>
          </w:p>
        </w:tc>
        <w:tc>
          <w:tcPr>
            <w:tcW w:w="693" w:type="pct"/>
            <w:gridSpan w:val="2"/>
            <w:shd w:val="clear" w:color="000000" w:fill="FFFFFF"/>
            <w:vAlign w:val="center"/>
          </w:tcPr>
          <w:p w14:paraId="4BF1142B">
            <w:pPr>
              <w:jc w:val="center"/>
              <w:rPr>
                <w:rFonts w:hint="eastAsia"/>
                <w:szCs w:val="21"/>
              </w:rPr>
            </w:pPr>
            <w:r>
              <w:rPr>
                <w:rFonts w:hint="eastAsia"/>
                <w:szCs w:val="21"/>
                <w:lang w:val="en-US" w:eastAsia="zh-CN"/>
              </w:rPr>
              <w:t>0.55525</w:t>
            </w:r>
          </w:p>
        </w:tc>
        <w:tc>
          <w:tcPr>
            <w:tcW w:w="775" w:type="pct"/>
            <w:shd w:val="clear" w:color="000000" w:fill="FFFFFF"/>
            <w:vAlign w:val="center"/>
          </w:tcPr>
          <w:p w14:paraId="4E7837A2">
            <w:pPr>
              <w:jc w:val="center"/>
              <w:rPr>
                <w:rFonts w:hint="eastAsia"/>
                <w:szCs w:val="21"/>
              </w:rPr>
            </w:pPr>
            <w:r>
              <w:rPr>
                <w:rFonts w:hint="eastAsia"/>
                <w:szCs w:val="21"/>
                <w:lang w:val="en-US" w:eastAsia="zh-CN"/>
              </w:rPr>
              <w:t>1.23389E-001</w:t>
            </w:r>
          </w:p>
        </w:tc>
        <w:tc>
          <w:tcPr>
            <w:tcW w:w="693" w:type="pct"/>
            <w:shd w:val="clear" w:color="000000" w:fill="FFFFFF"/>
            <w:vAlign w:val="center"/>
          </w:tcPr>
          <w:p w14:paraId="3D0D6419">
            <w:pPr>
              <w:jc w:val="center"/>
              <w:rPr>
                <w:rFonts w:hint="eastAsia"/>
                <w:szCs w:val="21"/>
                <w:lang w:val="en-US" w:eastAsia="zh-CN"/>
              </w:rPr>
            </w:pPr>
            <w:r>
              <w:rPr>
                <w:rFonts w:hint="eastAsia"/>
                <w:szCs w:val="21"/>
                <w:lang w:val="en-US" w:eastAsia="zh-CN"/>
              </w:rPr>
              <w:t>0.000969869</w:t>
            </w:r>
          </w:p>
        </w:tc>
        <w:tc>
          <w:tcPr>
            <w:tcW w:w="1086" w:type="pct"/>
            <w:gridSpan w:val="3"/>
            <w:shd w:val="clear" w:color="000000" w:fill="FFFFFF"/>
            <w:vAlign w:val="center"/>
          </w:tcPr>
          <w:p w14:paraId="10777B05">
            <w:pPr>
              <w:jc w:val="center"/>
              <w:rPr>
                <w:rFonts w:hint="eastAsia"/>
                <w:szCs w:val="21"/>
                <w:lang w:val="en-US" w:eastAsia="zh-CN"/>
              </w:rPr>
            </w:pPr>
            <w:r>
              <w:rPr>
                <w:rFonts w:hint="eastAsia"/>
                <w:szCs w:val="21"/>
                <w:lang w:val="en-US" w:eastAsia="zh-CN"/>
              </w:rPr>
              <w:t>1.93974E-004</w:t>
            </w:r>
          </w:p>
        </w:tc>
        <w:tc>
          <w:tcPr>
            <w:tcW w:w="530" w:type="pct"/>
            <w:shd w:val="clear" w:color="000000" w:fill="FFFFFF"/>
            <w:vAlign w:val="center"/>
          </w:tcPr>
          <w:p w14:paraId="754B5CA0">
            <w:pPr>
              <w:jc w:val="center"/>
              <w:rPr>
                <w:rFonts w:hint="eastAsia"/>
                <w:szCs w:val="21"/>
                <w:lang w:val="en-US" w:eastAsia="zh-CN"/>
              </w:rPr>
            </w:pPr>
            <w:r>
              <w:rPr>
                <w:rFonts w:hint="eastAsia"/>
                <w:szCs w:val="21"/>
                <w:lang w:val="en-US" w:eastAsia="zh-CN"/>
              </w:rPr>
              <w:t>0.155179</w:t>
            </w:r>
          </w:p>
        </w:tc>
        <w:tc>
          <w:tcPr>
            <w:tcW w:w="776" w:type="pct"/>
            <w:shd w:val="clear" w:color="000000" w:fill="FFFFFF"/>
            <w:vAlign w:val="center"/>
          </w:tcPr>
          <w:p w14:paraId="607D652B">
            <w:pPr>
              <w:jc w:val="center"/>
              <w:rPr>
                <w:rFonts w:hint="eastAsia"/>
                <w:szCs w:val="21"/>
                <w:lang w:val="en-US" w:eastAsia="zh-CN"/>
              </w:rPr>
            </w:pPr>
            <w:r>
              <w:rPr>
                <w:rFonts w:hint="eastAsia"/>
                <w:szCs w:val="21"/>
                <w:lang w:val="en-US" w:eastAsia="zh-CN"/>
              </w:rPr>
              <w:t>7.75895E-002</w:t>
            </w:r>
          </w:p>
        </w:tc>
      </w:tr>
      <w:tr w14:paraId="36EE2BA6">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00A5FA86">
            <w:pPr>
              <w:jc w:val="center"/>
              <w:rPr>
                <w:rFonts w:hint="eastAsia"/>
                <w:szCs w:val="21"/>
              </w:rPr>
            </w:pPr>
            <w:r>
              <w:rPr>
                <w:rFonts w:hint="eastAsia"/>
                <w:szCs w:val="21"/>
                <w:lang w:val="en-US" w:eastAsia="zh-CN"/>
              </w:rPr>
              <w:t>25</w:t>
            </w:r>
          </w:p>
        </w:tc>
        <w:tc>
          <w:tcPr>
            <w:tcW w:w="693" w:type="pct"/>
            <w:gridSpan w:val="2"/>
            <w:shd w:val="clear" w:color="000000" w:fill="FFFFFF"/>
            <w:vAlign w:val="center"/>
          </w:tcPr>
          <w:p w14:paraId="40DFFE54">
            <w:pPr>
              <w:jc w:val="center"/>
              <w:rPr>
                <w:rFonts w:hint="eastAsia"/>
                <w:szCs w:val="21"/>
              </w:rPr>
            </w:pPr>
            <w:r>
              <w:rPr>
                <w:rFonts w:hint="eastAsia"/>
                <w:szCs w:val="21"/>
                <w:lang w:val="en-US" w:eastAsia="zh-CN"/>
              </w:rPr>
              <w:t>2.3117</w:t>
            </w:r>
          </w:p>
        </w:tc>
        <w:tc>
          <w:tcPr>
            <w:tcW w:w="775" w:type="pct"/>
            <w:shd w:val="clear" w:color="000000" w:fill="FFFFFF"/>
            <w:vAlign w:val="center"/>
          </w:tcPr>
          <w:p w14:paraId="2F3C9DE9">
            <w:pPr>
              <w:jc w:val="center"/>
              <w:rPr>
                <w:rFonts w:hint="eastAsia"/>
                <w:szCs w:val="21"/>
              </w:rPr>
            </w:pPr>
            <w:r>
              <w:rPr>
                <w:rFonts w:hint="eastAsia"/>
                <w:szCs w:val="21"/>
                <w:lang w:val="en-US" w:eastAsia="zh-CN"/>
              </w:rPr>
              <w:t>5.13711E-001</w:t>
            </w:r>
          </w:p>
        </w:tc>
        <w:tc>
          <w:tcPr>
            <w:tcW w:w="693" w:type="pct"/>
            <w:shd w:val="clear" w:color="000000" w:fill="FFFFFF"/>
            <w:vAlign w:val="center"/>
          </w:tcPr>
          <w:p w14:paraId="68B6D375">
            <w:pPr>
              <w:jc w:val="center"/>
              <w:rPr>
                <w:rFonts w:hint="eastAsia"/>
                <w:szCs w:val="21"/>
                <w:lang w:val="en-US" w:eastAsia="zh-CN"/>
              </w:rPr>
            </w:pPr>
            <w:r>
              <w:rPr>
                <w:rFonts w:hint="eastAsia"/>
                <w:szCs w:val="21"/>
                <w:lang w:val="en-US" w:eastAsia="zh-CN"/>
              </w:rPr>
              <w:t>0.0040379</w:t>
            </w:r>
          </w:p>
        </w:tc>
        <w:tc>
          <w:tcPr>
            <w:tcW w:w="1086" w:type="pct"/>
            <w:gridSpan w:val="3"/>
            <w:shd w:val="clear" w:color="000000" w:fill="FFFFFF"/>
            <w:vAlign w:val="center"/>
          </w:tcPr>
          <w:p w14:paraId="05B6241D">
            <w:pPr>
              <w:jc w:val="center"/>
              <w:rPr>
                <w:rFonts w:hint="eastAsia"/>
                <w:szCs w:val="21"/>
                <w:lang w:val="en-US" w:eastAsia="zh-CN"/>
              </w:rPr>
            </w:pPr>
            <w:r>
              <w:rPr>
                <w:rFonts w:hint="eastAsia"/>
                <w:szCs w:val="21"/>
                <w:lang w:val="en-US" w:eastAsia="zh-CN"/>
              </w:rPr>
              <w:t>8.07580E-004</w:t>
            </w:r>
          </w:p>
        </w:tc>
        <w:tc>
          <w:tcPr>
            <w:tcW w:w="530" w:type="pct"/>
            <w:shd w:val="clear" w:color="000000" w:fill="FFFFFF"/>
            <w:vAlign w:val="center"/>
          </w:tcPr>
          <w:p w14:paraId="36CEBF81">
            <w:pPr>
              <w:jc w:val="center"/>
              <w:rPr>
                <w:rFonts w:hint="eastAsia"/>
                <w:szCs w:val="21"/>
                <w:lang w:val="en-US" w:eastAsia="zh-CN"/>
              </w:rPr>
            </w:pPr>
            <w:r>
              <w:rPr>
                <w:rFonts w:hint="eastAsia"/>
                <w:szCs w:val="21"/>
                <w:lang w:val="en-US" w:eastAsia="zh-CN"/>
              </w:rPr>
              <w:t>0.646065</w:t>
            </w:r>
          </w:p>
        </w:tc>
        <w:tc>
          <w:tcPr>
            <w:tcW w:w="776" w:type="pct"/>
            <w:shd w:val="clear" w:color="000000" w:fill="FFFFFF"/>
            <w:vAlign w:val="center"/>
          </w:tcPr>
          <w:p w14:paraId="7EB8EE7D">
            <w:pPr>
              <w:jc w:val="center"/>
              <w:rPr>
                <w:rFonts w:hint="eastAsia"/>
                <w:szCs w:val="21"/>
                <w:lang w:val="en-US" w:eastAsia="zh-CN"/>
              </w:rPr>
            </w:pPr>
            <w:r>
              <w:rPr>
                <w:rFonts w:hint="eastAsia"/>
                <w:szCs w:val="21"/>
                <w:lang w:val="en-US" w:eastAsia="zh-CN"/>
              </w:rPr>
              <w:t>3.23033E-001</w:t>
            </w:r>
          </w:p>
        </w:tc>
      </w:tr>
      <w:tr w14:paraId="037A19CA">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1518190D">
            <w:pPr>
              <w:jc w:val="center"/>
              <w:rPr>
                <w:rFonts w:hint="eastAsia"/>
                <w:szCs w:val="21"/>
              </w:rPr>
            </w:pPr>
            <w:r>
              <w:rPr>
                <w:rFonts w:hint="eastAsia"/>
                <w:szCs w:val="21"/>
                <w:lang w:val="en-US" w:eastAsia="zh-CN"/>
              </w:rPr>
              <w:t>50</w:t>
            </w:r>
          </w:p>
        </w:tc>
        <w:tc>
          <w:tcPr>
            <w:tcW w:w="693" w:type="pct"/>
            <w:gridSpan w:val="2"/>
            <w:shd w:val="clear" w:color="000000" w:fill="FFFFFF"/>
            <w:vAlign w:val="center"/>
          </w:tcPr>
          <w:p w14:paraId="7EB5E6DC">
            <w:pPr>
              <w:jc w:val="center"/>
              <w:rPr>
                <w:rFonts w:hint="eastAsia"/>
                <w:szCs w:val="21"/>
              </w:rPr>
            </w:pPr>
            <w:r>
              <w:rPr>
                <w:rFonts w:hint="eastAsia"/>
                <w:szCs w:val="21"/>
                <w:lang w:val="en-US" w:eastAsia="zh-CN"/>
              </w:rPr>
              <w:t>2.7526</w:t>
            </w:r>
          </w:p>
        </w:tc>
        <w:tc>
          <w:tcPr>
            <w:tcW w:w="775" w:type="pct"/>
            <w:shd w:val="clear" w:color="000000" w:fill="FFFFFF"/>
            <w:vAlign w:val="center"/>
          </w:tcPr>
          <w:p w14:paraId="08CB288F">
            <w:pPr>
              <w:jc w:val="center"/>
              <w:rPr>
                <w:rFonts w:hint="eastAsia"/>
                <w:szCs w:val="21"/>
              </w:rPr>
            </w:pPr>
            <w:r>
              <w:rPr>
                <w:rFonts w:hint="eastAsia"/>
                <w:szCs w:val="21"/>
                <w:lang w:val="en-US" w:eastAsia="zh-CN"/>
              </w:rPr>
              <w:t>6.11689E-001</w:t>
            </w:r>
          </w:p>
        </w:tc>
        <w:tc>
          <w:tcPr>
            <w:tcW w:w="693" w:type="pct"/>
            <w:shd w:val="clear" w:color="000000" w:fill="FFFFFF"/>
            <w:vAlign w:val="center"/>
          </w:tcPr>
          <w:p w14:paraId="2013C338">
            <w:pPr>
              <w:jc w:val="center"/>
              <w:rPr>
                <w:rFonts w:hint="eastAsia"/>
                <w:szCs w:val="21"/>
                <w:lang w:val="en-US" w:eastAsia="zh-CN"/>
              </w:rPr>
            </w:pPr>
            <w:r>
              <w:rPr>
                <w:rFonts w:hint="eastAsia"/>
                <w:szCs w:val="21"/>
                <w:lang w:val="en-US" w:eastAsia="zh-CN"/>
              </w:rPr>
              <w:t>0.00480803</w:t>
            </w:r>
          </w:p>
        </w:tc>
        <w:tc>
          <w:tcPr>
            <w:tcW w:w="1086" w:type="pct"/>
            <w:gridSpan w:val="3"/>
            <w:shd w:val="clear" w:color="000000" w:fill="FFFFFF"/>
            <w:vAlign w:val="center"/>
          </w:tcPr>
          <w:p w14:paraId="7F6DC7D2">
            <w:pPr>
              <w:jc w:val="center"/>
              <w:rPr>
                <w:rFonts w:hint="eastAsia"/>
                <w:szCs w:val="21"/>
                <w:lang w:val="en-US" w:eastAsia="zh-CN"/>
              </w:rPr>
            </w:pPr>
            <w:r>
              <w:rPr>
                <w:rFonts w:hint="eastAsia"/>
                <w:szCs w:val="21"/>
                <w:lang w:val="en-US" w:eastAsia="zh-CN"/>
              </w:rPr>
              <w:t>9.61606E-004</w:t>
            </w:r>
          </w:p>
        </w:tc>
        <w:tc>
          <w:tcPr>
            <w:tcW w:w="530" w:type="pct"/>
            <w:shd w:val="clear" w:color="000000" w:fill="FFFFFF"/>
            <w:vAlign w:val="center"/>
          </w:tcPr>
          <w:p w14:paraId="7A76A8A3">
            <w:pPr>
              <w:jc w:val="center"/>
              <w:rPr>
                <w:rFonts w:hint="eastAsia"/>
                <w:szCs w:val="21"/>
                <w:lang w:val="en-US" w:eastAsia="zh-CN"/>
              </w:rPr>
            </w:pPr>
            <w:r>
              <w:rPr>
                <w:rFonts w:hint="eastAsia"/>
                <w:szCs w:val="21"/>
                <w:lang w:val="en-US" w:eastAsia="zh-CN"/>
              </w:rPr>
              <w:t>0.769286</w:t>
            </w:r>
          </w:p>
        </w:tc>
        <w:tc>
          <w:tcPr>
            <w:tcW w:w="776" w:type="pct"/>
            <w:shd w:val="clear" w:color="000000" w:fill="FFFFFF"/>
            <w:vAlign w:val="center"/>
          </w:tcPr>
          <w:p w14:paraId="37E7B9DF">
            <w:pPr>
              <w:jc w:val="center"/>
              <w:rPr>
                <w:rFonts w:hint="eastAsia"/>
                <w:szCs w:val="21"/>
                <w:lang w:val="en-US" w:eastAsia="zh-CN"/>
              </w:rPr>
            </w:pPr>
            <w:r>
              <w:rPr>
                <w:rFonts w:hint="eastAsia"/>
                <w:szCs w:val="21"/>
                <w:lang w:val="en-US" w:eastAsia="zh-CN"/>
              </w:rPr>
              <w:t>3.84643E-001</w:t>
            </w:r>
          </w:p>
        </w:tc>
      </w:tr>
      <w:tr w14:paraId="571E955A">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36179235">
            <w:pPr>
              <w:jc w:val="center"/>
              <w:rPr>
                <w:rFonts w:hint="eastAsia"/>
                <w:szCs w:val="21"/>
              </w:rPr>
            </w:pPr>
            <w:r>
              <w:rPr>
                <w:rFonts w:hint="eastAsia"/>
                <w:szCs w:val="21"/>
                <w:lang w:val="en-US" w:eastAsia="zh-CN"/>
              </w:rPr>
              <w:t>100</w:t>
            </w:r>
          </w:p>
        </w:tc>
        <w:tc>
          <w:tcPr>
            <w:tcW w:w="693" w:type="pct"/>
            <w:gridSpan w:val="2"/>
            <w:shd w:val="clear" w:color="000000" w:fill="FFFFFF"/>
            <w:vAlign w:val="center"/>
          </w:tcPr>
          <w:p w14:paraId="3968B05B">
            <w:pPr>
              <w:jc w:val="center"/>
              <w:rPr>
                <w:rFonts w:hint="eastAsia"/>
                <w:szCs w:val="21"/>
              </w:rPr>
            </w:pPr>
            <w:r>
              <w:rPr>
                <w:rFonts w:hint="eastAsia"/>
                <w:szCs w:val="21"/>
                <w:lang w:val="en-US" w:eastAsia="zh-CN"/>
              </w:rPr>
              <w:t>7.8056</w:t>
            </w:r>
          </w:p>
        </w:tc>
        <w:tc>
          <w:tcPr>
            <w:tcW w:w="775" w:type="pct"/>
            <w:shd w:val="clear" w:color="000000" w:fill="FFFFFF"/>
            <w:vAlign w:val="center"/>
          </w:tcPr>
          <w:p w14:paraId="03C1EC79">
            <w:pPr>
              <w:jc w:val="center"/>
              <w:rPr>
                <w:rFonts w:hint="eastAsia"/>
                <w:szCs w:val="21"/>
              </w:rPr>
            </w:pPr>
            <w:r>
              <w:rPr>
                <w:rFonts w:hint="eastAsia"/>
                <w:szCs w:val="21"/>
                <w:lang w:val="en-US" w:eastAsia="zh-CN"/>
              </w:rPr>
              <w:t>1.73458E+000</w:t>
            </w:r>
          </w:p>
        </w:tc>
        <w:tc>
          <w:tcPr>
            <w:tcW w:w="693" w:type="pct"/>
            <w:shd w:val="clear" w:color="000000" w:fill="FFFFFF"/>
            <w:vAlign w:val="center"/>
          </w:tcPr>
          <w:p w14:paraId="73DC1813">
            <w:pPr>
              <w:jc w:val="center"/>
              <w:rPr>
                <w:rFonts w:hint="eastAsia"/>
                <w:szCs w:val="21"/>
                <w:lang w:val="en-US" w:eastAsia="zh-CN"/>
              </w:rPr>
            </w:pPr>
            <w:r>
              <w:rPr>
                <w:rFonts w:hint="eastAsia"/>
                <w:szCs w:val="21"/>
                <w:lang w:val="en-US" w:eastAsia="zh-CN"/>
              </w:rPr>
              <w:t>0.0136342</w:t>
            </w:r>
          </w:p>
        </w:tc>
        <w:tc>
          <w:tcPr>
            <w:tcW w:w="1086" w:type="pct"/>
            <w:gridSpan w:val="3"/>
            <w:shd w:val="clear" w:color="000000" w:fill="FFFFFF"/>
            <w:vAlign w:val="center"/>
          </w:tcPr>
          <w:p w14:paraId="2A929044">
            <w:pPr>
              <w:jc w:val="center"/>
              <w:rPr>
                <w:rFonts w:hint="eastAsia"/>
                <w:szCs w:val="21"/>
                <w:lang w:val="en-US" w:eastAsia="zh-CN"/>
              </w:rPr>
            </w:pPr>
            <w:r>
              <w:rPr>
                <w:rFonts w:hint="eastAsia"/>
                <w:szCs w:val="21"/>
                <w:lang w:val="en-US" w:eastAsia="zh-CN"/>
              </w:rPr>
              <w:t>2.72684E-003</w:t>
            </w:r>
          </w:p>
        </w:tc>
        <w:tc>
          <w:tcPr>
            <w:tcW w:w="530" w:type="pct"/>
            <w:shd w:val="clear" w:color="000000" w:fill="FFFFFF"/>
            <w:vAlign w:val="center"/>
          </w:tcPr>
          <w:p w14:paraId="5BAAD07B">
            <w:pPr>
              <w:jc w:val="center"/>
              <w:rPr>
                <w:rFonts w:hint="eastAsia"/>
                <w:szCs w:val="21"/>
                <w:lang w:val="en-US" w:eastAsia="zh-CN"/>
              </w:rPr>
            </w:pPr>
            <w:r>
              <w:rPr>
                <w:rFonts w:hint="eastAsia"/>
                <w:szCs w:val="21"/>
                <w:lang w:val="en-US" w:eastAsia="zh-CN"/>
              </w:rPr>
              <w:t>2.18148</w:t>
            </w:r>
          </w:p>
        </w:tc>
        <w:tc>
          <w:tcPr>
            <w:tcW w:w="776" w:type="pct"/>
            <w:shd w:val="clear" w:color="000000" w:fill="FFFFFF"/>
            <w:vAlign w:val="center"/>
          </w:tcPr>
          <w:p w14:paraId="56A3CFC4">
            <w:pPr>
              <w:jc w:val="center"/>
              <w:rPr>
                <w:rFonts w:hint="eastAsia"/>
                <w:szCs w:val="21"/>
                <w:lang w:val="en-US" w:eastAsia="zh-CN"/>
              </w:rPr>
            </w:pPr>
            <w:r>
              <w:rPr>
                <w:rFonts w:hint="eastAsia"/>
                <w:szCs w:val="21"/>
                <w:lang w:val="en-US" w:eastAsia="zh-CN"/>
              </w:rPr>
              <w:t>1.09074E+000</w:t>
            </w:r>
          </w:p>
        </w:tc>
      </w:tr>
      <w:tr w14:paraId="0609EC1A">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6F51E602">
            <w:pPr>
              <w:jc w:val="center"/>
              <w:rPr>
                <w:rFonts w:hint="eastAsia"/>
                <w:b/>
                <w:bCs/>
                <w:szCs w:val="21"/>
              </w:rPr>
            </w:pPr>
            <w:r>
              <w:rPr>
                <w:rFonts w:hint="eastAsia"/>
                <w:b/>
                <w:bCs/>
                <w:szCs w:val="21"/>
                <w:lang w:val="en-US" w:eastAsia="zh-CN"/>
              </w:rPr>
              <w:t>139</w:t>
            </w:r>
          </w:p>
        </w:tc>
        <w:tc>
          <w:tcPr>
            <w:tcW w:w="693" w:type="pct"/>
            <w:gridSpan w:val="2"/>
            <w:shd w:val="clear" w:color="000000" w:fill="FFFFFF"/>
            <w:vAlign w:val="center"/>
          </w:tcPr>
          <w:p w14:paraId="104EDDB8">
            <w:pPr>
              <w:jc w:val="center"/>
              <w:rPr>
                <w:rFonts w:hint="eastAsia"/>
                <w:b/>
                <w:bCs/>
                <w:szCs w:val="21"/>
              </w:rPr>
            </w:pPr>
            <w:r>
              <w:rPr>
                <w:rFonts w:hint="eastAsia"/>
                <w:b/>
                <w:bCs/>
                <w:szCs w:val="21"/>
                <w:lang w:val="en-US" w:eastAsia="zh-CN"/>
              </w:rPr>
              <w:t>11.359</w:t>
            </w:r>
          </w:p>
        </w:tc>
        <w:tc>
          <w:tcPr>
            <w:tcW w:w="775" w:type="pct"/>
            <w:shd w:val="clear" w:color="000000" w:fill="FFFFFF"/>
            <w:vAlign w:val="center"/>
          </w:tcPr>
          <w:p w14:paraId="6E1384EB">
            <w:pPr>
              <w:jc w:val="center"/>
              <w:rPr>
                <w:rFonts w:hint="eastAsia"/>
                <w:b/>
                <w:bCs/>
                <w:szCs w:val="21"/>
              </w:rPr>
            </w:pPr>
            <w:r>
              <w:rPr>
                <w:rFonts w:hint="eastAsia"/>
                <w:b/>
                <w:bCs/>
                <w:szCs w:val="21"/>
                <w:lang w:val="en-US" w:eastAsia="zh-CN"/>
              </w:rPr>
              <w:t>2.52422E+000</w:t>
            </w:r>
          </w:p>
        </w:tc>
        <w:tc>
          <w:tcPr>
            <w:tcW w:w="693" w:type="pct"/>
            <w:shd w:val="clear" w:color="000000" w:fill="FFFFFF"/>
            <w:vAlign w:val="center"/>
          </w:tcPr>
          <w:p w14:paraId="0448349C">
            <w:pPr>
              <w:jc w:val="center"/>
              <w:rPr>
                <w:rFonts w:hint="eastAsia"/>
                <w:b/>
                <w:bCs/>
                <w:szCs w:val="21"/>
                <w:lang w:val="en-US" w:eastAsia="zh-CN"/>
              </w:rPr>
            </w:pPr>
            <w:r>
              <w:rPr>
                <w:rFonts w:hint="eastAsia"/>
                <w:b/>
                <w:bCs/>
                <w:szCs w:val="21"/>
                <w:lang w:val="en-US" w:eastAsia="zh-CN"/>
              </w:rPr>
              <w:t>11.359</w:t>
            </w:r>
          </w:p>
        </w:tc>
        <w:tc>
          <w:tcPr>
            <w:tcW w:w="1086" w:type="pct"/>
            <w:gridSpan w:val="3"/>
            <w:shd w:val="clear" w:color="000000" w:fill="FFFFFF"/>
            <w:vAlign w:val="center"/>
          </w:tcPr>
          <w:p w14:paraId="6554FC91">
            <w:pPr>
              <w:jc w:val="center"/>
              <w:rPr>
                <w:rFonts w:hint="eastAsia"/>
                <w:b/>
                <w:bCs/>
                <w:szCs w:val="21"/>
                <w:lang w:val="en-US" w:eastAsia="zh-CN"/>
              </w:rPr>
            </w:pPr>
            <w:r>
              <w:rPr>
                <w:rFonts w:hint="eastAsia"/>
                <w:b/>
                <w:bCs/>
                <w:szCs w:val="21"/>
                <w:lang w:val="en-US" w:eastAsia="zh-CN"/>
              </w:rPr>
              <w:t>2.27180E+000</w:t>
            </w:r>
          </w:p>
        </w:tc>
        <w:tc>
          <w:tcPr>
            <w:tcW w:w="530" w:type="pct"/>
            <w:shd w:val="clear" w:color="000000" w:fill="FFFFFF"/>
            <w:vAlign w:val="center"/>
          </w:tcPr>
          <w:p w14:paraId="61AF915E">
            <w:pPr>
              <w:jc w:val="center"/>
              <w:rPr>
                <w:rFonts w:hint="eastAsia"/>
                <w:b/>
                <w:bCs/>
                <w:szCs w:val="21"/>
                <w:lang w:val="en-US" w:eastAsia="zh-CN"/>
              </w:rPr>
            </w:pPr>
            <w:r>
              <w:rPr>
                <w:rFonts w:hint="eastAsia"/>
                <w:b/>
                <w:bCs/>
                <w:szCs w:val="21"/>
                <w:lang w:val="en-US" w:eastAsia="zh-CN"/>
              </w:rPr>
              <w:t>11.359</w:t>
            </w:r>
          </w:p>
        </w:tc>
        <w:tc>
          <w:tcPr>
            <w:tcW w:w="776" w:type="pct"/>
            <w:shd w:val="clear" w:color="000000" w:fill="FFFFFF"/>
            <w:vAlign w:val="center"/>
          </w:tcPr>
          <w:p w14:paraId="5F0E8B53">
            <w:pPr>
              <w:jc w:val="center"/>
              <w:rPr>
                <w:rFonts w:hint="eastAsia"/>
                <w:b/>
                <w:bCs/>
                <w:szCs w:val="21"/>
                <w:lang w:val="en-US" w:eastAsia="zh-CN"/>
              </w:rPr>
            </w:pPr>
            <w:r>
              <w:rPr>
                <w:rFonts w:hint="eastAsia"/>
                <w:b/>
                <w:bCs/>
                <w:szCs w:val="21"/>
                <w:lang w:val="en-US" w:eastAsia="zh-CN"/>
              </w:rPr>
              <w:t>5.67950E+000</w:t>
            </w:r>
          </w:p>
        </w:tc>
      </w:tr>
      <w:tr w14:paraId="2C43A61B">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732EDF4C">
            <w:pPr>
              <w:jc w:val="center"/>
              <w:rPr>
                <w:rFonts w:hint="eastAsia"/>
                <w:szCs w:val="21"/>
              </w:rPr>
            </w:pPr>
            <w:r>
              <w:rPr>
                <w:rFonts w:hint="eastAsia"/>
                <w:szCs w:val="21"/>
                <w:lang w:val="en-US" w:eastAsia="zh-CN"/>
              </w:rPr>
              <w:t>200</w:t>
            </w:r>
          </w:p>
        </w:tc>
        <w:tc>
          <w:tcPr>
            <w:tcW w:w="693" w:type="pct"/>
            <w:gridSpan w:val="2"/>
            <w:shd w:val="clear" w:color="000000" w:fill="FFFFFF"/>
            <w:vAlign w:val="center"/>
          </w:tcPr>
          <w:p w14:paraId="0BF8D686">
            <w:pPr>
              <w:jc w:val="center"/>
              <w:rPr>
                <w:rFonts w:hint="eastAsia"/>
                <w:szCs w:val="21"/>
              </w:rPr>
            </w:pPr>
            <w:r>
              <w:rPr>
                <w:rFonts w:hint="eastAsia"/>
                <w:szCs w:val="21"/>
                <w:lang w:val="en-US" w:eastAsia="zh-CN"/>
              </w:rPr>
              <w:t>10.141</w:t>
            </w:r>
          </w:p>
        </w:tc>
        <w:tc>
          <w:tcPr>
            <w:tcW w:w="775" w:type="pct"/>
            <w:shd w:val="clear" w:color="000000" w:fill="FFFFFF"/>
            <w:vAlign w:val="center"/>
          </w:tcPr>
          <w:p w14:paraId="178A0962">
            <w:pPr>
              <w:jc w:val="center"/>
              <w:rPr>
                <w:rFonts w:hint="eastAsia"/>
                <w:szCs w:val="21"/>
              </w:rPr>
            </w:pPr>
            <w:r>
              <w:rPr>
                <w:rFonts w:hint="eastAsia"/>
                <w:szCs w:val="21"/>
                <w:lang w:val="en-US" w:eastAsia="zh-CN"/>
              </w:rPr>
              <w:t>2.25356E+000</w:t>
            </w:r>
          </w:p>
        </w:tc>
        <w:tc>
          <w:tcPr>
            <w:tcW w:w="693" w:type="pct"/>
            <w:shd w:val="clear" w:color="000000" w:fill="FFFFFF"/>
            <w:vAlign w:val="center"/>
          </w:tcPr>
          <w:p w14:paraId="62BB5520">
            <w:pPr>
              <w:jc w:val="center"/>
              <w:rPr>
                <w:rFonts w:hint="eastAsia"/>
                <w:szCs w:val="21"/>
                <w:lang w:val="en-US" w:eastAsia="zh-CN"/>
              </w:rPr>
            </w:pPr>
            <w:r>
              <w:rPr>
                <w:rFonts w:hint="eastAsia"/>
                <w:szCs w:val="21"/>
                <w:lang w:val="en-US" w:eastAsia="zh-CN"/>
              </w:rPr>
              <w:t>0.0177135</w:t>
            </w:r>
          </w:p>
        </w:tc>
        <w:tc>
          <w:tcPr>
            <w:tcW w:w="1086" w:type="pct"/>
            <w:gridSpan w:val="3"/>
            <w:shd w:val="clear" w:color="000000" w:fill="FFFFFF"/>
            <w:vAlign w:val="center"/>
          </w:tcPr>
          <w:p w14:paraId="5D405BA7">
            <w:pPr>
              <w:jc w:val="center"/>
              <w:rPr>
                <w:rFonts w:hint="eastAsia"/>
                <w:szCs w:val="21"/>
                <w:lang w:val="en-US" w:eastAsia="zh-CN"/>
              </w:rPr>
            </w:pPr>
            <w:r>
              <w:rPr>
                <w:rFonts w:hint="eastAsia"/>
                <w:szCs w:val="21"/>
                <w:lang w:val="en-US" w:eastAsia="zh-CN"/>
              </w:rPr>
              <w:t>3.54270E-003</w:t>
            </w:r>
          </w:p>
        </w:tc>
        <w:tc>
          <w:tcPr>
            <w:tcW w:w="530" w:type="pct"/>
            <w:shd w:val="clear" w:color="000000" w:fill="FFFFFF"/>
            <w:vAlign w:val="center"/>
          </w:tcPr>
          <w:p w14:paraId="12614BE2">
            <w:pPr>
              <w:jc w:val="center"/>
              <w:rPr>
                <w:rFonts w:hint="eastAsia"/>
                <w:szCs w:val="21"/>
                <w:lang w:val="en-US" w:eastAsia="zh-CN"/>
              </w:rPr>
            </w:pPr>
            <w:r>
              <w:rPr>
                <w:rFonts w:hint="eastAsia"/>
                <w:szCs w:val="21"/>
                <w:lang w:val="en-US" w:eastAsia="zh-CN"/>
              </w:rPr>
              <w:t>2.83417</w:t>
            </w:r>
          </w:p>
        </w:tc>
        <w:tc>
          <w:tcPr>
            <w:tcW w:w="776" w:type="pct"/>
            <w:shd w:val="clear" w:color="000000" w:fill="FFFFFF"/>
            <w:vAlign w:val="center"/>
          </w:tcPr>
          <w:p w14:paraId="5CAD4DD4">
            <w:pPr>
              <w:jc w:val="center"/>
              <w:rPr>
                <w:rFonts w:hint="eastAsia"/>
                <w:szCs w:val="21"/>
                <w:lang w:val="en-US" w:eastAsia="zh-CN"/>
              </w:rPr>
            </w:pPr>
            <w:r>
              <w:rPr>
                <w:rFonts w:hint="eastAsia"/>
                <w:szCs w:val="21"/>
                <w:lang w:val="en-US" w:eastAsia="zh-CN"/>
              </w:rPr>
              <w:t>1.41709E+000</w:t>
            </w:r>
          </w:p>
        </w:tc>
      </w:tr>
      <w:tr w14:paraId="5085DCB0">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1714CF03">
            <w:pPr>
              <w:jc w:val="center"/>
              <w:rPr>
                <w:rFonts w:hint="eastAsia"/>
                <w:szCs w:val="21"/>
              </w:rPr>
            </w:pPr>
            <w:r>
              <w:rPr>
                <w:rFonts w:hint="eastAsia"/>
                <w:szCs w:val="21"/>
                <w:lang w:val="en-US" w:eastAsia="zh-CN"/>
              </w:rPr>
              <w:t>300</w:t>
            </w:r>
          </w:p>
        </w:tc>
        <w:tc>
          <w:tcPr>
            <w:tcW w:w="693" w:type="pct"/>
            <w:gridSpan w:val="2"/>
            <w:shd w:val="clear" w:color="000000" w:fill="FFFFFF"/>
            <w:vAlign w:val="center"/>
          </w:tcPr>
          <w:p w14:paraId="182840DF">
            <w:pPr>
              <w:jc w:val="center"/>
              <w:rPr>
                <w:rFonts w:hint="eastAsia"/>
                <w:szCs w:val="21"/>
              </w:rPr>
            </w:pPr>
            <w:r>
              <w:rPr>
                <w:rFonts w:hint="eastAsia"/>
                <w:szCs w:val="21"/>
                <w:lang w:val="en-US" w:eastAsia="zh-CN"/>
              </w:rPr>
              <w:t>8.5417</w:t>
            </w:r>
          </w:p>
        </w:tc>
        <w:tc>
          <w:tcPr>
            <w:tcW w:w="775" w:type="pct"/>
            <w:shd w:val="clear" w:color="000000" w:fill="FFFFFF"/>
            <w:vAlign w:val="center"/>
          </w:tcPr>
          <w:p w14:paraId="04B43653">
            <w:pPr>
              <w:jc w:val="center"/>
              <w:rPr>
                <w:rFonts w:hint="eastAsia"/>
                <w:szCs w:val="21"/>
              </w:rPr>
            </w:pPr>
            <w:r>
              <w:rPr>
                <w:rFonts w:hint="eastAsia"/>
                <w:szCs w:val="21"/>
                <w:lang w:val="en-US" w:eastAsia="zh-CN"/>
              </w:rPr>
              <w:t>1.89816E+000</w:t>
            </w:r>
          </w:p>
        </w:tc>
        <w:tc>
          <w:tcPr>
            <w:tcW w:w="693" w:type="pct"/>
            <w:shd w:val="clear" w:color="000000" w:fill="FFFFFF"/>
            <w:vAlign w:val="center"/>
          </w:tcPr>
          <w:p w14:paraId="00142BE6">
            <w:pPr>
              <w:jc w:val="center"/>
              <w:rPr>
                <w:rFonts w:hint="eastAsia"/>
                <w:szCs w:val="21"/>
                <w:lang w:val="en-US" w:eastAsia="zh-CN"/>
              </w:rPr>
            </w:pPr>
            <w:r>
              <w:rPr>
                <w:rFonts w:hint="eastAsia"/>
                <w:szCs w:val="21"/>
                <w:lang w:val="en-US" w:eastAsia="zh-CN"/>
              </w:rPr>
              <w:t>0.01492</w:t>
            </w:r>
          </w:p>
        </w:tc>
        <w:tc>
          <w:tcPr>
            <w:tcW w:w="1086" w:type="pct"/>
            <w:gridSpan w:val="3"/>
            <w:shd w:val="clear" w:color="000000" w:fill="FFFFFF"/>
            <w:vAlign w:val="center"/>
          </w:tcPr>
          <w:p w14:paraId="5DE00287">
            <w:pPr>
              <w:jc w:val="center"/>
              <w:rPr>
                <w:rFonts w:hint="eastAsia"/>
                <w:szCs w:val="21"/>
                <w:lang w:val="en-US" w:eastAsia="zh-CN"/>
              </w:rPr>
            </w:pPr>
            <w:r>
              <w:rPr>
                <w:rFonts w:hint="eastAsia"/>
                <w:szCs w:val="21"/>
                <w:lang w:val="en-US" w:eastAsia="zh-CN"/>
              </w:rPr>
              <w:t>2.98400E-003</w:t>
            </w:r>
          </w:p>
        </w:tc>
        <w:tc>
          <w:tcPr>
            <w:tcW w:w="530" w:type="pct"/>
            <w:shd w:val="clear" w:color="000000" w:fill="FFFFFF"/>
            <w:vAlign w:val="center"/>
          </w:tcPr>
          <w:p w14:paraId="1994B2B0">
            <w:pPr>
              <w:jc w:val="center"/>
              <w:rPr>
                <w:rFonts w:hint="eastAsia"/>
                <w:szCs w:val="21"/>
                <w:lang w:val="en-US" w:eastAsia="zh-CN"/>
              </w:rPr>
            </w:pPr>
            <w:r>
              <w:rPr>
                <w:rFonts w:hint="eastAsia"/>
                <w:szCs w:val="21"/>
                <w:lang w:val="en-US" w:eastAsia="zh-CN"/>
              </w:rPr>
              <w:t>2.3872</w:t>
            </w:r>
          </w:p>
        </w:tc>
        <w:tc>
          <w:tcPr>
            <w:tcW w:w="776" w:type="pct"/>
            <w:shd w:val="clear" w:color="000000" w:fill="FFFFFF"/>
            <w:vAlign w:val="center"/>
          </w:tcPr>
          <w:p w14:paraId="7B239EA4">
            <w:pPr>
              <w:jc w:val="center"/>
              <w:rPr>
                <w:rFonts w:hint="eastAsia"/>
                <w:szCs w:val="21"/>
                <w:lang w:val="en-US" w:eastAsia="zh-CN"/>
              </w:rPr>
            </w:pPr>
            <w:r>
              <w:rPr>
                <w:rFonts w:hint="eastAsia"/>
                <w:szCs w:val="21"/>
                <w:lang w:val="en-US" w:eastAsia="zh-CN"/>
              </w:rPr>
              <w:t>1.19360E+000</w:t>
            </w:r>
          </w:p>
        </w:tc>
      </w:tr>
      <w:tr w14:paraId="033E5EFA">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72C04E1C">
            <w:pPr>
              <w:jc w:val="center"/>
              <w:rPr>
                <w:rFonts w:hint="eastAsia"/>
                <w:szCs w:val="21"/>
              </w:rPr>
            </w:pPr>
            <w:r>
              <w:rPr>
                <w:rFonts w:hint="eastAsia"/>
                <w:szCs w:val="21"/>
                <w:lang w:val="en-US" w:eastAsia="zh-CN"/>
              </w:rPr>
              <w:t>400</w:t>
            </w:r>
          </w:p>
        </w:tc>
        <w:tc>
          <w:tcPr>
            <w:tcW w:w="693" w:type="pct"/>
            <w:gridSpan w:val="2"/>
            <w:shd w:val="clear" w:color="000000" w:fill="FFFFFF"/>
            <w:vAlign w:val="center"/>
          </w:tcPr>
          <w:p w14:paraId="5AFAA939">
            <w:pPr>
              <w:jc w:val="center"/>
              <w:rPr>
                <w:rFonts w:hint="eastAsia"/>
                <w:szCs w:val="21"/>
              </w:rPr>
            </w:pPr>
            <w:r>
              <w:rPr>
                <w:rFonts w:hint="eastAsia"/>
                <w:szCs w:val="21"/>
                <w:lang w:val="en-US" w:eastAsia="zh-CN"/>
              </w:rPr>
              <w:t>7.1369</w:t>
            </w:r>
          </w:p>
        </w:tc>
        <w:tc>
          <w:tcPr>
            <w:tcW w:w="775" w:type="pct"/>
            <w:shd w:val="clear" w:color="000000" w:fill="FFFFFF"/>
            <w:vAlign w:val="center"/>
          </w:tcPr>
          <w:p w14:paraId="1702DE32">
            <w:pPr>
              <w:jc w:val="center"/>
              <w:rPr>
                <w:rFonts w:hint="eastAsia"/>
                <w:szCs w:val="21"/>
              </w:rPr>
            </w:pPr>
            <w:r>
              <w:rPr>
                <w:rFonts w:hint="eastAsia"/>
                <w:szCs w:val="21"/>
                <w:lang w:val="en-US" w:eastAsia="zh-CN"/>
              </w:rPr>
              <w:t>1.58598E+000</w:t>
            </w:r>
          </w:p>
        </w:tc>
        <w:tc>
          <w:tcPr>
            <w:tcW w:w="693" w:type="pct"/>
            <w:shd w:val="clear" w:color="000000" w:fill="FFFFFF"/>
            <w:vAlign w:val="center"/>
          </w:tcPr>
          <w:p w14:paraId="09DEA14F">
            <w:pPr>
              <w:jc w:val="center"/>
              <w:rPr>
                <w:rFonts w:hint="eastAsia"/>
                <w:szCs w:val="21"/>
                <w:lang w:val="en-US" w:eastAsia="zh-CN"/>
              </w:rPr>
            </w:pPr>
            <w:r>
              <w:rPr>
                <w:rFonts w:hint="eastAsia"/>
                <w:szCs w:val="21"/>
                <w:lang w:val="en-US" w:eastAsia="zh-CN"/>
              </w:rPr>
              <w:t>0.0124662</w:t>
            </w:r>
          </w:p>
        </w:tc>
        <w:tc>
          <w:tcPr>
            <w:tcW w:w="1086" w:type="pct"/>
            <w:gridSpan w:val="3"/>
            <w:shd w:val="clear" w:color="000000" w:fill="FFFFFF"/>
            <w:vAlign w:val="center"/>
          </w:tcPr>
          <w:p w14:paraId="7F8D224B">
            <w:pPr>
              <w:jc w:val="center"/>
              <w:rPr>
                <w:rFonts w:hint="eastAsia"/>
                <w:szCs w:val="21"/>
                <w:lang w:val="en-US" w:eastAsia="zh-CN"/>
              </w:rPr>
            </w:pPr>
            <w:r>
              <w:rPr>
                <w:rFonts w:hint="eastAsia"/>
                <w:szCs w:val="21"/>
                <w:lang w:val="en-US" w:eastAsia="zh-CN"/>
              </w:rPr>
              <w:t>2.49324E-003</w:t>
            </w:r>
          </w:p>
        </w:tc>
        <w:tc>
          <w:tcPr>
            <w:tcW w:w="530" w:type="pct"/>
            <w:shd w:val="clear" w:color="000000" w:fill="FFFFFF"/>
            <w:vAlign w:val="center"/>
          </w:tcPr>
          <w:p w14:paraId="44CAC4B6">
            <w:pPr>
              <w:jc w:val="center"/>
              <w:rPr>
                <w:rFonts w:hint="eastAsia"/>
                <w:szCs w:val="21"/>
                <w:lang w:val="en-US" w:eastAsia="zh-CN"/>
              </w:rPr>
            </w:pPr>
            <w:r>
              <w:rPr>
                <w:rFonts w:hint="eastAsia"/>
                <w:szCs w:val="21"/>
                <w:lang w:val="en-US" w:eastAsia="zh-CN"/>
              </w:rPr>
              <w:t>1.99459</w:t>
            </w:r>
          </w:p>
        </w:tc>
        <w:tc>
          <w:tcPr>
            <w:tcW w:w="776" w:type="pct"/>
            <w:shd w:val="clear" w:color="000000" w:fill="FFFFFF"/>
            <w:vAlign w:val="center"/>
          </w:tcPr>
          <w:p w14:paraId="6568CF78">
            <w:pPr>
              <w:jc w:val="center"/>
              <w:rPr>
                <w:rFonts w:hint="eastAsia"/>
                <w:szCs w:val="21"/>
                <w:lang w:val="en-US" w:eastAsia="zh-CN"/>
              </w:rPr>
            </w:pPr>
            <w:r>
              <w:rPr>
                <w:rFonts w:hint="eastAsia"/>
                <w:szCs w:val="21"/>
                <w:lang w:val="en-US" w:eastAsia="zh-CN"/>
              </w:rPr>
              <w:t>9.97295E-001</w:t>
            </w:r>
          </w:p>
        </w:tc>
      </w:tr>
      <w:tr w14:paraId="093E934C">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158586D3">
            <w:pPr>
              <w:jc w:val="center"/>
              <w:rPr>
                <w:rFonts w:hint="eastAsia"/>
                <w:szCs w:val="21"/>
              </w:rPr>
            </w:pPr>
            <w:r>
              <w:rPr>
                <w:rFonts w:hint="eastAsia"/>
                <w:szCs w:val="21"/>
                <w:lang w:val="en-US" w:eastAsia="zh-CN"/>
              </w:rPr>
              <w:t>500</w:t>
            </w:r>
          </w:p>
        </w:tc>
        <w:tc>
          <w:tcPr>
            <w:tcW w:w="693" w:type="pct"/>
            <w:gridSpan w:val="2"/>
            <w:shd w:val="clear" w:color="000000" w:fill="FFFFFF"/>
            <w:vAlign w:val="center"/>
          </w:tcPr>
          <w:p w14:paraId="6DE44EF1">
            <w:pPr>
              <w:jc w:val="center"/>
              <w:rPr>
                <w:rFonts w:hint="eastAsia"/>
                <w:szCs w:val="21"/>
              </w:rPr>
            </w:pPr>
            <w:r>
              <w:rPr>
                <w:rFonts w:hint="eastAsia"/>
                <w:szCs w:val="21"/>
                <w:lang w:val="en-US" w:eastAsia="zh-CN"/>
              </w:rPr>
              <w:t>6.4354</w:t>
            </w:r>
          </w:p>
        </w:tc>
        <w:tc>
          <w:tcPr>
            <w:tcW w:w="775" w:type="pct"/>
            <w:shd w:val="clear" w:color="000000" w:fill="FFFFFF"/>
            <w:vAlign w:val="center"/>
          </w:tcPr>
          <w:p w14:paraId="082254B5">
            <w:pPr>
              <w:jc w:val="center"/>
              <w:rPr>
                <w:rFonts w:hint="eastAsia"/>
                <w:szCs w:val="21"/>
              </w:rPr>
            </w:pPr>
            <w:r>
              <w:rPr>
                <w:rFonts w:hint="eastAsia"/>
                <w:szCs w:val="21"/>
                <w:lang w:val="en-US" w:eastAsia="zh-CN"/>
              </w:rPr>
              <w:t>1.43009E+000</w:t>
            </w:r>
          </w:p>
        </w:tc>
        <w:tc>
          <w:tcPr>
            <w:tcW w:w="693" w:type="pct"/>
            <w:shd w:val="clear" w:color="000000" w:fill="FFFFFF"/>
            <w:vAlign w:val="center"/>
          </w:tcPr>
          <w:p w14:paraId="3343B817">
            <w:pPr>
              <w:jc w:val="center"/>
              <w:rPr>
                <w:rFonts w:hint="eastAsia"/>
                <w:szCs w:val="21"/>
                <w:lang w:val="en-US" w:eastAsia="zh-CN"/>
              </w:rPr>
            </w:pPr>
            <w:r>
              <w:rPr>
                <w:rFonts w:hint="eastAsia"/>
                <w:szCs w:val="21"/>
                <w:lang w:val="en-US" w:eastAsia="zh-CN"/>
              </w:rPr>
              <w:t>0.0112409</w:t>
            </w:r>
          </w:p>
        </w:tc>
        <w:tc>
          <w:tcPr>
            <w:tcW w:w="1086" w:type="pct"/>
            <w:gridSpan w:val="3"/>
            <w:shd w:val="clear" w:color="000000" w:fill="FFFFFF"/>
            <w:vAlign w:val="center"/>
          </w:tcPr>
          <w:p w14:paraId="34A114F2">
            <w:pPr>
              <w:jc w:val="center"/>
              <w:rPr>
                <w:rFonts w:hint="eastAsia"/>
                <w:szCs w:val="21"/>
                <w:lang w:val="en-US" w:eastAsia="zh-CN"/>
              </w:rPr>
            </w:pPr>
            <w:r>
              <w:rPr>
                <w:rFonts w:hint="eastAsia"/>
                <w:szCs w:val="21"/>
                <w:lang w:val="en-US" w:eastAsia="zh-CN"/>
              </w:rPr>
              <w:t>2.24818E-003</w:t>
            </w:r>
          </w:p>
        </w:tc>
        <w:tc>
          <w:tcPr>
            <w:tcW w:w="530" w:type="pct"/>
            <w:shd w:val="clear" w:color="000000" w:fill="FFFFFF"/>
            <w:vAlign w:val="center"/>
          </w:tcPr>
          <w:p w14:paraId="209309FA">
            <w:pPr>
              <w:jc w:val="center"/>
              <w:rPr>
                <w:rFonts w:hint="eastAsia"/>
                <w:szCs w:val="21"/>
                <w:lang w:val="en-US" w:eastAsia="zh-CN"/>
              </w:rPr>
            </w:pPr>
            <w:r>
              <w:rPr>
                <w:rFonts w:hint="eastAsia"/>
                <w:szCs w:val="21"/>
                <w:lang w:val="en-US" w:eastAsia="zh-CN"/>
              </w:rPr>
              <w:t>1.79854</w:t>
            </w:r>
          </w:p>
        </w:tc>
        <w:tc>
          <w:tcPr>
            <w:tcW w:w="776" w:type="pct"/>
            <w:shd w:val="clear" w:color="000000" w:fill="FFFFFF"/>
            <w:vAlign w:val="center"/>
          </w:tcPr>
          <w:p w14:paraId="7ED7E979">
            <w:pPr>
              <w:jc w:val="center"/>
              <w:rPr>
                <w:rFonts w:hint="eastAsia"/>
                <w:szCs w:val="21"/>
                <w:lang w:val="en-US" w:eastAsia="zh-CN"/>
              </w:rPr>
            </w:pPr>
            <w:r>
              <w:rPr>
                <w:rFonts w:hint="eastAsia"/>
                <w:szCs w:val="21"/>
                <w:lang w:val="en-US" w:eastAsia="zh-CN"/>
              </w:rPr>
              <w:t>8.99270E-001</w:t>
            </w:r>
          </w:p>
        </w:tc>
      </w:tr>
      <w:tr w14:paraId="52835EDC">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26A30F13">
            <w:pPr>
              <w:jc w:val="center"/>
              <w:rPr>
                <w:rFonts w:hint="eastAsia"/>
                <w:szCs w:val="21"/>
              </w:rPr>
            </w:pPr>
            <w:r>
              <w:rPr>
                <w:rFonts w:hint="eastAsia"/>
                <w:szCs w:val="21"/>
                <w:lang w:val="en-US" w:eastAsia="zh-CN"/>
              </w:rPr>
              <w:t>600</w:t>
            </w:r>
          </w:p>
        </w:tc>
        <w:tc>
          <w:tcPr>
            <w:tcW w:w="693" w:type="pct"/>
            <w:gridSpan w:val="2"/>
            <w:shd w:val="clear" w:color="000000" w:fill="FFFFFF"/>
            <w:vAlign w:val="center"/>
          </w:tcPr>
          <w:p w14:paraId="34419E2B">
            <w:pPr>
              <w:jc w:val="center"/>
              <w:rPr>
                <w:rFonts w:hint="eastAsia"/>
                <w:szCs w:val="21"/>
              </w:rPr>
            </w:pPr>
            <w:r>
              <w:rPr>
                <w:rFonts w:hint="eastAsia"/>
                <w:szCs w:val="21"/>
                <w:lang w:val="en-US" w:eastAsia="zh-CN"/>
              </w:rPr>
              <w:t>5.4553</w:t>
            </w:r>
          </w:p>
        </w:tc>
        <w:tc>
          <w:tcPr>
            <w:tcW w:w="775" w:type="pct"/>
            <w:shd w:val="clear" w:color="000000" w:fill="FFFFFF"/>
            <w:vAlign w:val="center"/>
          </w:tcPr>
          <w:p w14:paraId="270B7E75">
            <w:pPr>
              <w:jc w:val="center"/>
              <w:rPr>
                <w:rFonts w:hint="eastAsia"/>
                <w:szCs w:val="21"/>
              </w:rPr>
            </w:pPr>
            <w:r>
              <w:rPr>
                <w:rFonts w:hint="eastAsia"/>
                <w:szCs w:val="21"/>
                <w:lang w:val="en-US" w:eastAsia="zh-CN"/>
              </w:rPr>
              <w:t>1.21229E+000</w:t>
            </w:r>
          </w:p>
        </w:tc>
        <w:tc>
          <w:tcPr>
            <w:tcW w:w="693" w:type="pct"/>
            <w:shd w:val="clear" w:color="000000" w:fill="FFFFFF"/>
            <w:vAlign w:val="center"/>
          </w:tcPr>
          <w:p w14:paraId="65D652DE">
            <w:pPr>
              <w:jc w:val="center"/>
              <w:rPr>
                <w:rFonts w:hint="eastAsia"/>
                <w:szCs w:val="21"/>
                <w:lang w:val="en-US" w:eastAsia="zh-CN"/>
              </w:rPr>
            </w:pPr>
            <w:r>
              <w:rPr>
                <w:rFonts w:hint="eastAsia"/>
                <w:szCs w:val="21"/>
                <w:lang w:val="en-US" w:eastAsia="zh-CN"/>
              </w:rPr>
              <w:t>0.00952891</w:t>
            </w:r>
          </w:p>
        </w:tc>
        <w:tc>
          <w:tcPr>
            <w:tcW w:w="1086" w:type="pct"/>
            <w:gridSpan w:val="3"/>
            <w:shd w:val="clear" w:color="000000" w:fill="FFFFFF"/>
            <w:vAlign w:val="center"/>
          </w:tcPr>
          <w:p w14:paraId="2E4101A7">
            <w:pPr>
              <w:jc w:val="center"/>
              <w:rPr>
                <w:rFonts w:hint="eastAsia"/>
                <w:szCs w:val="21"/>
                <w:lang w:val="en-US" w:eastAsia="zh-CN"/>
              </w:rPr>
            </w:pPr>
            <w:r>
              <w:rPr>
                <w:rFonts w:hint="eastAsia"/>
                <w:szCs w:val="21"/>
                <w:lang w:val="en-US" w:eastAsia="zh-CN"/>
              </w:rPr>
              <w:t>1.90578E-003</w:t>
            </w:r>
          </w:p>
        </w:tc>
        <w:tc>
          <w:tcPr>
            <w:tcW w:w="530" w:type="pct"/>
            <w:shd w:val="clear" w:color="000000" w:fill="FFFFFF"/>
            <w:vAlign w:val="center"/>
          </w:tcPr>
          <w:p w14:paraId="11D4049B">
            <w:pPr>
              <w:jc w:val="center"/>
              <w:rPr>
                <w:rFonts w:hint="eastAsia"/>
                <w:szCs w:val="21"/>
                <w:lang w:val="en-US" w:eastAsia="zh-CN"/>
              </w:rPr>
            </w:pPr>
            <w:r>
              <w:rPr>
                <w:rFonts w:hint="eastAsia"/>
                <w:szCs w:val="21"/>
                <w:lang w:val="en-US" w:eastAsia="zh-CN"/>
              </w:rPr>
              <w:t>1.52463</w:t>
            </w:r>
          </w:p>
        </w:tc>
        <w:tc>
          <w:tcPr>
            <w:tcW w:w="776" w:type="pct"/>
            <w:shd w:val="clear" w:color="000000" w:fill="FFFFFF"/>
            <w:vAlign w:val="center"/>
          </w:tcPr>
          <w:p w14:paraId="475FB49D">
            <w:pPr>
              <w:jc w:val="center"/>
              <w:rPr>
                <w:rFonts w:hint="eastAsia"/>
                <w:szCs w:val="21"/>
                <w:lang w:val="en-US" w:eastAsia="zh-CN"/>
              </w:rPr>
            </w:pPr>
            <w:r>
              <w:rPr>
                <w:rFonts w:hint="eastAsia"/>
                <w:szCs w:val="21"/>
                <w:lang w:val="en-US" w:eastAsia="zh-CN"/>
              </w:rPr>
              <w:t>7.62315E-001</w:t>
            </w:r>
          </w:p>
        </w:tc>
      </w:tr>
      <w:tr w14:paraId="6221B148">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6F183D5C">
            <w:pPr>
              <w:jc w:val="center"/>
              <w:rPr>
                <w:rFonts w:hint="eastAsia"/>
                <w:szCs w:val="21"/>
              </w:rPr>
            </w:pPr>
            <w:r>
              <w:rPr>
                <w:rFonts w:hint="eastAsia"/>
                <w:szCs w:val="21"/>
                <w:lang w:val="en-US" w:eastAsia="zh-CN"/>
              </w:rPr>
              <w:t>700</w:t>
            </w:r>
          </w:p>
        </w:tc>
        <w:tc>
          <w:tcPr>
            <w:tcW w:w="693" w:type="pct"/>
            <w:gridSpan w:val="2"/>
            <w:shd w:val="clear" w:color="000000" w:fill="FFFFFF"/>
            <w:vAlign w:val="center"/>
          </w:tcPr>
          <w:p w14:paraId="059D3B1F">
            <w:pPr>
              <w:jc w:val="center"/>
              <w:rPr>
                <w:rFonts w:hint="eastAsia"/>
                <w:szCs w:val="21"/>
              </w:rPr>
            </w:pPr>
            <w:r>
              <w:rPr>
                <w:rFonts w:hint="eastAsia"/>
                <w:szCs w:val="21"/>
                <w:lang w:val="en-US" w:eastAsia="zh-CN"/>
              </w:rPr>
              <w:t>5.3042</w:t>
            </w:r>
          </w:p>
        </w:tc>
        <w:tc>
          <w:tcPr>
            <w:tcW w:w="775" w:type="pct"/>
            <w:shd w:val="clear" w:color="000000" w:fill="FFFFFF"/>
            <w:vAlign w:val="center"/>
          </w:tcPr>
          <w:p w14:paraId="5381A573">
            <w:pPr>
              <w:jc w:val="center"/>
              <w:rPr>
                <w:rFonts w:hint="eastAsia"/>
                <w:szCs w:val="21"/>
              </w:rPr>
            </w:pPr>
            <w:r>
              <w:rPr>
                <w:rFonts w:hint="eastAsia"/>
                <w:szCs w:val="21"/>
                <w:lang w:val="en-US" w:eastAsia="zh-CN"/>
              </w:rPr>
              <w:t>1.17871E+000</w:t>
            </w:r>
          </w:p>
        </w:tc>
        <w:tc>
          <w:tcPr>
            <w:tcW w:w="693" w:type="pct"/>
            <w:shd w:val="clear" w:color="000000" w:fill="FFFFFF"/>
            <w:vAlign w:val="center"/>
          </w:tcPr>
          <w:p w14:paraId="570D9017">
            <w:pPr>
              <w:jc w:val="center"/>
              <w:rPr>
                <w:rFonts w:hint="eastAsia"/>
                <w:szCs w:val="21"/>
                <w:lang w:val="en-US" w:eastAsia="zh-CN"/>
              </w:rPr>
            </w:pPr>
            <w:r>
              <w:rPr>
                <w:rFonts w:hint="eastAsia"/>
                <w:szCs w:val="21"/>
                <w:lang w:val="en-US" w:eastAsia="zh-CN"/>
              </w:rPr>
              <w:t>0.00926498</w:t>
            </w:r>
          </w:p>
        </w:tc>
        <w:tc>
          <w:tcPr>
            <w:tcW w:w="1086" w:type="pct"/>
            <w:gridSpan w:val="3"/>
            <w:shd w:val="clear" w:color="000000" w:fill="FFFFFF"/>
            <w:vAlign w:val="center"/>
          </w:tcPr>
          <w:p w14:paraId="64DC16ED">
            <w:pPr>
              <w:jc w:val="center"/>
              <w:rPr>
                <w:rFonts w:hint="eastAsia"/>
                <w:szCs w:val="21"/>
                <w:lang w:val="en-US" w:eastAsia="zh-CN"/>
              </w:rPr>
            </w:pPr>
            <w:r>
              <w:rPr>
                <w:rFonts w:hint="eastAsia"/>
                <w:szCs w:val="21"/>
                <w:lang w:val="en-US" w:eastAsia="zh-CN"/>
              </w:rPr>
              <w:t>1.85300E-003</w:t>
            </w:r>
          </w:p>
        </w:tc>
        <w:tc>
          <w:tcPr>
            <w:tcW w:w="530" w:type="pct"/>
            <w:shd w:val="clear" w:color="000000" w:fill="FFFFFF"/>
            <w:vAlign w:val="center"/>
          </w:tcPr>
          <w:p w14:paraId="04FE1452">
            <w:pPr>
              <w:jc w:val="center"/>
              <w:rPr>
                <w:rFonts w:hint="eastAsia"/>
                <w:szCs w:val="21"/>
                <w:lang w:val="en-US" w:eastAsia="zh-CN"/>
              </w:rPr>
            </w:pPr>
            <w:r>
              <w:rPr>
                <w:rFonts w:hint="eastAsia"/>
                <w:szCs w:val="21"/>
                <w:lang w:val="en-US" w:eastAsia="zh-CN"/>
              </w:rPr>
              <w:t>1.4824</w:t>
            </w:r>
          </w:p>
        </w:tc>
        <w:tc>
          <w:tcPr>
            <w:tcW w:w="776" w:type="pct"/>
            <w:shd w:val="clear" w:color="000000" w:fill="FFFFFF"/>
            <w:vAlign w:val="center"/>
          </w:tcPr>
          <w:p w14:paraId="1B8B4C62">
            <w:pPr>
              <w:jc w:val="center"/>
              <w:rPr>
                <w:rFonts w:hint="eastAsia"/>
                <w:szCs w:val="21"/>
                <w:lang w:val="en-US" w:eastAsia="zh-CN"/>
              </w:rPr>
            </w:pPr>
            <w:r>
              <w:rPr>
                <w:rFonts w:hint="eastAsia"/>
                <w:szCs w:val="21"/>
                <w:lang w:val="en-US" w:eastAsia="zh-CN"/>
              </w:rPr>
              <w:t>7.41200E-001</w:t>
            </w:r>
          </w:p>
        </w:tc>
      </w:tr>
      <w:tr w14:paraId="1BEDF74D">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6C55928C">
            <w:pPr>
              <w:jc w:val="center"/>
              <w:rPr>
                <w:rFonts w:hint="eastAsia"/>
                <w:szCs w:val="21"/>
              </w:rPr>
            </w:pPr>
            <w:r>
              <w:rPr>
                <w:rFonts w:hint="eastAsia"/>
                <w:szCs w:val="21"/>
                <w:lang w:val="en-US" w:eastAsia="zh-CN"/>
              </w:rPr>
              <w:t>800</w:t>
            </w:r>
          </w:p>
        </w:tc>
        <w:tc>
          <w:tcPr>
            <w:tcW w:w="693" w:type="pct"/>
            <w:gridSpan w:val="2"/>
            <w:shd w:val="clear" w:color="000000" w:fill="FFFFFF"/>
            <w:vAlign w:val="center"/>
          </w:tcPr>
          <w:p w14:paraId="0A2E4280">
            <w:pPr>
              <w:jc w:val="center"/>
              <w:rPr>
                <w:rFonts w:hint="eastAsia"/>
                <w:szCs w:val="21"/>
              </w:rPr>
            </w:pPr>
            <w:r>
              <w:rPr>
                <w:rFonts w:hint="eastAsia"/>
                <w:szCs w:val="21"/>
                <w:lang w:val="en-US" w:eastAsia="zh-CN"/>
              </w:rPr>
              <w:t>5.2799</w:t>
            </w:r>
          </w:p>
        </w:tc>
        <w:tc>
          <w:tcPr>
            <w:tcW w:w="775" w:type="pct"/>
            <w:shd w:val="clear" w:color="000000" w:fill="FFFFFF"/>
            <w:vAlign w:val="center"/>
          </w:tcPr>
          <w:p w14:paraId="6D86F263">
            <w:pPr>
              <w:jc w:val="center"/>
              <w:rPr>
                <w:rFonts w:hint="eastAsia"/>
                <w:szCs w:val="21"/>
              </w:rPr>
            </w:pPr>
            <w:r>
              <w:rPr>
                <w:rFonts w:hint="eastAsia"/>
                <w:szCs w:val="21"/>
                <w:lang w:val="en-US" w:eastAsia="zh-CN"/>
              </w:rPr>
              <w:t>1.17331E+000</w:t>
            </w:r>
          </w:p>
        </w:tc>
        <w:tc>
          <w:tcPr>
            <w:tcW w:w="693" w:type="pct"/>
            <w:shd w:val="clear" w:color="000000" w:fill="FFFFFF"/>
            <w:vAlign w:val="center"/>
          </w:tcPr>
          <w:p w14:paraId="00479989">
            <w:pPr>
              <w:jc w:val="center"/>
              <w:rPr>
                <w:rFonts w:hint="eastAsia"/>
                <w:szCs w:val="21"/>
                <w:lang w:val="en-US" w:eastAsia="zh-CN"/>
              </w:rPr>
            </w:pPr>
            <w:r>
              <w:rPr>
                <w:rFonts w:hint="eastAsia"/>
                <w:szCs w:val="21"/>
                <w:lang w:val="en-US" w:eastAsia="zh-CN"/>
              </w:rPr>
              <w:t>0.00922253</w:t>
            </w:r>
          </w:p>
        </w:tc>
        <w:tc>
          <w:tcPr>
            <w:tcW w:w="1086" w:type="pct"/>
            <w:gridSpan w:val="3"/>
            <w:shd w:val="clear" w:color="000000" w:fill="FFFFFF"/>
            <w:vAlign w:val="center"/>
          </w:tcPr>
          <w:p w14:paraId="4B24B6B4">
            <w:pPr>
              <w:jc w:val="center"/>
              <w:rPr>
                <w:rFonts w:hint="eastAsia"/>
                <w:szCs w:val="21"/>
                <w:lang w:val="en-US" w:eastAsia="zh-CN"/>
              </w:rPr>
            </w:pPr>
            <w:r>
              <w:rPr>
                <w:rFonts w:hint="eastAsia"/>
                <w:szCs w:val="21"/>
                <w:lang w:val="en-US" w:eastAsia="zh-CN"/>
              </w:rPr>
              <w:t>1.84451E-003</w:t>
            </w:r>
          </w:p>
        </w:tc>
        <w:tc>
          <w:tcPr>
            <w:tcW w:w="530" w:type="pct"/>
            <w:shd w:val="clear" w:color="000000" w:fill="FFFFFF"/>
            <w:vAlign w:val="center"/>
          </w:tcPr>
          <w:p w14:paraId="172BACE3">
            <w:pPr>
              <w:jc w:val="center"/>
              <w:rPr>
                <w:rFonts w:hint="eastAsia"/>
                <w:szCs w:val="21"/>
                <w:lang w:val="en-US" w:eastAsia="zh-CN"/>
              </w:rPr>
            </w:pPr>
            <w:r>
              <w:rPr>
                <w:rFonts w:hint="eastAsia"/>
                <w:szCs w:val="21"/>
                <w:lang w:val="en-US" w:eastAsia="zh-CN"/>
              </w:rPr>
              <w:t>1.47561</w:t>
            </w:r>
          </w:p>
        </w:tc>
        <w:tc>
          <w:tcPr>
            <w:tcW w:w="776" w:type="pct"/>
            <w:shd w:val="clear" w:color="000000" w:fill="FFFFFF"/>
            <w:vAlign w:val="center"/>
          </w:tcPr>
          <w:p w14:paraId="0D709E62">
            <w:pPr>
              <w:jc w:val="center"/>
              <w:rPr>
                <w:rFonts w:hint="eastAsia"/>
                <w:szCs w:val="21"/>
                <w:lang w:val="en-US" w:eastAsia="zh-CN"/>
              </w:rPr>
            </w:pPr>
            <w:r>
              <w:rPr>
                <w:rFonts w:hint="eastAsia"/>
                <w:szCs w:val="21"/>
                <w:lang w:val="en-US" w:eastAsia="zh-CN"/>
              </w:rPr>
              <w:t>7.37805E-001</w:t>
            </w:r>
          </w:p>
        </w:tc>
      </w:tr>
      <w:tr w14:paraId="3FE85681">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322DE8DC">
            <w:pPr>
              <w:jc w:val="center"/>
              <w:rPr>
                <w:rFonts w:hint="eastAsia"/>
                <w:szCs w:val="21"/>
              </w:rPr>
            </w:pPr>
            <w:r>
              <w:rPr>
                <w:rFonts w:hint="eastAsia"/>
                <w:szCs w:val="21"/>
                <w:lang w:val="en-US" w:eastAsia="zh-CN"/>
              </w:rPr>
              <w:t>900</w:t>
            </w:r>
          </w:p>
        </w:tc>
        <w:tc>
          <w:tcPr>
            <w:tcW w:w="693" w:type="pct"/>
            <w:gridSpan w:val="2"/>
            <w:shd w:val="clear" w:color="000000" w:fill="FFFFFF"/>
            <w:vAlign w:val="center"/>
          </w:tcPr>
          <w:p w14:paraId="775D6EEC">
            <w:pPr>
              <w:jc w:val="center"/>
              <w:rPr>
                <w:rFonts w:hint="eastAsia"/>
                <w:szCs w:val="21"/>
              </w:rPr>
            </w:pPr>
            <w:r>
              <w:rPr>
                <w:rFonts w:hint="eastAsia"/>
                <w:szCs w:val="21"/>
                <w:lang w:val="en-US" w:eastAsia="zh-CN"/>
              </w:rPr>
              <w:t>5.1587</w:t>
            </w:r>
          </w:p>
        </w:tc>
        <w:tc>
          <w:tcPr>
            <w:tcW w:w="775" w:type="pct"/>
            <w:shd w:val="clear" w:color="000000" w:fill="FFFFFF"/>
            <w:vAlign w:val="center"/>
          </w:tcPr>
          <w:p w14:paraId="5177D014">
            <w:pPr>
              <w:jc w:val="center"/>
              <w:rPr>
                <w:rFonts w:hint="eastAsia"/>
                <w:szCs w:val="21"/>
              </w:rPr>
            </w:pPr>
            <w:r>
              <w:rPr>
                <w:rFonts w:hint="eastAsia"/>
                <w:szCs w:val="21"/>
                <w:lang w:val="en-US" w:eastAsia="zh-CN"/>
              </w:rPr>
              <w:t>1.14638E+000</w:t>
            </w:r>
          </w:p>
        </w:tc>
        <w:tc>
          <w:tcPr>
            <w:tcW w:w="693" w:type="pct"/>
            <w:shd w:val="clear" w:color="000000" w:fill="FFFFFF"/>
            <w:vAlign w:val="center"/>
          </w:tcPr>
          <w:p w14:paraId="3781E89F">
            <w:pPr>
              <w:jc w:val="center"/>
              <w:rPr>
                <w:rFonts w:hint="eastAsia"/>
                <w:szCs w:val="21"/>
                <w:lang w:val="en-US" w:eastAsia="zh-CN"/>
              </w:rPr>
            </w:pPr>
            <w:r>
              <w:rPr>
                <w:rFonts w:hint="eastAsia"/>
                <w:szCs w:val="21"/>
                <w:lang w:val="en-US" w:eastAsia="zh-CN"/>
              </w:rPr>
              <w:t>0.00901083</w:t>
            </w:r>
          </w:p>
        </w:tc>
        <w:tc>
          <w:tcPr>
            <w:tcW w:w="1086" w:type="pct"/>
            <w:gridSpan w:val="3"/>
            <w:shd w:val="clear" w:color="000000" w:fill="FFFFFF"/>
            <w:vAlign w:val="center"/>
          </w:tcPr>
          <w:p w14:paraId="719310DA">
            <w:pPr>
              <w:jc w:val="center"/>
              <w:rPr>
                <w:rFonts w:hint="eastAsia"/>
                <w:szCs w:val="21"/>
                <w:lang w:val="en-US" w:eastAsia="zh-CN"/>
              </w:rPr>
            </w:pPr>
            <w:r>
              <w:rPr>
                <w:rFonts w:hint="eastAsia"/>
                <w:szCs w:val="21"/>
                <w:lang w:val="en-US" w:eastAsia="zh-CN"/>
              </w:rPr>
              <w:t>1.80217E-003</w:t>
            </w:r>
          </w:p>
        </w:tc>
        <w:tc>
          <w:tcPr>
            <w:tcW w:w="530" w:type="pct"/>
            <w:shd w:val="clear" w:color="000000" w:fill="FFFFFF"/>
            <w:vAlign w:val="center"/>
          </w:tcPr>
          <w:p w14:paraId="1897B3C8">
            <w:pPr>
              <w:jc w:val="center"/>
              <w:rPr>
                <w:rFonts w:hint="eastAsia"/>
                <w:szCs w:val="21"/>
                <w:lang w:val="en-US" w:eastAsia="zh-CN"/>
              </w:rPr>
            </w:pPr>
            <w:r>
              <w:rPr>
                <w:rFonts w:hint="eastAsia"/>
                <w:szCs w:val="21"/>
                <w:lang w:val="en-US" w:eastAsia="zh-CN"/>
              </w:rPr>
              <w:t>1.44173</w:t>
            </w:r>
          </w:p>
        </w:tc>
        <w:tc>
          <w:tcPr>
            <w:tcW w:w="776" w:type="pct"/>
            <w:shd w:val="clear" w:color="000000" w:fill="FFFFFF"/>
            <w:vAlign w:val="center"/>
          </w:tcPr>
          <w:p w14:paraId="6A1954B4">
            <w:pPr>
              <w:jc w:val="center"/>
              <w:rPr>
                <w:rFonts w:hint="eastAsia"/>
                <w:szCs w:val="21"/>
                <w:lang w:val="en-US" w:eastAsia="zh-CN"/>
              </w:rPr>
            </w:pPr>
            <w:r>
              <w:rPr>
                <w:rFonts w:hint="eastAsia"/>
                <w:szCs w:val="21"/>
                <w:lang w:val="en-US" w:eastAsia="zh-CN"/>
              </w:rPr>
              <w:t>7.20865E-001</w:t>
            </w:r>
          </w:p>
        </w:tc>
      </w:tr>
      <w:tr w14:paraId="4B911F9D">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05D20817">
            <w:pPr>
              <w:jc w:val="center"/>
              <w:rPr>
                <w:rFonts w:hint="eastAsia"/>
                <w:szCs w:val="21"/>
              </w:rPr>
            </w:pPr>
            <w:r>
              <w:rPr>
                <w:rFonts w:hint="eastAsia"/>
                <w:szCs w:val="21"/>
                <w:lang w:val="en-US" w:eastAsia="zh-CN"/>
              </w:rPr>
              <w:t>1000</w:t>
            </w:r>
          </w:p>
        </w:tc>
        <w:tc>
          <w:tcPr>
            <w:tcW w:w="693" w:type="pct"/>
            <w:gridSpan w:val="2"/>
            <w:shd w:val="clear" w:color="000000" w:fill="FFFFFF"/>
            <w:vAlign w:val="center"/>
          </w:tcPr>
          <w:p w14:paraId="4B4C16F2">
            <w:pPr>
              <w:jc w:val="center"/>
              <w:rPr>
                <w:rFonts w:hint="eastAsia"/>
                <w:szCs w:val="21"/>
              </w:rPr>
            </w:pPr>
            <w:r>
              <w:rPr>
                <w:rFonts w:hint="eastAsia"/>
                <w:szCs w:val="21"/>
                <w:lang w:val="en-US" w:eastAsia="zh-CN"/>
              </w:rPr>
              <w:t>5.0019</w:t>
            </w:r>
          </w:p>
        </w:tc>
        <w:tc>
          <w:tcPr>
            <w:tcW w:w="775" w:type="pct"/>
            <w:shd w:val="clear" w:color="000000" w:fill="FFFFFF"/>
            <w:vAlign w:val="center"/>
          </w:tcPr>
          <w:p w14:paraId="6547ED93">
            <w:pPr>
              <w:jc w:val="center"/>
              <w:rPr>
                <w:rFonts w:hint="eastAsia"/>
                <w:szCs w:val="21"/>
              </w:rPr>
            </w:pPr>
            <w:r>
              <w:rPr>
                <w:rFonts w:hint="eastAsia"/>
                <w:szCs w:val="21"/>
                <w:lang w:val="en-US" w:eastAsia="zh-CN"/>
              </w:rPr>
              <w:t>1.11153E+000</w:t>
            </w:r>
          </w:p>
        </w:tc>
        <w:tc>
          <w:tcPr>
            <w:tcW w:w="693" w:type="pct"/>
            <w:shd w:val="clear" w:color="000000" w:fill="FFFFFF"/>
            <w:vAlign w:val="center"/>
          </w:tcPr>
          <w:p w14:paraId="05ED0827">
            <w:pPr>
              <w:jc w:val="center"/>
              <w:rPr>
                <w:rFonts w:hint="eastAsia"/>
                <w:szCs w:val="21"/>
                <w:lang w:val="en-US" w:eastAsia="zh-CN"/>
              </w:rPr>
            </w:pPr>
            <w:r>
              <w:rPr>
                <w:rFonts w:hint="eastAsia"/>
                <w:szCs w:val="21"/>
                <w:lang w:val="en-US" w:eastAsia="zh-CN"/>
              </w:rPr>
              <w:t>0.00873694</w:t>
            </w:r>
          </w:p>
        </w:tc>
        <w:tc>
          <w:tcPr>
            <w:tcW w:w="1086" w:type="pct"/>
            <w:gridSpan w:val="3"/>
            <w:shd w:val="clear" w:color="000000" w:fill="FFFFFF"/>
            <w:vAlign w:val="center"/>
          </w:tcPr>
          <w:p w14:paraId="4A5DB11F">
            <w:pPr>
              <w:jc w:val="center"/>
              <w:rPr>
                <w:rFonts w:hint="eastAsia"/>
                <w:szCs w:val="21"/>
                <w:lang w:val="en-US" w:eastAsia="zh-CN"/>
              </w:rPr>
            </w:pPr>
            <w:r>
              <w:rPr>
                <w:rFonts w:hint="eastAsia"/>
                <w:szCs w:val="21"/>
                <w:lang w:val="en-US" w:eastAsia="zh-CN"/>
              </w:rPr>
              <w:t>1.74739E-003</w:t>
            </w:r>
          </w:p>
        </w:tc>
        <w:tc>
          <w:tcPr>
            <w:tcW w:w="530" w:type="pct"/>
            <w:shd w:val="clear" w:color="000000" w:fill="FFFFFF"/>
            <w:vAlign w:val="center"/>
          </w:tcPr>
          <w:p w14:paraId="4DFCE47C">
            <w:pPr>
              <w:jc w:val="center"/>
              <w:rPr>
                <w:rFonts w:hint="eastAsia"/>
                <w:szCs w:val="21"/>
                <w:lang w:val="en-US" w:eastAsia="zh-CN"/>
              </w:rPr>
            </w:pPr>
            <w:r>
              <w:rPr>
                <w:rFonts w:hint="eastAsia"/>
                <w:szCs w:val="21"/>
                <w:lang w:val="en-US" w:eastAsia="zh-CN"/>
              </w:rPr>
              <w:t>1.39791</w:t>
            </w:r>
          </w:p>
        </w:tc>
        <w:tc>
          <w:tcPr>
            <w:tcW w:w="776" w:type="pct"/>
            <w:shd w:val="clear" w:color="000000" w:fill="FFFFFF"/>
            <w:vAlign w:val="center"/>
          </w:tcPr>
          <w:p w14:paraId="2CE15DF1">
            <w:pPr>
              <w:jc w:val="center"/>
              <w:rPr>
                <w:rFonts w:hint="eastAsia"/>
                <w:szCs w:val="21"/>
                <w:lang w:val="en-US" w:eastAsia="zh-CN"/>
              </w:rPr>
            </w:pPr>
            <w:r>
              <w:rPr>
                <w:rFonts w:hint="eastAsia"/>
                <w:szCs w:val="21"/>
                <w:lang w:val="en-US" w:eastAsia="zh-CN"/>
              </w:rPr>
              <w:t>6.98955E-001</w:t>
            </w:r>
          </w:p>
        </w:tc>
      </w:tr>
      <w:tr w14:paraId="270C0F8B">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7BE2174F">
            <w:pPr>
              <w:jc w:val="center"/>
              <w:rPr>
                <w:rFonts w:hint="eastAsia"/>
                <w:szCs w:val="21"/>
              </w:rPr>
            </w:pPr>
            <w:r>
              <w:rPr>
                <w:rFonts w:hint="eastAsia"/>
                <w:szCs w:val="21"/>
                <w:lang w:val="en-US" w:eastAsia="zh-CN"/>
              </w:rPr>
              <w:t>1500</w:t>
            </w:r>
          </w:p>
        </w:tc>
        <w:tc>
          <w:tcPr>
            <w:tcW w:w="693" w:type="pct"/>
            <w:gridSpan w:val="2"/>
            <w:shd w:val="clear" w:color="000000" w:fill="FFFFFF"/>
            <w:vAlign w:val="center"/>
          </w:tcPr>
          <w:p w14:paraId="73856653">
            <w:pPr>
              <w:jc w:val="center"/>
              <w:rPr>
                <w:rFonts w:hint="eastAsia"/>
                <w:szCs w:val="21"/>
              </w:rPr>
            </w:pPr>
            <w:r>
              <w:rPr>
                <w:rFonts w:hint="eastAsia"/>
                <w:szCs w:val="21"/>
                <w:lang w:val="en-US" w:eastAsia="zh-CN"/>
              </w:rPr>
              <w:t>4.7128</w:t>
            </w:r>
          </w:p>
        </w:tc>
        <w:tc>
          <w:tcPr>
            <w:tcW w:w="775" w:type="pct"/>
            <w:shd w:val="clear" w:color="000000" w:fill="FFFFFF"/>
            <w:vAlign w:val="center"/>
          </w:tcPr>
          <w:p w14:paraId="2D092CC5">
            <w:pPr>
              <w:jc w:val="center"/>
              <w:rPr>
                <w:rFonts w:hint="eastAsia"/>
                <w:szCs w:val="21"/>
              </w:rPr>
            </w:pPr>
            <w:r>
              <w:rPr>
                <w:rFonts w:hint="eastAsia"/>
                <w:szCs w:val="21"/>
                <w:lang w:val="en-US" w:eastAsia="zh-CN"/>
              </w:rPr>
              <w:t>1.04729E+000</w:t>
            </w:r>
          </w:p>
        </w:tc>
        <w:tc>
          <w:tcPr>
            <w:tcW w:w="693" w:type="pct"/>
            <w:shd w:val="clear" w:color="000000" w:fill="FFFFFF"/>
            <w:vAlign w:val="center"/>
          </w:tcPr>
          <w:p w14:paraId="1724B966">
            <w:pPr>
              <w:jc w:val="center"/>
              <w:rPr>
                <w:rFonts w:hint="eastAsia"/>
                <w:szCs w:val="21"/>
                <w:lang w:val="en-US" w:eastAsia="zh-CN"/>
              </w:rPr>
            </w:pPr>
            <w:r>
              <w:rPr>
                <w:rFonts w:hint="eastAsia"/>
                <w:szCs w:val="21"/>
                <w:lang w:val="en-US" w:eastAsia="zh-CN"/>
              </w:rPr>
              <w:t>0.00823197</w:t>
            </w:r>
          </w:p>
        </w:tc>
        <w:tc>
          <w:tcPr>
            <w:tcW w:w="1086" w:type="pct"/>
            <w:gridSpan w:val="3"/>
            <w:shd w:val="clear" w:color="000000" w:fill="FFFFFF"/>
            <w:vAlign w:val="center"/>
          </w:tcPr>
          <w:p w14:paraId="288F21ED">
            <w:pPr>
              <w:jc w:val="center"/>
              <w:rPr>
                <w:rFonts w:hint="eastAsia"/>
                <w:szCs w:val="21"/>
                <w:lang w:val="en-US" w:eastAsia="zh-CN"/>
              </w:rPr>
            </w:pPr>
            <w:r>
              <w:rPr>
                <w:rFonts w:hint="eastAsia"/>
                <w:szCs w:val="21"/>
                <w:lang w:val="en-US" w:eastAsia="zh-CN"/>
              </w:rPr>
              <w:t>1.64639E-003</w:t>
            </w:r>
          </w:p>
        </w:tc>
        <w:tc>
          <w:tcPr>
            <w:tcW w:w="530" w:type="pct"/>
            <w:shd w:val="clear" w:color="000000" w:fill="FFFFFF"/>
            <w:vAlign w:val="center"/>
          </w:tcPr>
          <w:p w14:paraId="1C91E35C">
            <w:pPr>
              <w:jc w:val="center"/>
              <w:rPr>
                <w:rFonts w:hint="eastAsia"/>
                <w:szCs w:val="21"/>
                <w:lang w:val="en-US" w:eastAsia="zh-CN"/>
              </w:rPr>
            </w:pPr>
            <w:r>
              <w:rPr>
                <w:rFonts w:hint="eastAsia"/>
                <w:szCs w:val="21"/>
                <w:lang w:val="en-US" w:eastAsia="zh-CN"/>
              </w:rPr>
              <w:t>1.31711</w:t>
            </w:r>
          </w:p>
        </w:tc>
        <w:tc>
          <w:tcPr>
            <w:tcW w:w="776" w:type="pct"/>
            <w:shd w:val="clear" w:color="000000" w:fill="FFFFFF"/>
            <w:vAlign w:val="center"/>
          </w:tcPr>
          <w:p w14:paraId="2704F396">
            <w:pPr>
              <w:jc w:val="center"/>
              <w:rPr>
                <w:rFonts w:hint="eastAsia"/>
                <w:szCs w:val="21"/>
                <w:lang w:val="en-US" w:eastAsia="zh-CN"/>
              </w:rPr>
            </w:pPr>
            <w:r>
              <w:rPr>
                <w:rFonts w:hint="eastAsia"/>
                <w:szCs w:val="21"/>
                <w:lang w:val="en-US" w:eastAsia="zh-CN"/>
              </w:rPr>
              <w:t>6.58555E-001</w:t>
            </w:r>
          </w:p>
        </w:tc>
      </w:tr>
      <w:tr w14:paraId="69E248FB">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3245A3C2">
            <w:pPr>
              <w:jc w:val="center"/>
              <w:rPr>
                <w:rFonts w:hint="eastAsia"/>
                <w:szCs w:val="21"/>
              </w:rPr>
            </w:pPr>
            <w:r>
              <w:rPr>
                <w:rFonts w:hint="eastAsia"/>
                <w:szCs w:val="21"/>
                <w:lang w:val="en-US" w:eastAsia="zh-CN"/>
              </w:rPr>
              <w:t>2000</w:t>
            </w:r>
          </w:p>
        </w:tc>
        <w:tc>
          <w:tcPr>
            <w:tcW w:w="693" w:type="pct"/>
            <w:gridSpan w:val="2"/>
            <w:shd w:val="clear" w:color="000000" w:fill="FFFFFF"/>
            <w:vAlign w:val="center"/>
          </w:tcPr>
          <w:p w14:paraId="5DE40EFE">
            <w:pPr>
              <w:jc w:val="center"/>
              <w:rPr>
                <w:rFonts w:hint="eastAsia"/>
                <w:szCs w:val="21"/>
              </w:rPr>
            </w:pPr>
            <w:r>
              <w:rPr>
                <w:rFonts w:hint="eastAsia"/>
                <w:szCs w:val="21"/>
                <w:lang w:val="en-US" w:eastAsia="zh-CN"/>
              </w:rPr>
              <w:t>4.12</w:t>
            </w:r>
          </w:p>
        </w:tc>
        <w:tc>
          <w:tcPr>
            <w:tcW w:w="775" w:type="pct"/>
            <w:shd w:val="clear" w:color="000000" w:fill="FFFFFF"/>
            <w:vAlign w:val="center"/>
          </w:tcPr>
          <w:p w14:paraId="26770EBA">
            <w:pPr>
              <w:jc w:val="center"/>
              <w:rPr>
                <w:rFonts w:hint="eastAsia"/>
                <w:szCs w:val="21"/>
              </w:rPr>
            </w:pPr>
            <w:r>
              <w:rPr>
                <w:rFonts w:hint="eastAsia"/>
                <w:szCs w:val="21"/>
                <w:lang w:val="en-US" w:eastAsia="zh-CN"/>
              </w:rPr>
              <w:t>9.15556E-001</w:t>
            </w:r>
          </w:p>
        </w:tc>
        <w:tc>
          <w:tcPr>
            <w:tcW w:w="693" w:type="pct"/>
            <w:shd w:val="clear" w:color="000000" w:fill="FFFFFF"/>
            <w:vAlign w:val="center"/>
          </w:tcPr>
          <w:p w14:paraId="211AB910">
            <w:pPr>
              <w:jc w:val="center"/>
              <w:rPr>
                <w:rFonts w:hint="eastAsia"/>
                <w:szCs w:val="21"/>
                <w:lang w:val="en-US" w:eastAsia="zh-CN"/>
              </w:rPr>
            </w:pPr>
            <w:r>
              <w:rPr>
                <w:rFonts w:hint="eastAsia"/>
                <w:szCs w:val="21"/>
                <w:lang w:val="en-US" w:eastAsia="zh-CN"/>
              </w:rPr>
              <w:t>0.00719651</w:t>
            </w:r>
          </w:p>
        </w:tc>
        <w:tc>
          <w:tcPr>
            <w:tcW w:w="1086" w:type="pct"/>
            <w:gridSpan w:val="3"/>
            <w:shd w:val="clear" w:color="000000" w:fill="FFFFFF"/>
            <w:vAlign w:val="center"/>
          </w:tcPr>
          <w:p w14:paraId="2D967514">
            <w:pPr>
              <w:jc w:val="center"/>
              <w:rPr>
                <w:rFonts w:hint="eastAsia"/>
                <w:szCs w:val="21"/>
                <w:lang w:val="en-US" w:eastAsia="zh-CN"/>
              </w:rPr>
            </w:pPr>
            <w:r>
              <w:rPr>
                <w:rFonts w:hint="eastAsia"/>
                <w:szCs w:val="21"/>
                <w:lang w:val="en-US" w:eastAsia="zh-CN"/>
              </w:rPr>
              <w:t>1.43930E-003</w:t>
            </w:r>
          </w:p>
        </w:tc>
        <w:tc>
          <w:tcPr>
            <w:tcW w:w="530" w:type="pct"/>
            <w:shd w:val="clear" w:color="000000" w:fill="FFFFFF"/>
            <w:vAlign w:val="center"/>
          </w:tcPr>
          <w:p w14:paraId="2F14142C">
            <w:pPr>
              <w:jc w:val="center"/>
              <w:rPr>
                <w:rFonts w:hint="eastAsia"/>
                <w:szCs w:val="21"/>
                <w:lang w:val="en-US" w:eastAsia="zh-CN"/>
              </w:rPr>
            </w:pPr>
            <w:r>
              <w:rPr>
                <w:rFonts w:hint="eastAsia"/>
                <w:szCs w:val="21"/>
                <w:lang w:val="en-US" w:eastAsia="zh-CN"/>
              </w:rPr>
              <w:t>1.15144</w:t>
            </w:r>
          </w:p>
        </w:tc>
        <w:tc>
          <w:tcPr>
            <w:tcW w:w="776" w:type="pct"/>
            <w:shd w:val="clear" w:color="000000" w:fill="FFFFFF"/>
            <w:vAlign w:val="center"/>
          </w:tcPr>
          <w:p w14:paraId="225F7E4A">
            <w:pPr>
              <w:jc w:val="center"/>
              <w:rPr>
                <w:rFonts w:hint="eastAsia"/>
                <w:szCs w:val="21"/>
                <w:lang w:val="en-US" w:eastAsia="zh-CN"/>
              </w:rPr>
            </w:pPr>
            <w:r>
              <w:rPr>
                <w:rFonts w:hint="eastAsia"/>
                <w:szCs w:val="21"/>
                <w:lang w:val="en-US" w:eastAsia="zh-CN"/>
              </w:rPr>
              <w:t>5.75720E-001</w:t>
            </w:r>
          </w:p>
        </w:tc>
      </w:tr>
      <w:tr w14:paraId="2F12E50B">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652CD84D">
            <w:pPr>
              <w:jc w:val="center"/>
              <w:rPr>
                <w:rFonts w:hint="eastAsia"/>
                <w:szCs w:val="21"/>
              </w:rPr>
            </w:pPr>
            <w:r>
              <w:rPr>
                <w:rFonts w:hint="eastAsia"/>
                <w:szCs w:val="21"/>
                <w:lang w:val="en-US" w:eastAsia="zh-CN"/>
              </w:rPr>
              <w:t>2500</w:t>
            </w:r>
          </w:p>
        </w:tc>
        <w:tc>
          <w:tcPr>
            <w:tcW w:w="693" w:type="pct"/>
            <w:gridSpan w:val="2"/>
            <w:shd w:val="clear" w:color="000000" w:fill="FFFFFF"/>
            <w:vAlign w:val="center"/>
          </w:tcPr>
          <w:p w14:paraId="209BDF0E">
            <w:pPr>
              <w:jc w:val="center"/>
              <w:rPr>
                <w:rFonts w:hint="eastAsia"/>
                <w:szCs w:val="21"/>
              </w:rPr>
            </w:pPr>
            <w:r>
              <w:rPr>
                <w:rFonts w:hint="eastAsia"/>
                <w:szCs w:val="21"/>
                <w:lang w:val="en-US" w:eastAsia="zh-CN"/>
              </w:rPr>
              <w:t>3.6026</w:t>
            </w:r>
          </w:p>
        </w:tc>
        <w:tc>
          <w:tcPr>
            <w:tcW w:w="775" w:type="pct"/>
            <w:shd w:val="clear" w:color="000000" w:fill="FFFFFF"/>
            <w:vAlign w:val="center"/>
          </w:tcPr>
          <w:p w14:paraId="066214BB">
            <w:pPr>
              <w:jc w:val="center"/>
              <w:rPr>
                <w:rFonts w:hint="eastAsia"/>
                <w:szCs w:val="21"/>
              </w:rPr>
            </w:pPr>
            <w:r>
              <w:rPr>
                <w:rFonts w:hint="eastAsia"/>
                <w:szCs w:val="21"/>
                <w:lang w:val="en-US" w:eastAsia="zh-CN"/>
              </w:rPr>
              <w:t>8.00578E-001</w:t>
            </w:r>
          </w:p>
        </w:tc>
        <w:tc>
          <w:tcPr>
            <w:tcW w:w="693" w:type="pct"/>
            <w:shd w:val="clear" w:color="000000" w:fill="FFFFFF"/>
            <w:vAlign w:val="center"/>
          </w:tcPr>
          <w:p w14:paraId="1A1CC87E">
            <w:pPr>
              <w:jc w:val="center"/>
              <w:rPr>
                <w:rFonts w:hint="eastAsia"/>
                <w:szCs w:val="21"/>
                <w:lang w:val="en-US" w:eastAsia="zh-CN"/>
              </w:rPr>
            </w:pPr>
            <w:r>
              <w:rPr>
                <w:rFonts w:hint="eastAsia"/>
                <w:szCs w:val="21"/>
                <w:lang w:val="en-US" w:eastAsia="zh-CN"/>
              </w:rPr>
              <w:t>0.00629275</w:t>
            </w:r>
          </w:p>
        </w:tc>
        <w:tc>
          <w:tcPr>
            <w:tcW w:w="1086" w:type="pct"/>
            <w:gridSpan w:val="3"/>
            <w:shd w:val="clear" w:color="000000" w:fill="FFFFFF"/>
            <w:vAlign w:val="center"/>
          </w:tcPr>
          <w:p w14:paraId="5CB4AF0C">
            <w:pPr>
              <w:jc w:val="center"/>
              <w:rPr>
                <w:rFonts w:hint="eastAsia"/>
                <w:szCs w:val="21"/>
                <w:lang w:val="en-US" w:eastAsia="zh-CN"/>
              </w:rPr>
            </w:pPr>
            <w:r>
              <w:rPr>
                <w:rFonts w:hint="eastAsia"/>
                <w:szCs w:val="21"/>
                <w:lang w:val="en-US" w:eastAsia="zh-CN"/>
              </w:rPr>
              <w:t>1.25855E-003</w:t>
            </w:r>
          </w:p>
        </w:tc>
        <w:tc>
          <w:tcPr>
            <w:tcW w:w="530" w:type="pct"/>
            <w:shd w:val="clear" w:color="000000" w:fill="FFFFFF"/>
            <w:vAlign w:val="center"/>
          </w:tcPr>
          <w:p w14:paraId="05319D97">
            <w:pPr>
              <w:jc w:val="center"/>
              <w:rPr>
                <w:rFonts w:hint="eastAsia"/>
                <w:szCs w:val="21"/>
                <w:lang w:val="en-US" w:eastAsia="zh-CN"/>
              </w:rPr>
            </w:pPr>
            <w:r>
              <w:rPr>
                <w:rFonts w:hint="eastAsia"/>
                <w:szCs w:val="21"/>
                <w:lang w:val="en-US" w:eastAsia="zh-CN"/>
              </w:rPr>
              <w:t>1.00684</w:t>
            </w:r>
          </w:p>
        </w:tc>
        <w:tc>
          <w:tcPr>
            <w:tcW w:w="776" w:type="pct"/>
            <w:shd w:val="clear" w:color="000000" w:fill="FFFFFF"/>
            <w:vAlign w:val="center"/>
          </w:tcPr>
          <w:p w14:paraId="2D358C39">
            <w:pPr>
              <w:jc w:val="center"/>
              <w:rPr>
                <w:rFonts w:hint="eastAsia"/>
                <w:szCs w:val="21"/>
                <w:lang w:val="en-US" w:eastAsia="zh-CN"/>
              </w:rPr>
            </w:pPr>
            <w:r>
              <w:rPr>
                <w:rFonts w:hint="eastAsia"/>
                <w:szCs w:val="21"/>
                <w:lang w:val="en-US" w:eastAsia="zh-CN"/>
              </w:rPr>
              <w:t>5.03420E-001</w:t>
            </w:r>
          </w:p>
        </w:tc>
      </w:tr>
      <w:tr w14:paraId="5F31578F">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000" w:type="pct"/>
            <w:gridSpan w:val="10"/>
            <w:shd w:val="clear" w:color="000000" w:fill="FFFFFF"/>
            <w:vAlign w:val="center"/>
          </w:tcPr>
          <w:p w14:paraId="2693C01E">
            <w:pPr>
              <w:jc w:val="center"/>
              <w:rPr>
                <w:rFonts w:hint="eastAsia"/>
                <w:szCs w:val="21"/>
                <w:lang w:val="en-US" w:eastAsia="zh-CN"/>
              </w:rPr>
            </w:pPr>
            <w:r>
              <w:rPr>
                <w:rFonts w:hint="eastAsia"/>
                <w:kern w:val="0"/>
                <w:szCs w:val="21"/>
                <w:lang w:val="en-US" w:eastAsia="zh-CN"/>
              </w:rPr>
              <w:t>DA002</w:t>
            </w:r>
            <w:r>
              <w:rPr>
                <w:rFonts w:hint="eastAsia"/>
                <w:kern w:val="0"/>
                <w:szCs w:val="21"/>
              </w:rPr>
              <w:t>导热油炉烟囱</w:t>
            </w:r>
          </w:p>
        </w:tc>
      </w:tr>
      <w:tr w14:paraId="3DFCAE96">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413453B7">
            <w:pPr>
              <w:jc w:val="center"/>
              <w:rPr>
                <w:rFonts w:hint="default"/>
                <w:szCs w:val="21"/>
                <w:lang w:val="en-US" w:eastAsia="zh-CN"/>
              </w:rPr>
            </w:pPr>
            <w:r>
              <w:rPr>
                <w:rFonts w:hint="eastAsia"/>
                <w:szCs w:val="21"/>
                <w:lang w:val="en-US" w:eastAsia="zh-CN"/>
              </w:rPr>
              <w:t>-</w:t>
            </w:r>
          </w:p>
        </w:tc>
        <w:tc>
          <w:tcPr>
            <w:tcW w:w="1469" w:type="pct"/>
            <w:gridSpan w:val="3"/>
            <w:shd w:val="clear" w:color="000000" w:fill="FFFFFF"/>
            <w:vAlign w:val="center"/>
          </w:tcPr>
          <w:p w14:paraId="67070937">
            <w:pPr>
              <w:jc w:val="center"/>
              <w:rPr>
                <w:rFonts w:hint="eastAsia"/>
                <w:szCs w:val="21"/>
                <w:lang w:val="en-US" w:eastAsia="zh-CN"/>
              </w:rPr>
            </w:pPr>
            <w:r>
              <w:rPr>
                <w:rFonts w:hint="eastAsia"/>
                <w:kern w:val="0"/>
                <w:szCs w:val="21"/>
              </w:rPr>
              <w:t>PM</w:t>
            </w:r>
            <w:r>
              <w:rPr>
                <w:rFonts w:hint="eastAsia"/>
                <w:kern w:val="0"/>
                <w:szCs w:val="21"/>
                <w:vertAlign w:val="subscript"/>
              </w:rPr>
              <w:t>10</w:t>
            </w:r>
          </w:p>
        </w:tc>
        <w:tc>
          <w:tcPr>
            <w:tcW w:w="1779" w:type="pct"/>
            <w:gridSpan w:val="4"/>
            <w:shd w:val="clear" w:color="000000" w:fill="FFFFFF"/>
            <w:vAlign w:val="center"/>
          </w:tcPr>
          <w:p w14:paraId="1B4B3AFF">
            <w:pPr>
              <w:widowControl/>
              <w:jc w:val="center"/>
              <w:rPr>
                <w:rFonts w:hint="eastAsia"/>
                <w:szCs w:val="21"/>
                <w:lang w:val="en-US" w:eastAsia="zh-CN"/>
              </w:rPr>
            </w:pPr>
            <w:r>
              <w:rPr>
                <w:rFonts w:hint="eastAsia"/>
                <w:kern w:val="0"/>
                <w:szCs w:val="21"/>
              </w:rPr>
              <w:t>SO</w:t>
            </w:r>
            <w:r>
              <w:rPr>
                <w:rFonts w:hint="eastAsia"/>
                <w:kern w:val="0"/>
                <w:szCs w:val="21"/>
                <w:vertAlign w:val="subscript"/>
              </w:rPr>
              <w:t>2</w:t>
            </w:r>
          </w:p>
        </w:tc>
        <w:tc>
          <w:tcPr>
            <w:tcW w:w="1307" w:type="pct"/>
            <w:gridSpan w:val="2"/>
            <w:shd w:val="clear" w:color="000000" w:fill="FFFFFF"/>
            <w:vAlign w:val="center"/>
          </w:tcPr>
          <w:p w14:paraId="54DD8D15">
            <w:pPr>
              <w:widowControl/>
              <w:jc w:val="center"/>
              <w:rPr>
                <w:rFonts w:hint="eastAsia"/>
                <w:szCs w:val="21"/>
                <w:lang w:val="en-US" w:eastAsia="zh-CN"/>
              </w:rPr>
            </w:pPr>
            <w:r>
              <w:rPr>
                <w:rFonts w:hint="eastAsia"/>
                <w:kern w:val="0"/>
                <w:szCs w:val="21"/>
              </w:rPr>
              <w:t>NO</w:t>
            </w:r>
            <w:r>
              <w:rPr>
                <w:rFonts w:hint="eastAsia"/>
                <w:kern w:val="0"/>
                <w:szCs w:val="21"/>
                <w:vertAlign w:val="subscript"/>
              </w:rPr>
              <w:t>x</w:t>
            </w:r>
          </w:p>
        </w:tc>
      </w:tr>
      <w:tr w14:paraId="399BA6A1">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5ED138CE">
            <w:pPr>
              <w:widowControl/>
              <w:jc w:val="center"/>
              <w:rPr>
                <w:rFonts w:hint="eastAsia"/>
                <w:szCs w:val="21"/>
                <w:lang w:val="en-US" w:eastAsia="zh-CN"/>
              </w:rPr>
            </w:pPr>
            <w:r>
              <w:rPr>
                <w:kern w:val="0"/>
                <w:szCs w:val="21"/>
              </w:rPr>
              <w:t>距离</w:t>
            </w:r>
          </w:p>
        </w:tc>
        <w:tc>
          <w:tcPr>
            <w:tcW w:w="693" w:type="pct"/>
            <w:gridSpan w:val="2"/>
            <w:shd w:val="clear" w:color="000000" w:fill="FFFFFF"/>
            <w:vAlign w:val="center"/>
          </w:tcPr>
          <w:p w14:paraId="2627B54C">
            <w:pPr>
              <w:widowControl/>
              <w:jc w:val="center"/>
              <w:rPr>
                <w:rFonts w:hint="eastAsia"/>
                <w:szCs w:val="21"/>
                <w:lang w:val="en-US" w:eastAsia="zh-CN"/>
              </w:rPr>
            </w:pPr>
            <w:r>
              <w:rPr>
                <w:kern w:val="0"/>
                <w:szCs w:val="21"/>
              </w:rPr>
              <w:t>浓度</w:t>
            </w:r>
          </w:p>
        </w:tc>
        <w:tc>
          <w:tcPr>
            <w:tcW w:w="775" w:type="pct"/>
            <w:shd w:val="clear" w:color="000000" w:fill="FFFFFF"/>
            <w:vAlign w:val="center"/>
          </w:tcPr>
          <w:p w14:paraId="00A4A5D5">
            <w:pPr>
              <w:widowControl/>
              <w:jc w:val="center"/>
              <w:rPr>
                <w:rFonts w:hint="eastAsia"/>
                <w:szCs w:val="21"/>
                <w:lang w:val="en-US" w:eastAsia="zh-CN"/>
              </w:rPr>
            </w:pPr>
            <w:r>
              <w:rPr>
                <w:kern w:val="0"/>
                <w:szCs w:val="21"/>
              </w:rPr>
              <w:t>占标率</w:t>
            </w:r>
          </w:p>
        </w:tc>
        <w:tc>
          <w:tcPr>
            <w:tcW w:w="693" w:type="pct"/>
            <w:shd w:val="clear" w:color="000000" w:fill="FFFFFF"/>
            <w:vAlign w:val="center"/>
          </w:tcPr>
          <w:p w14:paraId="30FCA2B3">
            <w:pPr>
              <w:widowControl/>
              <w:jc w:val="center"/>
              <w:rPr>
                <w:rFonts w:hint="eastAsia"/>
                <w:szCs w:val="21"/>
                <w:lang w:val="en-US" w:eastAsia="zh-CN"/>
              </w:rPr>
            </w:pPr>
            <w:r>
              <w:rPr>
                <w:kern w:val="0"/>
                <w:szCs w:val="21"/>
              </w:rPr>
              <w:t>浓度</w:t>
            </w:r>
          </w:p>
        </w:tc>
        <w:tc>
          <w:tcPr>
            <w:tcW w:w="1086" w:type="pct"/>
            <w:gridSpan w:val="3"/>
            <w:shd w:val="clear" w:color="000000" w:fill="FFFFFF"/>
            <w:vAlign w:val="center"/>
          </w:tcPr>
          <w:p w14:paraId="1A16612A">
            <w:pPr>
              <w:widowControl/>
              <w:jc w:val="center"/>
              <w:rPr>
                <w:rFonts w:hint="eastAsia"/>
                <w:szCs w:val="21"/>
                <w:lang w:val="en-US" w:eastAsia="zh-CN"/>
              </w:rPr>
            </w:pPr>
            <w:r>
              <w:rPr>
                <w:kern w:val="0"/>
                <w:szCs w:val="21"/>
              </w:rPr>
              <w:t>占标率</w:t>
            </w:r>
          </w:p>
        </w:tc>
        <w:tc>
          <w:tcPr>
            <w:tcW w:w="530" w:type="pct"/>
            <w:shd w:val="clear" w:color="000000" w:fill="FFFFFF"/>
            <w:vAlign w:val="center"/>
          </w:tcPr>
          <w:p w14:paraId="5931DC82">
            <w:pPr>
              <w:widowControl/>
              <w:jc w:val="center"/>
              <w:rPr>
                <w:rFonts w:hint="eastAsia"/>
                <w:szCs w:val="21"/>
                <w:lang w:val="en-US" w:eastAsia="zh-CN"/>
              </w:rPr>
            </w:pPr>
            <w:r>
              <w:rPr>
                <w:kern w:val="0"/>
                <w:szCs w:val="21"/>
              </w:rPr>
              <w:t>浓度</w:t>
            </w:r>
          </w:p>
        </w:tc>
        <w:tc>
          <w:tcPr>
            <w:tcW w:w="776" w:type="pct"/>
            <w:shd w:val="clear" w:color="000000" w:fill="FFFFFF"/>
            <w:vAlign w:val="center"/>
          </w:tcPr>
          <w:p w14:paraId="44159397">
            <w:pPr>
              <w:widowControl/>
              <w:jc w:val="center"/>
              <w:rPr>
                <w:rFonts w:hint="eastAsia"/>
                <w:szCs w:val="21"/>
                <w:lang w:val="en-US" w:eastAsia="zh-CN"/>
              </w:rPr>
            </w:pPr>
            <w:r>
              <w:rPr>
                <w:kern w:val="0"/>
                <w:szCs w:val="21"/>
              </w:rPr>
              <w:t>占标率</w:t>
            </w:r>
          </w:p>
        </w:tc>
      </w:tr>
      <w:tr w14:paraId="0B0AB4C4">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33485525">
            <w:pPr>
              <w:widowControl/>
              <w:jc w:val="center"/>
              <w:rPr>
                <w:rFonts w:hint="eastAsia"/>
                <w:szCs w:val="21"/>
                <w:lang w:val="en-US" w:eastAsia="zh-CN"/>
              </w:rPr>
            </w:pPr>
            <w:r>
              <w:rPr>
                <w:kern w:val="0"/>
                <w:szCs w:val="21"/>
              </w:rPr>
              <w:t>m</w:t>
            </w:r>
          </w:p>
        </w:tc>
        <w:tc>
          <w:tcPr>
            <w:tcW w:w="693" w:type="pct"/>
            <w:gridSpan w:val="2"/>
            <w:shd w:val="clear" w:color="000000" w:fill="FFFFFF"/>
            <w:vAlign w:val="center"/>
          </w:tcPr>
          <w:p w14:paraId="4188CCF6">
            <w:pPr>
              <w:widowControl/>
              <w:jc w:val="center"/>
              <w:rPr>
                <w:rFonts w:hint="eastAsia"/>
                <w:szCs w:val="21"/>
                <w:lang w:val="en-US" w:eastAsia="zh-CN"/>
              </w:rPr>
            </w:pPr>
            <w:r>
              <w:rPr>
                <w:kern w:val="0"/>
                <w:szCs w:val="21"/>
              </w:rPr>
              <w:t>ug/m</w:t>
            </w:r>
            <w:r>
              <w:rPr>
                <w:kern w:val="0"/>
                <w:szCs w:val="21"/>
                <w:vertAlign w:val="superscript"/>
              </w:rPr>
              <w:t>3</w:t>
            </w:r>
          </w:p>
        </w:tc>
        <w:tc>
          <w:tcPr>
            <w:tcW w:w="775" w:type="pct"/>
            <w:shd w:val="clear" w:color="000000" w:fill="FFFFFF"/>
            <w:vAlign w:val="center"/>
          </w:tcPr>
          <w:p w14:paraId="20319764">
            <w:pPr>
              <w:widowControl/>
              <w:jc w:val="center"/>
              <w:rPr>
                <w:rFonts w:hint="eastAsia"/>
                <w:szCs w:val="21"/>
                <w:lang w:val="en-US" w:eastAsia="zh-CN"/>
              </w:rPr>
            </w:pPr>
            <w:r>
              <w:rPr>
                <w:kern w:val="0"/>
                <w:szCs w:val="21"/>
              </w:rPr>
              <w:t>%</w:t>
            </w:r>
          </w:p>
        </w:tc>
        <w:tc>
          <w:tcPr>
            <w:tcW w:w="693" w:type="pct"/>
            <w:shd w:val="clear" w:color="000000" w:fill="FFFFFF"/>
            <w:vAlign w:val="center"/>
          </w:tcPr>
          <w:p w14:paraId="23053C6B">
            <w:pPr>
              <w:widowControl/>
              <w:jc w:val="center"/>
              <w:rPr>
                <w:rFonts w:hint="eastAsia"/>
                <w:szCs w:val="21"/>
                <w:lang w:val="en-US" w:eastAsia="zh-CN"/>
              </w:rPr>
            </w:pPr>
            <w:r>
              <w:rPr>
                <w:kern w:val="0"/>
                <w:szCs w:val="21"/>
              </w:rPr>
              <w:t>ug/m</w:t>
            </w:r>
            <w:r>
              <w:rPr>
                <w:kern w:val="0"/>
                <w:szCs w:val="21"/>
                <w:vertAlign w:val="superscript"/>
              </w:rPr>
              <w:t>3</w:t>
            </w:r>
          </w:p>
        </w:tc>
        <w:tc>
          <w:tcPr>
            <w:tcW w:w="1086" w:type="pct"/>
            <w:gridSpan w:val="3"/>
            <w:shd w:val="clear" w:color="000000" w:fill="FFFFFF"/>
            <w:vAlign w:val="center"/>
          </w:tcPr>
          <w:p w14:paraId="252C8353">
            <w:pPr>
              <w:widowControl/>
              <w:jc w:val="center"/>
              <w:rPr>
                <w:rFonts w:hint="eastAsia"/>
                <w:szCs w:val="21"/>
                <w:lang w:val="en-US" w:eastAsia="zh-CN"/>
              </w:rPr>
            </w:pPr>
            <w:r>
              <w:rPr>
                <w:kern w:val="0"/>
                <w:szCs w:val="21"/>
              </w:rPr>
              <w:t>%</w:t>
            </w:r>
          </w:p>
        </w:tc>
        <w:tc>
          <w:tcPr>
            <w:tcW w:w="530" w:type="pct"/>
            <w:shd w:val="clear" w:color="000000" w:fill="FFFFFF"/>
            <w:vAlign w:val="center"/>
          </w:tcPr>
          <w:p w14:paraId="4897E71E">
            <w:pPr>
              <w:widowControl/>
              <w:jc w:val="center"/>
              <w:rPr>
                <w:rFonts w:hint="eastAsia"/>
                <w:szCs w:val="21"/>
                <w:lang w:val="en-US" w:eastAsia="zh-CN"/>
              </w:rPr>
            </w:pPr>
            <w:r>
              <w:rPr>
                <w:kern w:val="0"/>
                <w:szCs w:val="21"/>
              </w:rPr>
              <w:t>ug/m</w:t>
            </w:r>
            <w:r>
              <w:rPr>
                <w:kern w:val="0"/>
                <w:szCs w:val="21"/>
                <w:vertAlign w:val="superscript"/>
              </w:rPr>
              <w:t>3</w:t>
            </w:r>
          </w:p>
        </w:tc>
        <w:tc>
          <w:tcPr>
            <w:tcW w:w="776" w:type="pct"/>
            <w:shd w:val="clear" w:color="000000" w:fill="FFFFFF"/>
            <w:vAlign w:val="center"/>
          </w:tcPr>
          <w:p w14:paraId="6FE19E2E">
            <w:pPr>
              <w:widowControl/>
              <w:jc w:val="center"/>
              <w:rPr>
                <w:rFonts w:hint="eastAsia"/>
                <w:szCs w:val="21"/>
                <w:lang w:val="en-US" w:eastAsia="zh-CN"/>
              </w:rPr>
            </w:pPr>
            <w:r>
              <w:rPr>
                <w:kern w:val="0"/>
                <w:szCs w:val="21"/>
              </w:rPr>
              <w:t>%</w:t>
            </w:r>
          </w:p>
        </w:tc>
      </w:tr>
      <w:tr w14:paraId="2E441658">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6CD5AE5B">
            <w:pPr>
              <w:jc w:val="center"/>
              <w:rPr>
                <w:rFonts w:hint="eastAsia"/>
                <w:szCs w:val="21"/>
                <w:lang w:val="en-US" w:eastAsia="zh-CN"/>
              </w:rPr>
            </w:pPr>
            <w:r>
              <w:rPr>
                <w:rFonts w:hint="eastAsia"/>
                <w:szCs w:val="21"/>
                <w:lang w:val="en-US" w:eastAsia="zh-CN"/>
              </w:rPr>
              <w:t>10</w:t>
            </w:r>
          </w:p>
        </w:tc>
        <w:tc>
          <w:tcPr>
            <w:tcW w:w="693" w:type="pct"/>
            <w:gridSpan w:val="2"/>
            <w:shd w:val="clear" w:color="000000" w:fill="FFFFFF"/>
            <w:vAlign w:val="center"/>
          </w:tcPr>
          <w:p w14:paraId="65668DC7">
            <w:pPr>
              <w:jc w:val="center"/>
              <w:rPr>
                <w:rFonts w:hint="eastAsia"/>
                <w:szCs w:val="21"/>
                <w:lang w:val="en-US" w:eastAsia="zh-CN"/>
              </w:rPr>
            </w:pPr>
            <w:r>
              <w:rPr>
                <w:rFonts w:hint="eastAsia"/>
                <w:szCs w:val="21"/>
                <w:lang w:val="en-US" w:eastAsia="zh-CN"/>
              </w:rPr>
              <w:t>0.063964</w:t>
            </w:r>
          </w:p>
        </w:tc>
        <w:tc>
          <w:tcPr>
            <w:tcW w:w="775" w:type="pct"/>
            <w:shd w:val="clear" w:color="000000" w:fill="FFFFFF"/>
            <w:vAlign w:val="center"/>
          </w:tcPr>
          <w:p w14:paraId="231AFECC">
            <w:pPr>
              <w:jc w:val="center"/>
              <w:rPr>
                <w:rFonts w:hint="eastAsia"/>
                <w:szCs w:val="21"/>
                <w:lang w:val="en-US" w:eastAsia="zh-CN"/>
              </w:rPr>
            </w:pPr>
            <w:r>
              <w:rPr>
                <w:rFonts w:hint="eastAsia"/>
                <w:szCs w:val="21"/>
                <w:lang w:val="en-US" w:eastAsia="zh-CN"/>
              </w:rPr>
              <w:t>1.42142E-002</w:t>
            </w:r>
          </w:p>
        </w:tc>
        <w:tc>
          <w:tcPr>
            <w:tcW w:w="693" w:type="pct"/>
            <w:shd w:val="clear" w:color="000000" w:fill="FFFFFF"/>
            <w:vAlign w:val="center"/>
          </w:tcPr>
          <w:p w14:paraId="3B4C3211">
            <w:pPr>
              <w:jc w:val="center"/>
              <w:rPr>
                <w:rFonts w:hint="eastAsia"/>
                <w:szCs w:val="21"/>
                <w:lang w:val="en-US" w:eastAsia="zh-CN"/>
              </w:rPr>
            </w:pPr>
            <w:r>
              <w:rPr>
                <w:rFonts w:hint="eastAsia"/>
                <w:szCs w:val="21"/>
                <w:lang w:val="en-US" w:eastAsia="zh-CN"/>
              </w:rPr>
              <w:t>0.0079955</w:t>
            </w:r>
          </w:p>
        </w:tc>
        <w:tc>
          <w:tcPr>
            <w:tcW w:w="1086" w:type="pct"/>
            <w:gridSpan w:val="3"/>
            <w:shd w:val="clear" w:color="000000" w:fill="FFFFFF"/>
            <w:vAlign w:val="center"/>
          </w:tcPr>
          <w:p w14:paraId="13203073">
            <w:pPr>
              <w:jc w:val="center"/>
              <w:rPr>
                <w:rFonts w:hint="eastAsia"/>
                <w:szCs w:val="21"/>
                <w:lang w:val="en-US" w:eastAsia="zh-CN"/>
              </w:rPr>
            </w:pPr>
            <w:r>
              <w:rPr>
                <w:rFonts w:hint="eastAsia"/>
                <w:szCs w:val="21"/>
                <w:lang w:val="en-US" w:eastAsia="zh-CN"/>
              </w:rPr>
              <w:t>1.59910E-003</w:t>
            </w:r>
          </w:p>
        </w:tc>
        <w:tc>
          <w:tcPr>
            <w:tcW w:w="530" w:type="pct"/>
            <w:shd w:val="clear" w:color="000000" w:fill="FFFFFF"/>
            <w:vAlign w:val="center"/>
          </w:tcPr>
          <w:p w14:paraId="2F9107BC">
            <w:pPr>
              <w:jc w:val="center"/>
              <w:rPr>
                <w:rFonts w:hint="eastAsia"/>
                <w:szCs w:val="21"/>
                <w:lang w:val="en-US" w:eastAsia="zh-CN"/>
              </w:rPr>
            </w:pPr>
            <w:r>
              <w:rPr>
                <w:rFonts w:hint="eastAsia"/>
                <w:szCs w:val="21"/>
                <w:lang w:val="en-US" w:eastAsia="zh-CN"/>
              </w:rPr>
              <w:t>0.646036</w:t>
            </w:r>
          </w:p>
        </w:tc>
        <w:tc>
          <w:tcPr>
            <w:tcW w:w="776" w:type="pct"/>
            <w:shd w:val="clear" w:color="000000" w:fill="FFFFFF"/>
            <w:vAlign w:val="center"/>
          </w:tcPr>
          <w:p w14:paraId="25D2A65F">
            <w:pPr>
              <w:jc w:val="center"/>
              <w:rPr>
                <w:rFonts w:hint="eastAsia"/>
                <w:szCs w:val="21"/>
                <w:lang w:val="en-US" w:eastAsia="zh-CN"/>
              </w:rPr>
            </w:pPr>
            <w:r>
              <w:rPr>
                <w:rFonts w:hint="eastAsia"/>
                <w:szCs w:val="21"/>
                <w:lang w:val="en-US" w:eastAsia="zh-CN"/>
              </w:rPr>
              <w:t>3.23018E-001</w:t>
            </w:r>
          </w:p>
        </w:tc>
      </w:tr>
      <w:tr w14:paraId="3B2A10C0">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2F883779">
            <w:pPr>
              <w:jc w:val="center"/>
              <w:rPr>
                <w:rFonts w:hint="eastAsia"/>
                <w:szCs w:val="21"/>
                <w:lang w:val="en-US" w:eastAsia="zh-CN"/>
              </w:rPr>
            </w:pPr>
            <w:r>
              <w:rPr>
                <w:rFonts w:hint="eastAsia"/>
                <w:szCs w:val="21"/>
                <w:lang w:val="en-US" w:eastAsia="zh-CN"/>
              </w:rPr>
              <w:t>25</w:t>
            </w:r>
          </w:p>
        </w:tc>
        <w:tc>
          <w:tcPr>
            <w:tcW w:w="693" w:type="pct"/>
            <w:gridSpan w:val="2"/>
            <w:shd w:val="clear" w:color="000000" w:fill="FFFFFF"/>
            <w:vAlign w:val="center"/>
          </w:tcPr>
          <w:p w14:paraId="7E42B3EB">
            <w:pPr>
              <w:jc w:val="center"/>
              <w:rPr>
                <w:rFonts w:hint="eastAsia"/>
                <w:szCs w:val="21"/>
                <w:lang w:val="en-US" w:eastAsia="zh-CN"/>
              </w:rPr>
            </w:pPr>
            <w:r>
              <w:rPr>
                <w:rFonts w:hint="eastAsia"/>
                <w:szCs w:val="21"/>
                <w:lang w:val="en-US" w:eastAsia="zh-CN"/>
              </w:rPr>
              <w:t>0.27202</w:t>
            </w:r>
          </w:p>
        </w:tc>
        <w:tc>
          <w:tcPr>
            <w:tcW w:w="775" w:type="pct"/>
            <w:shd w:val="clear" w:color="000000" w:fill="FFFFFF"/>
            <w:vAlign w:val="center"/>
          </w:tcPr>
          <w:p w14:paraId="5D5A2F53">
            <w:pPr>
              <w:jc w:val="center"/>
              <w:rPr>
                <w:rFonts w:hint="eastAsia"/>
                <w:szCs w:val="21"/>
                <w:lang w:val="en-US" w:eastAsia="zh-CN"/>
              </w:rPr>
            </w:pPr>
            <w:r>
              <w:rPr>
                <w:rFonts w:hint="eastAsia"/>
                <w:szCs w:val="21"/>
                <w:lang w:val="en-US" w:eastAsia="zh-CN"/>
              </w:rPr>
              <w:t>6.04489E-002</w:t>
            </w:r>
          </w:p>
        </w:tc>
        <w:tc>
          <w:tcPr>
            <w:tcW w:w="693" w:type="pct"/>
            <w:shd w:val="clear" w:color="000000" w:fill="FFFFFF"/>
            <w:vAlign w:val="center"/>
          </w:tcPr>
          <w:p w14:paraId="33E6E6E4">
            <w:pPr>
              <w:jc w:val="center"/>
              <w:rPr>
                <w:rFonts w:hint="eastAsia"/>
                <w:szCs w:val="21"/>
                <w:lang w:val="en-US" w:eastAsia="zh-CN"/>
              </w:rPr>
            </w:pPr>
            <w:r>
              <w:rPr>
                <w:rFonts w:hint="eastAsia"/>
                <w:szCs w:val="21"/>
                <w:lang w:val="en-US" w:eastAsia="zh-CN"/>
              </w:rPr>
              <w:t>0.0340025</w:t>
            </w:r>
          </w:p>
        </w:tc>
        <w:tc>
          <w:tcPr>
            <w:tcW w:w="1086" w:type="pct"/>
            <w:gridSpan w:val="3"/>
            <w:shd w:val="clear" w:color="000000" w:fill="FFFFFF"/>
            <w:vAlign w:val="center"/>
          </w:tcPr>
          <w:p w14:paraId="4773503F">
            <w:pPr>
              <w:jc w:val="center"/>
              <w:rPr>
                <w:rFonts w:hint="eastAsia"/>
                <w:szCs w:val="21"/>
                <w:lang w:val="en-US" w:eastAsia="zh-CN"/>
              </w:rPr>
            </w:pPr>
            <w:r>
              <w:rPr>
                <w:rFonts w:hint="eastAsia"/>
                <w:szCs w:val="21"/>
                <w:lang w:val="en-US" w:eastAsia="zh-CN"/>
              </w:rPr>
              <w:t>6.80050E-003</w:t>
            </w:r>
          </w:p>
        </w:tc>
        <w:tc>
          <w:tcPr>
            <w:tcW w:w="530" w:type="pct"/>
            <w:shd w:val="clear" w:color="000000" w:fill="FFFFFF"/>
            <w:vAlign w:val="center"/>
          </w:tcPr>
          <w:p w14:paraId="75B7C103">
            <w:pPr>
              <w:jc w:val="center"/>
              <w:rPr>
                <w:rFonts w:hint="eastAsia"/>
                <w:szCs w:val="21"/>
                <w:lang w:val="en-US" w:eastAsia="zh-CN"/>
              </w:rPr>
            </w:pPr>
            <w:r>
              <w:rPr>
                <w:rFonts w:hint="eastAsia"/>
                <w:szCs w:val="21"/>
                <w:lang w:val="en-US" w:eastAsia="zh-CN"/>
              </w:rPr>
              <w:t>2.7474</w:t>
            </w:r>
          </w:p>
        </w:tc>
        <w:tc>
          <w:tcPr>
            <w:tcW w:w="776" w:type="pct"/>
            <w:shd w:val="clear" w:color="000000" w:fill="FFFFFF"/>
            <w:vAlign w:val="center"/>
          </w:tcPr>
          <w:p w14:paraId="1E1749EF">
            <w:pPr>
              <w:jc w:val="center"/>
              <w:rPr>
                <w:rFonts w:hint="eastAsia"/>
                <w:szCs w:val="21"/>
                <w:lang w:val="en-US" w:eastAsia="zh-CN"/>
              </w:rPr>
            </w:pPr>
            <w:r>
              <w:rPr>
                <w:rFonts w:hint="eastAsia"/>
                <w:szCs w:val="21"/>
                <w:lang w:val="en-US" w:eastAsia="zh-CN"/>
              </w:rPr>
              <w:t>1.37370E+000</w:t>
            </w:r>
          </w:p>
        </w:tc>
      </w:tr>
      <w:tr w14:paraId="53C515AE">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0E1C7E33">
            <w:pPr>
              <w:jc w:val="center"/>
              <w:rPr>
                <w:rFonts w:hint="eastAsia"/>
                <w:szCs w:val="21"/>
                <w:lang w:val="en-US" w:eastAsia="zh-CN"/>
              </w:rPr>
            </w:pPr>
            <w:r>
              <w:rPr>
                <w:rFonts w:hint="eastAsia"/>
                <w:szCs w:val="21"/>
                <w:lang w:val="en-US" w:eastAsia="zh-CN"/>
              </w:rPr>
              <w:t>50</w:t>
            </w:r>
          </w:p>
        </w:tc>
        <w:tc>
          <w:tcPr>
            <w:tcW w:w="693" w:type="pct"/>
            <w:gridSpan w:val="2"/>
            <w:shd w:val="clear" w:color="000000" w:fill="FFFFFF"/>
            <w:vAlign w:val="center"/>
          </w:tcPr>
          <w:p w14:paraId="3FAF0115">
            <w:pPr>
              <w:jc w:val="center"/>
              <w:rPr>
                <w:rFonts w:hint="eastAsia"/>
                <w:szCs w:val="21"/>
                <w:lang w:val="en-US" w:eastAsia="zh-CN"/>
              </w:rPr>
            </w:pPr>
            <w:r>
              <w:rPr>
                <w:rFonts w:hint="eastAsia"/>
                <w:szCs w:val="21"/>
                <w:lang w:val="en-US" w:eastAsia="zh-CN"/>
              </w:rPr>
              <w:t>0.44934</w:t>
            </w:r>
          </w:p>
        </w:tc>
        <w:tc>
          <w:tcPr>
            <w:tcW w:w="775" w:type="pct"/>
            <w:shd w:val="clear" w:color="000000" w:fill="FFFFFF"/>
            <w:vAlign w:val="center"/>
          </w:tcPr>
          <w:p w14:paraId="14A5040B">
            <w:pPr>
              <w:jc w:val="center"/>
              <w:rPr>
                <w:rFonts w:hint="eastAsia"/>
                <w:szCs w:val="21"/>
                <w:lang w:val="en-US" w:eastAsia="zh-CN"/>
              </w:rPr>
            </w:pPr>
            <w:r>
              <w:rPr>
                <w:rFonts w:hint="eastAsia"/>
                <w:szCs w:val="21"/>
                <w:lang w:val="en-US" w:eastAsia="zh-CN"/>
              </w:rPr>
              <w:t>9.98533E-002</w:t>
            </w:r>
          </w:p>
        </w:tc>
        <w:tc>
          <w:tcPr>
            <w:tcW w:w="693" w:type="pct"/>
            <w:shd w:val="clear" w:color="000000" w:fill="FFFFFF"/>
            <w:vAlign w:val="center"/>
          </w:tcPr>
          <w:p w14:paraId="2AC94284">
            <w:pPr>
              <w:jc w:val="center"/>
              <w:rPr>
                <w:rFonts w:hint="eastAsia"/>
                <w:szCs w:val="21"/>
                <w:lang w:val="en-US" w:eastAsia="zh-CN"/>
              </w:rPr>
            </w:pPr>
            <w:r>
              <w:rPr>
                <w:rFonts w:hint="eastAsia"/>
                <w:szCs w:val="21"/>
                <w:lang w:val="en-US" w:eastAsia="zh-CN"/>
              </w:rPr>
              <w:t>0.0561675</w:t>
            </w:r>
          </w:p>
        </w:tc>
        <w:tc>
          <w:tcPr>
            <w:tcW w:w="1086" w:type="pct"/>
            <w:gridSpan w:val="3"/>
            <w:shd w:val="clear" w:color="000000" w:fill="FFFFFF"/>
            <w:vAlign w:val="center"/>
          </w:tcPr>
          <w:p w14:paraId="2FBC55F3">
            <w:pPr>
              <w:jc w:val="center"/>
              <w:rPr>
                <w:rFonts w:hint="eastAsia"/>
                <w:szCs w:val="21"/>
                <w:lang w:val="en-US" w:eastAsia="zh-CN"/>
              </w:rPr>
            </w:pPr>
            <w:r>
              <w:rPr>
                <w:rFonts w:hint="eastAsia"/>
                <w:szCs w:val="21"/>
                <w:lang w:val="en-US" w:eastAsia="zh-CN"/>
              </w:rPr>
              <w:t>1.12335E-002</w:t>
            </w:r>
          </w:p>
        </w:tc>
        <w:tc>
          <w:tcPr>
            <w:tcW w:w="530" w:type="pct"/>
            <w:shd w:val="clear" w:color="000000" w:fill="FFFFFF"/>
            <w:vAlign w:val="center"/>
          </w:tcPr>
          <w:p w14:paraId="4AD23300">
            <w:pPr>
              <w:jc w:val="center"/>
              <w:rPr>
                <w:rFonts w:hint="eastAsia"/>
                <w:szCs w:val="21"/>
                <w:lang w:val="en-US" w:eastAsia="zh-CN"/>
              </w:rPr>
            </w:pPr>
            <w:r>
              <w:rPr>
                <w:rFonts w:hint="eastAsia"/>
                <w:szCs w:val="21"/>
                <w:lang w:val="en-US" w:eastAsia="zh-CN"/>
              </w:rPr>
              <w:t>4.53833</w:t>
            </w:r>
          </w:p>
        </w:tc>
        <w:tc>
          <w:tcPr>
            <w:tcW w:w="776" w:type="pct"/>
            <w:shd w:val="clear" w:color="000000" w:fill="FFFFFF"/>
            <w:vAlign w:val="center"/>
          </w:tcPr>
          <w:p w14:paraId="5A3D737D">
            <w:pPr>
              <w:jc w:val="center"/>
              <w:rPr>
                <w:rFonts w:hint="eastAsia"/>
                <w:szCs w:val="21"/>
                <w:lang w:val="en-US" w:eastAsia="zh-CN"/>
              </w:rPr>
            </w:pPr>
            <w:r>
              <w:rPr>
                <w:rFonts w:hint="eastAsia"/>
                <w:szCs w:val="21"/>
                <w:lang w:val="en-US" w:eastAsia="zh-CN"/>
              </w:rPr>
              <w:t>2.26917E+000</w:t>
            </w:r>
          </w:p>
        </w:tc>
      </w:tr>
      <w:tr w14:paraId="098A9BEE">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2622745A">
            <w:pPr>
              <w:jc w:val="center"/>
              <w:rPr>
                <w:rFonts w:hint="eastAsia"/>
                <w:szCs w:val="21"/>
                <w:lang w:val="en-US" w:eastAsia="zh-CN"/>
              </w:rPr>
            </w:pPr>
            <w:r>
              <w:rPr>
                <w:rFonts w:hint="eastAsia"/>
                <w:b/>
                <w:bCs/>
                <w:szCs w:val="21"/>
                <w:lang w:val="en-US" w:eastAsia="zh-CN"/>
              </w:rPr>
              <w:t>97</w:t>
            </w:r>
          </w:p>
        </w:tc>
        <w:tc>
          <w:tcPr>
            <w:tcW w:w="693" w:type="pct"/>
            <w:gridSpan w:val="2"/>
            <w:shd w:val="clear" w:color="000000" w:fill="FFFFFF"/>
            <w:vAlign w:val="center"/>
          </w:tcPr>
          <w:p w14:paraId="3408D2E0">
            <w:pPr>
              <w:jc w:val="center"/>
              <w:rPr>
                <w:rFonts w:hint="eastAsia"/>
                <w:szCs w:val="21"/>
                <w:lang w:val="en-US" w:eastAsia="zh-CN"/>
              </w:rPr>
            </w:pPr>
            <w:r>
              <w:rPr>
                <w:rFonts w:hint="eastAsia"/>
                <w:b/>
                <w:bCs/>
                <w:szCs w:val="21"/>
                <w:lang w:val="en-US" w:eastAsia="zh-CN"/>
              </w:rPr>
              <w:t>0.45369</w:t>
            </w:r>
          </w:p>
        </w:tc>
        <w:tc>
          <w:tcPr>
            <w:tcW w:w="775" w:type="pct"/>
            <w:shd w:val="clear" w:color="000000" w:fill="FFFFFF"/>
            <w:vAlign w:val="center"/>
          </w:tcPr>
          <w:p w14:paraId="016F838F">
            <w:pPr>
              <w:jc w:val="center"/>
              <w:rPr>
                <w:rFonts w:hint="eastAsia"/>
                <w:szCs w:val="21"/>
                <w:lang w:val="en-US" w:eastAsia="zh-CN"/>
              </w:rPr>
            </w:pPr>
            <w:r>
              <w:rPr>
                <w:rFonts w:hint="eastAsia"/>
                <w:b/>
                <w:bCs/>
                <w:szCs w:val="21"/>
                <w:lang w:val="en-US" w:eastAsia="zh-CN"/>
              </w:rPr>
              <w:t>1.00820E-001</w:t>
            </w:r>
          </w:p>
        </w:tc>
        <w:tc>
          <w:tcPr>
            <w:tcW w:w="693" w:type="pct"/>
            <w:shd w:val="clear" w:color="000000" w:fill="FFFFFF"/>
            <w:vAlign w:val="center"/>
          </w:tcPr>
          <w:p w14:paraId="1114C11B">
            <w:pPr>
              <w:jc w:val="center"/>
              <w:rPr>
                <w:rFonts w:hint="eastAsia"/>
                <w:szCs w:val="21"/>
                <w:lang w:val="en-US" w:eastAsia="zh-CN"/>
              </w:rPr>
            </w:pPr>
            <w:r>
              <w:rPr>
                <w:rFonts w:hint="eastAsia"/>
                <w:b/>
                <w:bCs/>
                <w:szCs w:val="21"/>
                <w:lang w:val="en-US" w:eastAsia="zh-CN"/>
              </w:rPr>
              <w:t>0.45369</w:t>
            </w:r>
          </w:p>
        </w:tc>
        <w:tc>
          <w:tcPr>
            <w:tcW w:w="1086" w:type="pct"/>
            <w:gridSpan w:val="3"/>
            <w:shd w:val="clear" w:color="000000" w:fill="FFFFFF"/>
            <w:vAlign w:val="center"/>
          </w:tcPr>
          <w:p w14:paraId="3351C267">
            <w:pPr>
              <w:jc w:val="center"/>
              <w:rPr>
                <w:rFonts w:hint="eastAsia"/>
                <w:szCs w:val="21"/>
                <w:lang w:val="en-US" w:eastAsia="zh-CN"/>
              </w:rPr>
            </w:pPr>
            <w:r>
              <w:rPr>
                <w:rFonts w:hint="eastAsia"/>
                <w:b/>
                <w:bCs/>
                <w:szCs w:val="21"/>
                <w:lang w:val="en-US" w:eastAsia="zh-CN"/>
              </w:rPr>
              <w:t>9.07380E-002</w:t>
            </w:r>
          </w:p>
        </w:tc>
        <w:tc>
          <w:tcPr>
            <w:tcW w:w="530" w:type="pct"/>
            <w:shd w:val="clear" w:color="000000" w:fill="FFFFFF"/>
            <w:vAlign w:val="center"/>
          </w:tcPr>
          <w:p w14:paraId="2BC2932E">
            <w:pPr>
              <w:jc w:val="center"/>
              <w:rPr>
                <w:rFonts w:hint="eastAsia"/>
                <w:szCs w:val="21"/>
                <w:lang w:val="en-US" w:eastAsia="zh-CN"/>
              </w:rPr>
            </w:pPr>
            <w:r>
              <w:rPr>
                <w:rFonts w:hint="eastAsia"/>
                <w:b/>
                <w:bCs/>
                <w:szCs w:val="21"/>
                <w:lang w:val="en-US" w:eastAsia="zh-CN"/>
              </w:rPr>
              <w:t>0.45369</w:t>
            </w:r>
          </w:p>
        </w:tc>
        <w:tc>
          <w:tcPr>
            <w:tcW w:w="776" w:type="pct"/>
            <w:shd w:val="clear" w:color="000000" w:fill="FFFFFF"/>
            <w:vAlign w:val="center"/>
          </w:tcPr>
          <w:p w14:paraId="3C590301">
            <w:pPr>
              <w:jc w:val="center"/>
              <w:rPr>
                <w:rFonts w:hint="eastAsia"/>
                <w:szCs w:val="21"/>
                <w:lang w:val="en-US" w:eastAsia="zh-CN"/>
              </w:rPr>
            </w:pPr>
            <w:r>
              <w:rPr>
                <w:rFonts w:hint="eastAsia"/>
                <w:b/>
                <w:bCs/>
                <w:szCs w:val="21"/>
                <w:lang w:val="en-US" w:eastAsia="zh-CN"/>
              </w:rPr>
              <w:t>2.26845E-001</w:t>
            </w:r>
          </w:p>
        </w:tc>
      </w:tr>
      <w:tr w14:paraId="15615C86">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3F507D06">
            <w:pPr>
              <w:jc w:val="center"/>
              <w:rPr>
                <w:rFonts w:hint="eastAsia"/>
                <w:szCs w:val="21"/>
                <w:lang w:val="en-US" w:eastAsia="zh-CN"/>
              </w:rPr>
            </w:pPr>
            <w:r>
              <w:rPr>
                <w:rFonts w:hint="eastAsia"/>
                <w:szCs w:val="21"/>
                <w:lang w:val="en-US" w:eastAsia="zh-CN"/>
              </w:rPr>
              <w:t>100</w:t>
            </w:r>
          </w:p>
        </w:tc>
        <w:tc>
          <w:tcPr>
            <w:tcW w:w="693" w:type="pct"/>
            <w:gridSpan w:val="2"/>
            <w:shd w:val="clear" w:color="000000" w:fill="FFFFFF"/>
            <w:vAlign w:val="center"/>
          </w:tcPr>
          <w:p w14:paraId="10DF3F36">
            <w:pPr>
              <w:jc w:val="center"/>
              <w:rPr>
                <w:rFonts w:hint="eastAsia"/>
                <w:szCs w:val="21"/>
                <w:lang w:val="en-US" w:eastAsia="zh-CN"/>
              </w:rPr>
            </w:pPr>
            <w:r>
              <w:rPr>
                <w:rFonts w:hint="eastAsia"/>
                <w:szCs w:val="21"/>
                <w:lang w:val="en-US" w:eastAsia="zh-CN"/>
              </w:rPr>
              <w:t>0.45273</w:t>
            </w:r>
          </w:p>
        </w:tc>
        <w:tc>
          <w:tcPr>
            <w:tcW w:w="775" w:type="pct"/>
            <w:shd w:val="clear" w:color="000000" w:fill="FFFFFF"/>
            <w:vAlign w:val="center"/>
          </w:tcPr>
          <w:p w14:paraId="0A7AC222">
            <w:pPr>
              <w:jc w:val="center"/>
              <w:rPr>
                <w:rFonts w:hint="eastAsia"/>
                <w:szCs w:val="21"/>
                <w:lang w:val="en-US" w:eastAsia="zh-CN"/>
              </w:rPr>
            </w:pPr>
            <w:r>
              <w:rPr>
                <w:rFonts w:hint="eastAsia"/>
                <w:szCs w:val="21"/>
                <w:lang w:val="en-US" w:eastAsia="zh-CN"/>
              </w:rPr>
              <w:t>1.00607E-001</w:t>
            </w:r>
          </w:p>
        </w:tc>
        <w:tc>
          <w:tcPr>
            <w:tcW w:w="693" w:type="pct"/>
            <w:shd w:val="clear" w:color="000000" w:fill="FFFFFF"/>
            <w:vAlign w:val="center"/>
          </w:tcPr>
          <w:p w14:paraId="66DE5F78">
            <w:pPr>
              <w:jc w:val="center"/>
              <w:rPr>
                <w:rFonts w:hint="eastAsia"/>
                <w:szCs w:val="21"/>
                <w:lang w:val="en-US" w:eastAsia="zh-CN"/>
              </w:rPr>
            </w:pPr>
            <w:r>
              <w:rPr>
                <w:rFonts w:hint="eastAsia"/>
                <w:szCs w:val="21"/>
                <w:lang w:val="en-US" w:eastAsia="zh-CN"/>
              </w:rPr>
              <w:t>0.0565913</w:t>
            </w:r>
          </w:p>
        </w:tc>
        <w:tc>
          <w:tcPr>
            <w:tcW w:w="1086" w:type="pct"/>
            <w:gridSpan w:val="3"/>
            <w:shd w:val="clear" w:color="000000" w:fill="FFFFFF"/>
            <w:vAlign w:val="center"/>
          </w:tcPr>
          <w:p w14:paraId="7808014E">
            <w:pPr>
              <w:jc w:val="center"/>
              <w:rPr>
                <w:rFonts w:hint="eastAsia"/>
                <w:szCs w:val="21"/>
                <w:lang w:val="en-US" w:eastAsia="zh-CN"/>
              </w:rPr>
            </w:pPr>
            <w:r>
              <w:rPr>
                <w:rFonts w:hint="eastAsia"/>
                <w:szCs w:val="21"/>
                <w:lang w:val="en-US" w:eastAsia="zh-CN"/>
              </w:rPr>
              <w:t>1.13183E-002</w:t>
            </w:r>
          </w:p>
        </w:tc>
        <w:tc>
          <w:tcPr>
            <w:tcW w:w="530" w:type="pct"/>
            <w:shd w:val="clear" w:color="000000" w:fill="FFFFFF"/>
            <w:vAlign w:val="center"/>
          </w:tcPr>
          <w:p w14:paraId="511A7979">
            <w:pPr>
              <w:jc w:val="center"/>
              <w:rPr>
                <w:rFonts w:hint="eastAsia"/>
                <w:szCs w:val="21"/>
                <w:lang w:val="en-US" w:eastAsia="zh-CN"/>
              </w:rPr>
            </w:pPr>
            <w:r>
              <w:rPr>
                <w:rFonts w:hint="eastAsia"/>
                <w:szCs w:val="21"/>
                <w:lang w:val="en-US" w:eastAsia="zh-CN"/>
              </w:rPr>
              <w:t>4.57257</w:t>
            </w:r>
          </w:p>
        </w:tc>
        <w:tc>
          <w:tcPr>
            <w:tcW w:w="776" w:type="pct"/>
            <w:shd w:val="clear" w:color="000000" w:fill="FFFFFF"/>
            <w:vAlign w:val="center"/>
          </w:tcPr>
          <w:p w14:paraId="534AF26A">
            <w:pPr>
              <w:jc w:val="center"/>
              <w:rPr>
                <w:rFonts w:hint="eastAsia"/>
                <w:szCs w:val="21"/>
                <w:lang w:val="en-US" w:eastAsia="zh-CN"/>
              </w:rPr>
            </w:pPr>
            <w:r>
              <w:rPr>
                <w:rFonts w:hint="eastAsia"/>
                <w:szCs w:val="21"/>
                <w:lang w:val="en-US" w:eastAsia="zh-CN"/>
              </w:rPr>
              <w:t>2.28629E+000</w:t>
            </w:r>
          </w:p>
        </w:tc>
      </w:tr>
      <w:tr w14:paraId="534DCBE7">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5E20902A">
            <w:pPr>
              <w:jc w:val="center"/>
              <w:rPr>
                <w:rFonts w:hint="eastAsia"/>
                <w:szCs w:val="21"/>
                <w:lang w:val="en-US" w:eastAsia="zh-CN"/>
              </w:rPr>
            </w:pPr>
            <w:r>
              <w:rPr>
                <w:rFonts w:hint="eastAsia"/>
                <w:szCs w:val="21"/>
                <w:lang w:val="en-US" w:eastAsia="zh-CN"/>
              </w:rPr>
              <w:t>200</w:t>
            </w:r>
          </w:p>
        </w:tc>
        <w:tc>
          <w:tcPr>
            <w:tcW w:w="693" w:type="pct"/>
            <w:gridSpan w:val="2"/>
            <w:shd w:val="clear" w:color="000000" w:fill="FFFFFF"/>
            <w:vAlign w:val="center"/>
          </w:tcPr>
          <w:p w14:paraId="71543C1A">
            <w:pPr>
              <w:jc w:val="center"/>
              <w:rPr>
                <w:rFonts w:hint="eastAsia"/>
                <w:szCs w:val="21"/>
                <w:lang w:val="en-US" w:eastAsia="zh-CN"/>
              </w:rPr>
            </w:pPr>
            <w:r>
              <w:rPr>
                <w:rFonts w:hint="eastAsia"/>
                <w:szCs w:val="21"/>
                <w:lang w:val="en-US" w:eastAsia="zh-CN"/>
              </w:rPr>
              <w:t>0.40338</w:t>
            </w:r>
          </w:p>
        </w:tc>
        <w:tc>
          <w:tcPr>
            <w:tcW w:w="775" w:type="pct"/>
            <w:shd w:val="clear" w:color="000000" w:fill="FFFFFF"/>
            <w:vAlign w:val="center"/>
          </w:tcPr>
          <w:p w14:paraId="673E5CD9">
            <w:pPr>
              <w:jc w:val="center"/>
              <w:rPr>
                <w:rFonts w:hint="eastAsia"/>
                <w:szCs w:val="21"/>
                <w:lang w:val="en-US" w:eastAsia="zh-CN"/>
              </w:rPr>
            </w:pPr>
            <w:r>
              <w:rPr>
                <w:rFonts w:hint="eastAsia"/>
                <w:szCs w:val="21"/>
                <w:lang w:val="en-US" w:eastAsia="zh-CN"/>
              </w:rPr>
              <w:t>8.96400E-002</w:t>
            </w:r>
          </w:p>
        </w:tc>
        <w:tc>
          <w:tcPr>
            <w:tcW w:w="693" w:type="pct"/>
            <w:shd w:val="clear" w:color="000000" w:fill="FFFFFF"/>
            <w:vAlign w:val="center"/>
          </w:tcPr>
          <w:p w14:paraId="60ACA178">
            <w:pPr>
              <w:jc w:val="center"/>
              <w:rPr>
                <w:rFonts w:hint="eastAsia"/>
                <w:szCs w:val="21"/>
                <w:lang w:val="en-US" w:eastAsia="zh-CN"/>
              </w:rPr>
            </w:pPr>
            <w:r>
              <w:rPr>
                <w:rFonts w:hint="eastAsia"/>
                <w:szCs w:val="21"/>
                <w:lang w:val="en-US" w:eastAsia="zh-CN"/>
              </w:rPr>
              <w:t>0.0504225</w:t>
            </w:r>
          </w:p>
        </w:tc>
        <w:tc>
          <w:tcPr>
            <w:tcW w:w="1086" w:type="pct"/>
            <w:gridSpan w:val="3"/>
            <w:shd w:val="clear" w:color="000000" w:fill="FFFFFF"/>
            <w:vAlign w:val="center"/>
          </w:tcPr>
          <w:p w14:paraId="6BD03ABD">
            <w:pPr>
              <w:jc w:val="center"/>
              <w:rPr>
                <w:rFonts w:hint="eastAsia"/>
                <w:szCs w:val="21"/>
                <w:lang w:val="en-US" w:eastAsia="zh-CN"/>
              </w:rPr>
            </w:pPr>
            <w:r>
              <w:rPr>
                <w:rFonts w:hint="eastAsia"/>
                <w:szCs w:val="21"/>
                <w:lang w:val="en-US" w:eastAsia="zh-CN"/>
              </w:rPr>
              <w:t>1.00845E-002</w:t>
            </w:r>
          </w:p>
        </w:tc>
        <w:tc>
          <w:tcPr>
            <w:tcW w:w="530" w:type="pct"/>
            <w:shd w:val="clear" w:color="000000" w:fill="FFFFFF"/>
            <w:vAlign w:val="center"/>
          </w:tcPr>
          <w:p w14:paraId="39D2C2FB">
            <w:pPr>
              <w:jc w:val="center"/>
              <w:rPr>
                <w:rFonts w:hint="eastAsia"/>
                <w:szCs w:val="21"/>
                <w:lang w:val="en-US" w:eastAsia="zh-CN"/>
              </w:rPr>
            </w:pPr>
            <w:r>
              <w:rPr>
                <w:rFonts w:hint="eastAsia"/>
                <w:szCs w:val="21"/>
                <w:lang w:val="en-US" w:eastAsia="zh-CN"/>
              </w:rPr>
              <w:t>4.07414</w:t>
            </w:r>
          </w:p>
        </w:tc>
        <w:tc>
          <w:tcPr>
            <w:tcW w:w="776" w:type="pct"/>
            <w:shd w:val="clear" w:color="000000" w:fill="FFFFFF"/>
            <w:vAlign w:val="center"/>
          </w:tcPr>
          <w:p w14:paraId="696DC87B">
            <w:pPr>
              <w:jc w:val="center"/>
              <w:rPr>
                <w:rFonts w:hint="eastAsia"/>
                <w:szCs w:val="21"/>
                <w:lang w:val="en-US" w:eastAsia="zh-CN"/>
              </w:rPr>
            </w:pPr>
            <w:r>
              <w:rPr>
                <w:rFonts w:hint="eastAsia"/>
                <w:szCs w:val="21"/>
                <w:lang w:val="en-US" w:eastAsia="zh-CN"/>
              </w:rPr>
              <w:t>2.03707E+000</w:t>
            </w:r>
          </w:p>
        </w:tc>
      </w:tr>
      <w:tr w14:paraId="7B9995C1">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7B3E3A6E">
            <w:pPr>
              <w:jc w:val="center"/>
              <w:rPr>
                <w:rFonts w:hint="eastAsia"/>
                <w:szCs w:val="21"/>
                <w:lang w:val="en-US" w:eastAsia="zh-CN"/>
              </w:rPr>
            </w:pPr>
            <w:r>
              <w:rPr>
                <w:rFonts w:hint="eastAsia"/>
                <w:szCs w:val="21"/>
                <w:lang w:val="en-US" w:eastAsia="zh-CN"/>
              </w:rPr>
              <w:t>300</w:t>
            </w:r>
          </w:p>
        </w:tc>
        <w:tc>
          <w:tcPr>
            <w:tcW w:w="693" w:type="pct"/>
            <w:gridSpan w:val="2"/>
            <w:shd w:val="clear" w:color="000000" w:fill="FFFFFF"/>
            <w:vAlign w:val="center"/>
          </w:tcPr>
          <w:p w14:paraId="162012BC">
            <w:pPr>
              <w:jc w:val="center"/>
              <w:rPr>
                <w:rFonts w:hint="eastAsia"/>
                <w:szCs w:val="21"/>
                <w:lang w:val="en-US" w:eastAsia="zh-CN"/>
              </w:rPr>
            </w:pPr>
            <w:r>
              <w:rPr>
                <w:rFonts w:hint="eastAsia"/>
                <w:szCs w:val="21"/>
                <w:lang w:val="en-US" w:eastAsia="zh-CN"/>
              </w:rPr>
              <w:t>0.3653</w:t>
            </w:r>
          </w:p>
        </w:tc>
        <w:tc>
          <w:tcPr>
            <w:tcW w:w="775" w:type="pct"/>
            <w:shd w:val="clear" w:color="000000" w:fill="FFFFFF"/>
            <w:vAlign w:val="center"/>
          </w:tcPr>
          <w:p w14:paraId="717ADB1A">
            <w:pPr>
              <w:jc w:val="center"/>
              <w:rPr>
                <w:rFonts w:hint="eastAsia"/>
                <w:szCs w:val="21"/>
                <w:lang w:val="en-US" w:eastAsia="zh-CN"/>
              </w:rPr>
            </w:pPr>
            <w:r>
              <w:rPr>
                <w:rFonts w:hint="eastAsia"/>
                <w:szCs w:val="21"/>
                <w:lang w:val="en-US" w:eastAsia="zh-CN"/>
              </w:rPr>
              <w:t>8.11778E-002</w:t>
            </w:r>
          </w:p>
        </w:tc>
        <w:tc>
          <w:tcPr>
            <w:tcW w:w="693" w:type="pct"/>
            <w:shd w:val="clear" w:color="000000" w:fill="FFFFFF"/>
            <w:vAlign w:val="center"/>
          </w:tcPr>
          <w:p w14:paraId="62649CCA">
            <w:pPr>
              <w:jc w:val="center"/>
              <w:rPr>
                <w:rFonts w:hint="eastAsia"/>
                <w:szCs w:val="21"/>
                <w:lang w:val="en-US" w:eastAsia="zh-CN"/>
              </w:rPr>
            </w:pPr>
            <w:r>
              <w:rPr>
                <w:rFonts w:hint="eastAsia"/>
                <w:szCs w:val="21"/>
                <w:lang w:val="en-US" w:eastAsia="zh-CN"/>
              </w:rPr>
              <w:t>0.0456625</w:t>
            </w:r>
          </w:p>
        </w:tc>
        <w:tc>
          <w:tcPr>
            <w:tcW w:w="1086" w:type="pct"/>
            <w:gridSpan w:val="3"/>
            <w:shd w:val="clear" w:color="000000" w:fill="FFFFFF"/>
            <w:vAlign w:val="center"/>
          </w:tcPr>
          <w:p w14:paraId="681A8988">
            <w:pPr>
              <w:jc w:val="center"/>
              <w:rPr>
                <w:rFonts w:hint="eastAsia"/>
                <w:szCs w:val="21"/>
                <w:lang w:val="en-US" w:eastAsia="zh-CN"/>
              </w:rPr>
            </w:pPr>
            <w:r>
              <w:rPr>
                <w:rFonts w:hint="eastAsia"/>
                <w:szCs w:val="21"/>
                <w:lang w:val="en-US" w:eastAsia="zh-CN"/>
              </w:rPr>
              <w:t>9.13250E-003</w:t>
            </w:r>
          </w:p>
        </w:tc>
        <w:tc>
          <w:tcPr>
            <w:tcW w:w="530" w:type="pct"/>
            <w:shd w:val="clear" w:color="000000" w:fill="FFFFFF"/>
            <w:vAlign w:val="center"/>
          </w:tcPr>
          <w:p w14:paraId="38358AEC">
            <w:pPr>
              <w:jc w:val="center"/>
              <w:rPr>
                <w:rFonts w:hint="eastAsia"/>
                <w:szCs w:val="21"/>
                <w:lang w:val="en-US" w:eastAsia="zh-CN"/>
              </w:rPr>
            </w:pPr>
            <w:r>
              <w:rPr>
                <w:rFonts w:hint="eastAsia"/>
                <w:szCs w:val="21"/>
                <w:lang w:val="en-US" w:eastAsia="zh-CN"/>
              </w:rPr>
              <w:t>3.68953</w:t>
            </w:r>
          </w:p>
        </w:tc>
        <w:tc>
          <w:tcPr>
            <w:tcW w:w="776" w:type="pct"/>
            <w:shd w:val="clear" w:color="000000" w:fill="FFFFFF"/>
            <w:vAlign w:val="center"/>
          </w:tcPr>
          <w:p w14:paraId="4AB76223">
            <w:pPr>
              <w:jc w:val="center"/>
              <w:rPr>
                <w:rFonts w:hint="eastAsia"/>
                <w:szCs w:val="21"/>
                <w:lang w:val="en-US" w:eastAsia="zh-CN"/>
              </w:rPr>
            </w:pPr>
            <w:r>
              <w:rPr>
                <w:rFonts w:hint="eastAsia"/>
                <w:szCs w:val="21"/>
                <w:lang w:val="en-US" w:eastAsia="zh-CN"/>
              </w:rPr>
              <w:t>1.84477E+000</w:t>
            </w:r>
          </w:p>
        </w:tc>
      </w:tr>
      <w:tr w14:paraId="0770F336">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0632ACA0">
            <w:pPr>
              <w:jc w:val="center"/>
              <w:rPr>
                <w:rFonts w:hint="eastAsia"/>
                <w:szCs w:val="21"/>
                <w:lang w:val="en-US" w:eastAsia="zh-CN"/>
              </w:rPr>
            </w:pPr>
            <w:r>
              <w:rPr>
                <w:rFonts w:hint="eastAsia"/>
                <w:szCs w:val="21"/>
                <w:lang w:val="en-US" w:eastAsia="zh-CN"/>
              </w:rPr>
              <w:t>400</w:t>
            </w:r>
          </w:p>
        </w:tc>
        <w:tc>
          <w:tcPr>
            <w:tcW w:w="693" w:type="pct"/>
            <w:gridSpan w:val="2"/>
            <w:shd w:val="clear" w:color="000000" w:fill="FFFFFF"/>
            <w:vAlign w:val="center"/>
          </w:tcPr>
          <w:p w14:paraId="0519EC7A">
            <w:pPr>
              <w:jc w:val="center"/>
              <w:rPr>
                <w:rFonts w:hint="eastAsia"/>
                <w:szCs w:val="21"/>
                <w:lang w:val="en-US" w:eastAsia="zh-CN"/>
              </w:rPr>
            </w:pPr>
            <w:r>
              <w:rPr>
                <w:rFonts w:hint="eastAsia"/>
                <w:szCs w:val="21"/>
                <w:lang w:val="en-US" w:eastAsia="zh-CN"/>
              </w:rPr>
              <w:t>0.34442</w:t>
            </w:r>
          </w:p>
        </w:tc>
        <w:tc>
          <w:tcPr>
            <w:tcW w:w="775" w:type="pct"/>
            <w:shd w:val="clear" w:color="000000" w:fill="FFFFFF"/>
            <w:vAlign w:val="center"/>
          </w:tcPr>
          <w:p w14:paraId="31E6AAD6">
            <w:pPr>
              <w:jc w:val="center"/>
              <w:rPr>
                <w:rFonts w:hint="eastAsia"/>
                <w:szCs w:val="21"/>
                <w:lang w:val="en-US" w:eastAsia="zh-CN"/>
              </w:rPr>
            </w:pPr>
            <w:r>
              <w:rPr>
                <w:rFonts w:hint="eastAsia"/>
                <w:szCs w:val="21"/>
                <w:lang w:val="en-US" w:eastAsia="zh-CN"/>
              </w:rPr>
              <w:t>7.65378E-002</w:t>
            </w:r>
          </w:p>
        </w:tc>
        <w:tc>
          <w:tcPr>
            <w:tcW w:w="693" w:type="pct"/>
            <w:shd w:val="clear" w:color="000000" w:fill="FFFFFF"/>
            <w:vAlign w:val="center"/>
          </w:tcPr>
          <w:p w14:paraId="45377BF8">
            <w:pPr>
              <w:jc w:val="center"/>
              <w:rPr>
                <w:rFonts w:hint="eastAsia"/>
                <w:szCs w:val="21"/>
                <w:lang w:val="en-US" w:eastAsia="zh-CN"/>
              </w:rPr>
            </w:pPr>
            <w:r>
              <w:rPr>
                <w:rFonts w:hint="eastAsia"/>
                <w:szCs w:val="21"/>
                <w:lang w:val="en-US" w:eastAsia="zh-CN"/>
              </w:rPr>
              <w:t>0.0430525</w:t>
            </w:r>
          </w:p>
        </w:tc>
        <w:tc>
          <w:tcPr>
            <w:tcW w:w="1086" w:type="pct"/>
            <w:gridSpan w:val="3"/>
            <w:shd w:val="clear" w:color="000000" w:fill="FFFFFF"/>
            <w:vAlign w:val="center"/>
          </w:tcPr>
          <w:p w14:paraId="5BD76A34">
            <w:pPr>
              <w:jc w:val="center"/>
              <w:rPr>
                <w:rFonts w:hint="eastAsia"/>
                <w:szCs w:val="21"/>
                <w:lang w:val="en-US" w:eastAsia="zh-CN"/>
              </w:rPr>
            </w:pPr>
            <w:r>
              <w:rPr>
                <w:rFonts w:hint="eastAsia"/>
                <w:szCs w:val="21"/>
                <w:lang w:val="en-US" w:eastAsia="zh-CN"/>
              </w:rPr>
              <w:t>8.61050E-003</w:t>
            </w:r>
          </w:p>
        </w:tc>
        <w:tc>
          <w:tcPr>
            <w:tcW w:w="530" w:type="pct"/>
            <w:shd w:val="clear" w:color="000000" w:fill="FFFFFF"/>
            <w:vAlign w:val="center"/>
          </w:tcPr>
          <w:p w14:paraId="0F38B885">
            <w:pPr>
              <w:jc w:val="center"/>
              <w:rPr>
                <w:rFonts w:hint="eastAsia"/>
                <w:szCs w:val="21"/>
                <w:lang w:val="en-US" w:eastAsia="zh-CN"/>
              </w:rPr>
            </w:pPr>
            <w:r>
              <w:rPr>
                <w:rFonts w:hint="eastAsia"/>
                <w:szCs w:val="21"/>
                <w:lang w:val="en-US" w:eastAsia="zh-CN"/>
              </w:rPr>
              <w:t>3.47864</w:t>
            </w:r>
          </w:p>
        </w:tc>
        <w:tc>
          <w:tcPr>
            <w:tcW w:w="776" w:type="pct"/>
            <w:shd w:val="clear" w:color="000000" w:fill="FFFFFF"/>
            <w:vAlign w:val="center"/>
          </w:tcPr>
          <w:p w14:paraId="6CF8C3B1">
            <w:pPr>
              <w:jc w:val="center"/>
              <w:rPr>
                <w:rFonts w:hint="eastAsia"/>
                <w:szCs w:val="21"/>
                <w:lang w:val="en-US" w:eastAsia="zh-CN"/>
              </w:rPr>
            </w:pPr>
            <w:r>
              <w:rPr>
                <w:rFonts w:hint="eastAsia"/>
                <w:szCs w:val="21"/>
                <w:lang w:val="en-US" w:eastAsia="zh-CN"/>
              </w:rPr>
              <w:t>1.73932E+000</w:t>
            </w:r>
          </w:p>
        </w:tc>
      </w:tr>
      <w:tr w14:paraId="2427EDD0">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41E693B6">
            <w:pPr>
              <w:jc w:val="center"/>
              <w:rPr>
                <w:rFonts w:hint="eastAsia"/>
                <w:szCs w:val="21"/>
                <w:lang w:val="en-US" w:eastAsia="zh-CN"/>
              </w:rPr>
            </w:pPr>
            <w:r>
              <w:rPr>
                <w:rFonts w:hint="eastAsia"/>
                <w:szCs w:val="21"/>
                <w:lang w:val="en-US" w:eastAsia="zh-CN"/>
              </w:rPr>
              <w:t>500</w:t>
            </w:r>
          </w:p>
        </w:tc>
        <w:tc>
          <w:tcPr>
            <w:tcW w:w="693" w:type="pct"/>
            <w:gridSpan w:val="2"/>
            <w:shd w:val="clear" w:color="000000" w:fill="FFFFFF"/>
            <w:vAlign w:val="center"/>
          </w:tcPr>
          <w:p w14:paraId="0A920473">
            <w:pPr>
              <w:jc w:val="center"/>
              <w:rPr>
                <w:rFonts w:hint="eastAsia"/>
                <w:szCs w:val="21"/>
                <w:lang w:val="en-US" w:eastAsia="zh-CN"/>
              </w:rPr>
            </w:pPr>
            <w:r>
              <w:rPr>
                <w:rFonts w:hint="eastAsia"/>
                <w:szCs w:val="21"/>
                <w:lang w:val="en-US" w:eastAsia="zh-CN"/>
              </w:rPr>
              <w:t>0.31006</w:t>
            </w:r>
          </w:p>
        </w:tc>
        <w:tc>
          <w:tcPr>
            <w:tcW w:w="775" w:type="pct"/>
            <w:shd w:val="clear" w:color="000000" w:fill="FFFFFF"/>
            <w:vAlign w:val="center"/>
          </w:tcPr>
          <w:p w14:paraId="2DDFE654">
            <w:pPr>
              <w:jc w:val="center"/>
              <w:rPr>
                <w:rFonts w:hint="eastAsia"/>
                <w:szCs w:val="21"/>
                <w:lang w:val="en-US" w:eastAsia="zh-CN"/>
              </w:rPr>
            </w:pPr>
            <w:r>
              <w:rPr>
                <w:rFonts w:hint="eastAsia"/>
                <w:szCs w:val="21"/>
                <w:lang w:val="en-US" w:eastAsia="zh-CN"/>
              </w:rPr>
              <w:t>6.89022E-002</w:t>
            </w:r>
          </w:p>
        </w:tc>
        <w:tc>
          <w:tcPr>
            <w:tcW w:w="693" w:type="pct"/>
            <w:shd w:val="clear" w:color="000000" w:fill="FFFFFF"/>
            <w:vAlign w:val="center"/>
          </w:tcPr>
          <w:p w14:paraId="199B0955">
            <w:pPr>
              <w:jc w:val="center"/>
              <w:rPr>
                <w:rFonts w:hint="eastAsia"/>
                <w:szCs w:val="21"/>
                <w:lang w:val="en-US" w:eastAsia="zh-CN"/>
              </w:rPr>
            </w:pPr>
            <w:r>
              <w:rPr>
                <w:rFonts w:hint="eastAsia"/>
                <w:szCs w:val="21"/>
                <w:lang w:val="en-US" w:eastAsia="zh-CN"/>
              </w:rPr>
              <w:t>0.0387575</w:t>
            </w:r>
          </w:p>
        </w:tc>
        <w:tc>
          <w:tcPr>
            <w:tcW w:w="1086" w:type="pct"/>
            <w:gridSpan w:val="3"/>
            <w:shd w:val="clear" w:color="000000" w:fill="FFFFFF"/>
            <w:vAlign w:val="center"/>
          </w:tcPr>
          <w:p w14:paraId="54D01D29">
            <w:pPr>
              <w:jc w:val="center"/>
              <w:rPr>
                <w:rFonts w:hint="eastAsia"/>
                <w:szCs w:val="21"/>
                <w:lang w:val="en-US" w:eastAsia="zh-CN"/>
              </w:rPr>
            </w:pPr>
            <w:r>
              <w:rPr>
                <w:rFonts w:hint="eastAsia"/>
                <w:szCs w:val="21"/>
                <w:lang w:val="en-US" w:eastAsia="zh-CN"/>
              </w:rPr>
              <w:t>7.75150E-003</w:t>
            </w:r>
          </w:p>
        </w:tc>
        <w:tc>
          <w:tcPr>
            <w:tcW w:w="530" w:type="pct"/>
            <w:shd w:val="clear" w:color="000000" w:fill="FFFFFF"/>
            <w:vAlign w:val="center"/>
          </w:tcPr>
          <w:p w14:paraId="1879D4C8">
            <w:pPr>
              <w:jc w:val="center"/>
              <w:rPr>
                <w:rFonts w:hint="eastAsia"/>
                <w:szCs w:val="21"/>
                <w:lang w:val="en-US" w:eastAsia="zh-CN"/>
              </w:rPr>
            </w:pPr>
            <w:r>
              <w:rPr>
                <w:rFonts w:hint="eastAsia"/>
                <w:szCs w:val="21"/>
                <w:lang w:val="en-US" w:eastAsia="zh-CN"/>
              </w:rPr>
              <w:t>3.13161</w:t>
            </w:r>
          </w:p>
        </w:tc>
        <w:tc>
          <w:tcPr>
            <w:tcW w:w="776" w:type="pct"/>
            <w:shd w:val="clear" w:color="000000" w:fill="FFFFFF"/>
            <w:vAlign w:val="center"/>
          </w:tcPr>
          <w:p w14:paraId="1B862360">
            <w:pPr>
              <w:jc w:val="center"/>
              <w:rPr>
                <w:rFonts w:hint="eastAsia"/>
                <w:szCs w:val="21"/>
                <w:lang w:val="en-US" w:eastAsia="zh-CN"/>
              </w:rPr>
            </w:pPr>
            <w:r>
              <w:rPr>
                <w:rFonts w:hint="eastAsia"/>
                <w:szCs w:val="21"/>
                <w:lang w:val="en-US" w:eastAsia="zh-CN"/>
              </w:rPr>
              <w:t>1.56581E+000</w:t>
            </w:r>
          </w:p>
        </w:tc>
      </w:tr>
      <w:tr w14:paraId="02872766">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7330AF62">
            <w:pPr>
              <w:jc w:val="center"/>
              <w:rPr>
                <w:rFonts w:hint="eastAsia"/>
                <w:szCs w:val="21"/>
                <w:lang w:val="en-US" w:eastAsia="zh-CN"/>
              </w:rPr>
            </w:pPr>
            <w:r>
              <w:rPr>
                <w:rFonts w:hint="eastAsia"/>
                <w:szCs w:val="21"/>
                <w:lang w:val="en-US" w:eastAsia="zh-CN"/>
              </w:rPr>
              <w:t>600</w:t>
            </w:r>
          </w:p>
        </w:tc>
        <w:tc>
          <w:tcPr>
            <w:tcW w:w="693" w:type="pct"/>
            <w:gridSpan w:val="2"/>
            <w:shd w:val="clear" w:color="000000" w:fill="FFFFFF"/>
            <w:vAlign w:val="center"/>
          </w:tcPr>
          <w:p w14:paraId="1B18B8F8">
            <w:pPr>
              <w:jc w:val="center"/>
              <w:rPr>
                <w:rFonts w:hint="eastAsia"/>
                <w:szCs w:val="21"/>
                <w:lang w:val="en-US" w:eastAsia="zh-CN"/>
              </w:rPr>
            </w:pPr>
            <w:r>
              <w:rPr>
                <w:rFonts w:hint="eastAsia"/>
                <w:szCs w:val="21"/>
                <w:lang w:val="en-US" w:eastAsia="zh-CN"/>
              </w:rPr>
              <w:t>0.2889</w:t>
            </w:r>
          </w:p>
        </w:tc>
        <w:tc>
          <w:tcPr>
            <w:tcW w:w="775" w:type="pct"/>
            <w:shd w:val="clear" w:color="000000" w:fill="FFFFFF"/>
            <w:vAlign w:val="center"/>
          </w:tcPr>
          <w:p w14:paraId="61DAF50A">
            <w:pPr>
              <w:jc w:val="center"/>
              <w:rPr>
                <w:rFonts w:hint="eastAsia"/>
                <w:szCs w:val="21"/>
                <w:lang w:val="en-US" w:eastAsia="zh-CN"/>
              </w:rPr>
            </w:pPr>
            <w:r>
              <w:rPr>
                <w:rFonts w:hint="eastAsia"/>
                <w:szCs w:val="21"/>
                <w:lang w:val="en-US" w:eastAsia="zh-CN"/>
              </w:rPr>
              <w:t>6.42000E-002</w:t>
            </w:r>
          </w:p>
        </w:tc>
        <w:tc>
          <w:tcPr>
            <w:tcW w:w="693" w:type="pct"/>
            <w:shd w:val="clear" w:color="000000" w:fill="FFFFFF"/>
            <w:vAlign w:val="center"/>
          </w:tcPr>
          <w:p w14:paraId="479651B6">
            <w:pPr>
              <w:jc w:val="center"/>
              <w:rPr>
                <w:rFonts w:hint="eastAsia"/>
                <w:szCs w:val="21"/>
                <w:lang w:val="en-US" w:eastAsia="zh-CN"/>
              </w:rPr>
            </w:pPr>
            <w:r>
              <w:rPr>
                <w:rFonts w:hint="eastAsia"/>
                <w:szCs w:val="21"/>
                <w:lang w:val="en-US" w:eastAsia="zh-CN"/>
              </w:rPr>
              <w:t>0.0361125</w:t>
            </w:r>
          </w:p>
        </w:tc>
        <w:tc>
          <w:tcPr>
            <w:tcW w:w="1086" w:type="pct"/>
            <w:gridSpan w:val="3"/>
            <w:shd w:val="clear" w:color="000000" w:fill="FFFFFF"/>
            <w:vAlign w:val="center"/>
          </w:tcPr>
          <w:p w14:paraId="1811D208">
            <w:pPr>
              <w:jc w:val="center"/>
              <w:rPr>
                <w:rFonts w:hint="eastAsia"/>
                <w:szCs w:val="21"/>
                <w:lang w:val="en-US" w:eastAsia="zh-CN"/>
              </w:rPr>
            </w:pPr>
            <w:r>
              <w:rPr>
                <w:rFonts w:hint="eastAsia"/>
                <w:szCs w:val="21"/>
                <w:lang w:val="en-US" w:eastAsia="zh-CN"/>
              </w:rPr>
              <w:t>7.22250E-003</w:t>
            </w:r>
          </w:p>
        </w:tc>
        <w:tc>
          <w:tcPr>
            <w:tcW w:w="530" w:type="pct"/>
            <w:shd w:val="clear" w:color="000000" w:fill="FFFFFF"/>
            <w:vAlign w:val="center"/>
          </w:tcPr>
          <w:p w14:paraId="3E9094AD">
            <w:pPr>
              <w:jc w:val="center"/>
              <w:rPr>
                <w:rFonts w:hint="eastAsia"/>
                <w:szCs w:val="21"/>
                <w:lang w:val="en-US" w:eastAsia="zh-CN"/>
              </w:rPr>
            </w:pPr>
            <w:r>
              <w:rPr>
                <w:rFonts w:hint="eastAsia"/>
                <w:szCs w:val="21"/>
                <w:lang w:val="en-US" w:eastAsia="zh-CN"/>
              </w:rPr>
              <w:t>2.91789</w:t>
            </w:r>
          </w:p>
        </w:tc>
        <w:tc>
          <w:tcPr>
            <w:tcW w:w="776" w:type="pct"/>
            <w:shd w:val="clear" w:color="000000" w:fill="FFFFFF"/>
            <w:vAlign w:val="center"/>
          </w:tcPr>
          <w:p w14:paraId="0DB3EF21">
            <w:pPr>
              <w:jc w:val="center"/>
              <w:rPr>
                <w:rFonts w:hint="eastAsia"/>
                <w:szCs w:val="21"/>
                <w:lang w:val="en-US" w:eastAsia="zh-CN"/>
              </w:rPr>
            </w:pPr>
            <w:r>
              <w:rPr>
                <w:rFonts w:hint="eastAsia"/>
                <w:szCs w:val="21"/>
                <w:lang w:val="en-US" w:eastAsia="zh-CN"/>
              </w:rPr>
              <w:t>1.45895E+000</w:t>
            </w:r>
          </w:p>
        </w:tc>
      </w:tr>
      <w:tr w14:paraId="33D77CFF">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6469B52E">
            <w:pPr>
              <w:jc w:val="center"/>
              <w:rPr>
                <w:rFonts w:hint="eastAsia"/>
                <w:szCs w:val="21"/>
                <w:lang w:val="en-US" w:eastAsia="zh-CN"/>
              </w:rPr>
            </w:pPr>
            <w:r>
              <w:rPr>
                <w:rFonts w:hint="eastAsia"/>
                <w:szCs w:val="21"/>
                <w:lang w:val="en-US" w:eastAsia="zh-CN"/>
              </w:rPr>
              <w:t>700</w:t>
            </w:r>
          </w:p>
        </w:tc>
        <w:tc>
          <w:tcPr>
            <w:tcW w:w="693" w:type="pct"/>
            <w:gridSpan w:val="2"/>
            <w:shd w:val="clear" w:color="000000" w:fill="FFFFFF"/>
            <w:vAlign w:val="center"/>
          </w:tcPr>
          <w:p w14:paraId="2F847083">
            <w:pPr>
              <w:jc w:val="center"/>
              <w:rPr>
                <w:rFonts w:hint="eastAsia"/>
                <w:szCs w:val="21"/>
                <w:lang w:val="en-US" w:eastAsia="zh-CN"/>
              </w:rPr>
            </w:pPr>
            <w:r>
              <w:rPr>
                <w:rFonts w:hint="eastAsia"/>
                <w:szCs w:val="21"/>
                <w:lang w:val="en-US" w:eastAsia="zh-CN"/>
              </w:rPr>
              <w:t>0.26304</w:t>
            </w:r>
          </w:p>
        </w:tc>
        <w:tc>
          <w:tcPr>
            <w:tcW w:w="775" w:type="pct"/>
            <w:shd w:val="clear" w:color="000000" w:fill="FFFFFF"/>
            <w:vAlign w:val="center"/>
          </w:tcPr>
          <w:p w14:paraId="4FD089BB">
            <w:pPr>
              <w:jc w:val="center"/>
              <w:rPr>
                <w:rFonts w:hint="eastAsia"/>
                <w:szCs w:val="21"/>
                <w:lang w:val="en-US" w:eastAsia="zh-CN"/>
              </w:rPr>
            </w:pPr>
            <w:r>
              <w:rPr>
                <w:rFonts w:hint="eastAsia"/>
                <w:szCs w:val="21"/>
                <w:lang w:val="en-US" w:eastAsia="zh-CN"/>
              </w:rPr>
              <w:t>5.84533E-002</w:t>
            </w:r>
          </w:p>
        </w:tc>
        <w:tc>
          <w:tcPr>
            <w:tcW w:w="693" w:type="pct"/>
            <w:shd w:val="clear" w:color="000000" w:fill="FFFFFF"/>
            <w:vAlign w:val="center"/>
          </w:tcPr>
          <w:p w14:paraId="6B359E0B">
            <w:pPr>
              <w:jc w:val="center"/>
              <w:rPr>
                <w:rFonts w:hint="eastAsia"/>
                <w:szCs w:val="21"/>
                <w:lang w:val="en-US" w:eastAsia="zh-CN"/>
              </w:rPr>
            </w:pPr>
            <w:r>
              <w:rPr>
                <w:rFonts w:hint="eastAsia"/>
                <w:szCs w:val="21"/>
                <w:lang w:val="en-US" w:eastAsia="zh-CN"/>
              </w:rPr>
              <w:t>0.03288</w:t>
            </w:r>
          </w:p>
        </w:tc>
        <w:tc>
          <w:tcPr>
            <w:tcW w:w="1086" w:type="pct"/>
            <w:gridSpan w:val="3"/>
            <w:shd w:val="clear" w:color="000000" w:fill="FFFFFF"/>
            <w:vAlign w:val="center"/>
          </w:tcPr>
          <w:p w14:paraId="6CC07849">
            <w:pPr>
              <w:jc w:val="center"/>
              <w:rPr>
                <w:rFonts w:hint="eastAsia"/>
                <w:szCs w:val="21"/>
                <w:lang w:val="en-US" w:eastAsia="zh-CN"/>
              </w:rPr>
            </w:pPr>
            <w:r>
              <w:rPr>
                <w:rFonts w:hint="eastAsia"/>
                <w:szCs w:val="21"/>
                <w:lang w:val="en-US" w:eastAsia="zh-CN"/>
              </w:rPr>
              <w:t>6.57600E-003</w:t>
            </w:r>
          </w:p>
        </w:tc>
        <w:tc>
          <w:tcPr>
            <w:tcW w:w="530" w:type="pct"/>
            <w:shd w:val="clear" w:color="000000" w:fill="FFFFFF"/>
            <w:vAlign w:val="center"/>
          </w:tcPr>
          <w:p w14:paraId="03BDD657">
            <w:pPr>
              <w:jc w:val="center"/>
              <w:rPr>
                <w:rFonts w:hint="eastAsia"/>
                <w:szCs w:val="21"/>
                <w:lang w:val="en-US" w:eastAsia="zh-CN"/>
              </w:rPr>
            </w:pPr>
            <w:r>
              <w:rPr>
                <w:rFonts w:hint="eastAsia"/>
                <w:szCs w:val="21"/>
                <w:lang w:val="en-US" w:eastAsia="zh-CN"/>
              </w:rPr>
              <w:t>2.6567</w:t>
            </w:r>
          </w:p>
        </w:tc>
        <w:tc>
          <w:tcPr>
            <w:tcW w:w="776" w:type="pct"/>
            <w:shd w:val="clear" w:color="000000" w:fill="FFFFFF"/>
            <w:vAlign w:val="center"/>
          </w:tcPr>
          <w:p w14:paraId="0D554E6D">
            <w:pPr>
              <w:jc w:val="center"/>
              <w:rPr>
                <w:rFonts w:hint="eastAsia"/>
                <w:szCs w:val="21"/>
                <w:lang w:val="en-US" w:eastAsia="zh-CN"/>
              </w:rPr>
            </w:pPr>
            <w:r>
              <w:rPr>
                <w:rFonts w:hint="eastAsia"/>
                <w:szCs w:val="21"/>
                <w:lang w:val="en-US" w:eastAsia="zh-CN"/>
              </w:rPr>
              <w:t>1.32835E+000</w:t>
            </w:r>
          </w:p>
        </w:tc>
      </w:tr>
      <w:tr w14:paraId="1CB3E96B">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573189CB">
            <w:pPr>
              <w:jc w:val="center"/>
              <w:rPr>
                <w:rFonts w:hint="eastAsia"/>
                <w:szCs w:val="21"/>
                <w:lang w:val="en-US" w:eastAsia="zh-CN"/>
              </w:rPr>
            </w:pPr>
            <w:r>
              <w:rPr>
                <w:rFonts w:hint="eastAsia"/>
                <w:szCs w:val="21"/>
                <w:lang w:val="en-US" w:eastAsia="zh-CN"/>
              </w:rPr>
              <w:t>800</w:t>
            </w:r>
          </w:p>
        </w:tc>
        <w:tc>
          <w:tcPr>
            <w:tcW w:w="693" w:type="pct"/>
            <w:gridSpan w:val="2"/>
            <w:shd w:val="clear" w:color="000000" w:fill="FFFFFF"/>
            <w:vAlign w:val="center"/>
          </w:tcPr>
          <w:p w14:paraId="3B9DBF1A">
            <w:pPr>
              <w:jc w:val="center"/>
              <w:rPr>
                <w:rFonts w:hint="eastAsia"/>
                <w:szCs w:val="21"/>
                <w:lang w:val="en-US" w:eastAsia="zh-CN"/>
              </w:rPr>
            </w:pPr>
            <w:r>
              <w:rPr>
                <w:rFonts w:hint="eastAsia"/>
                <w:szCs w:val="21"/>
                <w:lang w:val="en-US" w:eastAsia="zh-CN"/>
              </w:rPr>
              <w:t>0.23776</w:t>
            </w:r>
          </w:p>
        </w:tc>
        <w:tc>
          <w:tcPr>
            <w:tcW w:w="775" w:type="pct"/>
            <w:shd w:val="clear" w:color="000000" w:fill="FFFFFF"/>
            <w:vAlign w:val="center"/>
          </w:tcPr>
          <w:p w14:paraId="1E4F0F1C">
            <w:pPr>
              <w:jc w:val="center"/>
              <w:rPr>
                <w:rFonts w:hint="eastAsia"/>
                <w:szCs w:val="21"/>
                <w:lang w:val="en-US" w:eastAsia="zh-CN"/>
              </w:rPr>
            </w:pPr>
            <w:r>
              <w:rPr>
                <w:rFonts w:hint="eastAsia"/>
                <w:szCs w:val="21"/>
                <w:lang w:val="en-US" w:eastAsia="zh-CN"/>
              </w:rPr>
              <w:t>5.28356E-002</w:t>
            </w:r>
          </w:p>
        </w:tc>
        <w:tc>
          <w:tcPr>
            <w:tcW w:w="693" w:type="pct"/>
            <w:shd w:val="clear" w:color="000000" w:fill="FFFFFF"/>
            <w:vAlign w:val="center"/>
          </w:tcPr>
          <w:p w14:paraId="0331DA2F">
            <w:pPr>
              <w:jc w:val="center"/>
              <w:rPr>
                <w:rFonts w:hint="eastAsia"/>
                <w:szCs w:val="21"/>
                <w:lang w:val="en-US" w:eastAsia="zh-CN"/>
              </w:rPr>
            </w:pPr>
            <w:r>
              <w:rPr>
                <w:rFonts w:hint="eastAsia"/>
                <w:szCs w:val="21"/>
                <w:lang w:val="en-US" w:eastAsia="zh-CN"/>
              </w:rPr>
              <w:t>0.02972</w:t>
            </w:r>
          </w:p>
        </w:tc>
        <w:tc>
          <w:tcPr>
            <w:tcW w:w="1086" w:type="pct"/>
            <w:gridSpan w:val="3"/>
            <w:shd w:val="clear" w:color="000000" w:fill="FFFFFF"/>
            <w:vAlign w:val="center"/>
          </w:tcPr>
          <w:p w14:paraId="3B737D14">
            <w:pPr>
              <w:jc w:val="center"/>
              <w:rPr>
                <w:rFonts w:hint="eastAsia"/>
                <w:szCs w:val="21"/>
                <w:lang w:val="en-US" w:eastAsia="zh-CN"/>
              </w:rPr>
            </w:pPr>
            <w:r>
              <w:rPr>
                <w:rFonts w:hint="eastAsia"/>
                <w:szCs w:val="21"/>
                <w:lang w:val="en-US" w:eastAsia="zh-CN"/>
              </w:rPr>
              <w:t>5.94400E-003</w:t>
            </w:r>
          </w:p>
        </w:tc>
        <w:tc>
          <w:tcPr>
            <w:tcW w:w="530" w:type="pct"/>
            <w:shd w:val="clear" w:color="000000" w:fill="FFFFFF"/>
            <w:vAlign w:val="center"/>
          </w:tcPr>
          <w:p w14:paraId="6FE6B7E3">
            <w:pPr>
              <w:jc w:val="center"/>
              <w:rPr>
                <w:rFonts w:hint="eastAsia"/>
                <w:szCs w:val="21"/>
                <w:lang w:val="en-US" w:eastAsia="zh-CN"/>
              </w:rPr>
            </w:pPr>
            <w:r>
              <w:rPr>
                <w:rFonts w:hint="eastAsia"/>
                <w:szCs w:val="21"/>
                <w:lang w:val="en-US" w:eastAsia="zh-CN"/>
              </w:rPr>
              <w:t>2.40138</w:t>
            </w:r>
          </w:p>
        </w:tc>
        <w:tc>
          <w:tcPr>
            <w:tcW w:w="776" w:type="pct"/>
            <w:shd w:val="clear" w:color="000000" w:fill="FFFFFF"/>
            <w:vAlign w:val="center"/>
          </w:tcPr>
          <w:p w14:paraId="602DBBA3">
            <w:pPr>
              <w:jc w:val="center"/>
              <w:rPr>
                <w:rFonts w:hint="eastAsia"/>
                <w:szCs w:val="21"/>
                <w:lang w:val="en-US" w:eastAsia="zh-CN"/>
              </w:rPr>
            </w:pPr>
            <w:r>
              <w:rPr>
                <w:rFonts w:hint="eastAsia"/>
                <w:szCs w:val="21"/>
                <w:lang w:val="en-US" w:eastAsia="zh-CN"/>
              </w:rPr>
              <w:t>1.20069E+000</w:t>
            </w:r>
          </w:p>
        </w:tc>
      </w:tr>
      <w:tr w14:paraId="266769F3">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07D349AA">
            <w:pPr>
              <w:jc w:val="center"/>
              <w:rPr>
                <w:rFonts w:hint="eastAsia"/>
                <w:szCs w:val="21"/>
                <w:lang w:val="en-US" w:eastAsia="zh-CN"/>
              </w:rPr>
            </w:pPr>
            <w:r>
              <w:rPr>
                <w:rFonts w:hint="eastAsia"/>
                <w:szCs w:val="21"/>
                <w:lang w:val="en-US" w:eastAsia="zh-CN"/>
              </w:rPr>
              <w:t>900</w:t>
            </w:r>
          </w:p>
        </w:tc>
        <w:tc>
          <w:tcPr>
            <w:tcW w:w="693" w:type="pct"/>
            <w:gridSpan w:val="2"/>
            <w:shd w:val="clear" w:color="000000" w:fill="FFFFFF"/>
            <w:vAlign w:val="center"/>
          </w:tcPr>
          <w:p w14:paraId="5862FBC8">
            <w:pPr>
              <w:jc w:val="center"/>
              <w:rPr>
                <w:rFonts w:hint="eastAsia"/>
                <w:szCs w:val="21"/>
                <w:lang w:val="en-US" w:eastAsia="zh-CN"/>
              </w:rPr>
            </w:pPr>
            <w:r>
              <w:rPr>
                <w:rFonts w:hint="eastAsia"/>
                <w:szCs w:val="21"/>
                <w:lang w:val="en-US" w:eastAsia="zh-CN"/>
              </w:rPr>
              <w:t>0.2148</w:t>
            </w:r>
          </w:p>
        </w:tc>
        <w:tc>
          <w:tcPr>
            <w:tcW w:w="775" w:type="pct"/>
            <w:shd w:val="clear" w:color="000000" w:fill="FFFFFF"/>
            <w:vAlign w:val="center"/>
          </w:tcPr>
          <w:p w14:paraId="38057235">
            <w:pPr>
              <w:jc w:val="center"/>
              <w:rPr>
                <w:rFonts w:hint="eastAsia"/>
                <w:szCs w:val="21"/>
                <w:lang w:val="en-US" w:eastAsia="zh-CN"/>
              </w:rPr>
            </w:pPr>
            <w:r>
              <w:rPr>
                <w:rFonts w:hint="eastAsia"/>
                <w:szCs w:val="21"/>
                <w:lang w:val="en-US" w:eastAsia="zh-CN"/>
              </w:rPr>
              <w:t>4.77333E-002</w:t>
            </w:r>
          </w:p>
        </w:tc>
        <w:tc>
          <w:tcPr>
            <w:tcW w:w="693" w:type="pct"/>
            <w:shd w:val="clear" w:color="000000" w:fill="FFFFFF"/>
            <w:vAlign w:val="center"/>
          </w:tcPr>
          <w:p w14:paraId="4927687D">
            <w:pPr>
              <w:jc w:val="center"/>
              <w:rPr>
                <w:rFonts w:hint="eastAsia"/>
                <w:szCs w:val="21"/>
                <w:lang w:val="en-US" w:eastAsia="zh-CN"/>
              </w:rPr>
            </w:pPr>
            <w:r>
              <w:rPr>
                <w:rFonts w:hint="eastAsia"/>
                <w:szCs w:val="21"/>
                <w:lang w:val="en-US" w:eastAsia="zh-CN"/>
              </w:rPr>
              <w:t>0.02685</w:t>
            </w:r>
          </w:p>
        </w:tc>
        <w:tc>
          <w:tcPr>
            <w:tcW w:w="1086" w:type="pct"/>
            <w:gridSpan w:val="3"/>
            <w:shd w:val="clear" w:color="000000" w:fill="FFFFFF"/>
            <w:vAlign w:val="center"/>
          </w:tcPr>
          <w:p w14:paraId="3FF6A949">
            <w:pPr>
              <w:jc w:val="center"/>
              <w:rPr>
                <w:rFonts w:hint="eastAsia"/>
                <w:szCs w:val="21"/>
                <w:lang w:val="en-US" w:eastAsia="zh-CN"/>
              </w:rPr>
            </w:pPr>
            <w:r>
              <w:rPr>
                <w:rFonts w:hint="eastAsia"/>
                <w:szCs w:val="21"/>
                <w:lang w:val="en-US" w:eastAsia="zh-CN"/>
              </w:rPr>
              <w:t>5.37000E-003</w:t>
            </w:r>
          </w:p>
        </w:tc>
        <w:tc>
          <w:tcPr>
            <w:tcW w:w="530" w:type="pct"/>
            <w:shd w:val="clear" w:color="000000" w:fill="FFFFFF"/>
            <w:vAlign w:val="center"/>
          </w:tcPr>
          <w:p w14:paraId="18CA6DC8">
            <w:pPr>
              <w:jc w:val="center"/>
              <w:rPr>
                <w:rFonts w:hint="eastAsia"/>
                <w:szCs w:val="21"/>
                <w:lang w:val="en-US" w:eastAsia="zh-CN"/>
              </w:rPr>
            </w:pPr>
            <w:r>
              <w:rPr>
                <w:rFonts w:hint="eastAsia"/>
                <w:szCs w:val="21"/>
                <w:lang w:val="en-US" w:eastAsia="zh-CN"/>
              </w:rPr>
              <w:t>2.16948</w:t>
            </w:r>
          </w:p>
        </w:tc>
        <w:tc>
          <w:tcPr>
            <w:tcW w:w="776" w:type="pct"/>
            <w:shd w:val="clear" w:color="000000" w:fill="FFFFFF"/>
            <w:vAlign w:val="center"/>
          </w:tcPr>
          <w:p w14:paraId="5F54E37C">
            <w:pPr>
              <w:jc w:val="center"/>
              <w:rPr>
                <w:rFonts w:hint="eastAsia"/>
                <w:szCs w:val="21"/>
                <w:lang w:val="en-US" w:eastAsia="zh-CN"/>
              </w:rPr>
            </w:pPr>
            <w:r>
              <w:rPr>
                <w:rFonts w:hint="eastAsia"/>
                <w:szCs w:val="21"/>
                <w:lang w:val="en-US" w:eastAsia="zh-CN"/>
              </w:rPr>
              <w:t>1.08474E+000</w:t>
            </w:r>
          </w:p>
        </w:tc>
      </w:tr>
      <w:tr w14:paraId="361AF0C6">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389365D9">
            <w:pPr>
              <w:jc w:val="center"/>
              <w:rPr>
                <w:rFonts w:hint="eastAsia"/>
                <w:szCs w:val="21"/>
                <w:lang w:val="en-US" w:eastAsia="zh-CN"/>
              </w:rPr>
            </w:pPr>
            <w:r>
              <w:rPr>
                <w:rFonts w:hint="eastAsia"/>
                <w:szCs w:val="21"/>
                <w:lang w:val="en-US" w:eastAsia="zh-CN"/>
              </w:rPr>
              <w:t>1000</w:t>
            </w:r>
          </w:p>
        </w:tc>
        <w:tc>
          <w:tcPr>
            <w:tcW w:w="693" w:type="pct"/>
            <w:gridSpan w:val="2"/>
            <w:shd w:val="clear" w:color="000000" w:fill="FFFFFF"/>
            <w:vAlign w:val="center"/>
          </w:tcPr>
          <w:p w14:paraId="4043FD64">
            <w:pPr>
              <w:jc w:val="center"/>
              <w:rPr>
                <w:rFonts w:hint="eastAsia"/>
                <w:szCs w:val="21"/>
                <w:lang w:val="en-US" w:eastAsia="zh-CN"/>
              </w:rPr>
            </w:pPr>
            <w:r>
              <w:rPr>
                <w:rFonts w:hint="eastAsia"/>
                <w:szCs w:val="21"/>
                <w:lang w:val="en-US" w:eastAsia="zh-CN"/>
              </w:rPr>
              <w:t>0.20074</w:t>
            </w:r>
          </w:p>
        </w:tc>
        <w:tc>
          <w:tcPr>
            <w:tcW w:w="775" w:type="pct"/>
            <w:shd w:val="clear" w:color="000000" w:fill="FFFFFF"/>
            <w:vAlign w:val="center"/>
          </w:tcPr>
          <w:p w14:paraId="357DF6E8">
            <w:pPr>
              <w:jc w:val="center"/>
              <w:rPr>
                <w:rFonts w:hint="eastAsia"/>
                <w:szCs w:val="21"/>
                <w:lang w:val="en-US" w:eastAsia="zh-CN"/>
              </w:rPr>
            </w:pPr>
            <w:r>
              <w:rPr>
                <w:rFonts w:hint="eastAsia"/>
                <w:szCs w:val="21"/>
                <w:lang w:val="en-US" w:eastAsia="zh-CN"/>
              </w:rPr>
              <w:t>4.46089E-002</w:t>
            </w:r>
          </w:p>
        </w:tc>
        <w:tc>
          <w:tcPr>
            <w:tcW w:w="693" w:type="pct"/>
            <w:shd w:val="clear" w:color="000000" w:fill="FFFFFF"/>
            <w:vAlign w:val="center"/>
          </w:tcPr>
          <w:p w14:paraId="25DBBEEE">
            <w:pPr>
              <w:jc w:val="center"/>
              <w:rPr>
                <w:rFonts w:hint="eastAsia"/>
                <w:szCs w:val="21"/>
                <w:lang w:val="en-US" w:eastAsia="zh-CN"/>
              </w:rPr>
            </w:pPr>
            <w:r>
              <w:rPr>
                <w:rFonts w:hint="eastAsia"/>
                <w:szCs w:val="21"/>
                <w:lang w:val="en-US" w:eastAsia="zh-CN"/>
              </w:rPr>
              <w:t>0.0250925</w:t>
            </w:r>
          </w:p>
        </w:tc>
        <w:tc>
          <w:tcPr>
            <w:tcW w:w="1086" w:type="pct"/>
            <w:gridSpan w:val="3"/>
            <w:shd w:val="clear" w:color="000000" w:fill="FFFFFF"/>
            <w:vAlign w:val="center"/>
          </w:tcPr>
          <w:p w14:paraId="01B22458">
            <w:pPr>
              <w:jc w:val="center"/>
              <w:rPr>
                <w:rFonts w:hint="eastAsia"/>
                <w:szCs w:val="21"/>
                <w:lang w:val="en-US" w:eastAsia="zh-CN"/>
              </w:rPr>
            </w:pPr>
            <w:r>
              <w:rPr>
                <w:rFonts w:hint="eastAsia"/>
                <w:szCs w:val="21"/>
                <w:lang w:val="en-US" w:eastAsia="zh-CN"/>
              </w:rPr>
              <w:t>5.01850E-003</w:t>
            </w:r>
          </w:p>
        </w:tc>
        <w:tc>
          <w:tcPr>
            <w:tcW w:w="530" w:type="pct"/>
            <w:shd w:val="clear" w:color="000000" w:fill="FFFFFF"/>
            <w:vAlign w:val="center"/>
          </w:tcPr>
          <w:p w14:paraId="6A7D78A7">
            <w:pPr>
              <w:jc w:val="center"/>
              <w:rPr>
                <w:rFonts w:hint="eastAsia"/>
                <w:szCs w:val="21"/>
                <w:lang w:val="en-US" w:eastAsia="zh-CN"/>
              </w:rPr>
            </w:pPr>
            <w:r>
              <w:rPr>
                <w:rFonts w:hint="eastAsia"/>
                <w:szCs w:val="21"/>
                <w:lang w:val="en-US" w:eastAsia="zh-CN"/>
              </w:rPr>
              <w:t>2.02747</w:t>
            </w:r>
          </w:p>
        </w:tc>
        <w:tc>
          <w:tcPr>
            <w:tcW w:w="776" w:type="pct"/>
            <w:shd w:val="clear" w:color="000000" w:fill="FFFFFF"/>
            <w:vAlign w:val="center"/>
          </w:tcPr>
          <w:p w14:paraId="1EF96B04">
            <w:pPr>
              <w:jc w:val="center"/>
              <w:rPr>
                <w:rFonts w:hint="eastAsia"/>
                <w:szCs w:val="21"/>
                <w:lang w:val="en-US" w:eastAsia="zh-CN"/>
              </w:rPr>
            </w:pPr>
            <w:r>
              <w:rPr>
                <w:rFonts w:hint="eastAsia"/>
                <w:szCs w:val="21"/>
                <w:lang w:val="en-US" w:eastAsia="zh-CN"/>
              </w:rPr>
              <w:t>1.01374E+000</w:t>
            </w:r>
          </w:p>
        </w:tc>
      </w:tr>
      <w:tr w14:paraId="3D972292">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2D372FF1">
            <w:pPr>
              <w:jc w:val="center"/>
              <w:rPr>
                <w:rFonts w:hint="eastAsia"/>
                <w:szCs w:val="21"/>
                <w:lang w:val="en-US" w:eastAsia="zh-CN"/>
              </w:rPr>
            </w:pPr>
            <w:r>
              <w:rPr>
                <w:rFonts w:hint="eastAsia"/>
                <w:szCs w:val="21"/>
                <w:lang w:val="en-US" w:eastAsia="zh-CN"/>
              </w:rPr>
              <w:t>1500</w:t>
            </w:r>
          </w:p>
        </w:tc>
        <w:tc>
          <w:tcPr>
            <w:tcW w:w="693" w:type="pct"/>
            <w:gridSpan w:val="2"/>
            <w:shd w:val="clear" w:color="000000" w:fill="FFFFFF"/>
            <w:vAlign w:val="center"/>
          </w:tcPr>
          <w:p w14:paraId="771DA8EA">
            <w:pPr>
              <w:jc w:val="center"/>
              <w:rPr>
                <w:rFonts w:hint="eastAsia"/>
                <w:szCs w:val="21"/>
                <w:lang w:val="en-US" w:eastAsia="zh-CN"/>
              </w:rPr>
            </w:pPr>
            <w:r>
              <w:rPr>
                <w:rFonts w:hint="eastAsia"/>
                <w:szCs w:val="21"/>
                <w:lang w:val="en-US" w:eastAsia="zh-CN"/>
              </w:rPr>
              <w:t>0.14889</w:t>
            </w:r>
          </w:p>
        </w:tc>
        <w:tc>
          <w:tcPr>
            <w:tcW w:w="775" w:type="pct"/>
            <w:shd w:val="clear" w:color="000000" w:fill="FFFFFF"/>
            <w:vAlign w:val="center"/>
          </w:tcPr>
          <w:p w14:paraId="38C0F747">
            <w:pPr>
              <w:jc w:val="center"/>
              <w:rPr>
                <w:rFonts w:hint="eastAsia"/>
                <w:szCs w:val="21"/>
                <w:lang w:val="en-US" w:eastAsia="zh-CN"/>
              </w:rPr>
            </w:pPr>
            <w:r>
              <w:rPr>
                <w:rFonts w:hint="eastAsia"/>
                <w:szCs w:val="21"/>
                <w:lang w:val="en-US" w:eastAsia="zh-CN"/>
              </w:rPr>
              <w:t>3.30867E-002</w:t>
            </w:r>
          </w:p>
        </w:tc>
        <w:tc>
          <w:tcPr>
            <w:tcW w:w="693" w:type="pct"/>
            <w:shd w:val="clear" w:color="000000" w:fill="FFFFFF"/>
            <w:vAlign w:val="center"/>
          </w:tcPr>
          <w:p w14:paraId="5A3D89CB">
            <w:pPr>
              <w:jc w:val="center"/>
              <w:rPr>
                <w:rFonts w:hint="eastAsia"/>
                <w:szCs w:val="21"/>
                <w:lang w:val="en-US" w:eastAsia="zh-CN"/>
              </w:rPr>
            </w:pPr>
            <w:r>
              <w:rPr>
                <w:rFonts w:hint="eastAsia"/>
                <w:szCs w:val="21"/>
                <w:lang w:val="en-US" w:eastAsia="zh-CN"/>
              </w:rPr>
              <w:t>0.0186113</w:t>
            </w:r>
          </w:p>
        </w:tc>
        <w:tc>
          <w:tcPr>
            <w:tcW w:w="1086" w:type="pct"/>
            <w:gridSpan w:val="3"/>
            <w:shd w:val="clear" w:color="000000" w:fill="FFFFFF"/>
            <w:vAlign w:val="center"/>
          </w:tcPr>
          <w:p w14:paraId="0FA775E6">
            <w:pPr>
              <w:jc w:val="center"/>
              <w:rPr>
                <w:rFonts w:hint="eastAsia"/>
                <w:szCs w:val="21"/>
                <w:lang w:val="en-US" w:eastAsia="zh-CN"/>
              </w:rPr>
            </w:pPr>
            <w:r>
              <w:rPr>
                <w:rFonts w:hint="eastAsia"/>
                <w:szCs w:val="21"/>
                <w:lang w:val="en-US" w:eastAsia="zh-CN"/>
              </w:rPr>
              <w:t>3.72226E-003</w:t>
            </w:r>
          </w:p>
        </w:tc>
        <w:tc>
          <w:tcPr>
            <w:tcW w:w="530" w:type="pct"/>
            <w:shd w:val="clear" w:color="000000" w:fill="FFFFFF"/>
            <w:vAlign w:val="center"/>
          </w:tcPr>
          <w:p w14:paraId="3DC62864">
            <w:pPr>
              <w:jc w:val="center"/>
              <w:rPr>
                <w:rFonts w:hint="eastAsia"/>
                <w:szCs w:val="21"/>
                <w:lang w:val="en-US" w:eastAsia="zh-CN"/>
              </w:rPr>
            </w:pPr>
            <w:r>
              <w:rPr>
                <w:rFonts w:hint="eastAsia"/>
                <w:szCs w:val="21"/>
                <w:lang w:val="en-US" w:eastAsia="zh-CN"/>
              </w:rPr>
              <w:t>1.50379</w:t>
            </w:r>
          </w:p>
        </w:tc>
        <w:tc>
          <w:tcPr>
            <w:tcW w:w="776" w:type="pct"/>
            <w:shd w:val="clear" w:color="000000" w:fill="FFFFFF"/>
            <w:vAlign w:val="center"/>
          </w:tcPr>
          <w:p w14:paraId="0C0654AB">
            <w:pPr>
              <w:jc w:val="center"/>
              <w:rPr>
                <w:rFonts w:hint="eastAsia"/>
                <w:szCs w:val="21"/>
                <w:lang w:val="en-US" w:eastAsia="zh-CN"/>
              </w:rPr>
            </w:pPr>
            <w:r>
              <w:rPr>
                <w:rFonts w:hint="eastAsia"/>
                <w:szCs w:val="21"/>
                <w:lang w:val="en-US" w:eastAsia="zh-CN"/>
              </w:rPr>
              <w:t>7.51895E-001</w:t>
            </w:r>
          </w:p>
        </w:tc>
      </w:tr>
      <w:tr w14:paraId="524CBD43">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73B4B66E">
            <w:pPr>
              <w:jc w:val="center"/>
              <w:rPr>
                <w:rFonts w:hint="eastAsia"/>
                <w:szCs w:val="21"/>
                <w:lang w:val="en-US" w:eastAsia="zh-CN"/>
              </w:rPr>
            </w:pPr>
            <w:r>
              <w:rPr>
                <w:rFonts w:hint="eastAsia"/>
                <w:szCs w:val="21"/>
                <w:lang w:val="en-US" w:eastAsia="zh-CN"/>
              </w:rPr>
              <w:t>2000</w:t>
            </w:r>
          </w:p>
        </w:tc>
        <w:tc>
          <w:tcPr>
            <w:tcW w:w="693" w:type="pct"/>
            <w:gridSpan w:val="2"/>
            <w:shd w:val="clear" w:color="000000" w:fill="FFFFFF"/>
            <w:vAlign w:val="center"/>
          </w:tcPr>
          <w:p w14:paraId="6E50C52D">
            <w:pPr>
              <w:jc w:val="center"/>
              <w:rPr>
                <w:rFonts w:hint="eastAsia"/>
                <w:szCs w:val="21"/>
                <w:lang w:val="en-US" w:eastAsia="zh-CN"/>
              </w:rPr>
            </w:pPr>
            <w:r>
              <w:rPr>
                <w:rFonts w:hint="eastAsia"/>
                <w:szCs w:val="21"/>
                <w:lang w:val="en-US" w:eastAsia="zh-CN"/>
              </w:rPr>
              <w:t>0.12236</w:t>
            </w:r>
          </w:p>
        </w:tc>
        <w:tc>
          <w:tcPr>
            <w:tcW w:w="775" w:type="pct"/>
            <w:shd w:val="clear" w:color="000000" w:fill="FFFFFF"/>
            <w:vAlign w:val="center"/>
          </w:tcPr>
          <w:p w14:paraId="2DFA928A">
            <w:pPr>
              <w:jc w:val="center"/>
              <w:rPr>
                <w:rFonts w:hint="eastAsia"/>
                <w:szCs w:val="21"/>
                <w:lang w:val="en-US" w:eastAsia="zh-CN"/>
              </w:rPr>
            </w:pPr>
            <w:r>
              <w:rPr>
                <w:rFonts w:hint="eastAsia"/>
                <w:szCs w:val="21"/>
                <w:lang w:val="en-US" w:eastAsia="zh-CN"/>
              </w:rPr>
              <w:t>2.71911E-002</w:t>
            </w:r>
          </w:p>
        </w:tc>
        <w:tc>
          <w:tcPr>
            <w:tcW w:w="693" w:type="pct"/>
            <w:shd w:val="clear" w:color="000000" w:fill="FFFFFF"/>
            <w:vAlign w:val="center"/>
          </w:tcPr>
          <w:p w14:paraId="04BF2543">
            <w:pPr>
              <w:jc w:val="center"/>
              <w:rPr>
                <w:rFonts w:hint="eastAsia"/>
                <w:szCs w:val="21"/>
                <w:lang w:val="en-US" w:eastAsia="zh-CN"/>
              </w:rPr>
            </w:pPr>
            <w:r>
              <w:rPr>
                <w:rFonts w:hint="eastAsia"/>
                <w:szCs w:val="21"/>
                <w:lang w:val="en-US" w:eastAsia="zh-CN"/>
              </w:rPr>
              <w:t>0.015295</w:t>
            </w:r>
          </w:p>
        </w:tc>
        <w:tc>
          <w:tcPr>
            <w:tcW w:w="1086" w:type="pct"/>
            <w:gridSpan w:val="3"/>
            <w:shd w:val="clear" w:color="000000" w:fill="FFFFFF"/>
            <w:vAlign w:val="center"/>
          </w:tcPr>
          <w:p w14:paraId="29F5FDD0">
            <w:pPr>
              <w:jc w:val="center"/>
              <w:rPr>
                <w:rFonts w:hint="eastAsia"/>
                <w:szCs w:val="21"/>
                <w:lang w:val="en-US" w:eastAsia="zh-CN"/>
              </w:rPr>
            </w:pPr>
            <w:r>
              <w:rPr>
                <w:rFonts w:hint="eastAsia"/>
                <w:szCs w:val="21"/>
                <w:lang w:val="en-US" w:eastAsia="zh-CN"/>
              </w:rPr>
              <w:t>3.05900E-003</w:t>
            </w:r>
          </w:p>
        </w:tc>
        <w:tc>
          <w:tcPr>
            <w:tcW w:w="530" w:type="pct"/>
            <w:shd w:val="clear" w:color="000000" w:fill="FFFFFF"/>
            <w:vAlign w:val="center"/>
          </w:tcPr>
          <w:p w14:paraId="2E923115">
            <w:pPr>
              <w:jc w:val="center"/>
              <w:rPr>
                <w:rFonts w:hint="eastAsia"/>
                <w:szCs w:val="21"/>
                <w:lang w:val="en-US" w:eastAsia="zh-CN"/>
              </w:rPr>
            </w:pPr>
            <w:r>
              <w:rPr>
                <w:rFonts w:hint="eastAsia"/>
                <w:szCs w:val="21"/>
                <w:lang w:val="en-US" w:eastAsia="zh-CN"/>
              </w:rPr>
              <w:t>1.23584</w:t>
            </w:r>
          </w:p>
        </w:tc>
        <w:tc>
          <w:tcPr>
            <w:tcW w:w="776" w:type="pct"/>
            <w:shd w:val="clear" w:color="000000" w:fill="FFFFFF"/>
            <w:vAlign w:val="center"/>
          </w:tcPr>
          <w:p w14:paraId="250F922B">
            <w:pPr>
              <w:jc w:val="center"/>
              <w:rPr>
                <w:rFonts w:hint="eastAsia"/>
                <w:szCs w:val="21"/>
                <w:lang w:val="en-US" w:eastAsia="zh-CN"/>
              </w:rPr>
            </w:pPr>
            <w:r>
              <w:rPr>
                <w:rFonts w:hint="eastAsia"/>
                <w:szCs w:val="21"/>
                <w:lang w:val="en-US" w:eastAsia="zh-CN"/>
              </w:rPr>
              <w:t>6.17920E-001</w:t>
            </w:r>
          </w:p>
        </w:tc>
      </w:tr>
      <w:tr w14:paraId="46A8C46C">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3BB21480">
            <w:pPr>
              <w:jc w:val="center"/>
              <w:rPr>
                <w:rFonts w:hint="eastAsia" w:ascii="Times New Roman" w:hAnsi="Times New Roman" w:eastAsia="宋体" w:cs="Times New Roman"/>
                <w:kern w:val="2"/>
                <w:sz w:val="21"/>
                <w:szCs w:val="21"/>
                <w:lang w:val="en-US" w:eastAsia="zh-CN" w:bidi="ar-SA"/>
              </w:rPr>
            </w:pPr>
            <w:r>
              <w:rPr>
                <w:rFonts w:hint="eastAsia"/>
                <w:szCs w:val="21"/>
                <w:lang w:val="en-US" w:eastAsia="zh-CN"/>
              </w:rPr>
              <w:t>2500</w:t>
            </w:r>
          </w:p>
        </w:tc>
        <w:tc>
          <w:tcPr>
            <w:tcW w:w="693" w:type="pct"/>
            <w:gridSpan w:val="2"/>
            <w:shd w:val="clear" w:color="000000" w:fill="FFFFFF"/>
            <w:vAlign w:val="center"/>
          </w:tcPr>
          <w:p w14:paraId="65A02833">
            <w:pPr>
              <w:jc w:val="center"/>
              <w:rPr>
                <w:rFonts w:hint="eastAsia" w:ascii="Times New Roman" w:hAnsi="Times New Roman" w:eastAsia="宋体" w:cs="Times New Roman"/>
                <w:kern w:val="2"/>
                <w:sz w:val="21"/>
                <w:szCs w:val="21"/>
                <w:lang w:val="en-US" w:eastAsia="zh-CN" w:bidi="ar-SA"/>
              </w:rPr>
            </w:pPr>
            <w:r>
              <w:rPr>
                <w:rFonts w:hint="eastAsia"/>
                <w:szCs w:val="21"/>
                <w:lang w:val="en-US" w:eastAsia="zh-CN"/>
              </w:rPr>
              <w:t>0.12236</w:t>
            </w:r>
          </w:p>
        </w:tc>
        <w:tc>
          <w:tcPr>
            <w:tcW w:w="775" w:type="pct"/>
            <w:shd w:val="clear" w:color="000000" w:fill="FFFFFF"/>
            <w:vAlign w:val="center"/>
          </w:tcPr>
          <w:p w14:paraId="186385E5">
            <w:pPr>
              <w:jc w:val="center"/>
              <w:rPr>
                <w:rFonts w:hint="eastAsia" w:ascii="Times New Roman" w:hAnsi="Times New Roman" w:eastAsia="宋体" w:cs="Times New Roman"/>
                <w:kern w:val="2"/>
                <w:sz w:val="21"/>
                <w:szCs w:val="21"/>
                <w:lang w:val="en-US" w:eastAsia="zh-CN" w:bidi="ar-SA"/>
              </w:rPr>
            </w:pPr>
            <w:r>
              <w:rPr>
                <w:rFonts w:hint="eastAsia"/>
                <w:szCs w:val="21"/>
                <w:lang w:val="en-US" w:eastAsia="zh-CN"/>
              </w:rPr>
              <w:t>2.71911E-002</w:t>
            </w:r>
          </w:p>
        </w:tc>
        <w:tc>
          <w:tcPr>
            <w:tcW w:w="693" w:type="pct"/>
            <w:shd w:val="clear" w:color="000000" w:fill="FFFFFF"/>
            <w:vAlign w:val="center"/>
          </w:tcPr>
          <w:p w14:paraId="31DBC767">
            <w:pPr>
              <w:jc w:val="center"/>
              <w:rPr>
                <w:rFonts w:hint="eastAsia" w:ascii="Times New Roman" w:hAnsi="Times New Roman" w:eastAsia="宋体" w:cs="Times New Roman"/>
                <w:kern w:val="2"/>
                <w:sz w:val="21"/>
                <w:szCs w:val="21"/>
                <w:lang w:val="en-US" w:eastAsia="zh-CN" w:bidi="ar-SA"/>
              </w:rPr>
            </w:pPr>
            <w:r>
              <w:rPr>
                <w:rFonts w:hint="eastAsia"/>
                <w:szCs w:val="21"/>
                <w:lang w:val="en-US" w:eastAsia="zh-CN"/>
              </w:rPr>
              <w:t>0.015295</w:t>
            </w:r>
          </w:p>
        </w:tc>
        <w:tc>
          <w:tcPr>
            <w:tcW w:w="1086" w:type="pct"/>
            <w:gridSpan w:val="3"/>
            <w:shd w:val="clear" w:color="000000" w:fill="FFFFFF"/>
            <w:vAlign w:val="center"/>
          </w:tcPr>
          <w:p w14:paraId="58F79969">
            <w:pPr>
              <w:jc w:val="center"/>
              <w:rPr>
                <w:rFonts w:hint="eastAsia" w:ascii="Times New Roman" w:hAnsi="Times New Roman" w:eastAsia="宋体" w:cs="Times New Roman"/>
                <w:kern w:val="2"/>
                <w:sz w:val="21"/>
                <w:szCs w:val="21"/>
                <w:lang w:val="en-US" w:eastAsia="zh-CN" w:bidi="ar-SA"/>
              </w:rPr>
            </w:pPr>
            <w:r>
              <w:rPr>
                <w:rFonts w:hint="eastAsia"/>
                <w:szCs w:val="21"/>
                <w:lang w:val="en-US" w:eastAsia="zh-CN"/>
              </w:rPr>
              <w:t>3.05900E-003</w:t>
            </w:r>
          </w:p>
        </w:tc>
        <w:tc>
          <w:tcPr>
            <w:tcW w:w="530" w:type="pct"/>
            <w:shd w:val="clear" w:color="000000" w:fill="FFFFFF"/>
            <w:vAlign w:val="center"/>
          </w:tcPr>
          <w:p w14:paraId="1BB2A235">
            <w:pPr>
              <w:jc w:val="center"/>
              <w:rPr>
                <w:rFonts w:hint="eastAsia" w:ascii="Times New Roman" w:hAnsi="Times New Roman" w:eastAsia="宋体" w:cs="Times New Roman"/>
                <w:kern w:val="2"/>
                <w:sz w:val="21"/>
                <w:szCs w:val="21"/>
                <w:lang w:val="en-US" w:eastAsia="zh-CN" w:bidi="ar-SA"/>
              </w:rPr>
            </w:pPr>
            <w:r>
              <w:rPr>
                <w:rFonts w:hint="eastAsia"/>
                <w:szCs w:val="21"/>
                <w:lang w:val="en-US" w:eastAsia="zh-CN"/>
              </w:rPr>
              <w:t>1.23584</w:t>
            </w:r>
          </w:p>
        </w:tc>
        <w:tc>
          <w:tcPr>
            <w:tcW w:w="776" w:type="pct"/>
            <w:shd w:val="clear" w:color="000000" w:fill="FFFFFF"/>
            <w:vAlign w:val="center"/>
          </w:tcPr>
          <w:p w14:paraId="12BDBE25">
            <w:pPr>
              <w:jc w:val="center"/>
              <w:rPr>
                <w:rFonts w:hint="eastAsia" w:ascii="Times New Roman" w:hAnsi="Times New Roman" w:eastAsia="宋体" w:cs="Times New Roman"/>
                <w:kern w:val="2"/>
                <w:sz w:val="21"/>
                <w:szCs w:val="21"/>
                <w:lang w:val="en-US" w:eastAsia="zh-CN" w:bidi="ar-SA"/>
              </w:rPr>
            </w:pPr>
            <w:r>
              <w:rPr>
                <w:rFonts w:hint="eastAsia"/>
                <w:szCs w:val="21"/>
                <w:lang w:val="en-US" w:eastAsia="zh-CN"/>
              </w:rPr>
              <w:t>6.17920E-001</w:t>
            </w:r>
          </w:p>
        </w:tc>
      </w:tr>
      <w:tr w14:paraId="51A1489D">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296" w:type="pct"/>
            <w:gridSpan w:val="7"/>
            <w:tcBorders>
              <w:right w:val="single" w:color="auto" w:sz="4" w:space="0"/>
            </w:tcBorders>
            <w:shd w:val="clear" w:color="000000" w:fill="FFFFFF"/>
            <w:vAlign w:val="center"/>
          </w:tcPr>
          <w:p w14:paraId="021F26DD">
            <w:pPr>
              <w:widowControl/>
              <w:jc w:val="center"/>
              <w:rPr>
                <w:kern w:val="0"/>
                <w:szCs w:val="21"/>
              </w:rPr>
            </w:pPr>
            <w:r>
              <w:rPr>
                <w:rFonts w:hint="eastAsia"/>
                <w:bCs/>
                <w:szCs w:val="21"/>
                <w:lang w:val="en-US" w:eastAsia="zh-CN"/>
              </w:rPr>
              <w:t>DA003</w:t>
            </w:r>
            <w:r>
              <w:rPr>
                <w:rFonts w:hint="eastAsia"/>
                <w:bCs/>
                <w:szCs w:val="21"/>
              </w:rPr>
              <w:t>沥青</w:t>
            </w:r>
            <w:r>
              <w:rPr>
                <w:rFonts w:hint="eastAsia"/>
                <w:bCs/>
                <w:szCs w:val="21"/>
                <w:lang w:eastAsia="zh-CN"/>
              </w:rPr>
              <w:t>预</w:t>
            </w:r>
            <w:r>
              <w:rPr>
                <w:rFonts w:hint="eastAsia"/>
                <w:bCs/>
                <w:szCs w:val="21"/>
              </w:rPr>
              <w:t>处理</w:t>
            </w:r>
            <w:r>
              <w:rPr>
                <w:rFonts w:hint="eastAsia"/>
                <w:bCs/>
                <w:szCs w:val="21"/>
                <w:lang w:eastAsia="zh-CN"/>
              </w:rPr>
              <w:t>及搅拌废气</w:t>
            </w:r>
            <w:r>
              <w:rPr>
                <w:rFonts w:hint="eastAsia"/>
                <w:bCs/>
                <w:szCs w:val="21"/>
              </w:rPr>
              <w:t>装置</w:t>
            </w:r>
          </w:p>
        </w:tc>
        <w:tc>
          <w:tcPr>
            <w:tcW w:w="1703" w:type="pct"/>
            <w:gridSpan w:val="3"/>
            <w:tcBorders>
              <w:left w:val="single" w:color="auto" w:sz="4" w:space="0"/>
            </w:tcBorders>
            <w:shd w:val="clear" w:color="000000" w:fill="FFFFFF"/>
            <w:vAlign w:val="center"/>
          </w:tcPr>
          <w:p w14:paraId="6CE1C3DF">
            <w:pPr>
              <w:widowControl/>
              <w:jc w:val="center"/>
              <w:rPr>
                <w:kern w:val="0"/>
                <w:szCs w:val="21"/>
              </w:rPr>
            </w:pPr>
            <w:r>
              <w:rPr>
                <w:rFonts w:hint="eastAsia"/>
                <w:bCs/>
                <w:spacing w:val="-11"/>
                <w:sz w:val="21"/>
                <w:szCs w:val="21"/>
                <w:lang w:val="en-US" w:eastAsia="zh-CN"/>
              </w:rPr>
              <w:t>DA004</w:t>
            </w:r>
            <w:r>
              <w:rPr>
                <w:rFonts w:hint="eastAsia"/>
                <w:bCs/>
                <w:spacing w:val="-11"/>
                <w:sz w:val="21"/>
                <w:szCs w:val="21"/>
                <w:lang w:eastAsia="zh-CN"/>
              </w:rPr>
              <w:t>混凝土搅拌废气排气筒</w:t>
            </w:r>
          </w:p>
        </w:tc>
      </w:tr>
      <w:tr w14:paraId="2F3A1A7D">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6A634C21">
            <w:pPr>
              <w:jc w:val="center"/>
              <w:rPr>
                <w:kern w:val="0"/>
                <w:szCs w:val="21"/>
              </w:rPr>
            </w:pPr>
            <w:r>
              <w:rPr>
                <w:rFonts w:hint="eastAsia"/>
                <w:szCs w:val="21"/>
                <w:lang w:val="en-US" w:eastAsia="zh-CN"/>
              </w:rPr>
              <w:t>-</w:t>
            </w:r>
          </w:p>
        </w:tc>
        <w:tc>
          <w:tcPr>
            <w:tcW w:w="1469" w:type="pct"/>
            <w:gridSpan w:val="3"/>
            <w:shd w:val="clear" w:color="000000" w:fill="FFFFFF"/>
            <w:vAlign w:val="center"/>
          </w:tcPr>
          <w:p w14:paraId="3796C025">
            <w:pPr>
              <w:widowControl/>
              <w:jc w:val="center"/>
              <w:rPr>
                <w:rFonts w:hint="default" w:eastAsia="宋体"/>
                <w:kern w:val="0"/>
                <w:szCs w:val="21"/>
                <w:lang w:val="en-US" w:eastAsia="zh-CN"/>
              </w:rPr>
            </w:pPr>
            <w:r>
              <w:rPr>
                <w:rFonts w:hint="eastAsia"/>
                <w:kern w:val="0"/>
                <w:szCs w:val="21"/>
                <w:lang w:val="en-US" w:eastAsia="zh-CN"/>
              </w:rPr>
              <w:t>B[a]P</w:t>
            </w:r>
          </w:p>
        </w:tc>
        <w:tc>
          <w:tcPr>
            <w:tcW w:w="1383" w:type="pct"/>
            <w:gridSpan w:val="3"/>
            <w:tcBorders>
              <w:right w:val="single" w:color="auto" w:sz="4" w:space="0"/>
            </w:tcBorders>
            <w:shd w:val="clear" w:color="000000" w:fill="FFFFFF"/>
            <w:vAlign w:val="center"/>
          </w:tcPr>
          <w:p w14:paraId="629BCBD4">
            <w:pPr>
              <w:widowControl/>
              <w:jc w:val="center"/>
              <w:rPr>
                <w:rFonts w:hint="default" w:eastAsia="宋体"/>
                <w:kern w:val="0"/>
                <w:szCs w:val="21"/>
                <w:lang w:val="en-US" w:eastAsia="zh-CN"/>
              </w:rPr>
            </w:pPr>
            <w:r>
              <w:rPr>
                <w:rFonts w:hint="eastAsia"/>
                <w:kern w:val="0"/>
                <w:szCs w:val="21"/>
                <w:lang w:val="en-US" w:eastAsia="zh-CN"/>
              </w:rPr>
              <w:t>NMHC</w:t>
            </w:r>
          </w:p>
        </w:tc>
        <w:tc>
          <w:tcPr>
            <w:tcW w:w="396" w:type="pct"/>
            <w:tcBorders>
              <w:left w:val="single" w:color="auto" w:sz="4" w:space="0"/>
            </w:tcBorders>
            <w:shd w:val="clear" w:color="000000" w:fill="FFFFFF"/>
            <w:vAlign w:val="center"/>
          </w:tcPr>
          <w:p w14:paraId="5430C731">
            <w:pPr>
              <w:widowControl/>
              <w:jc w:val="center"/>
              <w:rPr>
                <w:rFonts w:hint="eastAsia" w:eastAsia="宋体"/>
                <w:kern w:val="0"/>
                <w:szCs w:val="21"/>
                <w:lang w:val="en-US" w:eastAsia="zh-CN"/>
              </w:rPr>
            </w:pPr>
            <w:r>
              <w:rPr>
                <w:rFonts w:hint="eastAsia"/>
                <w:kern w:val="0"/>
                <w:szCs w:val="21"/>
                <w:lang w:val="en-US" w:eastAsia="zh-CN"/>
              </w:rPr>
              <w:t>-</w:t>
            </w:r>
          </w:p>
        </w:tc>
        <w:tc>
          <w:tcPr>
            <w:tcW w:w="1307" w:type="pct"/>
            <w:gridSpan w:val="2"/>
            <w:shd w:val="clear" w:color="000000" w:fill="FFFFFF"/>
            <w:vAlign w:val="center"/>
          </w:tcPr>
          <w:p w14:paraId="67D92F02">
            <w:pPr>
              <w:widowControl/>
              <w:jc w:val="center"/>
              <w:rPr>
                <w:rFonts w:hint="default" w:eastAsia="宋体"/>
                <w:kern w:val="0"/>
                <w:szCs w:val="21"/>
                <w:lang w:val="en-US" w:eastAsia="zh-CN"/>
              </w:rPr>
            </w:pPr>
            <w:r>
              <w:rPr>
                <w:rFonts w:hint="eastAsia"/>
                <w:kern w:val="0"/>
                <w:szCs w:val="21"/>
                <w:lang w:val="en-US" w:eastAsia="zh-CN"/>
              </w:rPr>
              <w:t>PM</w:t>
            </w:r>
            <w:r>
              <w:rPr>
                <w:rFonts w:hint="eastAsia"/>
                <w:kern w:val="0"/>
                <w:szCs w:val="21"/>
                <w:vertAlign w:val="subscript"/>
                <w:lang w:val="en-US" w:eastAsia="zh-CN"/>
              </w:rPr>
              <w:t>10</w:t>
            </w:r>
          </w:p>
        </w:tc>
      </w:tr>
      <w:tr w14:paraId="07391608">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6DE3B6EF">
            <w:pPr>
              <w:widowControl/>
              <w:jc w:val="center"/>
              <w:rPr>
                <w:rFonts w:hint="eastAsia"/>
                <w:szCs w:val="21"/>
                <w:lang w:val="en-US" w:eastAsia="zh-CN"/>
              </w:rPr>
            </w:pPr>
            <w:r>
              <w:rPr>
                <w:kern w:val="0"/>
                <w:szCs w:val="21"/>
              </w:rPr>
              <w:t>距离</w:t>
            </w:r>
          </w:p>
        </w:tc>
        <w:tc>
          <w:tcPr>
            <w:tcW w:w="693" w:type="pct"/>
            <w:gridSpan w:val="2"/>
            <w:shd w:val="clear" w:color="000000" w:fill="FFFFFF"/>
            <w:vAlign w:val="center"/>
          </w:tcPr>
          <w:p w14:paraId="33FB691C">
            <w:pPr>
              <w:widowControl/>
              <w:jc w:val="center"/>
              <w:rPr>
                <w:rFonts w:hint="eastAsia"/>
                <w:szCs w:val="21"/>
                <w:lang w:val="en-US" w:eastAsia="zh-CN"/>
              </w:rPr>
            </w:pPr>
            <w:r>
              <w:rPr>
                <w:kern w:val="0"/>
                <w:szCs w:val="21"/>
              </w:rPr>
              <w:t>浓度</w:t>
            </w:r>
          </w:p>
        </w:tc>
        <w:tc>
          <w:tcPr>
            <w:tcW w:w="775" w:type="pct"/>
            <w:shd w:val="clear" w:color="000000" w:fill="FFFFFF"/>
            <w:vAlign w:val="center"/>
          </w:tcPr>
          <w:p w14:paraId="29DE0F41">
            <w:pPr>
              <w:widowControl/>
              <w:jc w:val="center"/>
              <w:rPr>
                <w:rFonts w:hint="eastAsia"/>
                <w:szCs w:val="21"/>
                <w:lang w:val="en-US" w:eastAsia="zh-CN"/>
              </w:rPr>
            </w:pPr>
            <w:r>
              <w:rPr>
                <w:kern w:val="0"/>
                <w:szCs w:val="21"/>
              </w:rPr>
              <w:t>占标率</w:t>
            </w:r>
          </w:p>
        </w:tc>
        <w:tc>
          <w:tcPr>
            <w:tcW w:w="693" w:type="pct"/>
            <w:shd w:val="clear" w:color="000000" w:fill="FFFFFF"/>
            <w:vAlign w:val="center"/>
          </w:tcPr>
          <w:p w14:paraId="4B0BEF34">
            <w:pPr>
              <w:widowControl/>
              <w:jc w:val="center"/>
              <w:rPr>
                <w:rFonts w:hint="eastAsia"/>
                <w:szCs w:val="21"/>
                <w:lang w:val="en-US" w:eastAsia="zh-CN"/>
              </w:rPr>
            </w:pPr>
            <w:r>
              <w:rPr>
                <w:kern w:val="0"/>
                <w:szCs w:val="21"/>
              </w:rPr>
              <w:t>浓度</w:t>
            </w:r>
          </w:p>
        </w:tc>
        <w:tc>
          <w:tcPr>
            <w:tcW w:w="689" w:type="pct"/>
            <w:gridSpan w:val="2"/>
            <w:tcBorders>
              <w:right w:val="single" w:color="auto" w:sz="4" w:space="0"/>
            </w:tcBorders>
            <w:shd w:val="clear" w:color="000000" w:fill="FFFFFF"/>
            <w:vAlign w:val="center"/>
          </w:tcPr>
          <w:p w14:paraId="01162471">
            <w:pPr>
              <w:widowControl/>
              <w:jc w:val="center"/>
              <w:rPr>
                <w:rFonts w:hint="eastAsia"/>
                <w:szCs w:val="21"/>
                <w:lang w:val="en-US" w:eastAsia="zh-CN"/>
              </w:rPr>
            </w:pPr>
            <w:r>
              <w:rPr>
                <w:kern w:val="0"/>
                <w:szCs w:val="21"/>
              </w:rPr>
              <w:t>占标率</w:t>
            </w:r>
          </w:p>
        </w:tc>
        <w:tc>
          <w:tcPr>
            <w:tcW w:w="396" w:type="pct"/>
            <w:tcBorders>
              <w:left w:val="single" w:color="auto" w:sz="4" w:space="0"/>
            </w:tcBorders>
            <w:shd w:val="clear" w:color="000000" w:fill="FFFFFF"/>
            <w:vAlign w:val="center"/>
          </w:tcPr>
          <w:p w14:paraId="10432313">
            <w:pPr>
              <w:widowControl/>
              <w:jc w:val="center"/>
              <w:rPr>
                <w:rFonts w:hint="eastAsia"/>
                <w:szCs w:val="21"/>
                <w:lang w:val="en-US" w:eastAsia="zh-CN"/>
              </w:rPr>
            </w:pPr>
            <w:r>
              <w:rPr>
                <w:kern w:val="0"/>
                <w:szCs w:val="21"/>
              </w:rPr>
              <w:t>距离</w:t>
            </w:r>
          </w:p>
        </w:tc>
        <w:tc>
          <w:tcPr>
            <w:tcW w:w="530" w:type="pct"/>
            <w:shd w:val="clear" w:color="000000" w:fill="FFFFFF"/>
            <w:vAlign w:val="center"/>
          </w:tcPr>
          <w:p w14:paraId="2BBB03CE">
            <w:pPr>
              <w:widowControl/>
              <w:jc w:val="center"/>
              <w:rPr>
                <w:rFonts w:hint="eastAsia"/>
                <w:szCs w:val="21"/>
                <w:lang w:val="en-US" w:eastAsia="zh-CN"/>
              </w:rPr>
            </w:pPr>
            <w:r>
              <w:rPr>
                <w:kern w:val="0"/>
                <w:szCs w:val="21"/>
              </w:rPr>
              <w:t>浓度</w:t>
            </w:r>
          </w:p>
        </w:tc>
        <w:tc>
          <w:tcPr>
            <w:tcW w:w="776" w:type="pct"/>
            <w:shd w:val="clear" w:color="000000" w:fill="FFFFFF"/>
            <w:vAlign w:val="center"/>
          </w:tcPr>
          <w:p w14:paraId="6351C3EA">
            <w:pPr>
              <w:widowControl/>
              <w:jc w:val="center"/>
              <w:rPr>
                <w:rFonts w:hint="eastAsia"/>
                <w:szCs w:val="21"/>
                <w:lang w:val="en-US" w:eastAsia="zh-CN"/>
              </w:rPr>
            </w:pPr>
            <w:r>
              <w:rPr>
                <w:kern w:val="0"/>
                <w:szCs w:val="21"/>
              </w:rPr>
              <w:t>占标率</w:t>
            </w:r>
          </w:p>
        </w:tc>
      </w:tr>
      <w:tr w14:paraId="529E6E71">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09FCA502">
            <w:pPr>
              <w:widowControl/>
              <w:jc w:val="center"/>
              <w:rPr>
                <w:rFonts w:hint="eastAsia"/>
                <w:szCs w:val="21"/>
                <w:lang w:val="en-US" w:eastAsia="zh-CN"/>
              </w:rPr>
            </w:pPr>
            <w:r>
              <w:rPr>
                <w:kern w:val="0"/>
                <w:szCs w:val="21"/>
              </w:rPr>
              <w:t>m</w:t>
            </w:r>
          </w:p>
        </w:tc>
        <w:tc>
          <w:tcPr>
            <w:tcW w:w="693" w:type="pct"/>
            <w:gridSpan w:val="2"/>
            <w:shd w:val="clear" w:color="000000" w:fill="FFFFFF"/>
            <w:vAlign w:val="center"/>
          </w:tcPr>
          <w:p w14:paraId="4D6B95A4">
            <w:pPr>
              <w:widowControl/>
              <w:jc w:val="center"/>
              <w:rPr>
                <w:rFonts w:hint="eastAsia"/>
                <w:szCs w:val="21"/>
                <w:lang w:val="en-US" w:eastAsia="zh-CN"/>
              </w:rPr>
            </w:pPr>
            <w:r>
              <w:rPr>
                <w:kern w:val="0"/>
                <w:szCs w:val="21"/>
              </w:rPr>
              <w:t>ug/m</w:t>
            </w:r>
            <w:r>
              <w:rPr>
                <w:kern w:val="0"/>
                <w:szCs w:val="21"/>
                <w:vertAlign w:val="superscript"/>
              </w:rPr>
              <w:t>3</w:t>
            </w:r>
          </w:p>
        </w:tc>
        <w:tc>
          <w:tcPr>
            <w:tcW w:w="775" w:type="pct"/>
            <w:shd w:val="clear" w:color="000000" w:fill="FFFFFF"/>
            <w:vAlign w:val="center"/>
          </w:tcPr>
          <w:p w14:paraId="78836F8C">
            <w:pPr>
              <w:widowControl/>
              <w:jc w:val="center"/>
              <w:rPr>
                <w:rFonts w:hint="eastAsia"/>
                <w:szCs w:val="21"/>
                <w:lang w:val="en-US" w:eastAsia="zh-CN"/>
              </w:rPr>
            </w:pPr>
            <w:r>
              <w:rPr>
                <w:kern w:val="0"/>
                <w:szCs w:val="21"/>
              </w:rPr>
              <w:t>%</w:t>
            </w:r>
          </w:p>
        </w:tc>
        <w:tc>
          <w:tcPr>
            <w:tcW w:w="693" w:type="pct"/>
            <w:shd w:val="clear" w:color="000000" w:fill="FFFFFF"/>
            <w:vAlign w:val="center"/>
          </w:tcPr>
          <w:p w14:paraId="09CAC8D3">
            <w:pPr>
              <w:widowControl/>
              <w:jc w:val="center"/>
              <w:rPr>
                <w:rFonts w:hint="eastAsia"/>
                <w:szCs w:val="21"/>
                <w:lang w:val="en-US" w:eastAsia="zh-CN"/>
              </w:rPr>
            </w:pPr>
            <w:r>
              <w:rPr>
                <w:kern w:val="0"/>
                <w:szCs w:val="21"/>
              </w:rPr>
              <w:t>ug/m</w:t>
            </w:r>
            <w:r>
              <w:rPr>
                <w:kern w:val="0"/>
                <w:szCs w:val="21"/>
                <w:vertAlign w:val="superscript"/>
              </w:rPr>
              <w:t>3</w:t>
            </w:r>
          </w:p>
        </w:tc>
        <w:tc>
          <w:tcPr>
            <w:tcW w:w="689" w:type="pct"/>
            <w:gridSpan w:val="2"/>
            <w:tcBorders>
              <w:right w:val="single" w:color="auto" w:sz="4" w:space="0"/>
            </w:tcBorders>
            <w:shd w:val="clear" w:color="000000" w:fill="FFFFFF"/>
            <w:vAlign w:val="center"/>
          </w:tcPr>
          <w:p w14:paraId="57734A2A">
            <w:pPr>
              <w:widowControl/>
              <w:jc w:val="center"/>
              <w:rPr>
                <w:rFonts w:hint="eastAsia"/>
                <w:szCs w:val="21"/>
                <w:lang w:val="en-US" w:eastAsia="zh-CN"/>
              </w:rPr>
            </w:pPr>
            <w:r>
              <w:rPr>
                <w:kern w:val="0"/>
                <w:szCs w:val="21"/>
              </w:rPr>
              <w:t>%</w:t>
            </w:r>
          </w:p>
        </w:tc>
        <w:tc>
          <w:tcPr>
            <w:tcW w:w="396" w:type="pct"/>
            <w:tcBorders>
              <w:left w:val="single" w:color="auto" w:sz="4" w:space="0"/>
            </w:tcBorders>
            <w:shd w:val="clear" w:color="000000" w:fill="FFFFFF"/>
            <w:vAlign w:val="center"/>
          </w:tcPr>
          <w:p w14:paraId="2DC3939B">
            <w:pPr>
              <w:widowControl/>
              <w:jc w:val="center"/>
              <w:rPr>
                <w:rFonts w:hint="eastAsia"/>
                <w:szCs w:val="21"/>
                <w:lang w:val="en-US" w:eastAsia="zh-CN"/>
              </w:rPr>
            </w:pPr>
            <w:r>
              <w:rPr>
                <w:kern w:val="0"/>
                <w:szCs w:val="21"/>
              </w:rPr>
              <w:t>m</w:t>
            </w:r>
          </w:p>
        </w:tc>
        <w:tc>
          <w:tcPr>
            <w:tcW w:w="530" w:type="pct"/>
            <w:shd w:val="clear" w:color="000000" w:fill="FFFFFF"/>
            <w:vAlign w:val="center"/>
          </w:tcPr>
          <w:p w14:paraId="2B383EBB">
            <w:pPr>
              <w:widowControl/>
              <w:jc w:val="center"/>
              <w:rPr>
                <w:rFonts w:hint="eastAsia"/>
                <w:szCs w:val="21"/>
                <w:lang w:val="en-US" w:eastAsia="zh-CN"/>
              </w:rPr>
            </w:pPr>
            <w:r>
              <w:rPr>
                <w:kern w:val="0"/>
                <w:szCs w:val="21"/>
              </w:rPr>
              <w:t>ug/m</w:t>
            </w:r>
            <w:r>
              <w:rPr>
                <w:kern w:val="0"/>
                <w:szCs w:val="21"/>
                <w:vertAlign w:val="superscript"/>
              </w:rPr>
              <w:t>3</w:t>
            </w:r>
          </w:p>
        </w:tc>
        <w:tc>
          <w:tcPr>
            <w:tcW w:w="776" w:type="pct"/>
            <w:shd w:val="clear" w:color="000000" w:fill="FFFFFF"/>
            <w:vAlign w:val="center"/>
          </w:tcPr>
          <w:p w14:paraId="136759B2">
            <w:pPr>
              <w:widowControl/>
              <w:jc w:val="center"/>
              <w:rPr>
                <w:rFonts w:hint="eastAsia"/>
                <w:szCs w:val="21"/>
                <w:lang w:val="en-US" w:eastAsia="zh-CN"/>
              </w:rPr>
            </w:pPr>
            <w:r>
              <w:rPr>
                <w:kern w:val="0"/>
                <w:szCs w:val="21"/>
              </w:rPr>
              <w:t>%</w:t>
            </w:r>
          </w:p>
        </w:tc>
      </w:tr>
      <w:tr w14:paraId="79E88E46">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39CB6F21">
            <w:pPr>
              <w:jc w:val="center"/>
              <w:rPr>
                <w:rFonts w:hint="eastAsia"/>
                <w:szCs w:val="21"/>
                <w:lang w:val="en-US" w:eastAsia="zh-CN"/>
              </w:rPr>
            </w:pPr>
            <w:r>
              <w:rPr>
                <w:rFonts w:hint="eastAsia"/>
                <w:szCs w:val="21"/>
                <w:lang w:val="en-US" w:eastAsia="zh-CN"/>
              </w:rPr>
              <w:t>10</w:t>
            </w:r>
          </w:p>
        </w:tc>
        <w:tc>
          <w:tcPr>
            <w:tcW w:w="693" w:type="pct"/>
            <w:gridSpan w:val="2"/>
            <w:shd w:val="clear" w:color="000000" w:fill="FFFFFF"/>
            <w:vAlign w:val="center"/>
          </w:tcPr>
          <w:p w14:paraId="2B096DE7">
            <w:pPr>
              <w:jc w:val="center"/>
              <w:rPr>
                <w:rFonts w:hint="eastAsia"/>
                <w:szCs w:val="21"/>
                <w:lang w:val="en-US" w:eastAsia="zh-CN"/>
              </w:rPr>
            </w:pPr>
            <w:r>
              <w:rPr>
                <w:rFonts w:hint="eastAsia"/>
                <w:szCs w:val="21"/>
                <w:lang w:val="en-US" w:eastAsia="zh-CN"/>
              </w:rPr>
              <w:t>0.000021674</w:t>
            </w:r>
          </w:p>
        </w:tc>
        <w:tc>
          <w:tcPr>
            <w:tcW w:w="775" w:type="pct"/>
            <w:shd w:val="clear" w:color="000000" w:fill="FFFFFF"/>
            <w:vAlign w:val="center"/>
          </w:tcPr>
          <w:p w14:paraId="4FFBC425">
            <w:pPr>
              <w:jc w:val="center"/>
              <w:rPr>
                <w:rFonts w:hint="eastAsia"/>
                <w:szCs w:val="21"/>
                <w:lang w:val="en-US" w:eastAsia="zh-CN"/>
              </w:rPr>
            </w:pPr>
            <w:r>
              <w:rPr>
                <w:rFonts w:hint="eastAsia"/>
                <w:szCs w:val="21"/>
                <w:lang w:val="en-US" w:eastAsia="zh-CN"/>
              </w:rPr>
              <w:t>2.88987E-001</w:t>
            </w:r>
          </w:p>
        </w:tc>
        <w:tc>
          <w:tcPr>
            <w:tcW w:w="693" w:type="pct"/>
            <w:shd w:val="clear" w:color="000000" w:fill="FFFFFF"/>
            <w:vAlign w:val="center"/>
          </w:tcPr>
          <w:p w14:paraId="5C39499F">
            <w:pPr>
              <w:jc w:val="center"/>
              <w:rPr>
                <w:rFonts w:hint="eastAsia"/>
                <w:szCs w:val="21"/>
                <w:lang w:val="en-US" w:eastAsia="zh-CN"/>
              </w:rPr>
            </w:pPr>
            <w:r>
              <w:rPr>
                <w:rFonts w:hint="eastAsia"/>
                <w:szCs w:val="21"/>
                <w:lang w:val="en-US" w:eastAsia="zh-CN"/>
              </w:rPr>
              <w:t>0.00680564</w:t>
            </w:r>
          </w:p>
        </w:tc>
        <w:tc>
          <w:tcPr>
            <w:tcW w:w="689" w:type="pct"/>
            <w:gridSpan w:val="2"/>
            <w:tcBorders>
              <w:right w:val="single" w:color="auto" w:sz="4" w:space="0"/>
            </w:tcBorders>
            <w:shd w:val="clear" w:color="000000" w:fill="FFFFFF"/>
            <w:vAlign w:val="center"/>
          </w:tcPr>
          <w:p w14:paraId="58899454">
            <w:pPr>
              <w:jc w:val="center"/>
              <w:rPr>
                <w:rFonts w:hint="eastAsia"/>
                <w:szCs w:val="21"/>
                <w:lang w:val="en-US" w:eastAsia="zh-CN"/>
              </w:rPr>
            </w:pPr>
            <w:r>
              <w:rPr>
                <w:rFonts w:hint="eastAsia"/>
                <w:szCs w:val="21"/>
                <w:lang w:val="en-US" w:eastAsia="zh-CN"/>
              </w:rPr>
              <w:t>5.67137E-004</w:t>
            </w:r>
          </w:p>
        </w:tc>
        <w:tc>
          <w:tcPr>
            <w:tcW w:w="396" w:type="pct"/>
            <w:tcBorders>
              <w:left w:val="single" w:color="auto" w:sz="4" w:space="0"/>
            </w:tcBorders>
            <w:shd w:val="clear" w:color="000000" w:fill="FFFFFF"/>
            <w:vAlign w:val="center"/>
          </w:tcPr>
          <w:p w14:paraId="3F294CB8">
            <w:pPr>
              <w:jc w:val="center"/>
              <w:rPr>
                <w:rFonts w:hint="eastAsia"/>
                <w:szCs w:val="21"/>
                <w:lang w:val="en-US" w:eastAsia="zh-CN"/>
              </w:rPr>
            </w:pPr>
            <w:r>
              <w:rPr>
                <w:rFonts w:hint="eastAsia"/>
                <w:szCs w:val="21"/>
                <w:lang w:val="en-US" w:eastAsia="zh-CN"/>
              </w:rPr>
              <w:t>10</w:t>
            </w:r>
          </w:p>
        </w:tc>
        <w:tc>
          <w:tcPr>
            <w:tcW w:w="530" w:type="pct"/>
            <w:shd w:val="clear" w:color="000000" w:fill="FFFFFF"/>
            <w:vAlign w:val="center"/>
          </w:tcPr>
          <w:p w14:paraId="73A9D839">
            <w:pPr>
              <w:jc w:val="center"/>
              <w:rPr>
                <w:rFonts w:hint="eastAsia"/>
                <w:szCs w:val="21"/>
                <w:lang w:val="en-US" w:eastAsia="zh-CN"/>
              </w:rPr>
            </w:pPr>
            <w:r>
              <w:rPr>
                <w:rFonts w:hint="eastAsia"/>
                <w:szCs w:val="21"/>
                <w:lang w:val="en-US" w:eastAsia="zh-CN"/>
              </w:rPr>
              <w:t>0.3909</w:t>
            </w:r>
          </w:p>
        </w:tc>
        <w:tc>
          <w:tcPr>
            <w:tcW w:w="776" w:type="pct"/>
            <w:shd w:val="clear" w:color="000000" w:fill="FFFFFF"/>
            <w:vAlign w:val="center"/>
          </w:tcPr>
          <w:p w14:paraId="300E656F">
            <w:pPr>
              <w:jc w:val="center"/>
              <w:rPr>
                <w:rFonts w:hint="eastAsia"/>
                <w:szCs w:val="21"/>
                <w:lang w:val="en-US" w:eastAsia="zh-CN"/>
              </w:rPr>
            </w:pPr>
            <w:r>
              <w:rPr>
                <w:rFonts w:hint="eastAsia"/>
                <w:szCs w:val="21"/>
                <w:lang w:val="en-US" w:eastAsia="zh-CN"/>
              </w:rPr>
              <w:t>8.68667E-002</w:t>
            </w:r>
          </w:p>
        </w:tc>
      </w:tr>
      <w:tr w14:paraId="5DA8C868">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273B7229">
            <w:pPr>
              <w:jc w:val="center"/>
              <w:rPr>
                <w:rFonts w:hint="eastAsia"/>
                <w:b/>
                <w:bCs/>
                <w:szCs w:val="21"/>
                <w:lang w:val="en-US" w:eastAsia="zh-CN"/>
              </w:rPr>
            </w:pPr>
            <w:r>
              <w:rPr>
                <w:rFonts w:hint="eastAsia"/>
                <w:szCs w:val="21"/>
                <w:lang w:val="en-US" w:eastAsia="zh-CN"/>
              </w:rPr>
              <w:t>25</w:t>
            </w:r>
          </w:p>
        </w:tc>
        <w:tc>
          <w:tcPr>
            <w:tcW w:w="693" w:type="pct"/>
            <w:gridSpan w:val="2"/>
            <w:shd w:val="clear" w:color="000000" w:fill="FFFFFF"/>
            <w:vAlign w:val="center"/>
          </w:tcPr>
          <w:p w14:paraId="414ED402">
            <w:pPr>
              <w:jc w:val="center"/>
              <w:rPr>
                <w:rFonts w:hint="eastAsia"/>
                <w:szCs w:val="21"/>
                <w:lang w:val="en-US" w:eastAsia="zh-CN"/>
              </w:rPr>
            </w:pPr>
            <w:r>
              <w:rPr>
                <w:rFonts w:hint="eastAsia"/>
                <w:szCs w:val="21"/>
                <w:lang w:val="en-US" w:eastAsia="zh-CN"/>
              </w:rPr>
              <w:t>0.00041118</w:t>
            </w:r>
          </w:p>
        </w:tc>
        <w:tc>
          <w:tcPr>
            <w:tcW w:w="775" w:type="pct"/>
            <w:shd w:val="clear" w:color="000000" w:fill="FFFFFF"/>
            <w:vAlign w:val="center"/>
          </w:tcPr>
          <w:p w14:paraId="35A59F2F">
            <w:pPr>
              <w:jc w:val="center"/>
              <w:rPr>
                <w:rFonts w:hint="eastAsia"/>
                <w:szCs w:val="21"/>
                <w:lang w:val="en-US" w:eastAsia="zh-CN"/>
              </w:rPr>
            </w:pPr>
            <w:r>
              <w:rPr>
                <w:rFonts w:hint="eastAsia"/>
                <w:szCs w:val="21"/>
                <w:lang w:val="en-US" w:eastAsia="zh-CN"/>
              </w:rPr>
              <w:t>5.48240E+000</w:t>
            </w:r>
          </w:p>
        </w:tc>
        <w:tc>
          <w:tcPr>
            <w:tcW w:w="693" w:type="pct"/>
            <w:shd w:val="clear" w:color="000000" w:fill="FFFFFF"/>
            <w:vAlign w:val="center"/>
          </w:tcPr>
          <w:p w14:paraId="2DE0BEB7">
            <w:pPr>
              <w:jc w:val="center"/>
              <w:rPr>
                <w:rFonts w:hint="eastAsia"/>
                <w:szCs w:val="21"/>
                <w:lang w:val="en-US" w:eastAsia="zh-CN"/>
              </w:rPr>
            </w:pPr>
            <w:r>
              <w:rPr>
                <w:rFonts w:hint="eastAsia"/>
                <w:szCs w:val="21"/>
                <w:lang w:val="en-US" w:eastAsia="zh-CN"/>
              </w:rPr>
              <w:t>0.129111</w:t>
            </w:r>
          </w:p>
        </w:tc>
        <w:tc>
          <w:tcPr>
            <w:tcW w:w="689" w:type="pct"/>
            <w:gridSpan w:val="2"/>
            <w:tcBorders>
              <w:right w:val="single" w:color="auto" w:sz="4" w:space="0"/>
            </w:tcBorders>
            <w:shd w:val="clear" w:color="000000" w:fill="FFFFFF"/>
            <w:vAlign w:val="center"/>
          </w:tcPr>
          <w:p w14:paraId="08345487">
            <w:pPr>
              <w:jc w:val="center"/>
              <w:rPr>
                <w:rFonts w:hint="eastAsia"/>
                <w:szCs w:val="21"/>
                <w:lang w:val="en-US" w:eastAsia="zh-CN"/>
              </w:rPr>
            </w:pPr>
            <w:r>
              <w:rPr>
                <w:rFonts w:hint="eastAsia"/>
                <w:szCs w:val="21"/>
                <w:lang w:val="en-US" w:eastAsia="zh-CN"/>
              </w:rPr>
              <w:t>1.07593E-002</w:t>
            </w:r>
          </w:p>
        </w:tc>
        <w:tc>
          <w:tcPr>
            <w:tcW w:w="396" w:type="pct"/>
            <w:tcBorders>
              <w:left w:val="single" w:color="auto" w:sz="4" w:space="0"/>
            </w:tcBorders>
            <w:shd w:val="clear" w:color="000000" w:fill="FFFFFF"/>
            <w:vAlign w:val="center"/>
          </w:tcPr>
          <w:p w14:paraId="349B084D">
            <w:pPr>
              <w:jc w:val="center"/>
              <w:rPr>
                <w:rFonts w:hint="eastAsia"/>
                <w:szCs w:val="21"/>
                <w:lang w:val="en-US" w:eastAsia="zh-CN"/>
              </w:rPr>
            </w:pPr>
            <w:r>
              <w:rPr>
                <w:rFonts w:hint="eastAsia"/>
                <w:szCs w:val="21"/>
                <w:lang w:val="en-US" w:eastAsia="zh-CN"/>
              </w:rPr>
              <w:t>25</w:t>
            </w:r>
          </w:p>
        </w:tc>
        <w:tc>
          <w:tcPr>
            <w:tcW w:w="530" w:type="pct"/>
            <w:shd w:val="clear" w:color="000000" w:fill="FFFFFF"/>
            <w:vAlign w:val="center"/>
          </w:tcPr>
          <w:p w14:paraId="7074D4D6">
            <w:pPr>
              <w:jc w:val="center"/>
              <w:rPr>
                <w:rFonts w:hint="eastAsia"/>
                <w:szCs w:val="21"/>
                <w:lang w:val="en-US" w:eastAsia="zh-CN"/>
              </w:rPr>
            </w:pPr>
            <w:r>
              <w:rPr>
                <w:rFonts w:hint="eastAsia"/>
                <w:szCs w:val="21"/>
                <w:lang w:val="en-US" w:eastAsia="zh-CN"/>
              </w:rPr>
              <w:t>10.501</w:t>
            </w:r>
          </w:p>
        </w:tc>
        <w:tc>
          <w:tcPr>
            <w:tcW w:w="776" w:type="pct"/>
            <w:shd w:val="clear" w:color="000000" w:fill="FFFFFF"/>
            <w:vAlign w:val="center"/>
          </w:tcPr>
          <w:p w14:paraId="23C2F73F">
            <w:pPr>
              <w:jc w:val="center"/>
              <w:rPr>
                <w:rFonts w:hint="eastAsia"/>
                <w:szCs w:val="21"/>
                <w:lang w:val="en-US" w:eastAsia="zh-CN"/>
              </w:rPr>
            </w:pPr>
            <w:r>
              <w:rPr>
                <w:rFonts w:hint="eastAsia"/>
                <w:szCs w:val="21"/>
                <w:lang w:val="en-US" w:eastAsia="zh-CN"/>
              </w:rPr>
              <w:t>2.33356E+000</w:t>
            </w:r>
          </w:p>
        </w:tc>
      </w:tr>
      <w:tr w14:paraId="5F83DA40">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2A591268">
            <w:pPr>
              <w:jc w:val="center"/>
              <w:rPr>
                <w:rFonts w:hint="eastAsia"/>
                <w:szCs w:val="21"/>
                <w:lang w:val="en-US" w:eastAsia="zh-CN"/>
              </w:rPr>
            </w:pPr>
            <w:r>
              <w:rPr>
                <w:rFonts w:hint="eastAsia"/>
                <w:szCs w:val="21"/>
                <w:lang w:val="en-US" w:eastAsia="zh-CN"/>
              </w:rPr>
              <w:t>50</w:t>
            </w:r>
          </w:p>
        </w:tc>
        <w:tc>
          <w:tcPr>
            <w:tcW w:w="693" w:type="pct"/>
            <w:gridSpan w:val="2"/>
            <w:shd w:val="clear" w:color="000000" w:fill="FFFFFF"/>
            <w:vAlign w:val="center"/>
          </w:tcPr>
          <w:p w14:paraId="6C828C69">
            <w:pPr>
              <w:jc w:val="center"/>
              <w:rPr>
                <w:rFonts w:hint="eastAsia"/>
                <w:szCs w:val="21"/>
                <w:lang w:val="en-US" w:eastAsia="zh-CN"/>
              </w:rPr>
            </w:pPr>
            <w:r>
              <w:rPr>
                <w:rFonts w:hint="eastAsia"/>
                <w:szCs w:val="21"/>
                <w:lang w:val="en-US" w:eastAsia="zh-CN"/>
              </w:rPr>
              <w:t>0.00052761</w:t>
            </w:r>
          </w:p>
        </w:tc>
        <w:tc>
          <w:tcPr>
            <w:tcW w:w="775" w:type="pct"/>
            <w:shd w:val="clear" w:color="000000" w:fill="FFFFFF"/>
            <w:vAlign w:val="center"/>
          </w:tcPr>
          <w:p w14:paraId="56EE51E7">
            <w:pPr>
              <w:jc w:val="center"/>
              <w:rPr>
                <w:rFonts w:hint="eastAsia"/>
                <w:szCs w:val="21"/>
                <w:lang w:val="en-US" w:eastAsia="zh-CN"/>
              </w:rPr>
            </w:pPr>
            <w:r>
              <w:rPr>
                <w:rFonts w:hint="eastAsia"/>
                <w:szCs w:val="21"/>
                <w:lang w:val="en-US" w:eastAsia="zh-CN"/>
              </w:rPr>
              <w:t>7.03480E+000</w:t>
            </w:r>
          </w:p>
        </w:tc>
        <w:tc>
          <w:tcPr>
            <w:tcW w:w="693" w:type="pct"/>
            <w:shd w:val="clear" w:color="000000" w:fill="FFFFFF"/>
            <w:vAlign w:val="center"/>
          </w:tcPr>
          <w:p w14:paraId="72AF2488">
            <w:pPr>
              <w:jc w:val="center"/>
              <w:rPr>
                <w:rFonts w:hint="eastAsia"/>
                <w:szCs w:val="21"/>
                <w:lang w:val="en-US" w:eastAsia="zh-CN"/>
              </w:rPr>
            </w:pPr>
            <w:r>
              <w:rPr>
                <w:rFonts w:hint="eastAsia"/>
                <w:szCs w:val="21"/>
                <w:lang w:val="en-US" w:eastAsia="zh-CN"/>
              </w:rPr>
              <w:t>0.16567</w:t>
            </w:r>
          </w:p>
        </w:tc>
        <w:tc>
          <w:tcPr>
            <w:tcW w:w="689" w:type="pct"/>
            <w:gridSpan w:val="2"/>
            <w:tcBorders>
              <w:right w:val="single" w:color="auto" w:sz="4" w:space="0"/>
            </w:tcBorders>
            <w:shd w:val="clear" w:color="000000" w:fill="FFFFFF"/>
            <w:vAlign w:val="center"/>
          </w:tcPr>
          <w:p w14:paraId="0EBC741E">
            <w:pPr>
              <w:jc w:val="center"/>
              <w:rPr>
                <w:rFonts w:hint="eastAsia"/>
                <w:szCs w:val="21"/>
                <w:lang w:val="en-US" w:eastAsia="zh-CN"/>
              </w:rPr>
            </w:pPr>
            <w:r>
              <w:rPr>
                <w:rFonts w:hint="eastAsia"/>
                <w:szCs w:val="21"/>
                <w:lang w:val="en-US" w:eastAsia="zh-CN"/>
              </w:rPr>
              <w:t>1.38058E-002</w:t>
            </w:r>
          </w:p>
        </w:tc>
        <w:tc>
          <w:tcPr>
            <w:tcW w:w="396" w:type="pct"/>
            <w:tcBorders>
              <w:left w:val="single" w:color="auto" w:sz="4" w:space="0"/>
            </w:tcBorders>
            <w:shd w:val="clear" w:color="000000" w:fill="FFFFFF"/>
            <w:vAlign w:val="center"/>
          </w:tcPr>
          <w:p w14:paraId="68046705">
            <w:pPr>
              <w:jc w:val="center"/>
              <w:rPr>
                <w:rFonts w:hint="eastAsia"/>
                <w:szCs w:val="21"/>
                <w:lang w:val="en-US" w:eastAsia="zh-CN"/>
              </w:rPr>
            </w:pPr>
            <w:r>
              <w:rPr>
                <w:rFonts w:hint="eastAsia"/>
                <w:szCs w:val="21"/>
                <w:lang w:val="en-US" w:eastAsia="zh-CN"/>
              </w:rPr>
              <w:t>50</w:t>
            </w:r>
          </w:p>
        </w:tc>
        <w:tc>
          <w:tcPr>
            <w:tcW w:w="530" w:type="pct"/>
            <w:shd w:val="clear" w:color="000000" w:fill="FFFFFF"/>
            <w:vAlign w:val="center"/>
          </w:tcPr>
          <w:p w14:paraId="4981FD51">
            <w:pPr>
              <w:jc w:val="center"/>
              <w:rPr>
                <w:rFonts w:hint="eastAsia"/>
                <w:szCs w:val="21"/>
                <w:lang w:val="en-US" w:eastAsia="zh-CN"/>
              </w:rPr>
            </w:pPr>
            <w:r>
              <w:rPr>
                <w:rFonts w:hint="eastAsia"/>
                <w:szCs w:val="21"/>
                <w:lang w:val="en-US" w:eastAsia="zh-CN"/>
              </w:rPr>
              <w:t>15.123</w:t>
            </w:r>
          </w:p>
        </w:tc>
        <w:tc>
          <w:tcPr>
            <w:tcW w:w="776" w:type="pct"/>
            <w:shd w:val="clear" w:color="000000" w:fill="FFFFFF"/>
            <w:vAlign w:val="center"/>
          </w:tcPr>
          <w:p w14:paraId="0BC32ABD">
            <w:pPr>
              <w:jc w:val="center"/>
              <w:rPr>
                <w:rFonts w:hint="eastAsia"/>
                <w:szCs w:val="21"/>
                <w:lang w:val="en-US" w:eastAsia="zh-CN"/>
              </w:rPr>
            </w:pPr>
            <w:r>
              <w:rPr>
                <w:rFonts w:hint="eastAsia"/>
                <w:szCs w:val="21"/>
                <w:lang w:val="en-US" w:eastAsia="zh-CN"/>
              </w:rPr>
              <w:t>3.36067E+000</w:t>
            </w:r>
          </w:p>
        </w:tc>
      </w:tr>
      <w:tr w14:paraId="275E6A2F">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224" w:hRule="atLeast"/>
          <w:jc w:val="center"/>
        </w:trPr>
        <w:tc>
          <w:tcPr>
            <w:tcW w:w="443" w:type="pct"/>
            <w:shd w:val="clear" w:color="000000" w:fill="FFFFFF"/>
            <w:vAlign w:val="center"/>
          </w:tcPr>
          <w:p w14:paraId="2C03B93A">
            <w:pPr>
              <w:jc w:val="center"/>
              <w:rPr>
                <w:rFonts w:hint="default"/>
                <w:szCs w:val="21"/>
                <w:lang w:val="en-US" w:eastAsia="zh-CN"/>
              </w:rPr>
            </w:pPr>
            <w:r>
              <w:rPr>
                <w:rFonts w:hint="eastAsia"/>
                <w:b/>
                <w:bCs/>
                <w:szCs w:val="21"/>
                <w:lang w:val="en-US" w:eastAsia="zh-CN"/>
              </w:rPr>
              <w:t>82</w:t>
            </w:r>
          </w:p>
        </w:tc>
        <w:tc>
          <w:tcPr>
            <w:tcW w:w="693" w:type="pct"/>
            <w:gridSpan w:val="2"/>
            <w:shd w:val="clear" w:color="000000" w:fill="FFFFFF"/>
            <w:vAlign w:val="center"/>
          </w:tcPr>
          <w:p w14:paraId="63B46866">
            <w:pPr>
              <w:jc w:val="center"/>
              <w:rPr>
                <w:rFonts w:hint="eastAsia"/>
                <w:b/>
                <w:bCs/>
                <w:szCs w:val="21"/>
                <w:lang w:val="en-US" w:eastAsia="zh-CN"/>
              </w:rPr>
            </w:pPr>
            <w:r>
              <w:rPr>
                <w:rFonts w:hint="eastAsia"/>
                <w:b/>
                <w:bCs/>
                <w:szCs w:val="21"/>
                <w:lang w:val="en-US" w:eastAsia="zh-CN"/>
              </w:rPr>
              <w:t>0.00061803</w:t>
            </w:r>
          </w:p>
        </w:tc>
        <w:tc>
          <w:tcPr>
            <w:tcW w:w="775" w:type="pct"/>
            <w:shd w:val="clear" w:color="000000" w:fill="FFFFFF"/>
            <w:vAlign w:val="center"/>
          </w:tcPr>
          <w:p w14:paraId="294774BF">
            <w:pPr>
              <w:jc w:val="center"/>
              <w:rPr>
                <w:rFonts w:hint="eastAsia"/>
                <w:b/>
                <w:bCs/>
                <w:szCs w:val="21"/>
                <w:lang w:val="en-US" w:eastAsia="zh-CN"/>
              </w:rPr>
            </w:pPr>
            <w:r>
              <w:rPr>
                <w:rFonts w:hint="eastAsia"/>
                <w:b/>
                <w:bCs/>
                <w:szCs w:val="21"/>
                <w:lang w:val="en-US" w:eastAsia="zh-CN"/>
              </w:rPr>
              <w:t>8.24040E+000</w:t>
            </w:r>
          </w:p>
        </w:tc>
        <w:tc>
          <w:tcPr>
            <w:tcW w:w="693" w:type="pct"/>
            <w:shd w:val="clear" w:color="000000" w:fill="FFFFFF"/>
            <w:vAlign w:val="center"/>
          </w:tcPr>
          <w:p w14:paraId="26657A22">
            <w:pPr>
              <w:jc w:val="center"/>
              <w:rPr>
                <w:rFonts w:hint="eastAsia"/>
                <w:b/>
                <w:bCs/>
                <w:szCs w:val="21"/>
                <w:lang w:val="en-US" w:eastAsia="zh-CN"/>
              </w:rPr>
            </w:pPr>
            <w:r>
              <w:rPr>
                <w:rFonts w:hint="eastAsia"/>
                <w:b/>
                <w:bCs/>
                <w:szCs w:val="21"/>
                <w:lang w:val="en-US" w:eastAsia="zh-CN"/>
              </w:rPr>
              <w:t>0.00061803</w:t>
            </w:r>
          </w:p>
        </w:tc>
        <w:tc>
          <w:tcPr>
            <w:tcW w:w="689" w:type="pct"/>
            <w:gridSpan w:val="2"/>
            <w:tcBorders>
              <w:right w:val="single" w:color="auto" w:sz="4" w:space="0"/>
            </w:tcBorders>
            <w:shd w:val="clear" w:color="000000" w:fill="FFFFFF"/>
            <w:vAlign w:val="center"/>
          </w:tcPr>
          <w:p w14:paraId="1D16881B">
            <w:pPr>
              <w:jc w:val="center"/>
              <w:rPr>
                <w:rFonts w:hint="eastAsia"/>
                <w:b/>
                <w:bCs/>
                <w:szCs w:val="21"/>
                <w:lang w:val="en-US" w:eastAsia="zh-CN"/>
              </w:rPr>
            </w:pPr>
            <w:r>
              <w:rPr>
                <w:rFonts w:hint="eastAsia"/>
                <w:b/>
                <w:bCs/>
                <w:szCs w:val="21"/>
                <w:lang w:val="en-US" w:eastAsia="zh-CN"/>
              </w:rPr>
              <w:t>5.15025E-005</w:t>
            </w:r>
          </w:p>
        </w:tc>
        <w:tc>
          <w:tcPr>
            <w:tcW w:w="396" w:type="pct"/>
            <w:tcBorders>
              <w:left w:val="single" w:color="auto" w:sz="4" w:space="0"/>
            </w:tcBorders>
            <w:shd w:val="clear" w:color="000000" w:fill="FFFFFF"/>
            <w:vAlign w:val="center"/>
          </w:tcPr>
          <w:p w14:paraId="4FBEDC6A">
            <w:pPr>
              <w:jc w:val="center"/>
              <w:rPr>
                <w:rFonts w:hint="default"/>
                <w:b w:val="0"/>
                <w:bCs w:val="0"/>
                <w:szCs w:val="21"/>
                <w:lang w:val="en-US" w:eastAsia="zh-CN"/>
              </w:rPr>
            </w:pPr>
            <w:r>
              <w:rPr>
                <w:rFonts w:hint="eastAsia"/>
                <w:b w:val="0"/>
                <w:bCs w:val="0"/>
                <w:szCs w:val="21"/>
                <w:lang w:val="en-US" w:eastAsia="zh-CN"/>
              </w:rPr>
              <w:t>100</w:t>
            </w:r>
          </w:p>
        </w:tc>
        <w:tc>
          <w:tcPr>
            <w:tcW w:w="530" w:type="pct"/>
            <w:shd w:val="clear" w:color="000000" w:fill="FFFFFF"/>
            <w:vAlign w:val="center"/>
          </w:tcPr>
          <w:p w14:paraId="6D0CE8C5">
            <w:pPr>
              <w:jc w:val="center"/>
              <w:rPr>
                <w:rFonts w:hint="eastAsia"/>
                <w:b w:val="0"/>
                <w:bCs w:val="0"/>
                <w:szCs w:val="21"/>
                <w:lang w:val="en-US" w:eastAsia="zh-CN"/>
              </w:rPr>
            </w:pPr>
            <w:r>
              <w:rPr>
                <w:rFonts w:hint="eastAsia"/>
                <w:b w:val="0"/>
                <w:bCs w:val="0"/>
                <w:szCs w:val="21"/>
                <w:lang w:val="en-US" w:eastAsia="zh-CN"/>
              </w:rPr>
              <w:t>30.494</w:t>
            </w:r>
          </w:p>
        </w:tc>
        <w:tc>
          <w:tcPr>
            <w:tcW w:w="776" w:type="pct"/>
            <w:shd w:val="clear" w:color="000000" w:fill="FFFFFF"/>
            <w:vAlign w:val="center"/>
          </w:tcPr>
          <w:p w14:paraId="261D89C5">
            <w:pPr>
              <w:jc w:val="center"/>
              <w:rPr>
                <w:rFonts w:hint="eastAsia"/>
                <w:b w:val="0"/>
                <w:bCs w:val="0"/>
                <w:szCs w:val="21"/>
                <w:lang w:val="en-US" w:eastAsia="zh-CN"/>
              </w:rPr>
            </w:pPr>
            <w:r>
              <w:rPr>
                <w:rFonts w:hint="eastAsia"/>
                <w:b w:val="0"/>
                <w:bCs w:val="0"/>
                <w:szCs w:val="21"/>
                <w:lang w:val="en-US" w:eastAsia="zh-CN"/>
              </w:rPr>
              <w:t>6.77644E+000</w:t>
            </w:r>
          </w:p>
        </w:tc>
      </w:tr>
      <w:tr w14:paraId="021DF538">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3692DA2D">
            <w:pPr>
              <w:jc w:val="center"/>
              <w:rPr>
                <w:rFonts w:hint="eastAsia"/>
                <w:szCs w:val="21"/>
                <w:lang w:val="en-US" w:eastAsia="zh-CN"/>
              </w:rPr>
            </w:pPr>
            <w:r>
              <w:rPr>
                <w:rFonts w:hint="eastAsia"/>
                <w:szCs w:val="21"/>
                <w:lang w:val="en-US" w:eastAsia="zh-CN"/>
              </w:rPr>
              <w:t>100</w:t>
            </w:r>
          </w:p>
        </w:tc>
        <w:tc>
          <w:tcPr>
            <w:tcW w:w="693" w:type="pct"/>
            <w:gridSpan w:val="2"/>
            <w:shd w:val="clear" w:color="000000" w:fill="FFFFFF"/>
            <w:vAlign w:val="center"/>
          </w:tcPr>
          <w:p w14:paraId="36827ACA">
            <w:pPr>
              <w:jc w:val="center"/>
              <w:rPr>
                <w:rFonts w:hint="eastAsia"/>
                <w:szCs w:val="21"/>
                <w:lang w:val="en-US" w:eastAsia="zh-CN"/>
              </w:rPr>
            </w:pPr>
            <w:r>
              <w:rPr>
                <w:rFonts w:hint="eastAsia"/>
                <w:szCs w:val="21"/>
                <w:lang w:val="en-US" w:eastAsia="zh-CN"/>
              </w:rPr>
              <w:t>0.00058785</w:t>
            </w:r>
          </w:p>
        </w:tc>
        <w:tc>
          <w:tcPr>
            <w:tcW w:w="775" w:type="pct"/>
            <w:shd w:val="clear" w:color="000000" w:fill="FFFFFF"/>
            <w:vAlign w:val="center"/>
          </w:tcPr>
          <w:p w14:paraId="2BFB4B0D">
            <w:pPr>
              <w:jc w:val="center"/>
              <w:rPr>
                <w:rFonts w:hint="eastAsia"/>
                <w:szCs w:val="21"/>
                <w:lang w:val="en-US" w:eastAsia="zh-CN"/>
              </w:rPr>
            </w:pPr>
            <w:r>
              <w:rPr>
                <w:rFonts w:hint="eastAsia"/>
                <w:szCs w:val="21"/>
                <w:lang w:val="en-US" w:eastAsia="zh-CN"/>
              </w:rPr>
              <w:t>7.83800E+000</w:t>
            </w:r>
          </w:p>
        </w:tc>
        <w:tc>
          <w:tcPr>
            <w:tcW w:w="693" w:type="pct"/>
            <w:shd w:val="clear" w:color="000000" w:fill="FFFFFF"/>
            <w:vAlign w:val="center"/>
          </w:tcPr>
          <w:p w14:paraId="69118CB0">
            <w:pPr>
              <w:jc w:val="center"/>
              <w:rPr>
                <w:rFonts w:hint="eastAsia"/>
                <w:szCs w:val="21"/>
                <w:lang w:val="en-US" w:eastAsia="zh-CN"/>
              </w:rPr>
            </w:pPr>
            <w:r>
              <w:rPr>
                <w:rFonts w:hint="eastAsia"/>
                <w:szCs w:val="21"/>
                <w:lang w:val="en-US" w:eastAsia="zh-CN"/>
              </w:rPr>
              <w:t>0.184585</w:t>
            </w:r>
          </w:p>
        </w:tc>
        <w:tc>
          <w:tcPr>
            <w:tcW w:w="689" w:type="pct"/>
            <w:gridSpan w:val="2"/>
            <w:tcBorders>
              <w:right w:val="single" w:color="auto" w:sz="4" w:space="0"/>
            </w:tcBorders>
            <w:shd w:val="clear" w:color="000000" w:fill="FFFFFF"/>
            <w:vAlign w:val="center"/>
          </w:tcPr>
          <w:p w14:paraId="2F6D6999">
            <w:pPr>
              <w:jc w:val="center"/>
              <w:rPr>
                <w:rFonts w:hint="eastAsia"/>
                <w:szCs w:val="21"/>
                <w:lang w:val="en-US" w:eastAsia="zh-CN"/>
              </w:rPr>
            </w:pPr>
            <w:r>
              <w:rPr>
                <w:rFonts w:hint="eastAsia"/>
                <w:szCs w:val="21"/>
                <w:lang w:val="en-US" w:eastAsia="zh-CN"/>
              </w:rPr>
              <w:t>1.53821E-002</w:t>
            </w:r>
          </w:p>
        </w:tc>
        <w:tc>
          <w:tcPr>
            <w:tcW w:w="396" w:type="pct"/>
            <w:tcBorders>
              <w:left w:val="single" w:color="auto" w:sz="4" w:space="0"/>
            </w:tcBorders>
            <w:shd w:val="clear" w:color="000000" w:fill="FFFFFF"/>
            <w:vAlign w:val="center"/>
          </w:tcPr>
          <w:p w14:paraId="74D29D33">
            <w:pPr>
              <w:jc w:val="center"/>
              <w:rPr>
                <w:rFonts w:hint="default"/>
                <w:b/>
                <w:bCs/>
                <w:szCs w:val="21"/>
                <w:lang w:val="en-US" w:eastAsia="zh-CN"/>
              </w:rPr>
            </w:pPr>
            <w:r>
              <w:rPr>
                <w:rFonts w:hint="eastAsia"/>
                <w:b/>
                <w:bCs/>
                <w:szCs w:val="21"/>
                <w:lang w:val="en-US" w:eastAsia="zh-CN"/>
              </w:rPr>
              <w:t>166</w:t>
            </w:r>
          </w:p>
        </w:tc>
        <w:tc>
          <w:tcPr>
            <w:tcW w:w="530" w:type="pct"/>
            <w:shd w:val="clear" w:color="000000" w:fill="FFFFFF"/>
            <w:vAlign w:val="center"/>
          </w:tcPr>
          <w:p w14:paraId="475EE84F">
            <w:pPr>
              <w:jc w:val="center"/>
              <w:rPr>
                <w:rFonts w:hint="eastAsia"/>
                <w:b/>
                <w:bCs/>
                <w:szCs w:val="21"/>
                <w:lang w:val="en-US" w:eastAsia="zh-CN"/>
              </w:rPr>
            </w:pPr>
            <w:r>
              <w:rPr>
                <w:rFonts w:hint="eastAsia"/>
                <w:b/>
                <w:bCs/>
                <w:szCs w:val="21"/>
                <w:lang w:val="en-US" w:eastAsia="zh-CN"/>
              </w:rPr>
              <w:t>39.223</w:t>
            </w:r>
          </w:p>
        </w:tc>
        <w:tc>
          <w:tcPr>
            <w:tcW w:w="776" w:type="pct"/>
            <w:shd w:val="clear" w:color="000000" w:fill="FFFFFF"/>
            <w:vAlign w:val="center"/>
          </w:tcPr>
          <w:p w14:paraId="778198C8">
            <w:pPr>
              <w:jc w:val="center"/>
              <w:rPr>
                <w:rFonts w:hint="eastAsia"/>
                <w:b/>
                <w:bCs/>
                <w:szCs w:val="21"/>
                <w:lang w:val="en-US" w:eastAsia="zh-CN"/>
              </w:rPr>
            </w:pPr>
            <w:r>
              <w:rPr>
                <w:rFonts w:hint="eastAsia"/>
                <w:b/>
                <w:bCs/>
                <w:szCs w:val="21"/>
                <w:lang w:val="en-US" w:eastAsia="zh-CN"/>
              </w:rPr>
              <w:t>8.71622E+000</w:t>
            </w:r>
          </w:p>
        </w:tc>
      </w:tr>
      <w:tr w14:paraId="726EBF59">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69FA5A16">
            <w:pPr>
              <w:jc w:val="center"/>
              <w:rPr>
                <w:rFonts w:hint="eastAsia"/>
                <w:szCs w:val="21"/>
                <w:lang w:val="en-US" w:eastAsia="zh-CN"/>
              </w:rPr>
            </w:pPr>
            <w:r>
              <w:rPr>
                <w:rFonts w:hint="eastAsia"/>
                <w:szCs w:val="21"/>
                <w:lang w:val="en-US" w:eastAsia="zh-CN"/>
              </w:rPr>
              <w:t>200</w:t>
            </w:r>
          </w:p>
        </w:tc>
        <w:tc>
          <w:tcPr>
            <w:tcW w:w="693" w:type="pct"/>
            <w:gridSpan w:val="2"/>
            <w:shd w:val="clear" w:color="000000" w:fill="FFFFFF"/>
            <w:vAlign w:val="center"/>
          </w:tcPr>
          <w:p w14:paraId="3164997D">
            <w:pPr>
              <w:jc w:val="center"/>
              <w:rPr>
                <w:rFonts w:hint="eastAsia"/>
                <w:szCs w:val="21"/>
                <w:lang w:val="en-US" w:eastAsia="zh-CN"/>
              </w:rPr>
            </w:pPr>
            <w:r>
              <w:rPr>
                <w:rFonts w:hint="eastAsia"/>
                <w:szCs w:val="21"/>
                <w:lang w:val="en-US" w:eastAsia="zh-CN"/>
              </w:rPr>
              <w:t>0.0005116</w:t>
            </w:r>
          </w:p>
        </w:tc>
        <w:tc>
          <w:tcPr>
            <w:tcW w:w="775" w:type="pct"/>
            <w:shd w:val="clear" w:color="000000" w:fill="FFFFFF"/>
            <w:vAlign w:val="center"/>
          </w:tcPr>
          <w:p w14:paraId="592051FC">
            <w:pPr>
              <w:jc w:val="center"/>
              <w:rPr>
                <w:rFonts w:hint="eastAsia"/>
                <w:szCs w:val="21"/>
                <w:lang w:val="en-US" w:eastAsia="zh-CN"/>
              </w:rPr>
            </w:pPr>
            <w:r>
              <w:rPr>
                <w:rFonts w:hint="eastAsia"/>
                <w:szCs w:val="21"/>
                <w:lang w:val="en-US" w:eastAsia="zh-CN"/>
              </w:rPr>
              <w:t>6.82133E+000</w:t>
            </w:r>
          </w:p>
        </w:tc>
        <w:tc>
          <w:tcPr>
            <w:tcW w:w="693" w:type="pct"/>
            <w:shd w:val="clear" w:color="000000" w:fill="FFFFFF"/>
            <w:vAlign w:val="center"/>
          </w:tcPr>
          <w:p w14:paraId="5CCB9CFE">
            <w:pPr>
              <w:jc w:val="center"/>
              <w:rPr>
                <w:rFonts w:hint="eastAsia"/>
                <w:szCs w:val="21"/>
                <w:lang w:val="en-US" w:eastAsia="zh-CN"/>
              </w:rPr>
            </w:pPr>
            <w:r>
              <w:rPr>
                <w:rFonts w:hint="eastAsia"/>
                <w:szCs w:val="21"/>
                <w:lang w:val="en-US" w:eastAsia="zh-CN"/>
              </w:rPr>
              <w:t>0.160642</w:t>
            </w:r>
          </w:p>
        </w:tc>
        <w:tc>
          <w:tcPr>
            <w:tcW w:w="689" w:type="pct"/>
            <w:gridSpan w:val="2"/>
            <w:tcBorders>
              <w:right w:val="single" w:color="auto" w:sz="4" w:space="0"/>
            </w:tcBorders>
            <w:shd w:val="clear" w:color="000000" w:fill="FFFFFF"/>
            <w:vAlign w:val="center"/>
          </w:tcPr>
          <w:p w14:paraId="35B361C5">
            <w:pPr>
              <w:jc w:val="center"/>
              <w:rPr>
                <w:rFonts w:hint="eastAsia"/>
                <w:szCs w:val="21"/>
                <w:lang w:val="en-US" w:eastAsia="zh-CN"/>
              </w:rPr>
            </w:pPr>
            <w:r>
              <w:rPr>
                <w:rFonts w:hint="eastAsia"/>
                <w:szCs w:val="21"/>
                <w:lang w:val="en-US" w:eastAsia="zh-CN"/>
              </w:rPr>
              <w:t>1.33868E-002</w:t>
            </w:r>
          </w:p>
        </w:tc>
        <w:tc>
          <w:tcPr>
            <w:tcW w:w="396" w:type="pct"/>
            <w:tcBorders>
              <w:left w:val="single" w:color="auto" w:sz="4" w:space="0"/>
            </w:tcBorders>
            <w:shd w:val="clear" w:color="000000" w:fill="FFFFFF"/>
            <w:vAlign w:val="center"/>
          </w:tcPr>
          <w:p w14:paraId="39C1E290">
            <w:pPr>
              <w:jc w:val="center"/>
              <w:rPr>
                <w:rFonts w:hint="eastAsia"/>
                <w:szCs w:val="21"/>
                <w:lang w:val="en-US" w:eastAsia="zh-CN"/>
              </w:rPr>
            </w:pPr>
            <w:r>
              <w:rPr>
                <w:rFonts w:hint="eastAsia"/>
                <w:szCs w:val="21"/>
                <w:lang w:val="en-US" w:eastAsia="zh-CN"/>
              </w:rPr>
              <w:t>200</w:t>
            </w:r>
          </w:p>
        </w:tc>
        <w:tc>
          <w:tcPr>
            <w:tcW w:w="530" w:type="pct"/>
            <w:shd w:val="clear" w:color="000000" w:fill="FFFFFF"/>
            <w:vAlign w:val="center"/>
          </w:tcPr>
          <w:p w14:paraId="47EC7DB3">
            <w:pPr>
              <w:jc w:val="center"/>
              <w:rPr>
                <w:rFonts w:hint="eastAsia"/>
                <w:szCs w:val="21"/>
                <w:lang w:val="en-US" w:eastAsia="zh-CN"/>
              </w:rPr>
            </w:pPr>
            <w:r>
              <w:rPr>
                <w:rFonts w:hint="eastAsia"/>
                <w:szCs w:val="21"/>
                <w:lang w:val="en-US" w:eastAsia="zh-CN"/>
              </w:rPr>
              <w:t>38.976</w:t>
            </w:r>
          </w:p>
        </w:tc>
        <w:tc>
          <w:tcPr>
            <w:tcW w:w="776" w:type="pct"/>
            <w:shd w:val="clear" w:color="000000" w:fill="FFFFFF"/>
            <w:vAlign w:val="center"/>
          </w:tcPr>
          <w:p w14:paraId="1E06AB5F">
            <w:pPr>
              <w:jc w:val="center"/>
              <w:rPr>
                <w:rFonts w:hint="eastAsia"/>
                <w:szCs w:val="21"/>
                <w:lang w:val="en-US" w:eastAsia="zh-CN"/>
              </w:rPr>
            </w:pPr>
            <w:r>
              <w:rPr>
                <w:rFonts w:hint="eastAsia"/>
                <w:szCs w:val="21"/>
                <w:lang w:val="en-US" w:eastAsia="zh-CN"/>
              </w:rPr>
              <w:t>8.66133E+000</w:t>
            </w:r>
          </w:p>
        </w:tc>
      </w:tr>
      <w:tr w14:paraId="3C85A61C">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3E5E8A70">
            <w:pPr>
              <w:jc w:val="center"/>
              <w:rPr>
                <w:rFonts w:hint="eastAsia"/>
                <w:szCs w:val="21"/>
                <w:lang w:val="en-US" w:eastAsia="zh-CN"/>
              </w:rPr>
            </w:pPr>
            <w:r>
              <w:rPr>
                <w:rFonts w:hint="eastAsia"/>
                <w:szCs w:val="21"/>
                <w:lang w:val="en-US" w:eastAsia="zh-CN"/>
              </w:rPr>
              <w:t>300</w:t>
            </w:r>
          </w:p>
        </w:tc>
        <w:tc>
          <w:tcPr>
            <w:tcW w:w="693" w:type="pct"/>
            <w:gridSpan w:val="2"/>
            <w:shd w:val="clear" w:color="000000" w:fill="FFFFFF"/>
            <w:vAlign w:val="center"/>
          </w:tcPr>
          <w:p w14:paraId="505014D0">
            <w:pPr>
              <w:jc w:val="center"/>
              <w:rPr>
                <w:rFonts w:hint="eastAsia"/>
                <w:szCs w:val="21"/>
                <w:lang w:val="en-US" w:eastAsia="zh-CN"/>
              </w:rPr>
            </w:pPr>
            <w:r>
              <w:rPr>
                <w:rFonts w:hint="eastAsia"/>
                <w:szCs w:val="21"/>
                <w:lang w:val="en-US" w:eastAsia="zh-CN"/>
              </w:rPr>
              <w:t>0.00051967</w:t>
            </w:r>
          </w:p>
        </w:tc>
        <w:tc>
          <w:tcPr>
            <w:tcW w:w="775" w:type="pct"/>
            <w:shd w:val="clear" w:color="000000" w:fill="FFFFFF"/>
            <w:vAlign w:val="center"/>
          </w:tcPr>
          <w:p w14:paraId="0D675ACF">
            <w:pPr>
              <w:jc w:val="center"/>
              <w:rPr>
                <w:rFonts w:hint="eastAsia"/>
                <w:szCs w:val="21"/>
                <w:lang w:val="en-US" w:eastAsia="zh-CN"/>
              </w:rPr>
            </w:pPr>
            <w:r>
              <w:rPr>
                <w:rFonts w:hint="eastAsia"/>
                <w:szCs w:val="21"/>
                <w:lang w:val="en-US" w:eastAsia="zh-CN"/>
              </w:rPr>
              <w:t>6.92893E+000</w:t>
            </w:r>
          </w:p>
        </w:tc>
        <w:tc>
          <w:tcPr>
            <w:tcW w:w="693" w:type="pct"/>
            <w:shd w:val="clear" w:color="000000" w:fill="FFFFFF"/>
            <w:vAlign w:val="center"/>
          </w:tcPr>
          <w:p w14:paraId="197D6C3D">
            <w:pPr>
              <w:jc w:val="center"/>
              <w:rPr>
                <w:rFonts w:hint="eastAsia"/>
                <w:szCs w:val="21"/>
                <w:lang w:val="en-US" w:eastAsia="zh-CN"/>
              </w:rPr>
            </w:pPr>
            <w:r>
              <w:rPr>
                <w:rFonts w:hint="eastAsia"/>
                <w:szCs w:val="21"/>
                <w:lang w:val="en-US" w:eastAsia="zh-CN"/>
              </w:rPr>
              <w:t>0.163176</w:t>
            </w:r>
          </w:p>
        </w:tc>
        <w:tc>
          <w:tcPr>
            <w:tcW w:w="689" w:type="pct"/>
            <w:gridSpan w:val="2"/>
            <w:tcBorders>
              <w:right w:val="single" w:color="auto" w:sz="4" w:space="0"/>
            </w:tcBorders>
            <w:shd w:val="clear" w:color="000000" w:fill="FFFFFF"/>
            <w:vAlign w:val="center"/>
          </w:tcPr>
          <w:p w14:paraId="24C9BDC6">
            <w:pPr>
              <w:jc w:val="center"/>
              <w:rPr>
                <w:rFonts w:hint="eastAsia"/>
                <w:szCs w:val="21"/>
                <w:lang w:val="en-US" w:eastAsia="zh-CN"/>
              </w:rPr>
            </w:pPr>
            <w:r>
              <w:rPr>
                <w:rFonts w:hint="eastAsia"/>
                <w:szCs w:val="21"/>
                <w:lang w:val="en-US" w:eastAsia="zh-CN"/>
              </w:rPr>
              <w:t>1.35980E-002</w:t>
            </w:r>
          </w:p>
        </w:tc>
        <w:tc>
          <w:tcPr>
            <w:tcW w:w="396" w:type="pct"/>
            <w:tcBorders>
              <w:left w:val="single" w:color="auto" w:sz="4" w:space="0"/>
            </w:tcBorders>
            <w:shd w:val="clear" w:color="000000" w:fill="FFFFFF"/>
            <w:vAlign w:val="center"/>
          </w:tcPr>
          <w:p w14:paraId="31DA7356">
            <w:pPr>
              <w:jc w:val="center"/>
              <w:rPr>
                <w:rFonts w:hint="eastAsia"/>
                <w:szCs w:val="21"/>
                <w:lang w:val="en-US" w:eastAsia="zh-CN"/>
              </w:rPr>
            </w:pPr>
            <w:r>
              <w:rPr>
                <w:rFonts w:hint="eastAsia"/>
                <w:szCs w:val="21"/>
                <w:lang w:val="en-US" w:eastAsia="zh-CN"/>
              </w:rPr>
              <w:t>300</w:t>
            </w:r>
          </w:p>
        </w:tc>
        <w:tc>
          <w:tcPr>
            <w:tcW w:w="530" w:type="pct"/>
            <w:shd w:val="clear" w:color="000000" w:fill="FFFFFF"/>
            <w:vAlign w:val="center"/>
          </w:tcPr>
          <w:p w14:paraId="09323ACF">
            <w:pPr>
              <w:jc w:val="center"/>
              <w:rPr>
                <w:rFonts w:hint="eastAsia"/>
                <w:szCs w:val="21"/>
                <w:lang w:val="en-US" w:eastAsia="zh-CN"/>
              </w:rPr>
            </w:pPr>
            <w:r>
              <w:rPr>
                <w:rFonts w:hint="eastAsia"/>
                <w:szCs w:val="21"/>
                <w:lang w:val="en-US" w:eastAsia="zh-CN"/>
              </w:rPr>
              <w:t>34.377</w:t>
            </w:r>
          </w:p>
        </w:tc>
        <w:tc>
          <w:tcPr>
            <w:tcW w:w="776" w:type="pct"/>
            <w:shd w:val="clear" w:color="000000" w:fill="FFFFFF"/>
            <w:vAlign w:val="center"/>
          </w:tcPr>
          <w:p w14:paraId="1616EE25">
            <w:pPr>
              <w:jc w:val="center"/>
              <w:rPr>
                <w:rFonts w:hint="eastAsia"/>
                <w:szCs w:val="21"/>
                <w:lang w:val="en-US" w:eastAsia="zh-CN"/>
              </w:rPr>
            </w:pPr>
            <w:r>
              <w:rPr>
                <w:rFonts w:hint="eastAsia"/>
                <w:szCs w:val="21"/>
                <w:lang w:val="en-US" w:eastAsia="zh-CN"/>
              </w:rPr>
              <w:t>7.63933E+000</w:t>
            </w:r>
          </w:p>
        </w:tc>
      </w:tr>
      <w:tr w14:paraId="44AFF906">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294F763E">
            <w:pPr>
              <w:jc w:val="center"/>
              <w:rPr>
                <w:rFonts w:hint="eastAsia"/>
                <w:szCs w:val="21"/>
                <w:lang w:val="en-US" w:eastAsia="zh-CN"/>
              </w:rPr>
            </w:pPr>
            <w:r>
              <w:rPr>
                <w:rFonts w:hint="eastAsia"/>
                <w:szCs w:val="21"/>
                <w:lang w:val="en-US" w:eastAsia="zh-CN"/>
              </w:rPr>
              <w:t>400</w:t>
            </w:r>
          </w:p>
        </w:tc>
        <w:tc>
          <w:tcPr>
            <w:tcW w:w="693" w:type="pct"/>
            <w:gridSpan w:val="2"/>
            <w:shd w:val="clear" w:color="000000" w:fill="FFFFFF"/>
            <w:vAlign w:val="center"/>
          </w:tcPr>
          <w:p w14:paraId="2FBF9BE3">
            <w:pPr>
              <w:jc w:val="center"/>
              <w:rPr>
                <w:rFonts w:hint="eastAsia"/>
                <w:szCs w:val="21"/>
                <w:lang w:val="en-US" w:eastAsia="zh-CN"/>
              </w:rPr>
            </w:pPr>
            <w:r>
              <w:rPr>
                <w:rFonts w:hint="eastAsia"/>
                <w:szCs w:val="21"/>
                <w:lang w:val="en-US" w:eastAsia="zh-CN"/>
              </w:rPr>
              <w:t>0.00051581</w:t>
            </w:r>
          </w:p>
        </w:tc>
        <w:tc>
          <w:tcPr>
            <w:tcW w:w="775" w:type="pct"/>
            <w:shd w:val="clear" w:color="000000" w:fill="FFFFFF"/>
            <w:vAlign w:val="center"/>
          </w:tcPr>
          <w:p w14:paraId="72842AE3">
            <w:pPr>
              <w:jc w:val="center"/>
              <w:rPr>
                <w:rFonts w:hint="eastAsia"/>
                <w:szCs w:val="21"/>
                <w:lang w:val="en-US" w:eastAsia="zh-CN"/>
              </w:rPr>
            </w:pPr>
            <w:r>
              <w:rPr>
                <w:rFonts w:hint="eastAsia"/>
                <w:szCs w:val="21"/>
                <w:lang w:val="en-US" w:eastAsia="zh-CN"/>
              </w:rPr>
              <w:t>6.87747E+000</w:t>
            </w:r>
          </w:p>
        </w:tc>
        <w:tc>
          <w:tcPr>
            <w:tcW w:w="693" w:type="pct"/>
            <w:shd w:val="clear" w:color="000000" w:fill="FFFFFF"/>
            <w:vAlign w:val="center"/>
          </w:tcPr>
          <w:p w14:paraId="18B40D27">
            <w:pPr>
              <w:jc w:val="center"/>
              <w:rPr>
                <w:rFonts w:hint="eastAsia"/>
                <w:szCs w:val="21"/>
                <w:lang w:val="en-US" w:eastAsia="zh-CN"/>
              </w:rPr>
            </w:pPr>
            <w:r>
              <w:rPr>
                <w:rFonts w:hint="eastAsia"/>
                <w:szCs w:val="21"/>
                <w:lang w:val="en-US" w:eastAsia="zh-CN"/>
              </w:rPr>
              <w:t>0.161964</w:t>
            </w:r>
          </w:p>
        </w:tc>
        <w:tc>
          <w:tcPr>
            <w:tcW w:w="689" w:type="pct"/>
            <w:gridSpan w:val="2"/>
            <w:tcBorders>
              <w:right w:val="single" w:color="auto" w:sz="4" w:space="0"/>
            </w:tcBorders>
            <w:shd w:val="clear" w:color="000000" w:fill="FFFFFF"/>
            <w:vAlign w:val="center"/>
          </w:tcPr>
          <w:p w14:paraId="7E455675">
            <w:pPr>
              <w:jc w:val="center"/>
              <w:rPr>
                <w:rFonts w:hint="eastAsia"/>
                <w:szCs w:val="21"/>
                <w:lang w:val="en-US" w:eastAsia="zh-CN"/>
              </w:rPr>
            </w:pPr>
            <w:r>
              <w:rPr>
                <w:rFonts w:hint="eastAsia"/>
                <w:szCs w:val="21"/>
                <w:lang w:val="en-US" w:eastAsia="zh-CN"/>
              </w:rPr>
              <w:t>1.34970E-002</w:t>
            </w:r>
          </w:p>
        </w:tc>
        <w:tc>
          <w:tcPr>
            <w:tcW w:w="396" w:type="pct"/>
            <w:tcBorders>
              <w:left w:val="single" w:color="auto" w:sz="4" w:space="0"/>
            </w:tcBorders>
            <w:shd w:val="clear" w:color="000000" w:fill="FFFFFF"/>
            <w:vAlign w:val="center"/>
          </w:tcPr>
          <w:p w14:paraId="1DA3DE21">
            <w:pPr>
              <w:jc w:val="center"/>
              <w:rPr>
                <w:rFonts w:hint="eastAsia"/>
                <w:szCs w:val="21"/>
                <w:lang w:val="en-US" w:eastAsia="zh-CN"/>
              </w:rPr>
            </w:pPr>
            <w:r>
              <w:rPr>
                <w:rFonts w:hint="eastAsia"/>
                <w:szCs w:val="21"/>
                <w:lang w:val="en-US" w:eastAsia="zh-CN"/>
              </w:rPr>
              <w:t>400</w:t>
            </w:r>
          </w:p>
        </w:tc>
        <w:tc>
          <w:tcPr>
            <w:tcW w:w="530" w:type="pct"/>
            <w:shd w:val="clear" w:color="000000" w:fill="FFFFFF"/>
            <w:vAlign w:val="center"/>
          </w:tcPr>
          <w:p w14:paraId="582082C7">
            <w:pPr>
              <w:jc w:val="center"/>
              <w:rPr>
                <w:rFonts w:hint="eastAsia"/>
                <w:szCs w:val="21"/>
                <w:lang w:val="en-US" w:eastAsia="zh-CN"/>
              </w:rPr>
            </w:pPr>
            <w:r>
              <w:rPr>
                <w:rFonts w:hint="eastAsia"/>
                <w:szCs w:val="21"/>
                <w:lang w:val="en-US" w:eastAsia="zh-CN"/>
              </w:rPr>
              <w:t>31.999</w:t>
            </w:r>
          </w:p>
        </w:tc>
        <w:tc>
          <w:tcPr>
            <w:tcW w:w="776" w:type="pct"/>
            <w:shd w:val="clear" w:color="000000" w:fill="FFFFFF"/>
            <w:vAlign w:val="center"/>
          </w:tcPr>
          <w:p w14:paraId="25580C5D">
            <w:pPr>
              <w:jc w:val="center"/>
              <w:rPr>
                <w:rFonts w:hint="eastAsia"/>
                <w:szCs w:val="21"/>
                <w:lang w:val="en-US" w:eastAsia="zh-CN"/>
              </w:rPr>
            </w:pPr>
            <w:r>
              <w:rPr>
                <w:rFonts w:hint="eastAsia"/>
                <w:szCs w:val="21"/>
                <w:lang w:val="en-US" w:eastAsia="zh-CN"/>
              </w:rPr>
              <w:t>7.11089E+000</w:t>
            </w:r>
          </w:p>
        </w:tc>
      </w:tr>
      <w:tr w14:paraId="4FA14E01">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2B30B1C0">
            <w:pPr>
              <w:jc w:val="center"/>
              <w:rPr>
                <w:rFonts w:hint="eastAsia"/>
                <w:szCs w:val="21"/>
                <w:lang w:val="en-US" w:eastAsia="zh-CN"/>
              </w:rPr>
            </w:pPr>
            <w:r>
              <w:rPr>
                <w:rFonts w:hint="eastAsia"/>
                <w:szCs w:val="21"/>
                <w:lang w:val="en-US" w:eastAsia="zh-CN"/>
              </w:rPr>
              <w:t>500</w:t>
            </w:r>
          </w:p>
        </w:tc>
        <w:tc>
          <w:tcPr>
            <w:tcW w:w="693" w:type="pct"/>
            <w:gridSpan w:val="2"/>
            <w:shd w:val="clear" w:color="000000" w:fill="FFFFFF"/>
            <w:vAlign w:val="center"/>
          </w:tcPr>
          <w:p w14:paraId="58258636">
            <w:pPr>
              <w:jc w:val="center"/>
              <w:rPr>
                <w:rFonts w:hint="eastAsia"/>
                <w:szCs w:val="21"/>
                <w:lang w:val="en-US" w:eastAsia="zh-CN"/>
              </w:rPr>
            </w:pPr>
            <w:r>
              <w:rPr>
                <w:rFonts w:hint="eastAsia"/>
                <w:szCs w:val="21"/>
                <w:lang w:val="en-US" w:eastAsia="zh-CN"/>
              </w:rPr>
              <w:t>0.00046722</w:t>
            </w:r>
          </w:p>
        </w:tc>
        <w:tc>
          <w:tcPr>
            <w:tcW w:w="775" w:type="pct"/>
            <w:shd w:val="clear" w:color="000000" w:fill="FFFFFF"/>
            <w:vAlign w:val="center"/>
          </w:tcPr>
          <w:p w14:paraId="2D0519E7">
            <w:pPr>
              <w:jc w:val="center"/>
              <w:rPr>
                <w:rFonts w:hint="eastAsia"/>
                <w:szCs w:val="21"/>
                <w:lang w:val="en-US" w:eastAsia="zh-CN"/>
              </w:rPr>
            </w:pPr>
            <w:r>
              <w:rPr>
                <w:rFonts w:hint="eastAsia"/>
                <w:szCs w:val="21"/>
                <w:lang w:val="en-US" w:eastAsia="zh-CN"/>
              </w:rPr>
              <w:t>6.22960E+000</w:t>
            </w:r>
          </w:p>
        </w:tc>
        <w:tc>
          <w:tcPr>
            <w:tcW w:w="693" w:type="pct"/>
            <w:shd w:val="clear" w:color="000000" w:fill="FFFFFF"/>
            <w:vAlign w:val="center"/>
          </w:tcPr>
          <w:p w14:paraId="2EDA0A01">
            <w:pPr>
              <w:jc w:val="center"/>
              <w:rPr>
                <w:rFonts w:hint="eastAsia"/>
                <w:szCs w:val="21"/>
                <w:lang w:val="en-US" w:eastAsia="zh-CN"/>
              </w:rPr>
            </w:pPr>
            <w:r>
              <w:rPr>
                <w:rFonts w:hint="eastAsia"/>
                <w:szCs w:val="21"/>
                <w:lang w:val="en-US" w:eastAsia="zh-CN"/>
              </w:rPr>
              <w:t>0.146707</w:t>
            </w:r>
          </w:p>
        </w:tc>
        <w:tc>
          <w:tcPr>
            <w:tcW w:w="689" w:type="pct"/>
            <w:gridSpan w:val="2"/>
            <w:tcBorders>
              <w:right w:val="single" w:color="auto" w:sz="4" w:space="0"/>
            </w:tcBorders>
            <w:shd w:val="clear" w:color="000000" w:fill="FFFFFF"/>
            <w:vAlign w:val="center"/>
          </w:tcPr>
          <w:p w14:paraId="59114570">
            <w:pPr>
              <w:jc w:val="center"/>
              <w:rPr>
                <w:rFonts w:hint="eastAsia"/>
                <w:szCs w:val="21"/>
                <w:lang w:val="en-US" w:eastAsia="zh-CN"/>
              </w:rPr>
            </w:pPr>
            <w:r>
              <w:rPr>
                <w:rFonts w:hint="eastAsia"/>
                <w:szCs w:val="21"/>
                <w:lang w:val="en-US" w:eastAsia="zh-CN"/>
              </w:rPr>
              <w:t>1.22256E-002</w:t>
            </w:r>
          </w:p>
        </w:tc>
        <w:tc>
          <w:tcPr>
            <w:tcW w:w="396" w:type="pct"/>
            <w:tcBorders>
              <w:left w:val="single" w:color="auto" w:sz="4" w:space="0"/>
            </w:tcBorders>
            <w:shd w:val="clear" w:color="000000" w:fill="FFFFFF"/>
            <w:vAlign w:val="center"/>
          </w:tcPr>
          <w:p w14:paraId="24A9B575">
            <w:pPr>
              <w:jc w:val="center"/>
              <w:rPr>
                <w:rFonts w:hint="eastAsia"/>
                <w:szCs w:val="21"/>
                <w:lang w:val="en-US" w:eastAsia="zh-CN"/>
              </w:rPr>
            </w:pPr>
            <w:r>
              <w:rPr>
                <w:rFonts w:hint="eastAsia"/>
                <w:szCs w:val="21"/>
                <w:lang w:val="en-US" w:eastAsia="zh-CN"/>
              </w:rPr>
              <w:t>500</w:t>
            </w:r>
          </w:p>
        </w:tc>
        <w:tc>
          <w:tcPr>
            <w:tcW w:w="530" w:type="pct"/>
            <w:shd w:val="clear" w:color="000000" w:fill="FFFFFF"/>
            <w:vAlign w:val="center"/>
          </w:tcPr>
          <w:p w14:paraId="72D988F1">
            <w:pPr>
              <w:jc w:val="center"/>
              <w:rPr>
                <w:rFonts w:hint="eastAsia"/>
                <w:szCs w:val="21"/>
                <w:lang w:val="en-US" w:eastAsia="zh-CN"/>
              </w:rPr>
            </w:pPr>
            <w:r>
              <w:rPr>
                <w:rFonts w:hint="eastAsia"/>
                <w:szCs w:val="21"/>
                <w:lang w:val="en-US" w:eastAsia="zh-CN"/>
              </w:rPr>
              <w:t>28.662</w:t>
            </w:r>
          </w:p>
        </w:tc>
        <w:tc>
          <w:tcPr>
            <w:tcW w:w="776" w:type="pct"/>
            <w:shd w:val="clear" w:color="000000" w:fill="FFFFFF"/>
            <w:vAlign w:val="center"/>
          </w:tcPr>
          <w:p w14:paraId="07A22102">
            <w:pPr>
              <w:jc w:val="center"/>
              <w:rPr>
                <w:rFonts w:hint="eastAsia"/>
                <w:szCs w:val="21"/>
                <w:lang w:val="en-US" w:eastAsia="zh-CN"/>
              </w:rPr>
            </w:pPr>
            <w:r>
              <w:rPr>
                <w:rFonts w:hint="eastAsia"/>
                <w:szCs w:val="21"/>
                <w:lang w:val="en-US" w:eastAsia="zh-CN"/>
              </w:rPr>
              <w:t>6.36933E+000</w:t>
            </w:r>
          </w:p>
        </w:tc>
      </w:tr>
      <w:tr w14:paraId="43B985D6">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6EAA61B9">
            <w:pPr>
              <w:jc w:val="center"/>
              <w:rPr>
                <w:rFonts w:hint="eastAsia"/>
                <w:szCs w:val="21"/>
                <w:lang w:val="en-US" w:eastAsia="zh-CN"/>
              </w:rPr>
            </w:pPr>
            <w:r>
              <w:rPr>
                <w:rFonts w:hint="eastAsia"/>
                <w:szCs w:val="21"/>
                <w:lang w:val="en-US" w:eastAsia="zh-CN"/>
              </w:rPr>
              <w:t>600</w:t>
            </w:r>
          </w:p>
        </w:tc>
        <w:tc>
          <w:tcPr>
            <w:tcW w:w="693" w:type="pct"/>
            <w:gridSpan w:val="2"/>
            <w:shd w:val="clear" w:color="000000" w:fill="FFFFFF"/>
            <w:vAlign w:val="center"/>
          </w:tcPr>
          <w:p w14:paraId="3792DEEF">
            <w:pPr>
              <w:jc w:val="center"/>
              <w:rPr>
                <w:rFonts w:hint="eastAsia"/>
                <w:szCs w:val="21"/>
                <w:lang w:val="en-US" w:eastAsia="zh-CN"/>
              </w:rPr>
            </w:pPr>
            <w:r>
              <w:rPr>
                <w:rFonts w:hint="eastAsia"/>
                <w:szCs w:val="21"/>
                <w:lang w:val="en-US" w:eastAsia="zh-CN"/>
              </w:rPr>
              <w:t>0.00044319</w:t>
            </w:r>
          </w:p>
        </w:tc>
        <w:tc>
          <w:tcPr>
            <w:tcW w:w="775" w:type="pct"/>
            <w:shd w:val="clear" w:color="000000" w:fill="FFFFFF"/>
            <w:vAlign w:val="center"/>
          </w:tcPr>
          <w:p w14:paraId="19FA5ACC">
            <w:pPr>
              <w:jc w:val="center"/>
              <w:rPr>
                <w:rFonts w:hint="eastAsia"/>
                <w:szCs w:val="21"/>
                <w:lang w:val="en-US" w:eastAsia="zh-CN"/>
              </w:rPr>
            </w:pPr>
            <w:r>
              <w:rPr>
                <w:rFonts w:hint="eastAsia"/>
                <w:szCs w:val="21"/>
                <w:lang w:val="en-US" w:eastAsia="zh-CN"/>
              </w:rPr>
              <w:t>5.90920E+000</w:t>
            </w:r>
          </w:p>
        </w:tc>
        <w:tc>
          <w:tcPr>
            <w:tcW w:w="693" w:type="pct"/>
            <w:shd w:val="clear" w:color="000000" w:fill="FFFFFF"/>
            <w:vAlign w:val="center"/>
          </w:tcPr>
          <w:p w14:paraId="76501826">
            <w:pPr>
              <w:jc w:val="center"/>
              <w:rPr>
                <w:rFonts w:hint="eastAsia"/>
                <w:szCs w:val="21"/>
                <w:lang w:val="en-US" w:eastAsia="zh-CN"/>
              </w:rPr>
            </w:pPr>
            <w:r>
              <w:rPr>
                <w:rFonts w:hint="eastAsia"/>
                <w:szCs w:val="21"/>
                <w:lang w:val="en-US" w:eastAsia="zh-CN"/>
              </w:rPr>
              <w:t>0.139162</w:t>
            </w:r>
          </w:p>
        </w:tc>
        <w:tc>
          <w:tcPr>
            <w:tcW w:w="689" w:type="pct"/>
            <w:gridSpan w:val="2"/>
            <w:tcBorders>
              <w:right w:val="single" w:color="auto" w:sz="4" w:space="0"/>
            </w:tcBorders>
            <w:shd w:val="clear" w:color="000000" w:fill="FFFFFF"/>
            <w:vAlign w:val="center"/>
          </w:tcPr>
          <w:p w14:paraId="708444A7">
            <w:pPr>
              <w:jc w:val="center"/>
              <w:rPr>
                <w:rFonts w:hint="eastAsia"/>
                <w:szCs w:val="21"/>
                <w:lang w:val="en-US" w:eastAsia="zh-CN"/>
              </w:rPr>
            </w:pPr>
            <w:r>
              <w:rPr>
                <w:rFonts w:hint="eastAsia"/>
                <w:szCs w:val="21"/>
                <w:lang w:val="en-US" w:eastAsia="zh-CN"/>
              </w:rPr>
              <w:t>1.15968E-002</w:t>
            </w:r>
          </w:p>
        </w:tc>
        <w:tc>
          <w:tcPr>
            <w:tcW w:w="396" w:type="pct"/>
            <w:tcBorders>
              <w:left w:val="single" w:color="auto" w:sz="4" w:space="0"/>
            </w:tcBorders>
            <w:shd w:val="clear" w:color="000000" w:fill="FFFFFF"/>
            <w:vAlign w:val="center"/>
          </w:tcPr>
          <w:p w14:paraId="5BCD257F">
            <w:pPr>
              <w:jc w:val="center"/>
              <w:rPr>
                <w:rFonts w:hint="eastAsia"/>
                <w:szCs w:val="21"/>
                <w:lang w:val="en-US" w:eastAsia="zh-CN"/>
              </w:rPr>
            </w:pPr>
            <w:r>
              <w:rPr>
                <w:rFonts w:hint="eastAsia"/>
                <w:szCs w:val="21"/>
                <w:lang w:val="en-US" w:eastAsia="zh-CN"/>
              </w:rPr>
              <w:t>600</w:t>
            </w:r>
          </w:p>
        </w:tc>
        <w:tc>
          <w:tcPr>
            <w:tcW w:w="530" w:type="pct"/>
            <w:shd w:val="clear" w:color="000000" w:fill="FFFFFF"/>
            <w:vAlign w:val="center"/>
          </w:tcPr>
          <w:p w14:paraId="5740C88D">
            <w:pPr>
              <w:jc w:val="center"/>
              <w:rPr>
                <w:rFonts w:hint="eastAsia"/>
                <w:szCs w:val="21"/>
                <w:lang w:val="en-US" w:eastAsia="zh-CN"/>
              </w:rPr>
            </w:pPr>
            <w:r>
              <w:rPr>
                <w:rFonts w:hint="eastAsia"/>
                <w:szCs w:val="21"/>
                <w:lang w:val="en-US" w:eastAsia="zh-CN"/>
              </w:rPr>
              <w:t>25.217</w:t>
            </w:r>
          </w:p>
        </w:tc>
        <w:tc>
          <w:tcPr>
            <w:tcW w:w="776" w:type="pct"/>
            <w:shd w:val="clear" w:color="000000" w:fill="FFFFFF"/>
            <w:vAlign w:val="center"/>
          </w:tcPr>
          <w:p w14:paraId="651C7618">
            <w:pPr>
              <w:jc w:val="center"/>
              <w:rPr>
                <w:rFonts w:hint="eastAsia"/>
                <w:szCs w:val="21"/>
                <w:lang w:val="en-US" w:eastAsia="zh-CN"/>
              </w:rPr>
            </w:pPr>
            <w:r>
              <w:rPr>
                <w:rFonts w:hint="eastAsia"/>
                <w:szCs w:val="21"/>
                <w:lang w:val="en-US" w:eastAsia="zh-CN"/>
              </w:rPr>
              <w:t>5.60378E+000</w:t>
            </w:r>
          </w:p>
        </w:tc>
      </w:tr>
      <w:tr w14:paraId="3D2E1591">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2721BFE6">
            <w:pPr>
              <w:jc w:val="center"/>
              <w:rPr>
                <w:rFonts w:hint="eastAsia"/>
                <w:szCs w:val="21"/>
                <w:lang w:val="en-US" w:eastAsia="zh-CN"/>
              </w:rPr>
            </w:pPr>
            <w:r>
              <w:rPr>
                <w:rFonts w:hint="eastAsia"/>
                <w:szCs w:val="21"/>
                <w:lang w:val="en-US" w:eastAsia="zh-CN"/>
              </w:rPr>
              <w:t>700</w:t>
            </w:r>
          </w:p>
        </w:tc>
        <w:tc>
          <w:tcPr>
            <w:tcW w:w="693" w:type="pct"/>
            <w:gridSpan w:val="2"/>
            <w:shd w:val="clear" w:color="000000" w:fill="FFFFFF"/>
            <w:vAlign w:val="center"/>
          </w:tcPr>
          <w:p w14:paraId="4792FF90">
            <w:pPr>
              <w:jc w:val="center"/>
              <w:rPr>
                <w:rFonts w:hint="eastAsia"/>
                <w:szCs w:val="21"/>
                <w:lang w:val="en-US" w:eastAsia="zh-CN"/>
              </w:rPr>
            </w:pPr>
            <w:r>
              <w:rPr>
                <w:rFonts w:hint="eastAsia"/>
                <w:szCs w:val="21"/>
                <w:lang w:val="en-US" w:eastAsia="zh-CN"/>
              </w:rPr>
              <w:t>0.00040857</w:t>
            </w:r>
          </w:p>
        </w:tc>
        <w:tc>
          <w:tcPr>
            <w:tcW w:w="775" w:type="pct"/>
            <w:shd w:val="clear" w:color="000000" w:fill="FFFFFF"/>
            <w:vAlign w:val="center"/>
          </w:tcPr>
          <w:p w14:paraId="6B4595E2">
            <w:pPr>
              <w:jc w:val="center"/>
              <w:rPr>
                <w:rFonts w:hint="eastAsia"/>
                <w:szCs w:val="21"/>
                <w:lang w:val="en-US" w:eastAsia="zh-CN"/>
              </w:rPr>
            </w:pPr>
            <w:r>
              <w:rPr>
                <w:rFonts w:hint="eastAsia"/>
                <w:szCs w:val="21"/>
                <w:lang w:val="en-US" w:eastAsia="zh-CN"/>
              </w:rPr>
              <w:t>5.44760E+000</w:t>
            </w:r>
          </w:p>
        </w:tc>
        <w:tc>
          <w:tcPr>
            <w:tcW w:w="693" w:type="pct"/>
            <w:shd w:val="clear" w:color="000000" w:fill="FFFFFF"/>
            <w:vAlign w:val="center"/>
          </w:tcPr>
          <w:p w14:paraId="75DFF76F">
            <w:pPr>
              <w:jc w:val="center"/>
              <w:rPr>
                <w:rFonts w:hint="eastAsia"/>
                <w:szCs w:val="21"/>
                <w:lang w:val="en-US" w:eastAsia="zh-CN"/>
              </w:rPr>
            </w:pPr>
            <w:r>
              <w:rPr>
                <w:rFonts w:hint="eastAsia"/>
                <w:szCs w:val="21"/>
                <w:lang w:val="en-US" w:eastAsia="zh-CN"/>
              </w:rPr>
              <w:t>0.128291</w:t>
            </w:r>
          </w:p>
        </w:tc>
        <w:tc>
          <w:tcPr>
            <w:tcW w:w="689" w:type="pct"/>
            <w:gridSpan w:val="2"/>
            <w:tcBorders>
              <w:right w:val="single" w:color="auto" w:sz="4" w:space="0"/>
            </w:tcBorders>
            <w:shd w:val="clear" w:color="000000" w:fill="FFFFFF"/>
            <w:vAlign w:val="center"/>
          </w:tcPr>
          <w:p w14:paraId="5BFF6A1B">
            <w:pPr>
              <w:jc w:val="center"/>
              <w:rPr>
                <w:rFonts w:hint="eastAsia"/>
                <w:szCs w:val="21"/>
                <w:lang w:val="en-US" w:eastAsia="zh-CN"/>
              </w:rPr>
            </w:pPr>
            <w:r>
              <w:rPr>
                <w:rFonts w:hint="eastAsia"/>
                <w:szCs w:val="21"/>
                <w:lang w:val="en-US" w:eastAsia="zh-CN"/>
              </w:rPr>
              <w:t>1.06909E-002</w:t>
            </w:r>
          </w:p>
        </w:tc>
        <w:tc>
          <w:tcPr>
            <w:tcW w:w="396" w:type="pct"/>
            <w:tcBorders>
              <w:left w:val="single" w:color="auto" w:sz="4" w:space="0"/>
            </w:tcBorders>
            <w:shd w:val="clear" w:color="000000" w:fill="FFFFFF"/>
            <w:vAlign w:val="center"/>
          </w:tcPr>
          <w:p w14:paraId="2AA39169">
            <w:pPr>
              <w:jc w:val="center"/>
              <w:rPr>
                <w:rFonts w:hint="eastAsia"/>
                <w:szCs w:val="21"/>
                <w:lang w:val="en-US" w:eastAsia="zh-CN"/>
              </w:rPr>
            </w:pPr>
            <w:r>
              <w:rPr>
                <w:rFonts w:hint="eastAsia"/>
                <w:szCs w:val="21"/>
                <w:lang w:val="en-US" w:eastAsia="zh-CN"/>
              </w:rPr>
              <w:t>700</w:t>
            </w:r>
          </w:p>
        </w:tc>
        <w:tc>
          <w:tcPr>
            <w:tcW w:w="530" w:type="pct"/>
            <w:shd w:val="clear" w:color="000000" w:fill="FFFFFF"/>
            <w:vAlign w:val="center"/>
          </w:tcPr>
          <w:p w14:paraId="571170BC">
            <w:pPr>
              <w:jc w:val="center"/>
              <w:rPr>
                <w:rFonts w:hint="eastAsia"/>
                <w:szCs w:val="21"/>
                <w:lang w:val="en-US" w:eastAsia="zh-CN"/>
              </w:rPr>
            </w:pPr>
            <w:r>
              <w:rPr>
                <w:rFonts w:hint="eastAsia"/>
                <w:szCs w:val="21"/>
                <w:lang w:val="en-US" w:eastAsia="zh-CN"/>
              </w:rPr>
              <w:t>22.882</w:t>
            </w:r>
          </w:p>
        </w:tc>
        <w:tc>
          <w:tcPr>
            <w:tcW w:w="776" w:type="pct"/>
            <w:shd w:val="clear" w:color="000000" w:fill="FFFFFF"/>
            <w:vAlign w:val="center"/>
          </w:tcPr>
          <w:p w14:paraId="082D7886">
            <w:pPr>
              <w:jc w:val="center"/>
              <w:rPr>
                <w:rFonts w:hint="eastAsia"/>
                <w:szCs w:val="21"/>
                <w:lang w:val="en-US" w:eastAsia="zh-CN"/>
              </w:rPr>
            </w:pPr>
            <w:r>
              <w:rPr>
                <w:rFonts w:hint="eastAsia"/>
                <w:szCs w:val="21"/>
                <w:lang w:val="en-US" w:eastAsia="zh-CN"/>
              </w:rPr>
              <w:t>5.08489E+000</w:t>
            </w:r>
          </w:p>
        </w:tc>
      </w:tr>
      <w:tr w14:paraId="04FA9816">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3C610AD1">
            <w:pPr>
              <w:jc w:val="center"/>
              <w:rPr>
                <w:rFonts w:hint="eastAsia"/>
                <w:szCs w:val="21"/>
                <w:lang w:val="en-US" w:eastAsia="zh-CN"/>
              </w:rPr>
            </w:pPr>
            <w:r>
              <w:rPr>
                <w:rFonts w:hint="eastAsia"/>
                <w:szCs w:val="21"/>
                <w:lang w:val="en-US" w:eastAsia="zh-CN"/>
              </w:rPr>
              <w:t>800</w:t>
            </w:r>
          </w:p>
        </w:tc>
        <w:tc>
          <w:tcPr>
            <w:tcW w:w="693" w:type="pct"/>
            <w:gridSpan w:val="2"/>
            <w:shd w:val="clear" w:color="000000" w:fill="FFFFFF"/>
            <w:vAlign w:val="center"/>
          </w:tcPr>
          <w:p w14:paraId="7ADE93F6">
            <w:pPr>
              <w:jc w:val="center"/>
              <w:rPr>
                <w:rFonts w:hint="eastAsia"/>
                <w:szCs w:val="21"/>
                <w:lang w:val="en-US" w:eastAsia="zh-CN"/>
              </w:rPr>
            </w:pPr>
            <w:r>
              <w:rPr>
                <w:rFonts w:hint="eastAsia"/>
                <w:szCs w:val="21"/>
                <w:lang w:val="en-US" w:eastAsia="zh-CN"/>
              </w:rPr>
              <w:t>0.00037271</w:t>
            </w:r>
          </w:p>
        </w:tc>
        <w:tc>
          <w:tcPr>
            <w:tcW w:w="775" w:type="pct"/>
            <w:shd w:val="clear" w:color="000000" w:fill="FFFFFF"/>
            <w:vAlign w:val="center"/>
          </w:tcPr>
          <w:p w14:paraId="2DC66C9C">
            <w:pPr>
              <w:jc w:val="center"/>
              <w:rPr>
                <w:rFonts w:hint="eastAsia"/>
                <w:szCs w:val="21"/>
                <w:lang w:val="en-US" w:eastAsia="zh-CN"/>
              </w:rPr>
            </w:pPr>
            <w:r>
              <w:rPr>
                <w:rFonts w:hint="eastAsia"/>
                <w:szCs w:val="21"/>
                <w:lang w:val="en-US" w:eastAsia="zh-CN"/>
              </w:rPr>
              <w:t>4.96947E+000</w:t>
            </w:r>
          </w:p>
        </w:tc>
        <w:tc>
          <w:tcPr>
            <w:tcW w:w="693" w:type="pct"/>
            <w:shd w:val="clear" w:color="000000" w:fill="FFFFFF"/>
            <w:vAlign w:val="center"/>
          </w:tcPr>
          <w:p w14:paraId="72D376BF">
            <w:pPr>
              <w:jc w:val="center"/>
              <w:rPr>
                <w:rFonts w:hint="eastAsia"/>
                <w:szCs w:val="21"/>
                <w:lang w:val="en-US" w:eastAsia="zh-CN"/>
              </w:rPr>
            </w:pPr>
            <w:r>
              <w:rPr>
                <w:rFonts w:hint="eastAsia"/>
                <w:szCs w:val="21"/>
                <w:lang w:val="en-US" w:eastAsia="zh-CN"/>
              </w:rPr>
              <w:t>0.117031</w:t>
            </w:r>
          </w:p>
        </w:tc>
        <w:tc>
          <w:tcPr>
            <w:tcW w:w="689" w:type="pct"/>
            <w:gridSpan w:val="2"/>
            <w:tcBorders>
              <w:right w:val="single" w:color="auto" w:sz="4" w:space="0"/>
            </w:tcBorders>
            <w:shd w:val="clear" w:color="000000" w:fill="FFFFFF"/>
            <w:vAlign w:val="center"/>
          </w:tcPr>
          <w:p w14:paraId="131681CB">
            <w:pPr>
              <w:jc w:val="center"/>
              <w:rPr>
                <w:rFonts w:hint="eastAsia"/>
                <w:szCs w:val="21"/>
                <w:lang w:val="en-US" w:eastAsia="zh-CN"/>
              </w:rPr>
            </w:pPr>
            <w:r>
              <w:rPr>
                <w:rFonts w:hint="eastAsia"/>
                <w:szCs w:val="21"/>
                <w:lang w:val="en-US" w:eastAsia="zh-CN"/>
              </w:rPr>
              <w:t>9.75258E-003</w:t>
            </w:r>
          </w:p>
        </w:tc>
        <w:tc>
          <w:tcPr>
            <w:tcW w:w="396" w:type="pct"/>
            <w:tcBorders>
              <w:left w:val="single" w:color="auto" w:sz="4" w:space="0"/>
            </w:tcBorders>
            <w:shd w:val="clear" w:color="000000" w:fill="FFFFFF"/>
            <w:vAlign w:val="center"/>
          </w:tcPr>
          <w:p w14:paraId="05860EF0">
            <w:pPr>
              <w:jc w:val="center"/>
              <w:rPr>
                <w:rFonts w:hint="eastAsia"/>
                <w:szCs w:val="21"/>
                <w:lang w:val="en-US" w:eastAsia="zh-CN"/>
              </w:rPr>
            </w:pPr>
            <w:r>
              <w:rPr>
                <w:rFonts w:hint="eastAsia"/>
                <w:szCs w:val="21"/>
                <w:lang w:val="en-US" w:eastAsia="zh-CN"/>
              </w:rPr>
              <w:t>800</w:t>
            </w:r>
          </w:p>
        </w:tc>
        <w:tc>
          <w:tcPr>
            <w:tcW w:w="530" w:type="pct"/>
            <w:shd w:val="clear" w:color="000000" w:fill="FFFFFF"/>
            <w:vAlign w:val="center"/>
          </w:tcPr>
          <w:p w14:paraId="35E45953">
            <w:pPr>
              <w:jc w:val="center"/>
              <w:rPr>
                <w:rFonts w:hint="eastAsia"/>
                <w:szCs w:val="21"/>
                <w:lang w:val="en-US" w:eastAsia="zh-CN"/>
              </w:rPr>
            </w:pPr>
            <w:r>
              <w:rPr>
                <w:rFonts w:hint="eastAsia"/>
                <w:szCs w:val="21"/>
                <w:lang w:val="en-US" w:eastAsia="zh-CN"/>
              </w:rPr>
              <w:t>21.514</w:t>
            </w:r>
          </w:p>
        </w:tc>
        <w:tc>
          <w:tcPr>
            <w:tcW w:w="776" w:type="pct"/>
            <w:shd w:val="clear" w:color="000000" w:fill="FFFFFF"/>
            <w:vAlign w:val="center"/>
          </w:tcPr>
          <w:p w14:paraId="1422A014">
            <w:pPr>
              <w:jc w:val="center"/>
              <w:rPr>
                <w:rFonts w:hint="eastAsia"/>
                <w:szCs w:val="21"/>
                <w:lang w:val="en-US" w:eastAsia="zh-CN"/>
              </w:rPr>
            </w:pPr>
            <w:r>
              <w:rPr>
                <w:rFonts w:hint="eastAsia"/>
                <w:szCs w:val="21"/>
                <w:lang w:val="en-US" w:eastAsia="zh-CN"/>
              </w:rPr>
              <w:t>4.78089E+000</w:t>
            </w:r>
          </w:p>
        </w:tc>
      </w:tr>
      <w:tr w14:paraId="62DD3F53">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15BE3CDF">
            <w:pPr>
              <w:jc w:val="center"/>
              <w:rPr>
                <w:rFonts w:hint="eastAsia"/>
                <w:szCs w:val="21"/>
                <w:lang w:val="en-US" w:eastAsia="zh-CN"/>
              </w:rPr>
            </w:pPr>
            <w:r>
              <w:rPr>
                <w:rFonts w:hint="eastAsia"/>
                <w:szCs w:val="21"/>
                <w:lang w:val="en-US" w:eastAsia="zh-CN"/>
              </w:rPr>
              <w:t>900</w:t>
            </w:r>
          </w:p>
        </w:tc>
        <w:tc>
          <w:tcPr>
            <w:tcW w:w="693" w:type="pct"/>
            <w:gridSpan w:val="2"/>
            <w:shd w:val="clear" w:color="000000" w:fill="FFFFFF"/>
            <w:vAlign w:val="center"/>
          </w:tcPr>
          <w:p w14:paraId="59D8B1F8">
            <w:pPr>
              <w:jc w:val="center"/>
              <w:rPr>
                <w:rFonts w:hint="eastAsia"/>
                <w:szCs w:val="21"/>
                <w:lang w:val="en-US" w:eastAsia="zh-CN"/>
              </w:rPr>
            </w:pPr>
            <w:r>
              <w:rPr>
                <w:rFonts w:hint="eastAsia"/>
                <w:szCs w:val="21"/>
                <w:lang w:val="en-US" w:eastAsia="zh-CN"/>
              </w:rPr>
              <w:t>0.0003423</w:t>
            </w:r>
          </w:p>
        </w:tc>
        <w:tc>
          <w:tcPr>
            <w:tcW w:w="775" w:type="pct"/>
            <w:shd w:val="clear" w:color="000000" w:fill="FFFFFF"/>
            <w:vAlign w:val="center"/>
          </w:tcPr>
          <w:p w14:paraId="795E7C7E">
            <w:pPr>
              <w:jc w:val="center"/>
              <w:rPr>
                <w:rFonts w:hint="eastAsia"/>
                <w:szCs w:val="21"/>
                <w:lang w:val="en-US" w:eastAsia="zh-CN"/>
              </w:rPr>
            </w:pPr>
            <w:r>
              <w:rPr>
                <w:rFonts w:hint="eastAsia"/>
                <w:szCs w:val="21"/>
                <w:lang w:val="en-US" w:eastAsia="zh-CN"/>
              </w:rPr>
              <w:t>4.56400E+000</w:t>
            </w:r>
          </w:p>
        </w:tc>
        <w:tc>
          <w:tcPr>
            <w:tcW w:w="693" w:type="pct"/>
            <w:shd w:val="clear" w:color="000000" w:fill="FFFFFF"/>
            <w:vAlign w:val="center"/>
          </w:tcPr>
          <w:p w14:paraId="27C49E3A">
            <w:pPr>
              <w:jc w:val="center"/>
              <w:rPr>
                <w:rFonts w:hint="eastAsia"/>
                <w:szCs w:val="21"/>
                <w:lang w:val="en-US" w:eastAsia="zh-CN"/>
              </w:rPr>
            </w:pPr>
            <w:r>
              <w:rPr>
                <w:rFonts w:hint="eastAsia"/>
                <w:szCs w:val="21"/>
                <w:lang w:val="en-US" w:eastAsia="zh-CN"/>
              </w:rPr>
              <w:t>0.107482</w:t>
            </w:r>
          </w:p>
        </w:tc>
        <w:tc>
          <w:tcPr>
            <w:tcW w:w="689" w:type="pct"/>
            <w:gridSpan w:val="2"/>
            <w:tcBorders>
              <w:right w:val="single" w:color="auto" w:sz="4" w:space="0"/>
            </w:tcBorders>
            <w:shd w:val="clear" w:color="000000" w:fill="FFFFFF"/>
            <w:vAlign w:val="center"/>
          </w:tcPr>
          <w:p w14:paraId="0017CB46">
            <w:pPr>
              <w:jc w:val="center"/>
              <w:rPr>
                <w:rFonts w:hint="eastAsia"/>
                <w:szCs w:val="21"/>
                <w:lang w:val="en-US" w:eastAsia="zh-CN"/>
              </w:rPr>
            </w:pPr>
            <w:r>
              <w:rPr>
                <w:rFonts w:hint="eastAsia"/>
                <w:szCs w:val="21"/>
                <w:lang w:val="en-US" w:eastAsia="zh-CN"/>
              </w:rPr>
              <w:t>8.95683E-003</w:t>
            </w:r>
          </w:p>
        </w:tc>
        <w:tc>
          <w:tcPr>
            <w:tcW w:w="396" w:type="pct"/>
            <w:tcBorders>
              <w:left w:val="single" w:color="auto" w:sz="4" w:space="0"/>
            </w:tcBorders>
            <w:shd w:val="clear" w:color="000000" w:fill="FFFFFF"/>
            <w:vAlign w:val="center"/>
          </w:tcPr>
          <w:p w14:paraId="0160369F">
            <w:pPr>
              <w:jc w:val="center"/>
              <w:rPr>
                <w:rFonts w:hint="eastAsia"/>
                <w:szCs w:val="21"/>
                <w:lang w:val="en-US" w:eastAsia="zh-CN"/>
              </w:rPr>
            </w:pPr>
            <w:r>
              <w:rPr>
                <w:rFonts w:hint="eastAsia"/>
                <w:szCs w:val="21"/>
                <w:lang w:val="en-US" w:eastAsia="zh-CN"/>
              </w:rPr>
              <w:t>900</w:t>
            </w:r>
          </w:p>
        </w:tc>
        <w:tc>
          <w:tcPr>
            <w:tcW w:w="530" w:type="pct"/>
            <w:shd w:val="clear" w:color="000000" w:fill="FFFFFF"/>
            <w:vAlign w:val="center"/>
          </w:tcPr>
          <w:p w14:paraId="09397EA2">
            <w:pPr>
              <w:jc w:val="center"/>
              <w:rPr>
                <w:rFonts w:hint="eastAsia"/>
                <w:szCs w:val="21"/>
                <w:lang w:val="en-US" w:eastAsia="zh-CN"/>
              </w:rPr>
            </w:pPr>
            <w:r>
              <w:rPr>
                <w:rFonts w:hint="eastAsia"/>
                <w:szCs w:val="21"/>
                <w:lang w:val="en-US" w:eastAsia="zh-CN"/>
              </w:rPr>
              <w:t>20.07</w:t>
            </w:r>
          </w:p>
        </w:tc>
        <w:tc>
          <w:tcPr>
            <w:tcW w:w="776" w:type="pct"/>
            <w:shd w:val="clear" w:color="000000" w:fill="FFFFFF"/>
            <w:vAlign w:val="center"/>
          </w:tcPr>
          <w:p w14:paraId="7AA86534">
            <w:pPr>
              <w:jc w:val="center"/>
              <w:rPr>
                <w:rFonts w:hint="eastAsia"/>
                <w:szCs w:val="21"/>
                <w:lang w:val="en-US" w:eastAsia="zh-CN"/>
              </w:rPr>
            </w:pPr>
            <w:r>
              <w:rPr>
                <w:rFonts w:hint="eastAsia"/>
                <w:szCs w:val="21"/>
                <w:lang w:val="en-US" w:eastAsia="zh-CN"/>
              </w:rPr>
              <w:t>4.46000E+000</w:t>
            </w:r>
          </w:p>
        </w:tc>
      </w:tr>
      <w:tr w14:paraId="585A702A">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14ACDBC4">
            <w:pPr>
              <w:jc w:val="center"/>
              <w:rPr>
                <w:rFonts w:hint="eastAsia"/>
                <w:szCs w:val="21"/>
                <w:lang w:val="en-US" w:eastAsia="zh-CN"/>
              </w:rPr>
            </w:pPr>
            <w:r>
              <w:rPr>
                <w:rFonts w:hint="eastAsia"/>
                <w:szCs w:val="21"/>
                <w:lang w:val="en-US" w:eastAsia="zh-CN"/>
              </w:rPr>
              <w:t>1000</w:t>
            </w:r>
          </w:p>
        </w:tc>
        <w:tc>
          <w:tcPr>
            <w:tcW w:w="693" w:type="pct"/>
            <w:gridSpan w:val="2"/>
            <w:shd w:val="clear" w:color="000000" w:fill="FFFFFF"/>
            <w:vAlign w:val="center"/>
          </w:tcPr>
          <w:p w14:paraId="7EECD0EB">
            <w:pPr>
              <w:jc w:val="center"/>
              <w:rPr>
                <w:rFonts w:hint="eastAsia"/>
                <w:szCs w:val="21"/>
                <w:lang w:val="en-US" w:eastAsia="zh-CN"/>
              </w:rPr>
            </w:pPr>
            <w:r>
              <w:rPr>
                <w:rFonts w:hint="eastAsia"/>
                <w:szCs w:val="21"/>
                <w:lang w:val="en-US" w:eastAsia="zh-CN"/>
              </w:rPr>
              <w:t>0.00032478</w:t>
            </w:r>
          </w:p>
        </w:tc>
        <w:tc>
          <w:tcPr>
            <w:tcW w:w="775" w:type="pct"/>
            <w:shd w:val="clear" w:color="000000" w:fill="FFFFFF"/>
            <w:vAlign w:val="center"/>
          </w:tcPr>
          <w:p w14:paraId="63372B15">
            <w:pPr>
              <w:jc w:val="center"/>
              <w:rPr>
                <w:rFonts w:hint="eastAsia"/>
                <w:szCs w:val="21"/>
                <w:lang w:val="en-US" w:eastAsia="zh-CN"/>
              </w:rPr>
            </w:pPr>
            <w:r>
              <w:rPr>
                <w:rFonts w:hint="eastAsia"/>
                <w:szCs w:val="21"/>
                <w:lang w:val="en-US" w:eastAsia="zh-CN"/>
              </w:rPr>
              <w:t>4.33040E+000</w:t>
            </w:r>
          </w:p>
        </w:tc>
        <w:tc>
          <w:tcPr>
            <w:tcW w:w="693" w:type="pct"/>
            <w:shd w:val="clear" w:color="000000" w:fill="FFFFFF"/>
            <w:vAlign w:val="center"/>
          </w:tcPr>
          <w:p w14:paraId="1839A248">
            <w:pPr>
              <w:jc w:val="center"/>
              <w:rPr>
                <w:rFonts w:hint="eastAsia"/>
                <w:szCs w:val="21"/>
                <w:lang w:val="en-US" w:eastAsia="zh-CN"/>
              </w:rPr>
            </w:pPr>
            <w:r>
              <w:rPr>
                <w:rFonts w:hint="eastAsia"/>
                <w:szCs w:val="21"/>
                <w:lang w:val="en-US" w:eastAsia="zh-CN"/>
              </w:rPr>
              <w:t>0.101981</w:t>
            </w:r>
          </w:p>
        </w:tc>
        <w:tc>
          <w:tcPr>
            <w:tcW w:w="689" w:type="pct"/>
            <w:gridSpan w:val="2"/>
            <w:tcBorders>
              <w:right w:val="single" w:color="auto" w:sz="4" w:space="0"/>
            </w:tcBorders>
            <w:shd w:val="clear" w:color="000000" w:fill="FFFFFF"/>
            <w:vAlign w:val="center"/>
          </w:tcPr>
          <w:p w14:paraId="04CC84AB">
            <w:pPr>
              <w:jc w:val="center"/>
              <w:rPr>
                <w:rFonts w:hint="eastAsia"/>
                <w:szCs w:val="21"/>
                <w:lang w:val="en-US" w:eastAsia="zh-CN"/>
              </w:rPr>
            </w:pPr>
            <w:r>
              <w:rPr>
                <w:rFonts w:hint="eastAsia"/>
                <w:szCs w:val="21"/>
                <w:lang w:val="en-US" w:eastAsia="zh-CN"/>
              </w:rPr>
              <w:t>8.49842E-003</w:t>
            </w:r>
          </w:p>
        </w:tc>
        <w:tc>
          <w:tcPr>
            <w:tcW w:w="396" w:type="pct"/>
            <w:tcBorders>
              <w:left w:val="single" w:color="auto" w:sz="4" w:space="0"/>
            </w:tcBorders>
            <w:shd w:val="clear" w:color="000000" w:fill="FFFFFF"/>
            <w:vAlign w:val="center"/>
          </w:tcPr>
          <w:p w14:paraId="3413CEE2">
            <w:pPr>
              <w:jc w:val="center"/>
              <w:rPr>
                <w:rFonts w:hint="eastAsia"/>
                <w:szCs w:val="21"/>
                <w:lang w:val="en-US" w:eastAsia="zh-CN"/>
              </w:rPr>
            </w:pPr>
            <w:r>
              <w:rPr>
                <w:rFonts w:hint="eastAsia"/>
                <w:szCs w:val="21"/>
                <w:lang w:val="en-US" w:eastAsia="zh-CN"/>
              </w:rPr>
              <w:t>1000</w:t>
            </w:r>
          </w:p>
        </w:tc>
        <w:tc>
          <w:tcPr>
            <w:tcW w:w="530" w:type="pct"/>
            <w:shd w:val="clear" w:color="000000" w:fill="FFFFFF"/>
            <w:vAlign w:val="center"/>
          </w:tcPr>
          <w:p w14:paraId="67E33C5A">
            <w:pPr>
              <w:jc w:val="center"/>
              <w:rPr>
                <w:rFonts w:hint="eastAsia"/>
                <w:szCs w:val="21"/>
                <w:lang w:val="en-US" w:eastAsia="zh-CN"/>
              </w:rPr>
            </w:pPr>
            <w:r>
              <w:rPr>
                <w:rFonts w:hint="eastAsia"/>
                <w:szCs w:val="21"/>
                <w:lang w:val="en-US" w:eastAsia="zh-CN"/>
              </w:rPr>
              <w:t>18.667</w:t>
            </w:r>
          </w:p>
        </w:tc>
        <w:tc>
          <w:tcPr>
            <w:tcW w:w="776" w:type="pct"/>
            <w:shd w:val="clear" w:color="000000" w:fill="FFFFFF"/>
            <w:vAlign w:val="center"/>
          </w:tcPr>
          <w:p w14:paraId="5CCBB3B6">
            <w:pPr>
              <w:jc w:val="center"/>
              <w:rPr>
                <w:rFonts w:hint="eastAsia"/>
                <w:szCs w:val="21"/>
                <w:lang w:val="en-US" w:eastAsia="zh-CN"/>
              </w:rPr>
            </w:pPr>
            <w:r>
              <w:rPr>
                <w:rFonts w:hint="eastAsia"/>
                <w:szCs w:val="21"/>
                <w:lang w:val="en-US" w:eastAsia="zh-CN"/>
              </w:rPr>
              <w:t>4.14822E+000</w:t>
            </w:r>
          </w:p>
        </w:tc>
      </w:tr>
      <w:tr w14:paraId="0F999BD9">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53319BB0">
            <w:pPr>
              <w:jc w:val="center"/>
              <w:rPr>
                <w:rFonts w:hint="eastAsia"/>
                <w:szCs w:val="21"/>
                <w:lang w:val="en-US" w:eastAsia="zh-CN"/>
              </w:rPr>
            </w:pPr>
            <w:r>
              <w:rPr>
                <w:rFonts w:hint="eastAsia"/>
                <w:szCs w:val="21"/>
                <w:lang w:val="en-US" w:eastAsia="zh-CN"/>
              </w:rPr>
              <w:t>1500</w:t>
            </w:r>
          </w:p>
        </w:tc>
        <w:tc>
          <w:tcPr>
            <w:tcW w:w="693" w:type="pct"/>
            <w:gridSpan w:val="2"/>
            <w:shd w:val="clear" w:color="000000" w:fill="FFFFFF"/>
            <w:vAlign w:val="center"/>
          </w:tcPr>
          <w:p w14:paraId="06786ABB">
            <w:pPr>
              <w:jc w:val="center"/>
              <w:rPr>
                <w:rFonts w:hint="eastAsia"/>
                <w:szCs w:val="21"/>
                <w:lang w:val="en-US" w:eastAsia="zh-CN"/>
              </w:rPr>
            </w:pPr>
            <w:r>
              <w:rPr>
                <w:rFonts w:hint="eastAsia"/>
                <w:szCs w:val="21"/>
                <w:lang w:val="en-US" w:eastAsia="zh-CN"/>
              </w:rPr>
              <w:t>0.00024944</w:t>
            </w:r>
          </w:p>
        </w:tc>
        <w:tc>
          <w:tcPr>
            <w:tcW w:w="775" w:type="pct"/>
            <w:shd w:val="clear" w:color="000000" w:fill="FFFFFF"/>
            <w:vAlign w:val="center"/>
          </w:tcPr>
          <w:p w14:paraId="35BD05FF">
            <w:pPr>
              <w:jc w:val="center"/>
              <w:rPr>
                <w:rFonts w:hint="eastAsia"/>
                <w:szCs w:val="21"/>
                <w:lang w:val="en-US" w:eastAsia="zh-CN"/>
              </w:rPr>
            </w:pPr>
            <w:r>
              <w:rPr>
                <w:rFonts w:hint="eastAsia"/>
                <w:szCs w:val="21"/>
                <w:lang w:val="en-US" w:eastAsia="zh-CN"/>
              </w:rPr>
              <w:t>3.32587E+000</w:t>
            </w:r>
          </w:p>
        </w:tc>
        <w:tc>
          <w:tcPr>
            <w:tcW w:w="693" w:type="pct"/>
            <w:shd w:val="clear" w:color="000000" w:fill="FFFFFF"/>
            <w:vAlign w:val="center"/>
          </w:tcPr>
          <w:p w14:paraId="016C7502">
            <w:pPr>
              <w:jc w:val="center"/>
              <w:rPr>
                <w:rFonts w:hint="eastAsia"/>
                <w:szCs w:val="21"/>
                <w:lang w:val="en-US" w:eastAsia="zh-CN"/>
              </w:rPr>
            </w:pPr>
            <w:r>
              <w:rPr>
                <w:rFonts w:hint="eastAsia"/>
                <w:szCs w:val="21"/>
                <w:lang w:val="en-US" w:eastAsia="zh-CN"/>
              </w:rPr>
              <w:t>0.0783242</w:t>
            </w:r>
          </w:p>
        </w:tc>
        <w:tc>
          <w:tcPr>
            <w:tcW w:w="689" w:type="pct"/>
            <w:gridSpan w:val="2"/>
            <w:tcBorders>
              <w:right w:val="single" w:color="auto" w:sz="4" w:space="0"/>
            </w:tcBorders>
            <w:shd w:val="clear" w:color="000000" w:fill="FFFFFF"/>
            <w:vAlign w:val="center"/>
          </w:tcPr>
          <w:p w14:paraId="540956CE">
            <w:pPr>
              <w:jc w:val="center"/>
              <w:rPr>
                <w:rFonts w:hint="eastAsia"/>
                <w:szCs w:val="21"/>
                <w:lang w:val="en-US" w:eastAsia="zh-CN"/>
              </w:rPr>
            </w:pPr>
            <w:r>
              <w:rPr>
                <w:rFonts w:hint="eastAsia"/>
                <w:szCs w:val="21"/>
                <w:lang w:val="en-US" w:eastAsia="zh-CN"/>
              </w:rPr>
              <w:t>6.52702E-003</w:t>
            </w:r>
          </w:p>
        </w:tc>
        <w:tc>
          <w:tcPr>
            <w:tcW w:w="396" w:type="pct"/>
            <w:tcBorders>
              <w:left w:val="single" w:color="auto" w:sz="4" w:space="0"/>
            </w:tcBorders>
            <w:shd w:val="clear" w:color="000000" w:fill="FFFFFF"/>
            <w:vAlign w:val="center"/>
          </w:tcPr>
          <w:p w14:paraId="4FA34C49">
            <w:pPr>
              <w:jc w:val="center"/>
              <w:rPr>
                <w:rFonts w:hint="eastAsia"/>
                <w:szCs w:val="21"/>
                <w:lang w:val="en-US" w:eastAsia="zh-CN"/>
              </w:rPr>
            </w:pPr>
            <w:r>
              <w:rPr>
                <w:rFonts w:hint="eastAsia"/>
                <w:szCs w:val="21"/>
                <w:lang w:val="en-US" w:eastAsia="zh-CN"/>
              </w:rPr>
              <w:t>1500</w:t>
            </w:r>
          </w:p>
        </w:tc>
        <w:tc>
          <w:tcPr>
            <w:tcW w:w="530" w:type="pct"/>
            <w:shd w:val="clear" w:color="000000" w:fill="FFFFFF"/>
            <w:vAlign w:val="center"/>
          </w:tcPr>
          <w:p w14:paraId="30BD1468">
            <w:pPr>
              <w:jc w:val="center"/>
              <w:rPr>
                <w:rFonts w:hint="eastAsia"/>
                <w:szCs w:val="21"/>
                <w:lang w:val="en-US" w:eastAsia="zh-CN"/>
              </w:rPr>
            </w:pPr>
            <w:r>
              <w:rPr>
                <w:rFonts w:hint="eastAsia"/>
                <w:szCs w:val="21"/>
                <w:lang w:val="en-US" w:eastAsia="zh-CN"/>
              </w:rPr>
              <w:t>13.161</w:t>
            </w:r>
          </w:p>
        </w:tc>
        <w:tc>
          <w:tcPr>
            <w:tcW w:w="776" w:type="pct"/>
            <w:shd w:val="clear" w:color="000000" w:fill="FFFFFF"/>
            <w:vAlign w:val="center"/>
          </w:tcPr>
          <w:p w14:paraId="1E2A2B9E">
            <w:pPr>
              <w:jc w:val="center"/>
              <w:rPr>
                <w:rFonts w:hint="eastAsia"/>
                <w:szCs w:val="21"/>
                <w:lang w:val="en-US" w:eastAsia="zh-CN"/>
              </w:rPr>
            </w:pPr>
            <w:r>
              <w:rPr>
                <w:rFonts w:hint="eastAsia"/>
                <w:szCs w:val="21"/>
                <w:lang w:val="en-US" w:eastAsia="zh-CN"/>
              </w:rPr>
              <w:t>2.92467E+000</w:t>
            </w:r>
          </w:p>
        </w:tc>
      </w:tr>
      <w:tr w14:paraId="1C38F971">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5F892885">
            <w:pPr>
              <w:jc w:val="center"/>
              <w:rPr>
                <w:rFonts w:hint="eastAsia"/>
                <w:szCs w:val="21"/>
                <w:lang w:val="en-US" w:eastAsia="zh-CN"/>
              </w:rPr>
            </w:pPr>
            <w:r>
              <w:rPr>
                <w:rFonts w:hint="eastAsia"/>
                <w:szCs w:val="21"/>
                <w:lang w:val="en-US" w:eastAsia="zh-CN"/>
              </w:rPr>
              <w:t>2000</w:t>
            </w:r>
          </w:p>
        </w:tc>
        <w:tc>
          <w:tcPr>
            <w:tcW w:w="693" w:type="pct"/>
            <w:gridSpan w:val="2"/>
            <w:shd w:val="clear" w:color="000000" w:fill="FFFFFF"/>
            <w:vAlign w:val="center"/>
          </w:tcPr>
          <w:p w14:paraId="786DF586">
            <w:pPr>
              <w:jc w:val="center"/>
              <w:rPr>
                <w:rFonts w:hint="eastAsia"/>
                <w:szCs w:val="21"/>
                <w:lang w:val="en-US" w:eastAsia="zh-CN"/>
              </w:rPr>
            </w:pPr>
            <w:r>
              <w:rPr>
                <w:rFonts w:hint="eastAsia"/>
                <w:szCs w:val="21"/>
                <w:lang w:val="en-US" w:eastAsia="zh-CN"/>
              </w:rPr>
              <w:t>0.00020999</w:t>
            </w:r>
          </w:p>
        </w:tc>
        <w:tc>
          <w:tcPr>
            <w:tcW w:w="775" w:type="pct"/>
            <w:shd w:val="clear" w:color="000000" w:fill="FFFFFF"/>
            <w:vAlign w:val="center"/>
          </w:tcPr>
          <w:p w14:paraId="67AD0997">
            <w:pPr>
              <w:jc w:val="center"/>
              <w:rPr>
                <w:rFonts w:hint="eastAsia"/>
                <w:szCs w:val="21"/>
                <w:lang w:val="en-US" w:eastAsia="zh-CN"/>
              </w:rPr>
            </w:pPr>
            <w:r>
              <w:rPr>
                <w:rFonts w:hint="eastAsia"/>
                <w:szCs w:val="21"/>
                <w:lang w:val="en-US" w:eastAsia="zh-CN"/>
              </w:rPr>
              <w:t>2.79987E+000</w:t>
            </w:r>
          </w:p>
        </w:tc>
        <w:tc>
          <w:tcPr>
            <w:tcW w:w="693" w:type="pct"/>
            <w:shd w:val="clear" w:color="000000" w:fill="FFFFFF"/>
            <w:vAlign w:val="center"/>
          </w:tcPr>
          <w:p w14:paraId="4195E262">
            <w:pPr>
              <w:jc w:val="center"/>
              <w:rPr>
                <w:rFonts w:hint="eastAsia"/>
                <w:szCs w:val="21"/>
                <w:lang w:val="en-US" w:eastAsia="zh-CN"/>
              </w:rPr>
            </w:pPr>
            <w:r>
              <w:rPr>
                <w:rFonts w:hint="eastAsia"/>
                <w:szCs w:val="21"/>
                <w:lang w:val="en-US" w:eastAsia="zh-CN"/>
              </w:rPr>
              <w:t>0.0659369</w:t>
            </w:r>
          </w:p>
        </w:tc>
        <w:tc>
          <w:tcPr>
            <w:tcW w:w="689" w:type="pct"/>
            <w:gridSpan w:val="2"/>
            <w:tcBorders>
              <w:right w:val="single" w:color="auto" w:sz="4" w:space="0"/>
            </w:tcBorders>
            <w:shd w:val="clear" w:color="000000" w:fill="FFFFFF"/>
            <w:vAlign w:val="center"/>
          </w:tcPr>
          <w:p w14:paraId="165F66B8">
            <w:pPr>
              <w:jc w:val="center"/>
              <w:rPr>
                <w:rFonts w:hint="eastAsia"/>
                <w:szCs w:val="21"/>
                <w:lang w:val="en-US" w:eastAsia="zh-CN"/>
              </w:rPr>
            </w:pPr>
            <w:r>
              <w:rPr>
                <w:rFonts w:hint="eastAsia"/>
                <w:szCs w:val="21"/>
                <w:lang w:val="en-US" w:eastAsia="zh-CN"/>
              </w:rPr>
              <w:t>5.49474E-003</w:t>
            </w:r>
          </w:p>
        </w:tc>
        <w:tc>
          <w:tcPr>
            <w:tcW w:w="396" w:type="pct"/>
            <w:tcBorders>
              <w:left w:val="single" w:color="auto" w:sz="4" w:space="0"/>
            </w:tcBorders>
            <w:shd w:val="clear" w:color="000000" w:fill="FFFFFF"/>
            <w:vAlign w:val="center"/>
          </w:tcPr>
          <w:p w14:paraId="4E314680">
            <w:pPr>
              <w:jc w:val="center"/>
              <w:rPr>
                <w:rFonts w:hint="eastAsia"/>
                <w:szCs w:val="21"/>
                <w:lang w:val="en-US" w:eastAsia="zh-CN"/>
              </w:rPr>
            </w:pPr>
            <w:r>
              <w:rPr>
                <w:rFonts w:hint="eastAsia"/>
                <w:szCs w:val="21"/>
                <w:lang w:val="en-US" w:eastAsia="zh-CN"/>
              </w:rPr>
              <w:t>2000</w:t>
            </w:r>
          </w:p>
        </w:tc>
        <w:tc>
          <w:tcPr>
            <w:tcW w:w="530" w:type="pct"/>
            <w:shd w:val="clear" w:color="000000" w:fill="FFFFFF"/>
            <w:vAlign w:val="center"/>
          </w:tcPr>
          <w:p w14:paraId="27145577">
            <w:pPr>
              <w:jc w:val="center"/>
              <w:rPr>
                <w:rFonts w:hint="eastAsia"/>
                <w:szCs w:val="21"/>
                <w:lang w:val="en-US" w:eastAsia="zh-CN"/>
              </w:rPr>
            </w:pPr>
            <w:r>
              <w:rPr>
                <w:rFonts w:hint="eastAsia"/>
                <w:szCs w:val="21"/>
                <w:lang w:val="en-US" w:eastAsia="zh-CN"/>
              </w:rPr>
              <w:t>10.896</w:t>
            </w:r>
          </w:p>
        </w:tc>
        <w:tc>
          <w:tcPr>
            <w:tcW w:w="776" w:type="pct"/>
            <w:shd w:val="clear" w:color="000000" w:fill="FFFFFF"/>
            <w:vAlign w:val="center"/>
          </w:tcPr>
          <w:p w14:paraId="4D6D7E1C">
            <w:pPr>
              <w:jc w:val="center"/>
              <w:rPr>
                <w:rFonts w:hint="eastAsia"/>
                <w:szCs w:val="21"/>
                <w:lang w:val="en-US" w:eastAsia="zh-CN"/>
              </w:rPr>
            </w:pPr>
            <w:r>
              <w:rPr>
                <w:rFonts w:hint="eastAsia"/>
                <w:szCs w:val="21"/>
                <w:lang w:val="en-US" w:eastAsia="zh-CN"/>
              </w:rPr>
              <w:t>2.42133E+000</w:t>
            </w:r>
          </w:p>
        </w:tc>
      </w:tr>
      <w:tr w14:paraId="7925EA3D">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75C7789D">
            <w:pPr>
              <w:jc w:val="center"/>
              <w:rPr>
                <w:rFonts w:hint="default"/>
                <w:szCs w:val="21"/>
                <w:lang w:val="en-US" w:eastAsia="zh-CN"/>
              </w:rPr>
            </w:pPr>
            <w:r>
              <w:rPr>
                <w:rFonts w:hint="eastAsia"/>
                <w:szCs w:val="21"/>
                <w:lang w:val="en-US" w:eastAsia="zh-CN"/>
              </w:rPr>
              <w:t>2500</w:t>
            </w:r>
          </w:p>
        </w:tc>
        <w:tc>
          <w:tcPr>
            <w:tcW w:w="693" w:type="pct"/>
            <w:gridSpan w:val="2"/>
            <w:shd w:val="clear" w:color="000000" w:fill="FFFFFF"/>
            <w:vAlign w:val="center"/>
          </w:tcPr>
          <w:p w14:paraId="14966C1D">
            <w:pPr>
              <w:jc w:val="center"/>
              <w:rPr>
                <w:rFonts w:hint="eastAsia"/>
                <w:szCs w:val="21"/>
                <w:lang w:val="en-US" w:eastAsia="zh-CN"/>
              </w:rPr>
            </w:pPr>
            <w:r>
              <w:rPr>
                <w:rFonts w:hint="eastAsia"/>
                <w:szCs w:val="21"/>
                <w:lang w:val="en-US" w:eastAsia="zh-CN"/>
              </w:rPr>
              <w:t>0.00017651</w:t>
            </w:r>
          </w:p>
        </w:tc>
        <w:tc>
          <w:tcPr>
            <w:tcW w:w="775" w:type="pct"/>
            <w:shd w:val="clear" w:color="000000" w:fill="FFFFFF"/>
            <w:vAlign w:val="center"/>
          </w:tcPr>
          <w:p w14:paraId="27257230">
            <w:pPr>
              <w:jc w:val="center"/>
              <w:rPr>
                <w:rFonts w:hint="eastAsia"/>
                <w:szCs w:val="21"/>
                <w:lang w:val="en-US" w:eastAsia="zh-CN"/>
              </w:rPr>
            </w:pPr>
            <w:r>
              <w:rPr>
                <w:rFonts w:hint="eastAsia"/>
                <w:szCs w:val="21"/>
                <w:lang w:val="en-US" w:eastAsia="zh-CN"/>
              </w:rPr>
              <w:t>2.35347E+000</w:t>
            </w:r>
          </w:p>
        </w:tc>
        <w:tc>
          <w:tcPr>
            <w:tcW w:w="693" w:type="pct"/>
            <w:shd w:val="clear" w:color="000000" w:fill="FFFFFF"/>
            <w:vAlign w:val="center"/>
          </w:tcPr>
          <w:p w14:paraId="774CDA49">
            <w:pPr>
              <w:jc w:val="center"/>
              <w:rPr>
                <w:rFonts w:hint="eastAsia"/>
                <w:szCs w:val="21"/>
                <w:lang w:val="en-US" w:eastAsia="zh-CN"/>
              </w:rPr>
            </w:pPr>
            <w:r>
              <w:rPr>
                <w:rFonts w:hint="eastAsia"/>
                <w:szCs w:val="21"/>
                <w:lang w:val="en-US" w:eastAsia="zh-CN"/>
              </w:rPr>
              <w:t>0.0554241</w:t>
            </w:r>
          </w:p>
        </w:tc>
        <w:tc>
          <w:tcPr>
            <w:tcW w:w="689" w:type="pct"/>
            <w:gridSpan w:val="2"/>
            <w:tcBorders>
              <w:right w:val="single" w:color="auto" w:sz="4" w:space="0"/>
            </w:tcBorders>
            <w:shd w:val="clear" w:color="000000" w:fill="FFFFFF"/>
            <w:vAlign w:val="center"/>
          </w:tcPr>
          <w:p w14:paraId="647A6FF4">
            <w:pPr>
              <w:jc w:val="center"/>
              <w:rPr>
                <w:rFonts w:hint="eastAsia"/>
                <w:szCs w:val="21"/>
                <w:lang w:val="en-US" w:eastAsia="zh-CN"/>
              </w:rPr>
            </w:pPr>
            <w:r>
              <w:rPr>
                <w:rFonts w:hint="eastAsia"/>
                <w:szCs w:val="21"/>
                <w:lang w:val="en-US" w:eastAsia="zh-CN"/>
              </w:rPr>
              <w:t>4.61868E-003</w:t>
            </w:r>
          </w:p>
        </w:tc>
        <w:tc>
          <w:tcPr>
            <w:tcW w:w="396" w:type="pct"/>
            <w:tcBorders>
              <w:left w:val="single" w:color="auto" w:sz="4" w:space="0"/>
            </w:tcBorders>
            <w:shd w:val="clear" w:color="000000" w:fill="FFFFFF"/>
            <w:vAlign w:val="center"/>
          </w:tcPr>
          <w:p w14:paraId="72329540">
            <w:pPr>
              <w:jc w:val="center"/>
              <w:rPr>
                <w:rFonts w:hint="eastAsia"/>
                <w:szCs w:val="21"/>
                <w:lang w:val="en-US" w:eastAsia="zh-CN"/>
              </w:rPr>
            </w:pPr>
            <w:r>
              <w:rPr>
                <w:rFonts w:hint="eastAsia"/>
                <w:szCs w:val="21"/>
                <w:lang w:val="en-US" w:eastAsia="zh-CN"/>
              </w:rPr>
              <w:t>2500</w:t>
            </w:r>
          </w:p>
        </w:tc>
        <w:tc>
          <w:tcPr>
            <w:tcW w:w="530" w:type="pct"/>
            <w:shd w:val="clear" w:color="000000" w:fill="FFFFFF"/>
            <w:vAlign w:val="center"/>
          </w:tcPr>
          <w:p w14:paraId="26E0BC43">
            <w:pPr>
              <w:jc w:val="center"/>
              <w:rPr>
                <w:rFonts w:hint="eastAsia"/>
                <w:szCs w:val="21"/>
                <w:lang w:val="en-US" w:eastAsia="zh-CN"/>
              </w:rPr>
            </w:pPr>
            <w:r>
              <w:rPr>
                <w:rFonts w:hint="eastAsia"/>
                <w:szCs w:val="21"/>
                <w:lang w:val="en-US" w:eastAsia="zh-CN"/>
              </w:rPr>
              <w:t>9.3202</w:t>
            </w:r>
          </w:p>
        </w:tc>
        <w:tc>
          <w:tcPr>
            <w:tcW w:w="776" w:type="pct"/>
            <w:shd w:val="clear" w:color="000000" w:fill="FFFFFF"/>
            <w:vAlign w:val="center"/>
          </w:tcPr>
          <w:p w14:paraId="152C88F8">
            <w:pPr>
              <w:jc w:val="center"/>
              <w:rPr>
                <w:rFonts w:hint="eastAsia"/>
                <w:szCs w:val="21"/>
                <w:lang w:val="en-US" w:eastAsia="zh-CN"/>
              </w:rPr>
            </w:pPr>
            <w:r>
              <w:rPr>
                <w:rFonts w:hint="eastAsia"/>
                <w:szCs w:val="21"/>
                <w:lang w:val="en-US" w:eastAsia="zh-CN"/>
              </w:rPr>
              <w:t>2.07116E+000</w:t>
            </w:r>
          </w:p>
        </w:tc>
      </w:tr>
      <w:tr w14:paraId="5D3EB280">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912" w:type="pct"/>
            <w:gridSpan w:val="4"/>
            <w:shd w:val="clear" w:color="000000" w:fill="FFFFFF"/>
            <w:vAlign w:val="center"/>
          </w:tcPr>
          <w:p w14:paraId="1275DB42">
            <w:pPr>
              <w:jc w:val="center"/>
              <w:rPr>
                <w:rFonts w:ascii="宋体" w:hAnsi="宋体" w:cs="宋体"/>
                <w:szCs w:val="21"/>
              </w:rPr>
            </w:pPr>
            <w:r>
              <w:rPr>
                <w:rFonts w:hint="eastAsia"/>
                <w:bCs/>
                <w:szCs w:val="21"/>
                <w:lang w:val="en-US" w:eastAsia="zh-CN"/>
              </w:rPr>
              <w:t>DA005</w:t>
            </w:r>
            <w:r>
              <w:rPr>
                <w:rFonts w:hint="eastAsia"/>
                <w:bCs/>
                <w:szCs w:val="21"/>
                <w:lang w:eastAsia="zh-CN"/>
              </w:rPr>
              <w:t>水稳土搅拌废气排气筒</w:t>
            </w:r>
          </w:p>
        </w:tc>
        <w:tc>
          <w:tcPr>
            <w:tcW w:w="2310" w:type="pct"/>
            <w:gridSpan w:val="5"/>
            <w:shd w:val="clear" w:color="000000" w:fill="FFFFFF"/>
            <w:vAlign w:val="center"/>
          </w:tcPr>
          <w:p w14:paraId="2DCC7276">
            <w:pPr>
              <w:jc w:val="center"/>
              <w:rPr>
                <w:rFonts w:ascii="宋体" w:hAnsi="宋体" w:cs="宋体"/>
                <w:szCs w:val="21"/>
              </w:rPr>
            </w:pPr>
            <w:r>
              <w:rPr>
                <w:rFonts w:hint="eastAsia"/>
                <w:bCs/>
                <w:szCs w:val="21"/>
                <w:lang w:val="en-US" w:eastAsia="zh-CN"/>
              </w:rPr>
              <w:t>DA006</w:t>
            </w:r>
            <w:r>
              <w:rPr>
                <w:rFonts w:hint="eastAsia"/>
                <w:bCs/>
                <w:szCs w:val="21"/>
                <w:lang w:eastAsia="zh-CN"/>
              </w:rPr>
              <w:t>沥青矿粉筒仓废气排气筒</w:t>
            </w:r>
          </w:p>
        </w:tc>
        <w:tc>
          <w:tcPr>
            <w:tcW w:w="776" w:type="pct"/>
            <w:shd w:val="clear" w:color="000000" w:fill="FFFFFF"/>
            <w:vAlign w:val="center"/>
          </w:tcPr>
          <w:p w14:paraId="6460DCF7">
            <w:pPr>
              <w:jc w:val="center"/>
              <w:rPr>
                <w:rFonts w:ascii="宋体" w:hAnsi="宋体" w:cs="宋体"/>
                <w:szCs w:val="21"/>
              </w:rPr>
            </w:pPr>
          </w:p>
        </w:tc>
      </w:tr>
      <w:tr w14:paraId="4017F32A">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0696F256">
            <w:pPr>
              <w:widowControl/>
              <w:jc w:val="center"/>
              <w:rPr>
                <w:rFonts w:ascii="宋体" w:hAnsi="宋体" w:cs="宋体"/>
                <w:szCs w:val="21"/>
              </w:rPr>
            </w:pPr>
            <w:r>
              <w:rPr>
                <w:rFonts w:hint="eastAsia"/>
                <w:kern w:val="0"/>
                <w:szCs w:val="21"/>
                <w:lang w:val="en-US" w:eastAsia="zh-CN"/>
              </w:rPr>
              <w:t>-</w:t>
            </w:r>
          </w:p>
        </w:tc>
        <w:tc>
          <w:tcPr>
            <w:tcW w:w="1469" w:type="pct"/>
            <w:gridSpan w:val="3"/>
            <w:shd w:val="clear" w:color="000000" w:fill="FFFFFF"/>
            <w:vAlign w:val="center"/>
          </w:tcPr>
          <w:p w14:paraId="653522EA">
            <w:pPr>
              <w:widowControl/>
              <w:jc w:val="center"/>
              <w:rPr>
                <w:rFonts w:ascii="宋体" w:hAnsi="宋体" w:cs="宋体"/>
                <w:szCs w:val="21"/>
              </w:rPr>
            </w:pPr>
            <w:r>
              <w:rPr>
                <w:rFonts w:hint="eastAsia"/>
                <w:kern w:val="0"/>
                <w:szCs w:val="21"/>
                <w:lang w:val="en-US" w:eastAsia="zh-CN"/>
              </w:rPr>
              <w:t>PM</w:t>
            </w:r>
            <w:r>
              <w:rPr>
                <w:rFonts w:hint="eastAsia"/>
                <w:kern w:val="0"/>
                <w:szCs w:val="21"/>
                <w:vertAlign w:val="subscript"/>
                <w:lang w:val="en-US" w:eastAsia="zh-CN"/>
              </w:rPr>
              <w:t>10</w:t>
            </w:r>
          </w:p>
        </w:tc>
        <w:tc>
          <w:tcPr>
            <w:tcW w:w="693" w:type="pct"/>
            <w:shd w:val="clear" w:color="000000" w:fill="FFFFFF"/>
            <w:vAlign w:val="center"/>
          </w:tcPr>
          <w:p w14:paraId="44FC53E9">
            <w:pPr>
              <w:widowControl/>
              <w:jc w:val="center"/>
              <w:rPr>
                <w:rFonts w:ascii="宋体" w:hAnsi="宋体" w:cs="宋体"/>
                <w:szCs w:val="21"/>
              </w:rPr>
            </w:pPr>
            <w:r>
              <w:rPr>
                <w:rFonts w:hint="eastAsia"/>
                <w:kern w:val="0"/>
                <w:szCs w:val="21"/>
                <w:lang w:val="en-US" w:eastAsia="zh-CN"/>
              </w:rPr>
              <w:t>-</w:t>
            </w:r>
          </w:p>
        </w:tc>
        <w:tc>
          <w:tcPr>
            <w:tcW w:w="1616" w:type="pct"/>
            <w:gridSpan w:val="4"/>
            <w:shd w:val="clear" w:color="000000" w:fill="FFFFFF"/>
            <w:vAlign w:val="center"/>
          </w:tcPr>
          <w:p w14:paraId="66654BD2">
            <w:pPr>
              <w:widowControl/>
              <w:jc w:val="center"/>
              <w:rPr>
                <w:rFonts w:ascii="宋体" w:hAnsi="宋体" w:cs="宋体"/>
                <w:szCs w:val="21"/>
              </w:rPr>
            </w:pPr>
            <w:r>
              <w:rPr>
                <w:rFonts w:hint="eastAsia"/>
                <w:kern w:val="0"/>
                <w:szCs w:val="21"/>
                <w:lang w:val="en-US" w:eastAsia="zh-CN"/>
              </w:rPr>
              <w:t>PM</w:t>
            </w:r>
            <w:r>
              <w:rPr>
                <w:rFonts w:hint="eastAsia"/>
                <w:kern w:val="0"/>
                <w:szCs w:val="21"/>
                <w:vertAlign w:val="subscript"/>
                <w:lang w:val="en-US" w:eastAsia="zh-CN"/>
              </w:rPr>
              <w:t>10</w:t>
            </w:r>
          </w:p>
        </w:tc>
        <w:tc>
          <w:tcPr>
            <w:tcW w:w="776" w:type="pct"/>
            <w:shd w:val="clear" w:color="000000" w:fill="FFFFFF"/>
            <w:vAlign w:val="center"/>
          </w:tcPr>
          <w:p w14:paraId="11547019">
            <w:pPr>
              <w:jc w:val="center"/>
              <w:rPr>
                <w:rFonts w:ascii="宋体" w:hAnsi="宋体" w:cs="宋体"/>
                <w:szCs w:val="21"/>
              </w:rPr>
            </w:pPr>
          </w:p>
        </w:tc>
      </w:tr>
      <w:tr w14:paraId="17814EB7">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auto" w:fill="auto"/>
            <w:vAlign w:val="center"/>
          </w:tcPr>
          <w:p w14:paraId="5AC60F5F">
            <w:pPr>
              <w:widowControl/>
              <w:jc w:val="center"/>
              <w:rPr>
                <w:rFonts w:hint="eastAsia" w:ascii="Times New Roman" w:hAnsi="Times New Roman" w:eastAsia="宋体" w:cs="Times New Roman"/>
                <w:bCs/>
                <w:kern w:val="2"/>
                <w:sz w:val="21"/>
                <w:szCs w:val="21"/>
                <w:lang w:val="en-US" w:eastAsia="zh-CN" w:bidi="ar-SA"/>
              </w:rPr>
            </w:pPr>
            <w:r>
              <w:rPr>
                <w:kern w:val="0"/>
                <w:szCs w:val="21"/>
              </w:rPr>
              <w:t>距离</w:t>
            </w:r>
          </w:p>
        </w:tc>
        <w:tc>
          <w:tcPr>
            <w:tcW w:w="693" w:type="pct"/>
            <w:gridSpan w:val="2"/>
            <w:shd w:val="clear" w:color="000000" w:fill="FFFFFF"/>
            <w:vAlign w:val="center"/>
          </w:tcPr>
          <w:p w14:paraId="123DED9F">
            <w:pPr>
              <w:widowControl/>
              <w:jc w:val="center"/>
              <w:rPr>
                <w:rFonts w:ascii="宋体" w:hAnsi="宋体" w:cs="宋体"/>
                <w:szCs w:val="21"/>
              </w:rPr>
            </w:pPr>
            <w:r>
              <w:rPr>
                <w:kern w:val="0"/>
                <w:szCs w:val="21"/>
              </w:rPr>
              <w:t>浓度</w:t>
            </w:r>
          </w:p>
        </w:tc>
        <w:tc>
          <w:tcPr>
            <w:tcW w:w="775" w:type="pct"/>
            <w:shd w:val="clear" w:color="000000" w:fill="FFFFFF"/>
            <w:vAlign w:val="center"/>
          </w:tcPr>
          <w:p w14:paraId="206FC6E0">
            <w:pPr>
              <w:widowControl/>
              <w:jc w:val="center"/>
              <w:rPr>
                <w:rFonts w:ascii="宋体" w:hAnsi="宋体" w:cs="宋体"/>
                <w:szCs w:val="21"/>
              </w:rPr>
            </w:pPr>
            <w:r>
              <w:rPr>
                <w:kern w:val="0"/>
                <w:szCs w:val="21"/>
              </w:rPr>
              <w:t>占标率</w:t>
            </w:r>
          </w:p>
        </w:tc>
        <w:tc>
          <w:tcPr>
            <w:tcW w:w="693" w:type="pct"/>
            <w:shd w:val="clear" w:color="000000" w:fill="FFFFFF"/>
            <w:vAlign w:val="center"/>
          </w:tcPr>
          <w:p w14:paraId="605EF4C5">
            <w:pPr>
              <w:widowControl/>
              <w:jc w:val="center"/>
              <w:rPr>
                <w:rFonts w:ascii="宋体" w:hAnsi="宋体" w:cs="宋体"/>
                <w:szCs w:val="21"/>
              </w:rPr>
            </w:pPr>
            <w:r>
              <w:rPr>
                <w:kern w:val="0"/>
                <w:szCs w:val="21"/>
              </w:rPr>
              <w:t>距离</w:t>
            </w:r>
          </w:p>
        </w:tc>
        <w:tc>
          <w:tcPr>
            <w:tcW w:w="655" w:type="pct"/>
            <w:shd w:val="clear" w:color="000000" w:fill="FFFFFF"/>
            <w:vAlign w:val="center"/>
          </w:tcPr>
          <w:p w14:paraId="07E11F53">
            <w:pPr>
              <w:widowControl/>
              <w:jc w:val="center"/>
              <w:rPr>
                <w:rFonts w:ascii="宋体" w:hAnsi="宋体" w:cs="宋体"/>
                <w:szCs w:val="21"/>
              </w:rPr>
            </w:pPr>
            <w:r>
              <w:rPr>
                <w:kern w:val="0"/>
                <w:szCs w:val="21"/>
              </w:rPr>
              <w:t>浓度</w:t>
            </w:r>
          </w:p>
        </w:tc>
        <w:tc>
          <w:tcPr>
            <w:tcW w:w="961" w:type="pct"/>
            <w:gridSpan w:val="3"/>
            <w:shd w:val="clear" w:color="000000" w:fill="FFFFFF"/>
            <w:vAlign w:val="center"/>
          </w:tcPr>
          <w:p w14:paraId="2DA0BAD9">
            <w:pPr>
              <w:widowControl/>
              <w:jc w:val="center"/>
              <w:rPr>
                <w:rFonts w:ascii="宋体" w:hAnsi="宋体" w:cs="宋体"/>
                <w:szCs w:val="21"/>
              </w:rPr>
            </w:pPr>
            <w:r>
              <w:rPr>
                <w:kern w:val="0"/>
                <w:szCs w:val="21"/>
              </w:rPr>
              <w:t>占标率</w:t>
            </w:r>
          </w:p>
        </w:tc>
        <w:tc>
          <w:tcPr>
            <w:tcW w:w="776" w:type="pct"/>
            <w:shd w:val="clear" w:color="000000" w:fill="FFFFFF"/>
            <w:vAlign w:val="center"/>
          </w:tcPr>
          <w:p w14:paraId="00D27F42">
            <w:pPr>
              <w:jc w:val="center"/>
              <w:rPr>
                <w:rFonts w:ascii="宋体" w:hAnsi="宋体" w:cs="宋体"/>
                <w:szCs w:val="21"/>
              </w:rPr>
            </w:pPr>
          </w:p>
        </w:tc>
      </w:tr>
      <w:tr w14:paraId="4DB3908E">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auto" w:fill="auto"/>
            <w:vAlign w:val="center"/>
          </w:tcPr>
          <w:p w14:paraId="1D122144">
            <w:pPr>
              <w:widowControl/>
              <w:jc w:val="center"/>
              <w:rPr>
                <w:rFonts w:hint="eastAsia" w:eastAsia="宋体"/>
                <w:kern w:val="0"/>
                <w:szCs w:val="21"/>
                <w:lang w:val="en-US" w:eastAsia="zh-CN"/>
              </w:rPr>
            </w:pPr>
            <w:r>
              <w:rPr>
                <w:rFonts w:hint="eastAsia"/>
                <w:kern w:val="0"/>
                <w:szCs w:val="21"/>
                <w:lang w:val="en-US" w:eastAsia="zh-CN"/>
              </w:rPr>
              <w:t>m</w:t>
            </w:r>
          </w:p>
        </w:tc>
        <w:tc>
          <w:tcPr>
            <w:tcW w:w="693" w:type="pct"/>
            <w:gridSpan w:val="2"/>
            <w:shd w:val="clear" w:color="000000" w:fill="FFFFFF"/>
            <w:vAlign w:val="center"/>
          </w:tcPr>
          <w:p w14:paraId="316E6D64">
            <w:pPr>
              <w:widowControl/>
              <w:jc w:val="center"/>
              <w:rPr>
                <w:kern w:val="0"/>
                <w:szCs w:val="21"/>
              </w:rPr>
            </w:pPr>
            <w:r>
              <w:rPr>
                <w:kern w:val="0"/>
                <w:szCs w:val="21"/>
              </w:rPr>
              <w:t>ug/m</w:t>
            </w:r>
            <w:r>
              <w:rPr>
                <w:kern w:val="0"/>
                <w:szCs w:val="21"/>
                <w:vertAlign w:val="superscript"/>
              </w:rPr>
              <w:t>3</w:t>
            </w:r>
          </w:p>
        </w:tc>
        <w:tc>
          <w:tcPr>
            <w:tcW w:w="775" w:type="pct"/>
            <w:shd w:val="clear" w:color="000000" w:fill="FFFFFF"/>
            <w:vAlign w:val="center"/>
          </w:tcPr>
          <w:p w14:paraId="1D54CF04">
            <w:pPr>
              <w:widowControl/>
              <w:jc w:val="center"/>
              <w:rPr>
                <w:kern w:val="0"/>
                <w:szCs w:val="21"/>
              </w:rPr>
            </w:pPr>
            <w:r>
              <w:rPr>
                <w:kern w:val="0"/>
                <w:szCs w:val="21"/>
              </w:rPr>
              <w:t>%</w:t>
            </w:r>
          </w:p>
        </w:tc>
        <w:tc>
          <w:tcPr>
            <w:tcW w:w="693" w:type="pct"/>
            <w:shd w:val="clear" w:color="000000" w:fill="FFFFFF"/>
            <w:vAlign w:val="center"/>
          </w:tcPr>
          <w:p w14:paraId="0074FB86">
            <w:pPr>
              <w:widowControl/>
              <w:jc w:val="center"/>
              <w:rPr>
                <w:kern w:val="0"/>
                <w:szCs w:val="21"/>
              </w:rPr>
            </w:pPr>
            <w:r>
              <w:rPr>
                <w:rFonts w:hint="eastAsia"/>
                <w:kern w:val="0"/>
                <w:szCs w:val="21"/>
                <w:lang w:val="en-US" w:eastAsia="zh-CN"/>
              </w:rPr>
              <w:t>m</w:t>
            </w:r>
          </w:p>
        </w:tc>
        <w:tc>
          <w:tcPr>
            <w:tcW w:w="655" w:type="pct"/>
            <w:shd w:val="clear" w:color="000000" w:fill="FFFFFF"/>
            <w:vAlign w:val="center"/>
          </w:tcPr>
          <w:p w14:paraId="53DE9A0F">
            <w:pPr>
              <w:widowControl/>
              <w:jc w:val="center"/>
              <w:rPr>
                <w:kern w:val="0"/>
                <w:szCs w:val="21"/>
              </w:rPr>
            </w:pPr>
            <w:r>
              <w:rPr>
                <w:kern w:val="0"/>
                <w:szCs w:val="21"/>
              </w:rPr>
              <w:t>ug/m</w:t>
            </w:r>
            <w:r>
              <w:rPr>
                <w:kern w:val="0"/>
                <w:szCs w:val="21"/>
                <w:vertAlign w:val="superscript"/>
              </w:rPr>
              <w:t>3</w:t>
            </w:r>
          </w:p>
        </w:tc>
        <w:tc>
          <w:tcPr>
            <w:tcW w:w="961" w:type="pct"/>
            <w:gridSpan w:val="3"/>
            <w:shd w:val="clear" w:color="000000" w:fill="FFFFFF"/>
            <w:vAlign w:val="center"/>
          </w:tcPr>
          <w:p w14:paraId="2F823F64">
            <w:pPr>
              <w:widowControl/>
              <w:jc w:val="center"/>
              <w:rPr>
                <w:kern w:val="0"/>
                <w:szCs w:val="21"/>
              </w:rPr>
            </w:pPr>
            <w:r>
              <w:rPr>
                <w:kern w:val="0"/>
                <w:szCs w:val="21"/>
              </w:rPr>
              <w:t>%</w:t>
            </w:r>
          </w:p>
        </w:tc>
        <w:tc>
          <w:tcPr>
            <w:tcW w:w="776" w:type="pct"/>
            <w:shd w:val="clear" w:color="000000" w:fill="FFFFFF"/>
            <w:vAlign w:val="center"/>
          </w:tcPr>
          <w:p w14:paraId="47839718">
            <w:pPr>
              <w:jc w:val="center"/>
              <w:rPr>
                <w:rFonts w:ascii="宋体" w:hAnsi="宋体" w:cs="宋体"/>
                <w:szCs w:val="21"/>
              </w:rPr>
            </w:pPr>
          </w:p>
        </w:tc>
      </w:tr>
      <w:tr w14:paraId="7CE96597">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auto" w:fill="auto"/>
            <w:vAlign w:val="center"/>
          </w:tcPr>
          <w:p w14:paraId="71730732">
            <w:pPr>
              <w:jc w:val="center"/>
              <w:rPr>
                <w:kern w:val="0"/>
                <w:szCs w:val="21"/>
              </w:rPr>
            </w:pPr>
            <w:r>
              <w:rPr>
                <w:rFonts w:hint="eastAsia"/>
                <w:szCs w:val="21"/>
                <w:lang w:val="en-US" w:eastAsia="zh-CN"/>
              </w:rPr>
              <w:t>10</w:t>
            </w:r>
          </w:p>
        </w:tc>
        <w:tc>
          <w:tcPr>
            <w:tcW w:w="693" w:type="pct"/>
            <w:gridSpan w:val="2"/>
            <w:shd w:val="clear" w:color="000000" w:fill="FFFFFF"/>
            <w:vAlign w:val="center"/>
          </w:tcPr>
          <w:p w14:paraId="3365F79B">
            <w:pPr>
              <w:jc w:val="center"/>
              <w:rPr>
                <w:rFonts w:hint="eastAsia"/>
                <w:szCs w:val="21"/>
                <w:lang w:val="en-US" w:eastAsia="zh-CN"/>
              </w:rPr>
            </w:pPr>
            <w:r>
              <w:rPr>
                <w:rFonts w:hint="eastAsia"/>
                <w:szCs w:val="21"/>
                <w:lang w:val="en-US" w:eastAsia="zh-CN"/>
              </w:rPr>
              <w:t>0.11353</w:t>
            </w:r>
          </w:p>
        </w:tc>
        <w:tc>
          <w:tcPr>
            <w:tcW w:w="775" w:type="pct"/>
            <w:shd w:val="clear" w:color="000000" w:fill="FFFFFF"/>
            <w:vAlign w:val="center"/>
          </w:tcPr>
          <w:p w14:paraId="51356AEE">
            <w:pPr>
              <w:jc w:val="center"/>
              <w:rPr>
                <w:rFonts w:hint="eastAsia"/>
                <w:szCs w:val="21"/>
                <w:lang w:val="en-US" w:eastAsia="zh-CN"/>
              </w:rPr>
            </w:pPr>
            <w:r>
              <w:rPr>
                <w:rFonts w:hint="eastAsia"/>
                <w:szCs w:val="21"/>
                <w:lang w:val="en-US" w:eastAsia="zh-CN"/>
              </w:rPr>
              <w:t>2.52289E-002</w:t>
            </w:r>
          </w:p>
        </w:tc>
        <w:tc>
          <w:tcPr>
            <w:tcW w:w="693" w:type="pct"/>
            <w:shd w:val="clear" w:color="000000" w:fill="FFFFFF"/>
            <w:vAlign w:val="center"/>
          </w:tcPr>
          <w:p w14:paraId="5B30B630">
            <w:pPr>
              <w:jc w:val="center"/>
              <w:rPr>
                <w:rFonts w:hint="default"/>
                <w:szCs w:val="21"/>
                <w:lang w:val="en-US" w:eastAsia="zh-CN"/>
              </w:rPr>
            </w:pPr>
            <w:r>
              <w:rPr>
                <w:rFonts w:hint="eastAsia"/>
                <w:szCs w:val="21"/>
                <w:lang w:val="en-US" w:eastAsia="zh-CN"/>
              </w:rPr>
              <w:t>10</w:t>
            </w:r>
          </w:p>
        </w:tc>
        <w:tc>
          <w:tcPr>
            <w:tcW w:w="655" w:type="pct"/>
            <w:shd w:val="clear" w:color="000000" w:fill="FFFFFF"/>
            <w:vAlign w:val="center"/>
          </w:tcPr>
          <w:p w14:paraId="53D56164">
            <w:pPr>
              <w:jc w:val="center"/>
              <w:rPr>
                <w:rFonts w:hint="eastAsia"/>
                <w:szCs w:val="21"/>
                <w:lang w:val="en-US" w:eastAsia="zh-CN"/>
              </w:rPr>
            </w:pPr>
            <w:r>
              <w:rPr>
                <w:rFonts w:hint="eastAsia"/>
                <w:szCs w:val="21"/>
                <w:lang w:val="en-US" w:eastAsia="zh-CN"/>
              </w:rPr>
              <w:t>0.52273</w:t>
            </w:r>
          </w:p>
        </w:tc>
        <w:tc>
          <w:tcPr>
            <w:tcW w:w="961" w:type="pct"/>
            <w:gridSpan w:val="3"/>
            <w:shd w:val="clear" w:color="000000" w:fill="FFFFFF"/>
            <w:vAlign w:val="center"/>
          </w:tcPr>
          <w:p w14:paraId="4ADFC292">
            <w:pPr>
              <w:jc w:val="center"/>
              <w:rPr>
                <w:rFonts w:hint="eastAsia"/>
                <w:szCs w:val="21"/>
                <w:lang w:val="en-US" w:eastAsia="zh-CN"/>
              </w:rPr>
            </w:pPr>
            <w:r>
              <w:rPr>
                <w:rFonts w:hint="eastAsia"/>
                <w:szCs w:val="21"/>
                <w:lang w:val="en-US" w:eastAsia="zh-CN"/>
              </w:rPr>
              <w:t>1.16162E-001</w:t>
            </w:r>
          </w:p>
        </w:tc>
        <w:tc>
          <w:tcPr>
            <w:tcW w:w="776" w:type="pct"/>
            <w:shd w:val="clear" w:color="000000" w:fill="FFFFFF"/>
            <w:vAlign w:val="center"/>
          </w:tcPr>
          <w:p w14:paraId="734D7B93">
            <w:pPr>
              <w:jc w:val="center"/>
              <w:rPr>
                <w:rFonts w:ascii="宋体" w:hAnsi="宋体" w:cs="宋体"/>
                <w:szCs w:val="21"/>
              </w:rPr>
            </w:pPr>
          </w:p>
        </w:tc>
      </w:tr>
      <w:tr w14:paraId="2B0998F0">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auto" w:fill="auto"/>
            <w:vAlign w:val="center"/>
          </w:tcPr>
          <w:p w14:paraId="1102528E">
            <w:pPr>
              <w:jc w:val="center"/>
              <w:rPr>
                <w:kern w:val="0"/>
                <w:szCs w:val="21"/>
              </w:rPr>
            </w:pPr>
            <w:r>
              <w:rPr>
                <w:rFonts w:hint="eastAsia"/>
                <w:szCs w:val="21"/>
                <w:lang w:val="en-US" w:eastAsia="zh-CN"/>
              </w:rPr>
              <w:t>25</w:t>
            </w:r>
          </w:p>
        </w:tc>
        <w:tc>
          <w:tcPr>
            <w:tcW w:w="693" w:type="pct"/>
            <w:gridSpan w:val="2"/>
            <w:shd w:val="clear" w:color="000000" w:fill="FFFFFF"/>
            <w:vAlign w:val="center"/>
          </w:tcPr>
          <w:p w14:paraId="32CC3665">
            <w:pPr>
              <w:jc w:val="center"/>
              <w:rPr>
                <w:rFonts w:hint="eastAsia"/>
                <w:szCs w:val="21"/>
                <w:lang w:val="en-US" w:eastAsia="zh-CN"/>
              </w:rPr>
            </w:pPr>
            <w:r>
              <w:rPr>
                <w:rFonts w:hint="eastAsia"/>
                <w:szCs w:val="21"/>
                <w:lang w:val="en-US" w:eastAsia="zh-CN"/>
              </w:rPr>
              <w:t>4.5494</w:t>
            </w:r>
          </w:p>
        </w:tc>
        <w:tc>
          <w:tcPr>
            <w:tcW w:w="775" w:type="pct"/>
            <w:shd w:val="clear" w:color="000000" w:fill="FFFFFF"/>
            <w:vAlign w:val="center"/>
          </w:tcPr>
          <w:p w14:paraId="26652ED9">
            <w:pPr>
              <w:jc w:val="center"/>
              <w:rPr>
                <w:rFonts w:hint="eastAsia"/>
                <w:szCs w:val="21"/>
                <w:lang w:val="en-US" w:eastAsia="zh-CN"/>
              </w:rPr>
            </w:pPr>
            <w:r>
              <w:rPr>
                <w:rFonts w:hint="eastAsia"/>
                <w:szCs w:val="21"/>
                <w:lang w:val="en-US" w:eastAsia="zh-CN"/>
              </w:rPr>
              <w:t>1.01098E+000</w:t>
            </w:r>
          </w:p>
        </w:tc>
        <w:tc>
          <w:tcPr>
            <w:tcW w:w="693" w:type="pct"/>
            <w:shd w:val="clear" w:color="000000" w:fill="FFFFFF"/>
            <w:vAlign w:val="center"/>
          </w:tcPr>
          <w:p w14:paraId="33AE95A7">
            <w:pPr>
              <w:jc w:val="center"/>
              <w:rPr>
                <w:rFonts w:hint="default"/>
                <w:szCs w:val="21"/>
                <w:lang w:val="en-US" w:eastAsia="zh-CN"/>
              </w:rPr>
            </w:pPr>
            <w:r>
              <w:rPr>
                <w:rFonts w:hint="eastAsia"/>
                <w:szCs w:val="21"/>
                <w:lang w:val="en-US" w:eastAsia="zh-CN"/>
              </w:rPr>
              <w:t>25</w:t>
            </w:r>
          </w:p>
        </w:tc>
        <w:tc>
          <w:tcPr>
            <w:tcW w:w="655" w:type="pct"/>
            <w:shd w:val="clear" w:color="000000" w:fill="FFFFFF"/>
            <w:vAlign w:val="center"/>
          </w:tcPr>
          <w:p w14:paraId="59D84FEF">
            <w:pPr>
              <w:jc w:val="center"/>
              <w:rPr>
                <w:rFonts w:hint="eastAsia"/>
                <w:szCs w:val="21"/>
                <w:lang w:val="en-US" w:eastAsia="zh-CN"/>
              </w:rPr>
            </w:pPr>
            <w:r>
              <w:rPr>
                <w:rFonts w:hint="eastAsia"/>
                <w:szCs w:val="21"/>
                <w:lang w:val="en-US" w:eastAsia="zh-CN"/>
              </w:rPr>
              <w:t>9.5993</w:t>
            </w:r>
          </w:p>
        </w:tc>
        <w:tc>
          <w:tcPr>
            <w:tcW w:w="961" w:type="pct"/>
            <w:gridSpan w:val="3"/>
            <w:shd w:val="clear" w:color="000000" w:fill="FFFFFF"/>
            <w:vAlign w:val="center"/>
          </w:tcPr>
          <w:p w14:paraId="750628A6">
            <w:pPr>
              <w:jc w:val="center"/>
              <w:rPr>
                <w:rFonts w:hint="eastAsia"/>
                <w:szCs w:val="21"/>
                <w:lang w:val="en-US" w:eastAsia="zh-CN"/>
              </w:rPr>
            </w:pPr>
            <w:r>
              <w:rPr>
                <w:rFonts w:hint="eastAsia"/>
                <w:szCs w:val="21"/>
                <w:lang w:val="en-US" w:eastAsia="zh-CN"/>
              </w:rPr>
              <w:t>2.13318E+000</w:t>
            </w:r>
          </w:p>
        </w:tc>
        <w:tc>
          <w:tcPr>
            <w:tcW w:w="776" w:type="pct"/>
            <w:shd w:val="clear" w:color="000000" w:fill="FFFFFF"/>
            <w:vAlign w:val="center"/>
          </w:tcPr>
          <w:p w14:paraId="78184A89">
            <w:pPr>
              <w:jc w:val="center"/>
              <w:rPr>
                <w:rFonts w:ascii="宋体" w:hAnsi="宋体" w:cs="宋体"/>
                <w:szCs w:val="21"/>
              </w:rPr>
            </w:pPr>
          </w:p>
        </w:tc>
      </w:tr>
      <w:tr w14:paraId="388294B9">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auto" w:fill="auto"/>
            <w:vAlign w:val="center"/>
          </w:tcPr>
          <w:p w14:paraId="66753892">
            <w:pPr>
              <w:jc w:val="center"/>
              <w:rPr>
                <w:kern w:val="0"/>
                <w:szCs w:val="21"/>
              </w:rPr>
            </w:pPr>
            <w:r>
              <w:rPr>
                <w:rFonts w:hint="eastAsia"/>
                <w:szCs w:val="21"/>
                <w:lang w:val="en-US" w:eastAsia="zh-CN"/>
              </w:rPr>
              <w:t>50</w:t>
            </w:r>
          </w:p>
        </w:tc>
        <w:tc>
          <w:tcPr>
            <w:tcW w:w="693" w:type="pct"/>
            <w:gridSpan w:val="2"/>
            <w:shd w:val="clear" w:color="000000" w:fill="FFFFFF"/>
            <w:vAlign w:val="center"/>
          </w:tcPr>
          <w:p w14:paraId="25DDBD6D">
            <w:pPr>
              <w:jc w:val="center"/>
              <w:rPr>
                <w:rFonts w:hint="eastAsia"/>
                <w:szCs w:val="21"/>
                <w:lang w:val="en-US" w:eastAsia="zh-CN"/>
              </w:rPr>
            </w:pPr>
            <w:r>
              <w:rPr>
                <w:rFonts w:hint="eastAsia"/>
                <w:szCs w:val="21"/>
                <w:lang w:val="en-US" w:eastAsia="zh-CN"/>
              </w:rPr>
              <w:t>7.0565</w:t>
            </w:r>
          </w:p>
        </w:tc>
        <w:tc>
          <w:tcPr>
            <w:tcW w:w="775" w:type="pct"/>
            <w:shd w:val="clear" w:color="000000" w:fill="FFFFFF"/>
            <w:vAlign w:val="center"/>
          </w:tcPr>
          <w:p w14:paraId="4D9BA777">
            <w:pPr>
              <w:jc w:val="center"/>
              <w:rPr>
                <w:rFonts w:hint="eastAsia"/>
                <w:szCs w:val="21"/>
                <w:lang w:val="en-US" w:eastAsia="zh-CN"/>
              </w:rPr>
            </w:pPr>
            <w:r>
              <w:rPr>
                <w:rFonts w:hint="eastAsia"/>
                <w:szCs w:val="21"/>
                <w:lang w:val="en-US" w:eastAsia="zh-CN"/>
              </w:rPr>
              <w:t>1.56811E+000</w:t>
            </w:r>
          </w:p>
        </w:tc>
        <w:tc>
          <w:tcPr>
            <w:tcW w:w="693" w:type="pct"/>
            <w:shd w:val="clear" w:color="000000" w:fill="FFFFFF"/>
            <w:vAlign w:val="center"/>
          </w:tcPr>
          <w:p w14:paraId="47AA7DF1">
            <w:pPr>
              <w:jc w:val="center"/>
              <w:rPr>
                <w:rFonts w:hint="default"/>
                <w:b/>
                <w:bCs/>
                <w:szCs w:val="21"/>
                <w:lang w:val="en-US" w:eastAsia="zh-CN"/>
              </w:rPr>
            </w:pPr>
            <w:r>
              <w:rPr>
                <w:rFonts w:hint="eastAsia"/>
                <w:b/>
                <w:bCs/>
                <w:szCs w:val="21"/>
                <w:lang w:val="en-US" w:eastAsia="zh-CN"/>
              </w:rPr>
              <w:t>48</w:t>
            </w:r>
          </w:p>
        </w:tc>
        <w:tc>
          <w:tcPr>
            <w:tcW w:w="655" w:type="pct"/>
            <w:shd w:val="clear" w:color="000000" w:fill="FFFFFF"/>
            <w:vAlign w:val="center"/>
          </w:tcPr>
          <w:p w14:paraId="3180246E">
            <w:pPr>
              <w:jc w:val="center"/>
              <w:rPr>
                <w:rFonts w:hint="eastAsia"/>
                <w:b/>
                <w:bCs/>
                <w:szCs w:val="21"/>
                <w:lang w:val="en-US" w:eastAsia="zh-CN"/>
              </w:rPr>
            </w:pPr>
            <w:r>
              <w:rPr>
                <w:rFonts w:hint="eastAsia"/>
                <w:b/>
                <w:bCs/>
                <w:szCs w:val="21"/>
                <w:lang w:val="en-US" w:eastAsia="zh-CN"/>
              </w:rPr>
              <w:t>17.868</w:t>
            </w:r>
          </w:p>
        </w:tc>
        <w:tc>
          <w:tcPr>
            <w:tcW w:w="961" w:type="pct"/>
            <w:gridSpan w:val="3"/>
            <w:shd w:val="clear" w:color="000000" w:fill="FFFFFF"/>
            <w:vAlign w:val="center"/>
          </w:tcPr>
          <w:p w14:paraId="0E501C9F">
            <w:pPr>
              <w:jc w:val="center"/>
              <w:rPr>
                <w:rFonts w:hint="eastAsia"/>
                <w:b/>
                <w:bCs/>
                <w:szCs w:val="21"/>
                <w:lang w:val="en-US" w:eastAsia="zh-CN"/>
              </w:rPr>
            </w:pPr>
            <w:r>
              <w:rPr>
                <w:rFonts w:hint="eastAsia"/>
                <w:b/>
                <w:bCs/>
                <w:szCs w:val="21"/>
                <w:lang w:val="en-US" w:eastAsia="zh-CN"/>
              </w:rPr>
              <w:t>3.97067E+000</w:t>
            </w:r>
          </w:p>
        </w:tc>
        <w:tc>
          <w:tcPr>
            <w:tcW w:w="776" w:type="pct"/>
            <w:shd w:val="clear" w:color="000000" w:fill="FFFFFF"/>
            <w:vAlign w:val="center"/>
          </w:tcPr>
          <w:p w14:paraId="49AB8C8B">
            <w:pPr>
              <w:jc w:val="center"/>
              <w:rPr>
                <w:rFonts w:ascii="宋体" w:hAnsi="宋体" w:cs="宋体"/>
                <w:szCs w:val="21"/>
              </w:rPr>
            </w:pPr>
          </w:p>
        </w:tc>
      </w:tr>
      <w:tr w14:paraId="55AF54E2">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auto" w:fill="auto"/>
            <w:vAlign w:val="center"/>
          </w:tcPr>
          <w:p w14:paraId="4E1A8398">
            <w:pPr>
              <w:jc w:val="center"/>
              <w:rPr>
                <w:rFonts w:hint="default"/>
                <w:kern w:val="0"/>
                <w:szCs w:val="21"/>
                <w:lang w:val="en-US"/>
              </w:rPr>
            </w:pPr>
            <w:r>
              <w:rPr>
                <w:rFonts w:hint="eastAsia"/>
                <w:b/>
                <w:bCs/>
                <w:szCs w:val="21"/>
                <w:lang w:val="en-US" w:eastAsia="zh-CN"/>
              </w:rPr>
              <w:t>78</w:t>
            </w:r>
          </w:p>
        </w:tc>
        <w:tc>
          <w:tcPr>
            <w:tcW w:w="693" w:type="pct"/>
            <w:gridSpan w:val="2"/>
            <w:shd w:val="clear" w:color="000000" w:fill="FFFFFF"/>
            <w:vAlign w:val="center"/>
          </w:tcPr>
          <w:p w14:paraId="2D0D14EB">
            <w:pPr>
              <w:jc w:val="center"/>
              <w:rPr>
                <w:rFonts w:hint="eastAsia"/>
                <w:b/>
                <w:bCs/>
                <w:szCs w:val="21"/>
                <w:lang w:val="en-US" w:eastAsia="zh-CN"/>
              </w:rPr>
            </w:pPr>
            <w:r>
              <w:rPr>
                <w:rFonts w:hint="eastAsia"/>
                <w:b/>
                <w:bCs/>
                <w:szCs w:val="21"/>
                <w:lang w:val="en-US" w:eastAsia="zh-CN"/>
              </w:rPr>
              <w:t>9.0166</w:t>
            </w:r>
          </w:p>
        </w:tc>
        <w:tc>
          <w:tcPr>
            <w:tcW w:w="775" w:type="pct"/>
            <w:shd w:val="clear" w:color="000000" w:fill="FFFFFF"/>
            <w:vAlign w:val="center"/>
          </w:tcPr>
          <w:p w14:paraId="5651D919">
            <w:pPr>
              <w:jc w:val="center"/>
              <w:rPr>
                <w:rFonts w:hint="eastAsia"/>
                <w:b/>
                <w:bCs/>
                <w:szCs w:val="21"/>
                <w:lang w:val="en-US" w:eastAsia="zh-CN"/>
              </w:rPr>
            </w:pPr>
            <w:r>
              <w:rPr>
                <w:rFonts w:hint="eastAsia"/>
                <w:b/>
                <w:bCs/>
                <w:szCs w:val="21"/>
                <w:lang w:val="en-US" w:eastAsia="zh-CN"/>
              </w:rPr>
              <w:t>2.00369E+000</w:t>
            </w:r>
          </w:p>
        </w:tc>
        <w:tc>
          <w:tcPr>
            <w:tcW w:w="693" w:type="pct"/>
            <w:shd w:val="clear" w:color="000000" w:fill="FFFFFF"/>
            <w:vAlign w:val="center"/>
          </w:tcPr>
          <w:p w14:paraId="1D6F600C">
            <w:pPr>
              <w:jc w:val="center"/>
              <w:rPr>
                <w:rFonts w:hint="default"/>
                <w:szCs w:val="21"/>
                <w:lang w:val="en-US" w:eastAsia="zh-CN"/>
              </w:rPr>
            </w:pPr>
            <w:r>
              <w:rPr>
                <w:rFonts w:hint="eastAsia"/>
                <w:szCs w:val="21"/>
                <w:lang w:val="en-US" w:eastAsia="zh-CN"/>
              </w:rPr>
              <w:t>50</w:t>
            </w:r>
          </w:p>
        </w:tc>
        <w:tc>
          <w:tcPr>
            <w:tcW w:w="655" w:type="pct"/>
            <w:shd w:val="clear" w:color="000000" w:fill="FFFFFF"/>
            <w:vAlign w:val="center"/>
          </w:tcPr>
          <w:p w14:paraId="108451FC">
            <w:pPr>
              <w:jc w:val="center"/>
              <w:rPr>
                <w:rFonts w:hint="eastAsia"/>
                <w:szCs w:val="21"/>
                <w:lang w:val="en-US" w:eastAsia="zh-CN"/>
              </w:rPr>
            </w:pPr>
            <w:r>
              <w:rPr>
                <w:rFonts w:hint="eastAsia"/>
                <w:szCs w:val="21"/>
                <w:lang w:val="en-US" w:eastAsia="zh-CN"/>
              </w:rPr>
              <w:t>17.808</w:t>
            </w:r>
          </w:p>
        </w:tc>
        <w:tc>
          <w:tcPr>
            <w:tcW w:w="961" w:type="pct"/>
            <w:gridSpan w:val="3"/>
            <w:shd w:val="clear" w:color="000000" w:fill="FFFFFF"/>
            <w:vAlign w:val="center"/>
          </w:tcPr>
          <w:p w14:paraId="68D679BB">
            <w:pPr>
              <w:jc w:val="center"/>
              <w:rPr>
                <w:rFonts w:hint="eastAsia"/>
                <w:szCs w:val="21"/>
                <w:lang w:val="en-US" w:eastAsia="zh-CN"/>
              </w:rPr>
            </w:pPr>
            <w:r>
              <w:rPr>
                <w:rFonts w:hint="eastAsia"/>
                <w:szCs w:val="21"/>
                <w:lang w:val="en-US" w:eastAsia="zh-CN"/>
              </w:rPr>
              <w:t>3.95733E+000</w:t>
            </w:r>
          </w:p>
        </w:tc>
        <w:tc>
          <w:tcPr>
            <w:tcW w:w="776" w:type="pct"/>
            <w:shd w:val="clear" w:color="000000" w:fill="FFFFFF"/>
            <w:vAlign w:val="center"/>
          </w:tcPr>
          <w:p w14:paraId="27686FA6">
            <w:pPr>
              <w:jc w:val="center"/>
              <w:rPr>
                <w:rFonts w:ascii="宋体" w:hAnsi="宋体" w:cs="宋体"/>
                <w:szCs w:val="21"/>
              </w:rPr>
            </w:pPr>
          </w:p>
        </w:tc>
      </w:tr>
      <w:tr w14:paraId="7F22C98D">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auto" w:fill="auto"/>
            <w:vAlign w:val="center"/>
          </w:tcPr>
          <w:p w14:paraId="57433733">
            <w:pPr>
              <w:jc w:val="center"/>
              <w:rPr>
                <w:kern w:val="0"/>
                <w:szCs w:val="21"/>
              </w:rPr>
            </w:pPr>
            <w:r>
              <w:rPr>
                <w:rFonts w:hint="eastAsia"/>
                <w:szCs w:val="21"/>
                <w:lang w:val="en-US" w:eastAsia="zh-CN"/>
              </w:rPr>
              <w:t>100</w:t>
            </w:r>
          </w:p>
        </w:tc>
        <w:tc>
          <w:tcPr>
            <w:tcW w:w="693" w:type="pct"/>
            <w:gridSpan w:val="2"/>
            <w:shd w:val="clear" w:color="000000" w:fill="FFFFFF"/>
            <w:vAlign w:val="center"/>
          </w:tcPr>
          <w:p w14:paraId="253CD17E">
            <w:pPr>
              <w:jc w:val="center"/>
              <w:rPr>
                <w:rFonts w:hint="eastAsia"/>
                <w:szCs w:val="21"/>
                <w:lang w:val="en-US" w:eastAsia="zh-CN"/>
              </w:rPr>
            </w:pPr>
            <w:r>
              <w:rPr>
                <w:rFonts w:hint="eastAsia"/>
                <w:szCs w:val="21"/>
                <w:lang w:val="en-US" w:eastAsia="zh-CN"/>
              </w:rPr>
              <w:t>8.4505</w:t>
            </w:r>
          </w:p>
        </w:tc>
        <w:tc>
          <w:tcPr>
            <w:tcW w:w="775" w:type="pct"/>
            <w:shd w:val="clear" w:color="000000" w:fill="FFFFFF"/>
            <w:vAlign w:val="center"/>
          </w:tcPr>
          <w:p w14:paraId="35C3DE68">
            <w:pPr>
              <w:jc w:val="center"/>
              <w:rPr>
                <w:rFonts w:hint="eastAsia"/>
                <w:szCs w:val="21"/>
                <w:lang w:val="en-US" w:eastAsia="zh-CN"/>
              </w:rPr>
            </w:pPr>
            <w:r>
              <w:rPr>
                <w:rFonts w:hint="eastAsia"/>
                <w:szCs w:val="21"/>
                <w:lang w:val="en-US" w:eastAsia="zh-CN"/>
              </w:rPr>
              <w:t>1.87789E+000</w:t>
            </w:r>
          </w:p>
        </w:tc>
        <w:tc>
          <w:tcPr>
            <w:tcW w:w="693" w:type="pct"/>
            <w:shd w:val="clear" w:color="000000" w:fill="FFFFFF"/>
            <w:vAlign w:val="center"/>
          </w:tcPr>
          <w:p w14:paraId="028896B2">
            <w:pPr>
              <w:jc w:val="center"/>
              <w:rPr>
                <w:rFonts w:hint="default"/>
                <w:szCs w:val="21"/>
                <w:lang w:val="en-US" w:eastAsia="zh-CN"/>
              </w:rPr>
            </w:pPr>
            <w:r>
              <w:rPr>
                <w:rFonts w:hint="eastAsia"/>
                <w:szCs w:val="21"/>
                <w:lang w:val="en-US" w:eastAsia="zh-CN"/>
              </w:rPr>
              <w:t>100</w:t>
            </w:r>
          </w:p>
        </w:tc>
        <w:tc>
          <w:tcPr>
            <w:tcW w:w="655" w:type="pct"/>
            <w:shd w:val="clear" w:color="000000" w:fill="FFFFFF"/>
            <w:vAlign w:val="center"/>
          </w:tcPr>
          <w:p w14:paraId="10E230E3">
            <w:pPr>
              <w:jc w:val="center"/>
              <w:rPr>
                <w:rFonts w:hint="eastAsia"/>
                <w:szCs w:val="21"/>
                <w:lang w:val="en-US" w:eastAsia="zh-CN"/>
              </w:rPr>
            </w:pPr>
            <w:r>
              <w:rPr>
                <w:rFonts w:hint="eastAsia"/>
                <w:szCs w:val="21"/>
                <w:lang w:val="en-US" w:eastAsia="zh-CN"/>
              </w:rPr>
              <w:t>15.425</w:t>
            </w:r>
          </w:p>
        </w:tc>
        <w:tc>
          <w:tcPr>
            <w:tcW w:w="961" w:type="pct"/>
            <w:gridSpan w:val="3"/>
            <w:shd w:val="clear" w:color="000000" w:fill="FFFFFF"/>
            <w:vAlign w:val="center"/>
          </w:tcPr>
          <w:p w14:paraId="4A4638BC">
            <w:pPr>
              <w:jc w:val="center"/>
              <w:rPr>
                <w:rFonts w:hint="eastAsia"/>
                <w:szCs w:val="21"/>
                <w:lang w:val="en-US" w:eastAsia="zh-CN"/>
              </w:rPr>
            </w:pPr>
            <w:r>
              <w:rPr>
                <w:rFonts w:hint="eastAsia"/>
                <w:szCs w:val="21"/>
                <w:lang w:val="en-US" w:eastAsia="zh-CN"/>
              </w:rPr>
              <w:t>3.42778E+000</w:t>
            </w:r>
          </w:p>
        </w:tc>
        <w:tc>
          <w:tcPr>
            <w:tcW w:w="776" w:type="pct"/>
            <w:shd w:val="clear" w:color="000000" w:fill="FFFFFF"/>
            <w:vAlign w:val="center"/>
          </w:tcPr>
          <w:p w14:paraId="60A8514F">
            <w:pPr>
              <w:jc w:val="center"/>
              <w:rPr>
                <w:rFonts w:ascii="宋体" w:hAnsi="宋体" w:cs="宋体"/>
                <w:szCs w:val="21"/>
              </w:rPr>
            </w:pPr>
          </w:p>
        </w:tc>
      </w:tr>
      <w:tr w14:paraId="79EBB6E4">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auto" w:fill="auto"/>
            <w:vAlign w:val="center"/>
          </w:tcPr>
          <w:p w14:paraId="36C7885F">
            <w:pPr>
              <w:jc w:val="center"/>
              <w:rPr>
                <w:kern w:val="0"/>
                <w:szCs w:val="21"/>
              </w:rPr>
            </w:pPr>
            <w:r>
              <w:rPr>
                <w:rFonts w:hint="eastAsia"/>
                <w:szCs w:val="21"/>
                <w:lang w:val="en-US" w:eastAsia="zh-CN"/>
              </w:rPr>
              <w:t>200</w:t>
            </w:r>
          </w:p>
        </w:tc>
        <w:tc>
          <w:tcPr>
            <w:tcW w:w="693" w:type="pct"/>
            <w:gridSpan w:val="2"/>
            <w:shd w:val="clear" w:color="000000" w:fill="FFFFFF"/>
            <w:vAlign w:val="center"/>
          </w:tcPr>
          <w:p w14:paraId="34CF534F">
            <w:pPr>
              <w:jc w:val="center"/>
              <w:rPr>
                <w:rFonts w:hint="eastAsia"/>
                <w:szCs w:val="21"/>
                <w:lang w:val="en-US" w:eastAsia="zh-CN"/>
              </w:rPr>
            </w:pPr>
            <w:r>
              <w:rPr>
                <w:rFonts w:hint="eastAsia"/>
                <w:szCs w:val="21"/>
                <w:lang w:val="en-US" w:eastAsia="zh-CN"/>
              </w:rPr>
              <w:t>8.9331</w:t>
            </w:r>
          </w:p>
        </w:tc>
        <w:tc>
          <w:tcPr>
            <w:tcW w:w="775" w:type="pct"/>
            <w:shd w:val="clear" w:color="000000" w:fill="FFFFFF"/>
            <w:vAlign w:val="center"/>
          </w:tcPr>
          <w:p w14:paraId="62B6691D">
            <w:pPr>
              <w:jc w:val="center"/>
              <w:rPr>
                <w:rFonts w:hint="eastAsia"/>
                <w:szCs w:val="21"/>
                <w:lang w:val="en-US" w:eastAsia="zh-CN"/>
              </w:rPr>
            </w:pPr>
            <w:r>
              <w:rPr>
                <w:rFonts w:hint="eastAsia"/>
                <w:szCs w:val="21"/>
                <w:lang w:val="en-US" w:eastAsia="zh-CN"/>
              </w:rPr>
              <w:t>1.98513E+000</w:t>
            </w:r>
          </w:p>
        </w:tc>
        <w:tc>
          <w:tcPr>
            <w:tcW w:w="693" w:type="pct"/>
            <w:shd w:val="clear" w:color="000000" w:fill="FFFFFF"/>
            <w:vAlign w:val="center"/>
          </w:tcPr>
          <w:p w14:paraId="4D21A86C">
            <w:pPr>
              <w:jc w:val="center"/>
              <w:rPr>
                <w:rFonts w:hint="eastAsia"/>
                <w:szCs w:val="21"/>
                <w:lang w:val="en-US" w:eastAsia="zh-CN"/>
              </w:rPr>
            </w:pPr>
            <w:r>
              <w:rPr>
                <w:rFonts w:hint="eastAsia"/>
                <w:szCs w:val="21"/>
                <w:lang w:val="en-US" w:eastAsia="zh-CN"/>
              </w:rPr>
              <w:t>200</w:t>
            </w:r>
          </w:p>
        </w:tc>
        <w:tc>
          <w:tcPr>
            <w:tcW w:w="655" w:type="pct"/>
            <w:shd w:val="clear" w:color="000000" w:fill="FFFFFF"/>
            <w:vAlign w:val="center"/>
          </w:tcPr>
          <w:p w14:paraId="568CD504">
            <w:pPr>
              <w:jc w:val="center"/>
              <w:rPr>
                <w:rFonts w:hint="eastAsia"/>
                <w:szCs w:val="21"/>
                <w:lang w:val="en-US" w:eastAsia="zh-CN"/>
              </w:rPr>
            </w:pPr>
            <w:r>
              <w:rPr>
                <w:rFonts w:hint="eastAsia"/>
                <w:szCs w:val="21"/>
                <w:lang w:val="en-US" w:eastAsia="zh-CN"/>
              </w:rPr>
              <w:t>9.585</w:t>
            </w:r>
          </w:p>
        </w:tc>
        <w:tc>
          <w:tcPr>
            <w:tcW w:w="961" w:type="pct"/>
            <w:gridSpan w:val="3"/>
            <w:shd w:val="clear" w:color="000000" w:fill="FFFFFF"/>
            <w:vAlign w:val="center"/>
          </w:tcPr>
          <w:p w14:paraId="77584147">
            <w:pPr>
              <w:jc w:val="center"/>
              <w:rPr>
                <w:rFonts w:hint="eastAsia"/>
                <w:szCs w:val="21"/>
                <w:lang w:val="en-US" w:eastAsia="zh-CN"/>
              </w:rPr>
            </w:pPr>
            <w:r>
              <w:rPr>
                <w:rFonts w:hint="eastAsia"/>
                <w:szCs w:val="21"/>
                <w:lang w:val="en-US" w:eastAsia="zh-CN"/>
              </w:rPr>
              <w:t>2.13000E+000</w:t>
            </w:r>
          </w:p>
        </w:tc>
        <w:tc>
          <w:tcPr>
            <w:tcW w:w="776" w:type="pct"/>
            <w:shd w:val="clear" w:color="000000" w:fill="FFFFFF"/>
            <w:vAlign w:val="center"/>
          </w:tcPr>
          <w:p w14:paraId="6ED5D232">
            <w:pPr>
              <w:jc w:val="center"/>
              <w:rPr>
                <w:rFonts w:ascii="宋体" w:hAnsi="宋体" w:cs="宋体"/>
                <w:szCs w:val="21"/>
              </w:rPr>
            </w:pPr>
          </w:p>
        </w:tc>
      </w:tr>
      <w:tr w14:paraId="73F1A427">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auto" w:fill="auto"/>
            <w:vAlign w:val="center"/>
          </w:tcPr>
          <w:p w14:paraId="4B521440">
            <w:pPr>
              <w:jc w:val="center"/>
              <w:rPr>
                <w:kern w:val="0"/>
                <w:szCs w:val="21"/>
              </w:rPr>
            </w:pPr>
            <w:r>
              <w:rPr>
                <w:rFonts w:hint="eastAsia"/>
                <w:szCs w:val="21"/>
                <w:lang w:val="en-US" w:eastAsia="zh-CN"/>
              </w:rPr>
              <w:t>300</w:t>
            </w:r>
          </w:p>
        </w:tc>
        <w:tc>
          <w:tcPr>
            <w:tcW w:w="693" w:type="pct"/>
            <w:gridSpan w:val="2"/>
            <w:shd w:val="clear" w:color="000000" w:fill="FFFFFF"/>
            <w:vAlign w:val="center"/>
          </w:tcPr>
          <w:p w14:paraId="6031D5F4">
            <w:pPr>
              <w:jc w:val="center"/>
              <w:rPr>
                <w:rFonts w:hint="eastAsia"/>
                <w:szCs w:val="21"/>
                <w:lang w:val="en-US" w:eastAsia="zh-CN"/>
              </w:rPr>
            </w:pPr>
            <w:r>
              <w:rPr>
                <w:rFonts w:hint="eastAsia"/>
                <w:szCs w:val="21"/>
                <w:lang w:val="en-US" w:eastAsia="zh-CN"/>
              </w:rPr>
              <w:t>7.879</w:t>
            </w:r>
          </w:p>
        </w:tc>
        <w:tc>
          <w:tcPr>
            <w:tcW w:w="775" w:type="pct"/>
            <w:shd w:val="clear" w:color="000000" w:fill="FFFFFF"/>
            <w:vAlign w:val="center"/>
          </w:tcPr>
          <w:p w14:paraId="496C73B0">
            <w:pPr>
              <w:jc w:val="center"/>
              <w:rPr>
                <w:rFonts w:hint="eastAsia"/>
                <w:szCs w:val="21"/>
                <w:lang w:val="en-US" w:eastAsia="zh-CN"/>
              </w:rPr>
            </w:pPr>
            <w:r>
              <w:rPr>
                <w:rFonts w:hint="eastAsia"/>
                <w:szCs w:val="21"/>
                <w:lang w:val="en-US" w:eastAsia="zh-CN"/>
              </w:rPr>
              <w:t>1.75089E+000</w:t>
            </w:r>
          </w:p>
        </w:tc>
        <w:tc>
          <w:tcPr>
            <w:tcW w:w="693" w:type="pct"/>
            <w:shd w:val="clear" w:color="000000" w:fill="FFFFFF"/>
            <w:vAlign w:val="center"/>
          </w:tcPr>
          <w:p w14:paraId="64A51F21">
            <w:pPr>
              <w:jc w:val="center"/>
              <w:rPr>
                <w:rFonts w:hint="eastAsia"/>
                <w:szCs w:val="21"/>
                <w:lang w:val="en-US" w:eastAsia="zh-CN"/>
              </w:rPr>
            </w:pPr>
            <w:r>
              <w:rPr>
                <w:rFonts w:hint="eastAsia"/>
                <w:szCs w:val="21"/>
                <w:lang w:val="en-US" w:eastAsia="zh-CN"/>
              </w:rPr>
              <w:t>300</w:t>
            </w:r>
          </w:p>
        </w:tc>
        <w:tc>
          <w:tcPr>
            <w:tcW w:w="655" w:type="pct"/>
            <w:shd w:val="clear" w:color="000000" w:fill="FFFFFF"/>
            <w:vAlign w:val="center"/>
          </w:tcPr>
          <w:p w14:paraId="4804F8F2">
            <w:pPr>
              <w:jc w:val="center"/>
              <w:rPr>
                <w:rFonts w:hint="eastAsia"/>
                <w:szCs w:val="21"/>
                <w:lang w:val="en-US" w:eastAsia="zh-CN"/>
              </w:rPr>
            </w:pPr>
            <w:r>
              <w:rPr>
                <w:rFonts w:hint="eastAsia"/>
                <w:szCs w:val="21"/>
                <w:lang w:val="en-US" w:eastAsia="zh-CN"/>
              </w:rPr>
              <w:t>8.0547</w:t>
            </w:r>
          </w:p>
        </w:tc>
        <w:tc>
          <w:tcPr>
            <w:tcW w:w="961" w:type="pct"/>
            <w:gridSpan w:val="3"/>
            <w:shd w:val="clear" w:color="000000" w:fill="FFFFFF"/>
            <w:vAlign w:val="center"/>
          </w:tcPr>
          <w:p w14:paraId="6FE18EA4">
            <w:pPr>
              <w:jc w:val="center"/>
              <w:rPr>
                <w:rFonts w:hint="eastAsia"/>
                <w:szCs w:val="21"/>
                <w:lang w:val="en-US" w:eastAsia="zh-CN"/>
              </w:rPr>
            </w:pPr>
            <w:r>
              <w:rPr>
                <w:rFonts w:hint="eastAsia"/>
                <w:szCs w:val="21"/>
                <w:lang w:val="en-US" w:eastAsia="zh-CN"/>
              </w:rPr>
              <w:t>1.78993E+000</w:t>
            </w:r>
          </w:p>
        </w:tc>
        <w:tc>
          <w:tcPr>
            <w:tcW w:w="776" w:type="pct"/>
            <w:shd w:val="clear" w:color="000000" w:fill="FFFFFF"/>
            <w:vAlign w:val="center"/>
          </w:tcPr>
          <w:p w14:paraId="5102DD49">
            <w:pPr>
              <w:jc w:val="center"/>
              <w:rPr>
                <w:rFonts w:ascii="宋体" w:hAnsi="宋体" w:cs="宋体"/>
                <w:szCs w:val="21"/>
              </w:rPr>
            </w:pPr>
          </w:p>
        </w:tc>
      </w:tr>
      <w:tr w14:paraId="220F46C3">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auto" w:fill="auto"/>
            <w:vAlign w:val="center"/>
          </w:tcPr>
          <w:p w14:paraId="739F7778">
            <w:pPr>
              <w:jc w:val="center"/>
              <w:rPr>
                <w:kern w:val="0"/>
                <w:szCs w:val="21"/>
              </w:rPr>
            </w:pPr>
            <w:r>
              <w:rPr>
                <w:rFonts w:hint="eastAsia"/>
                <w:szCs w:val="21"/>
                <w:lang w:val="en-US" w:eastAsia="zh-CN"/>
              </w:rPr>
              <w:t>400</w:t>
            </w:r>
          </w:p>
        </w:tc>
        <w:tc>
          <w:tcPr>
            <w:tcW w:w="693" w:type="pct"/>
            <w:gridSpan w:val="2"/>
            <w:shd w:val="clear" w:color="000000" w:fill="FFFFFF"/>
            <w:vAlign w:val="center"/>
          </w:tcPr>
          <w:p w14:paraId="1BF80DD6">
            <w:pPr>
              <w:jc w:val="center"/>
              <w:rPr>
                <w:rFonts w:hint="eastAsia"/>
                <w:szCs w:val="21"/>
                <w:lang w:val="en-US" w:eastAsia="zh-CN"/>
              </w:rPr>
            </w:pPr>
            <w:r>
              <w:rPr>
                <w:rFonts w:hint="eastAsia"/>
                <w:szCs w:val="21"/>
                <w:lang w:val="en-US" w:eastAsia="zh-CN"/>
              </w:rPr>
              <w:t>7.334</w:t>
            </w:r>
          </w:p>
        </w:tc>
        <w:tc>
          <w:tcPr>
            <w:tcW w:w="775" w:type="pct"/>
            <w:shd w:val="clear" w:color="000000" w:fill="FFFFFF"/>
            <w:vAlign w:val="center"/>
          </w:tcPr>
          <w:p w14:paraId="63CD325D">
            <w:pPr>
              <w:jc w:val="center"/>
              <w:rPr>
                <w:rFonts w:hint="eastAsia"/>
                <w:szCs w:val="21"/>
                <w:lang w:val="en-US" w:eastAsia="zh-CN"/>
              </w:rPr>
            </w:pPr>
            <w:r>
              <w:rPr>
                <w:rFonts w:hint="eastAsia"/>
                <w:szCs w:val="21"/>
                <w:lang w:val="en-US" w:eastAsia="zh-CN"/>
              </w:rPr>
              <w:t>1.62978E+000</w:t>
            </w:r>
          </w:p>
        </w:tc>
        <w:tc>
          <w:tcPr>
            <w:tcW w:w="693" w:type="pct"/>
            <w:shd w:val="clear" w:color="000000" w:fill="FFFFFF"/>
            <w:vAlign w:val="center"/>
          </w:tcPr>
          <w:p w14:paraId="7EF59F61">
            <w:pPr>
              <w:jc w:val="center"/>
              <w:rPr>
                <w:rFonts w:hint="eastAsia"/>
                <w:szCs w:val="21"/>
                <w:lang w:val="en-US" w:eastAsia="zh-CN"/>
              </w:rPr>
            </w:pPr>
            <w:r>
              <w:rPr>
                <w:rFonts w:hint="eastAsia"/>
                <w:szCs w:val="21"/>
                <w:lang w:val="en-US" w:eastAsia="zh-CN"/>
              </w:rPr>
              <w:t>400</w:t>
            </w:r>
          </w:p>
        </w:tc>
        <w:tc>
          <w:tcPr>
            <w:tcW w:w="655" w:type="pct"/>
            <w:shd w:val="clear" w:color="000000" w:fill="FFFFFF"/>
            <w:vAlign w:val="center"/>
          </w:tcPr>
          <w:p w14:paraId="25712E69">
            <w:pPr>
              <w:jc w:val="center"/>
              <w:rPr>
                <w:rFonts w:hint="eastAsia"/>
                <w:szCs w:val="21"/>
                <w:lang w:val="en-US" w:eastAsia="zh-CN"/>
              </w:rPr>
            </w:pPr>
            <w:r>
              <w:rPr>
                <w:rFonts w:hint="eastAsia"/>
                <w:szCs w:val="21"/>
                <w:lang w:val="en-US" w:eastAsia="zh-CN"/>
              </w:rPr>
              <w:t>7.4975</w:t>
            </w:r>
          </w:p>
        </w:tc>
        <w:tc>
          <w:tcPr>
            <w:tcW w:w="961" w:type="pct"/>
            <w:gridSpan w:val="3"/>
            <w:shd w:val="clear" w:color="000000" w:fill="FFFFFF"/>
            <w:vAlign w:val="center"/>
          </w:tcPr>
          <w:p w14:paraId="43C777D0">
            <w:pPr>
              <w:jc w:val="center"/>
              <w:rPr>
                <w:rFonts w:hint="eastAsia"/>
                <w:szCs w:val="21"/>
                <w:lang w:val="en-US" w:eastAsia="zh-CN"/>
              </w:rPr>
            </w:pPr>
            <w:r>
              <w:rPr>
                <w:rFonts w:hint="eastAsia"/>
                <w:szCs w:val="21"/>
                <w:lang w:val="en-US" w:eastAsia="zh-CN"/>
              </w:rPr>
              <w:t>1.66611E+000</w:t>
            </w:r>
          </w:p>
        </w:tc>
        <w:tc>
          <w:tcPr>
            <w:tcW w:w="776" w:type="pct"/>
            <w:shd w:val="clear" w:color="000000" w:fill="FFFFFF"/>
            <w:vAlign w:val="center"/>
          </w:tcPr>
          <w:p w14:paraId="08B8F51C">
            <w:pPr>
              <w:jc w:val="center"/>
              <w:rPr>
                <w:rFonts w:ascii="宋体" w:hAnsi="宋体" w:cs="宋体"/>
                <w:szCs w:val="21"/>
              </w:rPr>
            </w:pPr>
          </w:p>
        </w:tc>
      </w:tr>
      <w:tr w14:paraId="0E43B288">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443" w:type="pct"/>
            <w:shd w:val="clear" w:color="auto" w:fill="auto"/>
            <w:vAlign w:val="center"/>
          </w:tcPr>
          <w:p w14:paraId="0A0AC66C">
            <w:pPr>
              <w:jc w:val="center"/>
              <w:rPr>
                <w:kern w:val="0"/>
                <w:szCs w:val="21"/>
              </w:rPr>
            </w:pPr>
            <w:r>
              <w:rPr>
                <w:rFonts w:hint="eastAsia"/>
                <w:szCs w:val="21"/>
                <w:lang w:val="en-US" w:eastAsia="zh-CN"/>
              </w:rPr>
              <w:t>500</w:t>
            </w:r>
          </w:p>
        </w:tc>
        <w:tc>
          <w:tcPr>
            <w:tcW w:w="693" w:type="pct"/>
            <w:gridSpan w:val="2"/>
            <w:shd w:val="clear" w:color="000000" w:fill="FFFFFF"/>
            <w:vAlign w:val="center"/>
          </w:tcPr>
          <w:p w14:paraId="2A82363E">
            <w:pPr>
              <w:jc w:val="center"/>
              <w:rPr>
                <w:rFonts w:hint="eastAsia"/>
                <w:szCs w:val="21"/>
                <w:lang w:val="en-US" w:eastAsia="zh-CN"/>
              </w:rPr>
            </w:pPr>
            <w:r>
              <w:rPr>
                <w:rFonts w:hint="eastAsia"/>
                <w:szCs w:val="21"/>
                <w:lang w:val="en-US" w:eastAsia="zh-CN"/>
              </w:rPr>
              <w:t>6.5692</w:t>
            </w:r>
          </w:p>
        </w:tc>
        <w:tc>
          <w:tcPr>
            <w:tcW w:w="775" w:type="pct"/>
            <w:shd w:val="clear" w:color="000000" w:fill="FFFFFF"/>
            <w:vAlign w:val="center"/>
          </w:tcPr>
          <w:p w14:paraId="176831BB">
            <w:pPr>
              <w:jc w:val="center"/>
              <w:rPr>
                <w:rFonts w:hint="eastAsia"/>
                <w:szCs w:val="21"/>
                <w:lang w:val="en-US" w:eastAsia="zh-CN"/>
              </w:rPr>
            </w:pPr>
            <w:r>
              <w:rPr>
                <w:rFonts w:hint="eastAsia"/>
                <w:szCs w:val="21"/>
                <w:lang w:val="en-US" w:eastAsia="zh-CN"/>
              </w:rPr>
              <w:t>1.45982E+000</w:t>
            </w:r>
          </w:p>
        </w:tc>
        <w:tc>
          <w:tcPr>
            <w:tcW w:w="693" w:type="pct"/>
            <w:shd w:val="clear" w:color="000000" w:fill="FFFFFF"/>
            <w:vAlign w:val="center"/>
          </w:tcPr>
          <w:p w14:paraId="05BAD710">
            <w:pPr>
              <w:jc w:val="center"/>
              <w:rPr>
                <w:rFonts w:hint="eastAsia"/>
                <w:szCs w:val="21"/>
                <w:lang w:val="en-US" w:eastAsia="zh-CN"/>
              </w:rPr>
            </w:pPr>
            <w:r>
              <w:rPr>
                <w:rFonts w:hint="eastAsia"/>
                <w:szCs w:val="21"/>
                <w:lang w:val="en-US" w:eastAsia="zh-CN"/>
              </w:rPr>
              <w:t>500</w:t>
            </w:r>
          </w:p>
        </w:tc>
        <w:tc>
          <w:tcPr>
            <w:tcW w:w="655" w:type="pct"/>
            <w:shd w:val="clear" w:color="000000" w:fill="FFFFFF"/>
            <w:vAlign w:val="center"/>
          </w:tcPr>
          <w:p w14:paraId="54730C9A">
            <w:pPr>
              <w:jc w:val="center"/>
              <w:rPr>
                <w:rFonts w:hint="eastAsia"/>
                <w:szCs w:val="21"/>
                <w:lang w:val="en-US" w:eastAsia="zh-CN"/>
              </w:rPr>
            </w:pPr>
            <w:r>
              <w:rPr>
                <w:rFonts w:hint="eastAsia"/>
                <w:szCs w:val="21"/>
                <w:lang w:val="en-US" w:eastAsia="zh-CN"/>
              </w:rPr>
              <w:t>6.7157</w:t>
            </w:r>
          </w:p>
        </w:tc>
        <w:tc>
          <w:tcPr>
            <w:tcW w:w="961" w:type="pct"/>
            <w:gridSpan w:val="3"/>
            <w:shd w:val="clear" w:color="000000" w:fill="FFFFFF"/>
            <w:vAlign w:val="center"/>
          </w:tcPr>
          <w:p w14:paraId="7DFB6920">
            <w:pPr>
              <w:jc w:val="center"/>
              <w:rPr>
                <w:rFonts w:hint="eastAsia"/>
                <w:szCs w:val="21"/>
                <w:lang w:val="en-US" w:eastAsia="zh-CN"/>
              </w:rPr>
            </w:pPr>
            <w:r>
              <w:rPr>
                <w:rFonts w:hint="eastAsia"/>
                <w:szCs w:val="21"/>
                <w:lang w:val="en-US" w:eastAsia="zh-CN"/>
              </w:rPr>
              <w:t>1.49238E+000</w:t>
            </w:r>
          </w:p>
        </w:tc>
        <w:tc>
          <w:tcPr>
            <w:tcW w:w="776" w:type="pct"/>
            <w:shd w:val="clear" w:color="000000" w:fill="FFFFFF"/>
            <w:vAlign w:val="center"/>
          </w:tcPr>
          <w:p w14:paraId="5E18D858">
            <w:pPr>
              <w:jc w:val="center"/>
              <w:rPr>
                <w:rFonts w:ascii="宋体" w:hAnsi="宋体" w:cs="宋体"/>
                <w:szCs w:val="21"/>
              </w:rPr>
            </w:pPr>
          </w:p>
        </w:tc>
      </w:tr>
      <w:tr w14:paraId="3478505A">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auto" w:fill="auto"/>
            <w:vAlign w:val="center"/>
          </w:tcPr>
          <w:p w14:paraId="0FB604EE">
            <w:pPr>
              <w:jc w:val="center"/>
              <w:rPr>
                <w:kern w:val="0"/>
                <w:szCs w:val="21"/>
              </w:rPr>
            </w:pPr>
            <w:r>
              <w:rPr>
                <w:rFonts w:hint="eastAsia"/>
                <w:szCs w:val="21"/>
                <w:lang w:val="en-US" w:eastAsia="zh-CN"/>
              </w:rPr>
              <w:t>600</w:t>
            </w:r>
          </w:p>
        </w:tc>
        <w:tc>
          <w:tcPr>
            <w:tcW w:w="693" w:type="pct"/>
            <w:gridSpan w:val="2"/>
            <w:shd w:val="clear" w:color="000000" w:fill="FFFFFF"/>
            <w:vAlign w:val="center"/>
          </w:tcPr>
          <w:p w14:paraId="136D8282">
            <w:pPr>
              <w:jc w:val="center"/>
              <w:rPr>
                <w:rFonts w:hint="eastAsia"/>
                <w:szCs w:val="21"/>
                <w:lang w:val="en-US" w:eastAsia="zh-CN"/>
              </w:rPr>
            </w:pPr>
            <w:r>
              <w:rPr>
                <w:rFonts w:hint="eastAsia"/>
                <w:szCs w:val="21"/>
                <w:lang w:val="en-US" w:eastAsia="zh-CN"/>
              </w:rPr>
              <w:t>5.7796</w:t>
            </w:r>
          </w:p>
        </w:tc>
        <w:tc>
          <w:tcPr>
            <w:tcW w:w="775" w:type="pct"/>
            <w:shd w:val="clear" w:color="000000" w:fill="FFFFFF"/>
            <w:vAlign w:val="center"/>
          </w:tcPr>
          <w:p w14:paraId="4097CE7E">
            <w:pPr>
              <w:jc w:val="center"/>
              <w:rPr>
                <w:rFonts w:hint="eastAsia"/>
                <w:szCs w:val="21"/>
                <w:lang w:val="en-US" w:eastAsia="zh-CN"/>
              </w:rPr>
            </w:pPr>
            <w:r>
              <w:rPr>
                <w:rFonts w:hint="eastAsia"/>
                <w:szCs w:val="21"/>
                <w:lang w:val="en-US" w:eastAsia="zh-CN"/>
              </w:rPr>
              <w:t>1.28436E+000</w:t>
            </w:r>
          </w:p>
        </w:tc>
        <w:tc>
          <w:tcPr>
            <w:tcW w:w="693" w:type="pct"/>
            <w:shd w:val="clear" w:color="000000" w:fill="FFFFFF"/>
            <w:vAlign w:val="center"/>
          </w:tcPr>
          <w:p w14:paraId="47375568">
            <w:pPr>
              <w:jc w:val="center"/>
              <w:rPr>
                <w:rFonts w:hint="eastAsia"/>
                <w:szCs w:val="21"/>
                <w:lang w:val="en-US" w:eastAsia="zh-CN"/>
              </w:rPr>
            </w:pPr>
            <w:r>
              <w:rPr>
                <w:rFonts w:hint="eastAsia"/>
                <w:szCs w:val="21"/>
                <w:lang w:val="en-US" w:eastAsia="zh-CN"/>
              </w:rPr>
              <w:t>600</w:t>
            </w:r>
          </w:p>
        </w:tc>
        <w:tc>
          <w:tcPr>
            <w:tcW w:w="655" w:type="pct"/>
            <w:shd w:val="clear" w:color="000000" w:fill="FFFFFF"/>
            <w:vAlign w:val="center"/>
          </w:tcPr>
          <w:p w14:paraId="4CE2BFAE">
            <w:pPr>
              <w:jc w:val="center"/>
              <w:rPr>
                <w:rFonts w:hint="eastAsia"/>
                <w:szCs w:val="21"/>
                <w:lang w:val="en-US" w:eastAsia="zh-CN"/>
              </w:rPr>
            </w:pPr>
            <w:r>
              <w:rPr>
                <w:rFonts w:hint="eastAsia"/>
                <w:szCs w:val="21"/>
                <w:lang w:val="en-US" w:eastAsia="zh-CN"/>
              </w:rPr>
              <w:t>5.9084</w:t>
            </w:r>
          </w:p>
        </w:tc>
        <w:tc>
          <w:tcPr>
            <w:tcW w:w="961" w:type="pct"/>
            <w:gridSpan w:val="3"/>
            <w:shd w:val="clear" w:color="000000" w:fill="FFFFFF"/>
            <w:vAlign w:val="center"/>
          </w:tcPr>
          <w:p w14:paraId="367E61FB">
            <w:pPr>
              <w:jc w:val="center"/>
              <w:rPr>
                <w:rFonts w:hint="eastAsia"/>
                <w:szCs w:val="21"/>
                <w:lang w:val="en-US" w:eastAsia="zh-CN"/>
              </w:rPr>
            </w:pPr>
            <w:r>
              <w:rPr>
                <w:rFonts w:hint="eastAsia"/>
                <w:szCs w:val="21"/>
                <w:lang w:val="en-US" w:eastAsia="zh-CN"/>
              </w:rPr>
              <w:t>1.31298E+000</w:t>
            </w:r>
          </w:p>
        </w:tc>
        <w:tc>
          <w:tcPr>
            <w:tcW w:w="776" w:type="pct"/>
            <w:shd w:val="clear" w:color="000000" w:fill="FFFFFF"/>
            <w:vAlign w:val="center"/>
          </w:tcPr>
          <w:p w14:paraId="1483F5F3">
            <w:pPr>
              <w:jc w:val="center"/>
              <w:rPr>
                <w:rFonts w:ascii="宋体" w:hAnsi="宋体" w:cs="宋体"/>
                <w:szCs w:val="21"/>
              </w:rPr>
            </w:pPr>
          </w:p>
        </w:tc>
      </w:tr>
      <w:tr w14:paraId="2AFA7835">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auto" w:fill="auto"/>
            <w:vAlign w:val="center"/>
          </w:tcPr>
          <w:p w14:paraId="3395D5EC">
            <w:pPr>
              <w:jc w:val="center"/>
              <w:rPr>
                <w:kern w:val="0"/>
                <w:szCs w:val="21"/>
              </w:rPr>
            </w:pPr>
            <w:r>
              <w:rPr>
                <w:rFonts w:hint="eastAsia"/>
                <w:szCs w:val="21"/>
                <w:lang w:val="en-US" w:eastAsia="zh-CN"/>
              </w:rPr>
              <w:t>700</w:t>
            </w:r>
          </w:p>
        </w:tc>
        <w:tc>
          <w:tcPr>
            <w:tcW w:w="693" w:type="pct"/>
            <w:gridSpan w:val="2"/>
            <w:shd w:val="clear" w:color="000000" w:fill="FFFFFF"/>
            <w:vAlign w:val="center"/>
          </w:tcPr>
          <w:p w14:paraId="6C92086E">
            <w:pPr>
              <w:jc w:val="center"/>
              <w:rPr>
                <w:rFonts w:hint="eastAsia"/>
                <w:szCs w:val="21"/>
                <w:lang w:val="en-US" w:eastAsia="zh-CN"/>
              </w:rPr>
            </w:pPr>
            <w:r>
              <w:rPr>
                <w:rFonts w:hint="eastAsia"/>
                <w:szCs w:val="21"/>
                <w:lang w:val="en-US" w:eastAsia="zh-CN"/>
              </w:rPr>
              <w:t>5.2445</w:t>
            </w:r>
          </w:p>
        </w:tc>
        <w:tc>
          <w:tcPr>
            <w:tcW w:w="775" w:type="pct"/>
            <w:shd w:val="clear" w:color="000000" w:fill="FFFFFF"/>
            <w:vAlign w:val="center"/>
          </w:tcPr>
          <w:p w14:paraId="3755EA9D">
            <w:pPr>
              <w:jc w:val="center"/>
              <w:rPr>
                <w:rFonts w:hint="eastAsia"/>
                <w:szCs w:val="21"/>
                <w:lang w:val="en-US" w:eastAsia="zh-CN"/>
              </w:rPr>
            </w:pPr>
            <w:r>
              <w:rPr>
                <w:rFonts w:hint="eastAsia"/>
                <w:szCs w:val="21"/>
                <w:lang w:val="en-US" w:eastAsia="zh-CN"/>
              </w:rPr>
              <w:t>1.16544E+000</w:t>
            </w:r>
          </w:p>
        </w:tc>
        <w:tc>
          <w:tcPr>
            <w:tcW w:w="693" w:type="pct"/>
            <w:shd w:val="clear" w:color="000000" w:fill="FFFFFF"/>
            <w:vAlign w:val="center"/>
          </w:tcPr>
          <w:p w14:paraId="5261D079">
            <w:pPr>
              <w:jc w:val="center"/>
              <w:rPr>
                <w:rFonts w:hint="eastAsia"/>
                <w:szCs w:val="21"/>
                <w:lang w:val="en-US" w:eastAsia="zh-CN"/>
              </w:rPr>
            </w:pPr>
            <w:r>
              <w:rPr>
                <w:rFonts w:hint="eastAsia"/>
                <w:szCs w:val="21"/>
                <w:lang w:val="en-US" w:eastAsia="zh-CN"/>
              </w:rPr>
              <w:t>700</w:t>
            </w:r>
          </w:p>
        </w:tc>
        <w:tc>
          <w:tcPr>
            <w:tcW w:w="655" w:type="pct"/>
            <w:shd w:val="clear" w:color="000000" w:fill="FFFFFF"/>
            <w:vAlign w:val="center"/>
          </w:tcPr>
          <w:p w14:paraId="7008FD93">
            <w:pPr>
              <w:jc w:val="center"/>
              <w:rPr>
                <w:rFonts w:hint="eastAsia"/>
                <w:szCs w:val="21"/>
                <w:lang w:val="en-US" w:eastAsia="zh-CN"/>
              </w:rPr>
            </w:pPr>
            <w:r>
              <w:rPr>
                <w:rFonts w:hint="eastAsia"/>
                <w:szCs w:val="21"/>
                <w:lang w:val="en-US" w:eastAsia="zh-CN"/>
              </w:rPr>
              <w:t>5.3614</w:t>
            </w:r>
          </w:p>
        </w:tc>
        <w:tc>
          <w:tcPr>
            <w:tcW w:w="961" w:type="pct"/>
            <w:gridSpan w:val="3"/>
            <w:shd w:val="clear" w:color="000000" w:fill="FFFFFF"/>
            <w:vAlign w:val="center"/>
          </w:tcPr>
          <w:p w14:paraId="6D44F651">
            <w:pPr>
              <w:jc w:val="center"/>
              <w:rPr>
                <w:rFonts w:hint="eastAsia"/>
                <w:szCs w:val="21"/>
                <w:lang w:val="en-US" w:eastAsia="zh-CN"/>
              </w:rPr>
            </w:pPr>
            <w:r>
              <w:rPr>
                <w:rFonts w:hint="eastAsia"/>
                <w:szCs w:val="21"/>
                <w:lang w:val="en-US" w:eastAsia="zh-CN"/>
              </w:rPr>
              <w:t>1.19142E+000</w:t>
            </w:r>
          </w:p>
        </w:tc>
        <w:tc>
          <w:tcPr>
            <w:tcW w:w="776" w:type="pct"/>
            <w:shd w:val="clear" w:color="000000" w:fill="FFFFFF"/>
            <w:vAlign w:val="center"/>
          </w:tcPr>
          <w:p w14:paraId="2A2B1339">
            <w:pPr>
              <w:jc w:val="center"/>
              <w:rPr>
                <w:rFonts w:ascii="宋体" w:hAnsi="宋体" w:cs="宋体"/>
                <w:szCs w:val="21"/>
              </w:rPr>
            </w:pPr>
          </w:p>
        </w:tc>
      </w:tr>
      <w:tr w14:paraId="6629F1BF">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auto" w:fill="auto"/>
            <w:vAlign w:val="center"/>
          </w:tcPr>
          <w:p w14:paraId="137745D4">
            <w:pPr>
              <w:jc w:val="center"/>
              <w:rPr>
                <w:kern w:val="0"/>
                <w:szCs w:val="21"/>
              </w:rPr>
            </w:pPr>
            <w:r>
              <w:rPr>
                <w:rFonts w:hint="eastAsia"/>
                <w:szCs w:val="21"/>
                <w:lang w:val="en-US" w:eastAsia="zh-CN"/>
              </w:rPr>
              <w:t>800</w:t>
            </w:r>
          </w:p>
        </w:tc>
        <w:tc>
          <w:tcPr>
            <w:tcW w:w="693" w:type="pct"/>
            <w:gridSpan w:val="2"/>
            <w:shd w:val="clear" w:color="000000" w:fill="FFFFFF"/>
            <w:vAlign w:val="center"/>
          </w:tcPr>
          <w:p w14:paraId="357411C9">
            <w:pPr>
              <w:jc w:val="center"/>
              <w:rPr>
                <w:rFonts w:hint="eastAsia"/>
                <w:szCs w:val="21"/>
                <w:lang w:val="en-US" w:eastAsia="zh-CN"/>
              </w:rPr>
            </w:pPr>
            <w:r>
              <w:rPr>
                <w:rFonts w:hint="eastAsia"/>
                <w:szCs w:val="21"/>
                <w:lang w:val="en-US" w:eastAsia="zh-CN"/>
              </w:rPr>
              <w:t>4.931</w:t>
            </w:r>
          </w:p>
        </w:tc>
        <w:tc>
          <w:tcPr>
            <w:tcW w:w="775" w:type="pct"/>
            <w:shd w:val="clear" w:color="000000" w:fill="FFFFFF"/>
            <w:vAlign w:val="center"/>
          </w:tcPr>
          <w:p w14:paraId="6129B1DB">
            <w:pPr>
              <w:jc w:val="center"/>
              <w:rPr>
                <w:rFonts w:hint="eastAsia"/>
                <w:szCs w:val="21"/>
                <w:lang w:val="en-US" w:eastAsia="zh-CN"/>
              </w:rPr>
            </w:pPr>
            <w:r>
              <w:rPr>
                <w:rFonts w:hint="eastAsia"/>
                <w:szCs w:val="21"/>
                <w:lang w:val="en-US" w:eastAsia="zh-CN"/>
              </w:rPr>
              <w:t>1.09578E+000</w:t>
            </w:r>
          </w:p>
        </w:tc>
        <w:tc>
          <w:tcPr>
            <w:tcW w:w="693" w:type="pct"/>
            <w:shd w:val="clear" w:color="000000" w:fill="FFFFFF"/>
            <w:vAlign w:val="center"/>
          </w:tcPr>
          <w:p w14:paraId="02040749">
            <w:pPr>
              <w:jc w:val="center"/>
              <w:rPr>
                <w:rFonts w:hint="eastAsia"/>
                <w:szCs w:val="21"/>
                <w:lang w:val="en-US" w:eastAsia="zh-CN"/>
              </w:rPr>
            </w:pPr>
            <w:r>
              <w:rPr>
                <w:rFonts w:hint="eastAsia"/>
                <w:szCs w:val="21"/>
                <w:lang w:val="en-US" w:eastAsia="zh-CN"/>
              </w:rPr>
              <w:t>800</w:t>
            </w:r>
          </w:p>
        </w:tc>
        <w:tc>
          <w:tcPr>
            <w:tcW w:w="655" w:type="pct"/>
            <w:shd w:val="clear" w:color="000000" w:fill="FFFFFF"/>
            <w:vAlign w:val="center"/>
          </w:tcPr>
          <w:p w14:paraId="18C15A99">
            <w:pPr>
              <w:jc w:val="center"/>
              <w:rPr>
                <w:rFonts w:hint="eastAsia"/>
                <w:szCs w:val="21"/>
                <w:lang w:val="en-US" w:eastAsia="zh-CN"/>
              </w:rPr>
            </w:pPr>
            <w:r>
              <w:rPr>
                <w:rFonts w:hint="eastAsia"/>
                <w:szCs w:val="21"/>
                <w:lang w:val="en-US" w:eastAsia="zh-CN"/>
              </w:rPr>
              <w:t>5.0409</w:t>
            </w:r>
          </w:p>
        </w:tc>
        <w:tc>
          <w:tcPr>
            <w:tcW w:w="961" w:type="pct"/>
            <w:gridSpan w:val="3"/>
            <w:shd w:val="clear" w:color="000000" w:fill="FFFFFF"/>
            <w:vAlign w:val="center"/>
          </w:tcPr>
          <w:p w14:paraId="606D4F36">
            <w:pPr>
              <w:jc w:val="center"/>
              <w:rPr>
                <w:rFonts w:hint="eastAsia"/>
                <w:szCs w:val="21"/>
                <w:lang w:val="en-US" w:eastAsia="zh-CN"/>
              </w:rPr>
            </w:pPr>
            <w:r>
              <w:rPr>
                <w:rFonts w:hint="eastAsia"/>
                <w:szCs w:val="21"/>
                <w:lang w:val="en-US" w:eastAsia="zh-CN"/>
              </w:rPr>
              <w:t>1.12020E+000</w:t>
            </w:r>
          </w:p>
        </w:tc>
        <w:tc>
          <w:tcPr>
            <w:tcW w:w="776" w:type="pct"/>
            <w:shd w:val="clear" w:color="000000" w:fill="FFFFFF"/>
            <w:vAlign w:val="center"/>
          </w:tcPr>
          <w:p w14:paraId="5C1A225E">
            <w:pPr>
              <w:jc w:val="center"/>
              <w:rPr>
                <w:rFonts w:ascii="宋体" w:hAnsi="宋体" w:cs="宋体"/>
                <w:szCs w:val="21"/>
              </w:rPr>
            </w:pPr>
          </w:p>
        </w:tc>
      </w:tr>
      <w:tr w14:paraId="1D3747DC">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auto" w:fill="auto"/>
            <w:vAlign w:val="center"/>
          </w:tcPr>
          <w:p w14:paraId="20B57BCD">
            <w:pPr>
              <w:jc w:val="center"/>
              <w:rPr>
                <w:kern w:val="0"/>
                <w:szCs w:val="21"/>
              </w:rPr>
            </w:pPr>
            <w:r>
              <w:rPr>
                <w:rFonts w:hint="eastAsia"/>
                <w:szCs w:val="21"/>
                <w:lang w:val="en-US" w:eastAsia="zh-CN"/>
              </w:rPr>
              <w:t>900</w:t>
            </w:r>
          </w:p>
        </w:tc>
        <w:tc>
          <w:tcPr>
            <w:tcW w:w="693" w:type="pct"/>
            <w:gridSpan w:val="2"/>
            <w:shd w:val="clear" w:color="000000" w:fill="FFFFFF"/>
            <w:vAlign w:val="center"/>
          </w:tcPr>
          <w:p w14:paraId="1F8F3415">
            <w:pPr>
              <w:jc w:val="center"/>
              <w:rPr>
                <w:rFonts w:hint="eastAsia"/>
                <w:szCs w:val="21"/>
                <w:lang w:val="en-US" w:eastAsia="zh-CN"/>
              </w:rPr>
            </w:pPr>
            <w:r>
              <w:rPr>
                <w:rFonts w:hint="eastAsia"/>
                <w:szCs w:val="21"/>
                <w:lang w:val="en-US" w:eastAsia="zh-CN"/>
              </w:rPr>
              <w:t>4.6001</w:t>
            </w:r>
          </w:p>
        </w:tc>
        <w:tc>
          <w:tcPr>
            <w:tcW w:w="775" w:type="pct"/>
            <w:shd w:val="clear" w:color="000000" w:fill="FFFFFF"/>
            <w:vAlign w:val="center"/>
          </w:tcPr>
          <w:p w14:paraId="489954D4">
            <w:pPr>
              <w:jc w:val="center"/>
              <w:rPr>
                <w:rFonts w:hint="eastAsia"/>
                <w:szCs w:val="21"/>
                <w:lang w:val="en-US" w:eastAsia="zh-CN"/>
              </w:rPr>
            </w:pPr>
            <w:r>
              <w:rPr>
                <w:rFonts w:hint="eastAsia"/>
                <w:szCs w:val="21"/>
                <w:lang w:val="en-US" w:eastAsia="zh-CN"/>
              </w:rPr>
              <w:t>1.02224E+000</w:t>
            </w:r>
          </w:p>
        </w:tc>
        <w:tc>
          <w:tcPr>
            <w:tcW w:w="693" w:type="pct"/>
            <w:shd w:val="clear" w:color="000000" w:fill="FFFFFF"/>
            <w:vAlign w:val="center"/>
          </w:tcPr>
          <w:p w14:paraId="512BE318">
            <w:pPr>
              <w:jc w:val="center"/>
              <w:rPr>
                <w:rFonts w:hint="eastAsia"/>
                <w:szCs w:val="21"/>
                <w:lang w:val="en-US" w:eastAsia="zh-CN"/>
              </w:rPr>
            </w:pPr>
            <w:r>
              <w:rPr>
                <w:rFonts w:hint="eastAsia"/>
                <w:szCs w:val="21"/>
                <w:lang w:val="en-US" w:eastAsia="zh-CN"/>
              </w:rPr>
              <w:t>900</w:t>
            </w:r>
          </w:p>
        </w:tc>
        <w:tc>
          <w:tcPr>
            <w:tcW w:w="655" w:type="pct"/>
            <w:shd w:val="clear" w:color="000000" w:fill="FFFFFF"/>
            <w:vAlign w:val="center"/>
          </w:tcPr>
          <w:p w14:paraId="16FA4866">
            <w:pPr>
              <w:jc w:val="center"/>
              <w:rPr>
                <w:rFonts w:hint="eastAsia"/>
                <w:szCs w:val="21"/>
                <w:lang w:val="en-US" w:eastAsia="zh-CN"/>
              </w:rPr>
            </w:pPr>
            <w:r>
              <w:rPr>
                <w:rFonts w:hint="eastAsia"/>
                <w:szCs w:val="21"/>
                <w:lang w:val="en-US" w:eastAsia="zh-CN"/>
              </w:rPr>
              <w:t>4.7026</w:t>
            </w:r>
          </w:p>
        </w:tc>
        <w:tc>
          <w:tcPr>
            <w:tcW w:w="961" w:type="pct"/>
            <w:gridSpan w:val="3"/>
            <w:shd w:val="clear" w:color="000000" w:fill="FFFFFF"/>
            <w:vAlign w:val="center"/>
          </w:tcPr>
          <w:p w14:paraId="443A03FF">
            <w:pPr>
              <w:jc w:val="center"/>
              <w:rPr>
                <w:rFonts w:hint="eastAsia"/>
                <w:szCs w:val="21"/>
                <w:lang w:val="en-US" w:eastAsia="zh-CN"/>
              </w:rPr>
            </w:pPr>
            <w:r>
              <w:rPr>
                <w:rFonts w:hint="eastAsia"/>
                <w:szCs w:val="21"/>
                <w:lang w:val="en-US" w:eastAsia="zh-CN"/>
              </w:rPr>
              <w:t>1.04502E+000</w:t>
            </w:r>
          </w:p>
        </w:tc>
        <w:tc>
          <w:tcPr>
            <w:tcW w:w="776" w:type="pct"/>
            <w:shd w:val="clear" w:color="000000" w:fill="FFFFFF"/>
            <w:vAlign w:val="center"/>
          </w:tcPr>
          <w:p w14:paraId="3BB62A09">
            <w:pPr>
              <w:jc w:val="center"/>
              <w:rPr>
                <w:rFonts w:ascii="宋体" w:hAnsi="宋体" w:cs="宋体"/>
                <w:szCs w:val="21"/>
              </w:rPr>
            </w:pPr>
          </w:p>
        </w:tc>
      </w:tr>
      <w:tr w14:paraId="2769B26B">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auto" w:fill="auto"/>
            <w:vAlign w:val="center"/>
          </w:tcPr>
          <w:p w14:paraId="4F3DA4FA">
            <w:pPr>
              <w:jc w:val="center"/>
              <w:rPr>
                <w:kern w:val="0"/>
                <w:szCs w:val="21"/>
              </w:rPr>
            </w:pPr>
            <w:r>
              <w:rPr>
                <w:rFonts w:hint="eastAsia"/>
                <w:szCs w:val="21"/>
                <w:lang w:val="en-US" w:eastAsia="zh-CN"/>
              </w:rPr>
              <w:t>1000</w:t>
            </w:r>
          </w:p>
        </w:tc>
        <w:tc>
          <w:tcPr>
            <w:tcW w:w="693" w:type="pct"/>
            <w:gridSpan w:val="2"/>
            <w:shd w:val="clear" w:color="000000" w:fill="FFFFFF"/>
            <w:vAlign w:val="center"/>
          </w:tcPr>
          <w:p w14:paraId="1A68370E">
            <w:pPr>
              <w:jc w:val="center"/>
              <w:rPr>
                <w:rFonts w:hint="eastAsia"/>
                <w:szCs w:val="21"/>
                <w:lang w:val="en-US" w:eastAsia="zh-CN"/>
              </w:rPr>
            </w:pPr>
            <w:r>
              <w:rPr>
                <w:rFonts w:hint="eastAsia"/>
                <w:szCs w:val="21"/>
                <w:lang w:val="en-US" w:eastAsia="zh-CN"/>
              </w:rPr>
              <w:t>4.2785</w:t>
            </w:r>
          </w:p>
        </w:tc>
        <w:tc>
          <w:tcPr>
            <w:tcW w:w="775" w:type="pct"/>
            <w:shd w:val="clear" w:color="000000" w:fill="FFFFFF"/>
            <w:vAlign w:val="center"/>
          </w:tcPr>
          <w:p w14:paraId="574BED09">
            <w:pPr>
              <w:jc w:val="center"/>
              <w:rPr>
                <w:rFonts w:hint="eastAsia"/>
                <w:szCs w:val="21"/>
                <w:lang w:val="en-US" w:eastAsia="zh-CN"/>
              </w:rPr>
            </w:pPr>
            <w:r>
              <w:rPr>
                <w:rFonts w:hint="eastAsia"/>
                <w:szCs w:val="21"/>
                <w:lang w:val="en-US" w:eastAsia="zh-CN"/>
              </w:rPr>
              <w:t>9.50778E-001</w:t>
            </w:r>
          </w:p>
        </w:tc>
        <w:tc>
          <w:tcPr>
            <w:tcW w:w="693" w:type="pct"/>
            <w:shd w:val="clear" w:color="000000" w:fill="FFFFFF"/>
            <w:vAlign w:val="center"/>
          </w:tcPr>
          <w:p w14:paraId="6172DE7F">
            <w:pPr>
              <w:jc w:val="center"/>
              <w:rPr>
                <w:rFonts w:hint="eastAsia"/>
                <w:szCs w:val="21"/>
                <w:lang w:val="en-US" w:eastAsia="zh-CN"/>
              </w:rPr>
            </w:pPr>
            <w:r>
              <w:rPr>
                <w:rFonts w:hint="eastAsia"/>
                <w:szCs w:val="21"/>
                <w:lang w:val="en-US" w:eastAsia="zh-CN"/>
              </w:rPr>
              <w:t>1000</w:t>
            </w:r>
          </w:p>
        </w:tc>
        <w:tc>
          <w:tcPr>
            <w:tcW w:w="655" w:type="pct"/>
            <w:shd w:val="clear" w:color="000000" w:fill="FFFFFF"/>
            <w:vAlign w:val="center"/>
          </w:tcPr>
          <w:p w14:paraId="3B5057DB">
            <w:pPr>
              <w:jc w:val="center"/>
              <w:rPr>
                <w:rFonts w:hint="eastAsia"/>
                <w:szCs w:val="21"/>
                <w:lang w:val="en-US" w:eastAsia="zh-CN"/>
              </w:rPr>
            </w:pPr>
            <w:r>
              <w:rPr>
                <w:rFonts w:hint="eastAsia"/>
                <w:szCs w:val="21"/>
                <w:lang w:val="en-US" w:eastAsia="zh-CN"/>
              </w:rPr>
              <w:t>4.3739</w:t>
            </w:r>
          </w:p>
        </w:tc>
        <w:tc>
          <w:tcPr>
            <w:tcW w:w="961" w:type="pct"/>
            <w:gridSpan w:val="3"/>
            <w:shd w:val="clear" w:color="000000" w:fill="FFFFFF"/>
            <w:vAlign w:val="center"/>
          </w:tcPr>
          <w:p w14:paraId="46EDAD57">
            <w:pPr>
              <w:jc w:val="center"/>
              <w:rPr>
                <w:rFonts w:hint="eastAsia"/>
                <w:szCs w:val="21"/>
                <w:lang w:val="en-US" w:eastAsia="zh-CN"/>
              </w:rPr>
            </w:pPr>
            <w:r>
              <w:rPr>
                <w:rFonts w:hint="eastAsia"/>
                <w:szCs w:val="21"/>
                <w:lang w:val="en-US" w:eastAsia="zh-CN"/>
              </w:rPr>
              <w:t>9.71978E-001</w:t>
            </w:r>
          </w:p>
        </w:tc>
        <w:tc>
          <w:tcPr>
            <w:tcW w:w="776" w:type="pct"/>
            <w:shd w:val="clear" w:color="000000" w:fill="FFFFFF"/>
            <w:vAlign w:val="center"/>
          </w:tcPr>
          <w:p w14:paraId="535AB213">
            <w:pPr>
              <w:jc w:val="center"/>
              <w:rPr>
                <w:rFonts w:ascii="宋体" w:hAnsi="宋体" w:cs="宋体"/>
                <w:szCs w:val="21"/>
              </w:rPr>
            </w:pPr>
          </w:p>
        </w:tc>
      </w:tr>
      <w:tr w14:paraId="1F977AA8">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auto" w:fill="auto"/>
            <w:vAlign w:val="center"/>
          </w:tcPr>
          <w:p w14:paraId="539EF8E8">
            <w:pPr>
              <w:jc w:val="center"/>
              <w:rPr>
                <w:kern w:val="0"/>
                <w:szCs w:val="21"/>
              </w:rPr>
            </w:pPr>
            <w:r>
              <w:rPr>
                <w:rFonts w:hint="eastAsia"/>
                <w:szCs w:val="21"/>
                <w:lang w:val="en-US" w:eastAsia="zh-CN"/>
              </w:rPr>
              <w:t>1500</w:t>
            </w:r>
          </w:p>
        </w:tc>
        <w:tc>
          <w:tcPr>
            <w:tcW w:w="693" w:type="pct"/>
            <w:gridSpan w:val="2"/>
            <w:shd w:val="clear" w:color="000000" w:fill="FFFFFF"/>
            <w:vAlign w:val="center"/>
          </w:tcPr>
          <w:p w14:paraId="0C4E0ED4">
            <w:pPr>
              <w:jc w:val="center"/>
              <w:rPr>
                <w:rFonts w:hint="eastAsia"/>
                <w:szCs w:val="21"/>
                <w:lang w:val="en-US" w:eastAsia="zh-CN"/>
              </w:rPr>
            </w:pPr>
            <w:r>
              <w:rPr>
                <w:rFonts w:hint="eastAsia"/>
                <w:szCs w:val="21"/>
                <w:lang w:val="en-US" w:eastAsia="zh-CN"/>
              </w:rPr>
              <w:t>3.0165</w:t>
            </w:r>
          </w:p>
        </w:tc>
        <w:tc>
          <w:tcPr>
            <w:tcW w:w="775" w:type="pct"/>
            <w:shd w:val="clear" w:color="000000" w:fill="FFFFFF"/>
            <w:vAlign w:val="center"/>
          </w:tcPr>
          <w:p w14:paraId="6491B739">
            <w:pPr>
              <w:jc w:val="center"/>
              <w:rPr>
                <w:rFonts w:hint="eastAsia"/>
                <w:szCs w:val="21"/>
                <w:lang w:val="en-US" w:eastAsia="zh-CN"/>
              </w:rPr>
            </w:pPr>
            <w:r>
              <w:rPr>
                <w:rFonts w:hint="eastAsia"/>
                <w:szCs w:val="21"/>
                <w:lang w:val="en-US" w:eastAsia="zh-CN"/>
              </w:rPr>
              <w:t>6.70333E-001</w:t>
            </w:r>
          </w:p>
        </w:tc>
        <w:tc>
          <w:tcPr>
            <w:tcW w:w="693" w:type="pct"/>
            <w:shd w:val="clear" w:color="000000" w:fill="FFFFFF"/>
            <w:vAlign w:val="center"/>
          </w:tcPr>
          <w:p w14:paraId="63BFA225">
            <w:pPr>
              <w:jc w:val="center"/>
              <w:rPr>
                <w:rFonts w:hint="eastAsia"/>
                <w:szCs w:val="21"/>
                <w:lang w:val="en-US" w:eastAsia="zh-CN"/>
              </w:rPr>
            </w:pPr>
            <w:r>
              <w:rPr>
                <w:rFonts w:hint="eastAsia"/>
                <w:szCs w:val="21"/>
                <w:lang w:val="en-US" w:eastAsia="zh-CN"/>
              </w:rPr>
              <w:t>1500</w:t>
            </w:r>
          </w:p>
        </w:tc>
        <w:tc>
          <w:tcPr>
            <w:tcW w:w="655" w:type="pct"/>
            <w:shd w:val="clear" w:color="000000" w:fill="FFFFFF"/>
            <w:vAlign w:val="center"/>
          </w:tcPr>
          <w:p w14:paraId="3B344790">
            <w:pPr>
              <w:jc w:val="center"/>
              <w:rPr>
                <w:rFonts w:hint="eastAsia"/>
                <w:szCs w:val="21"/>
                <w:lang w:val="en-US" w:eastAsia="zh-CN"/>
              </w:rPr>
            </w:pPr>
            <w:r>
              <w:rPr>
                <w:rFonts w:hint="eastAsia"/>
                <w:szCs w:val="21"/>
                <w:lang w:val="en-US" w:eastAsia="zh-CN"/>
              </w:rPr>
              <w:t>3.0837</w:t>
            </w:r>
          </w:p>
        </w:tc>
        <w:tc>
          <w:tcPr>
            <w:tcW w:w="961" w:type="pct"/>
            <w:gridSpan w:val="3"/>
            <w:shd w:val="clear" w:color="000000" w:fill="FFFFFF"/>
            <w:vAlign w:val="center"/>
          </w:tcPr>
          <w:p w14:paraId="1D05BC22">
            <w:pPr>
              <w:jc w:val="center"/>
              <w:rPr>
                <w:rFonts w:hint="eastAsia"/>
                <w:szCs w:val="21"/>
                <w:lang w:val="en-US" w:eastAsia="zh-CN"/>
              </w:rPr>
            </w:pPr>
            <w:r>
              <w:rPr>
                <w:rFonts w:hint="eastAsia"/>
                <w:szCs w:val="21"/>
                <w:lang w:val="en-US" w:eastAsia="zh-CN"/>
              </w:rPr>
              <w:t>6.85267E-001</w:t>
            </w:r>
          </w:p>
        </w:tc>
        <w:tc>
          <w:tcPr>
            <w:tcW w:w="776" w:type="pct"/>
            <w:shd w:val="clear" w:color="000000" w:fill="FFFFFF"/>
            <w:vAlign w:val="center"/>
          </w:tcPr>
          <w:p w14:paraId="01875D06">
            <w:pPr>
              <w:jc w:val="center"/>
              <w:rPr>
                <w:rFonts w:ascii="宋体" w:hAnsi="宋体" w:cs="宋体"/>
                <w:szCs w:val="21"/>
              </w:rPr>
            </w:pPr>
          </w:p>
        </w:tc>
      </w:tr>
      <w:tr w14:paraId="71A24C76">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auto" w:fill="auto"/>
            <w:vAlign w:val="center"/>
          </w:tcPr>
          <w:p w14:paraId="13088292">
            <w:pPr>
              <w:jc w:val="center"/>
              <w:rPr>
                <w:kern w:val="0"/>
                <w:szCs w:val="21"/>
              </w:rPr>
            </w:pPr>
            <w:r>
              <w:rPr>
                <w:rFonts w:hint="eastAsia"/>
                <w:szCs w:val="21"/>
                <w:lang w:val="en-US" w:eastAsia="zh-CN"/>
              </w:rPr>
              <w:t>2000</w:t>
            </w:r>
          </w:p>
        </w:tc>
        <w:tc>
          <w:tcPr>
            <w:tcW w:w="693" w:type="pct"/>
            <w:gridSpan w:val="2"/>
            <w:shd w:val="clear" w:color="000000" w:fill="FFFFFF"/>
            <w:vAlign w:val="center"/>
          </w:tcPr>
          <w:p w14:paraId="41445495">
            <w:pPr>
              <w:jc w:val="center"/>
              <w:rPr>
                <w:rFonts w:hint="eastAsia"/>
                <w:szCs w:val="21"/>
                <w:lang w:val="en-US" w:eastAsia="zh-CN"/>
              </w:rPr>
            </w:pPr>
            <w:r>
              <w:rPr>
                <w:rFonts w:hint="eastAsia"/>
                <w:szCs w:val="21"/>
                <w:lang w:val="en-US" w:eastAsia="zh-CN"/>
              </w:rPr>
              <w:t>2.4973</w:t>
            </w:r>
          </w:p>
        </w:tc>
        <w:tc>
          <w:tcPr>
            <w:tcW w:w="775" w:type="pct"/>
            <w:shd w:val="clear" w:color="000000" w:fill="FFFFFF"/>
            <w:vAlign w:val="center"/>
          </w:tcPr>
          <w:p w14:paraId="5DAC6B0B">
            <w:pPr>
              <w:jc w:val="center"/>
              <w:rPr>
                <w:rFonts w:hint="eastAsia"/>
                <w:szCs w:val="21"/>
                <w:lang w:val="en-US" w:eastAsia="zh-CN"/>
              </w:rPr>
            </w:pPr>
            <w:r>
              <w:rPr>
                <w:rFonts w:hint="eastAsia"/>
                <w:szCs w:val="21"/>
                <w:lang w:val="en-US" w:eastAsia="zh-CN"/>
              </w:rPr>
              <w:t>5.54956E-001</w:t>
            </w:r>
          </w:p>
        </w:tc>
        <w:tc>
          <w:tcPr>
            <w:tcW w:w="693" w:type="pct"/>
            <w:shd w:val="clear" w:color="000000" w:fill="FFFFFF"/>
            <w:vAlign w:val="center"/>
          </w:tcPr>
          <w:p w14:paraId="3746A68A">
            <w:pPr>
              <w:jc w:val="center"/>
              <w:rPr>
                <w:rFonts w:hint="eastAsia"/>
                <w:szCs w:val="21"/>
                <w:lang w:val="en-US" w:eastAsia="zh-CN"/>
              </w:rPr>
            </w:pPr>
            <w:r>
              <w:rPr>
                <w:rFonts w:hint="eastAsia"/>
                <w:szCs w:val="21"/>
                <w:lang w:val="en-US" w:eastAsia="zh-CN"/>
              </w:rPr>
              <w:t>2000</w:t>
            </w:r>
          </w:p>
        </w:tc>
        <w:tc>
          <w:tcPr>
            <w:tcW w:w="655" w:type="pct"/>
            <w:shd w:val="clear" w:color="000000" w:fill="FFFFFF"/>
            <w:vAlign w:val="center"/>
          </w:tcPr>
          <w:p w14:paraId="454F6F9F">
            <w:pPr>
              <w:jc w:val="center"/>
              <w:rPr>
                <w:rFonts w:hint="eastAsia"/>
                <w:szCs w:val="21"/>
                <w:lang w:val="en-US" w:eastAsia="zh-CN"/>
              </w:rPr>
            </w:pPr>
            <w:r>
              <w:rPr>
                <w:rFonts w:hint="eastAsia"/>
                <w:szCs w:val="21"/>
                <w:lang w:val="en-US" w:eastAsia="zh-CN"/>
              </w:rPr>
              <w:t>2.553</w:t>
            </w:r>
          </w:p>
        </w:tc>
        <w:tc>
          <w:tcPr>
            <w:tcW w:w="961" w:type="pct"/>
            <w:gridSpan w:val="3"/>
            <w:shd w:val="clear" w:color="000000" w:fill="FFFFFF"/>
            <w:vAlign w:val="center"/>
          </w:tcPr>
          <w:p w14:paraId="7B0CDFAB">
            <w:pPr>
              <w:jc w:val="center"/>
              <w:rPr>
                <w:rFonts w:hint="eastAsia"/>
                <w:szCs w:val="21"/>
                <w:lang w:val="en-US" w:eastAsia="zh-CN"/>
              </w:rPr>
            </w:pPr>
            <w:r>
              <w:rPr>
                <w:rFonts w:hint="eastAsia"/>
                <w:szCs w:val="21"/>
                <w:lang w:val="en-US" w:eastAsia="zh-CN"/>
              </w:rPr>
              <w:t>5.67333E-001</w:t>
            </w:r>
          </w:p>
        </w:tc>
        <w:tc>
          <w:tcPr>
            <w:tcW w:w="776" w:type="pct"/>
            <w:shd w:val="clear" w:color="000000" w:fill="FFFFFF"/>
            <w:vAlign w:val="center"/>
          </w:tcPr>
          <w:p w14:paraId="3ACBE4B3">
            <w:pPr>
              <w:jc w:val="center"/>
              <w:rPr>
                <w:rFonts w:ascii="宋体" w:hAnsi="宋体" w:cs="宋体"/>
                <w:szCs w:val="21"/>
              </w:rPr>
            </w:pPr>
          </w:p>
        </w:tc>
      </w:tr>
      <w:tr w14:paraId="172B4A52">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auto" w:fill="auto"/>
            <w:vAlign w:val="center"/>
          </w:tcPr>
          <w:p w14:paraId="10DC4961">
            <w:pPr>
              <w:jc w:val="center"/>
              <w:rPr>
                <w:kern w:val="0"/>
                <w:szCs w:val="21"/>
              </w:rPr>
            </w:pPr>
            <w:r>
              <w:rPr>
                <w:rFonts w:hint="eastAsia"/>
                <w:szCs w:val="21"/>
                <w:lang w:val="en-US" w:eastAsia="zh-CN"/>
              </w:rPr>
              <w:t>2500</w:t>
            </w:r>
          </w:p>
        </w:tc>
        <w:tc>
          <w:tcPr>
            <w:tcW w:w="693" w:type="pct"/>
            <w:gridSpan w:val="2"/>
            <w:shd w:val="clear" w:color="000000" w:fill="FFFFFF"/>
            <w:vAlign w:val="center"/>
          </w:tcPr>
          <w:p w14:paraId="7875F539">
            <w:pPr>
              <w:jc w:val="center"/>
              <w:rPr>
                <w:rFonts w:hint="eastAsia"/>
                <w:szCs w:val="21"/>
                <w:lang w:val="en-US" w:eastAsia="zh-CN"/>
              </w:rPr>
            </w:pPr>
            <w:r>
              <w:rPr>
                <w:rFonts w:hint="eastAsia"/>
                <w:szCs w:val="21"/>
                <w:lang w:val="en-US" w:eastAsia="zh-CN"/>
              </w:rPr>
              <w:t>2.1362</w:t>
            </w:r>
          </w:p>
        </w:tc>
        <w:tc>
          <w:tcPr>
            <w:tcW w:w="775" w:type="pct"/>
            <w:shd w:val="clear" w:color="000000" w:fill="FFFFFF"/>
            <w:vAlign w:val="center"/>
          </w:tcPr>
          <w:p w14:paraId="5EB591A2">
            <w:pPr>
              <w:jc w:val="center"/>
              <w:rPr>
                <w:rFonts w:hint="eastAsia"/>
                <w:szCs w:val="21"/>
                <w:lang w:val="en-US" w:eastAsia="zh-CN"/>
              </w:rPr>
            </w:pPr>
            <w:r>
              <w:rPr>
                <w:rFonts w:hint="eastAsia"/>
                <w:szCs w:val="21"/>
                <w:lang w:val="en-US" w:eastAsia="zh-CN"/>
              </w:rPr>
              <w:t>4.74711E-001</w:t>
            </w:r>
          </w:p>
        </w:tc>
        <w:tc>
          <w:tcPr>
            <w:tcW w:w="693" w:type="pct"/>
            <w:shd w:val="clear" w:color="000000" w:fill="FFFFFF"/>
            <w:vAlign w:val="center"/>
          </w:tcPr>
          <w:p w14:paraId="0BC0B712">
            <w:pPr>
              <w:jc w:val="center"/>
              <w:rPr>
                <w:rFonts w:hint="eastAsia"/>
                <w:szCs w:val="21"/>
                <w:lang w:val="en-US" w:eastAsia="zh-CN"/>
              </w:rPr>
            </w:pPr>
            <w:r>
              <w:rPr>
                <w:rFonts w:hint="eastAsia"/>
                <w:szCs w:val="21"/>
                <w:lang w:val="en-US" w:eastAsia="zh-CN"/>
              </w:rPr>
              <w:t>2500</w:t>
            </w:r>
          </w:p>
        </w:tc>
        <w:tc>
          <w:tcPr>
            <w:tcW w:w="655" w:type="pct"/>
            <w:shd w:val="clear" w:color="000000" w:fill="FFFFFF"/>
            <w:vAlign w:val="center"/>
          </w:tcPr>
          <w:p w14:paraId="713C9286">
            <w:pPr>
              <w:jc w:val="center"/>
              <w:rPr>
                <w:rFonts w:hint="eastAsia"/>
                <w:szCs w:val="21"/>
                <w:lang w:val="en-US" w:eastAsia="zh-CN"/>
              </w:rPr>
            </w:pPr>
            <w:r>
              <w:rPr>
                <w:rFonts w:hint="eastAsia"/>
                <w:szCs w:val="21"/>
                <w:lang w:val="en-US" w:eastAsia="zh-CN"/>
              </w:rPr>
              <w:t>2.1838</w:t>
            </w:r>
          </w:p>
        </w:tc>
        <w:tc>
          <w:tcPr>
            <w:tcW w:w="961" w:type="pct"/>
            <w:gridSpan w:val="3"/>
            <w:shd w:val="clear" w:color="000000" w:fill="FFFFFF"/>
            <w:vAlign w:val="center"/>
          </w:tcPr>
          <w:p w14:paraId="36401581">
            <w:pPr>
              <w:jc w:val="center"/>
              <w:rPr>
                <w:rFonts w:hint="eastAsia"/>
                <w:szCs w:val="21"/>
                <w:lang w:val="en-US" w:eastAsia="zh-CN"/>
              </w:rPr>
            </w:pPr>
            <w:r>
              <w:rPr>
                <w:rFonts w:hint="eastAsia"/>
                <w:szCs w:val="21"/>
                <w:lang w:val="en-US" w:eastAsia="zh-CN"/>
              </w:rPr>
              <w:t>4.85289E-001</w:t>
            </w:r>
          </w:p>
        </w:tc>
        <w:tc>
          <w:tcPr>
            <w:tcW w:w="776" w:type="pct"/>
            <w:shd w:val="clear" w:color="000000" w:fill="FFFFFF"/>
            <w:vAlign w:val="center"/>
          </w:tcPr>
          <w:p w14:paraId="224003B0">
            <w:pPr>
              <w:jc w:val="center"/>
              <w:rPr>
                <w:rFonts w:ascii="宋体" w:hAnsi="宋体" w:cs="宋体"/>
                <w:szCs w:val="21"/>
              </w:rPr>
            </w:pPr>
          </w:p>
        </w:tc>
      </w:tr>
      <w:tr w14:paraId="5C2A4D2B">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912" w:type="pct"/>
            <w:gridSpan w:val="4"/>
            <w:shd w:val="clear" w:color="auto" w:fill="auto"/>
            <w:vAlign w:val="center"/>
          </w:tcPr>
          <w:p w14:paraId="69A50CB9">
            <w:pPr>
              <w:jc w:val="center"/>
              <w:rPr>
                <w:rFonts w:ascii="宋体" w:hAnsi="宋体" w:cs="宋体"/>
                <w:szCs w:val="21"/>
              </w:rPr>
            </w:pPr>
            <w:r>
              <w:rPr>
                <w:rFonts w:hint="eastAsia"/>
                <w:bCs/>
                <w:spacing w:val="-11"/>
                <w:sz w:val="21"/>
                <w:szCs w:val="21"/>
                <w:lang w:val="en-US" w:eastAsia="zh-CN"/>
              </w:rPr>
              <w:t>DA007</w:t>
            </w:r>
            <w:r>
              <w:rPr>
                <w:rFonts w:hint="eastAsia"/>
                <w:bCs/>
                <w:spacing w:val="-11"/>
                <w:sz w:val="21"/>
                <w:szCs w:val="21"/>
                <w:lang w:eastAsia="zh-CN"/>
              </w:rPr>
              <w:t>混凝土水泥筒仓废气排气筒</w:t>
            </w:r>
          </w:p>
        </w:tc>
        <w:tc>
          <w:tcPr>
            <w:tcW w:w="2310" w:type="pct"/>
            <w:gridSpan w:val="5"/>
            <w:shd w:val="clear" w:color="000000" w:fill="FFFFFF"/>
            <w:vAlign w:val="center"/>
          </w:tcPr>
          <w:p w14:paraId="2D5264F5">
            <w:pPr>
              <w:jc w:val="center"/>
              <w:rPr>
                <w:rFonts w:ascii="宋体" w:hAnsi="宋体" w:cs="宋体"/>
                <w:szCs w:val="21"/>
              </w:rPr>
            </w:pPr>
            <w:r>
              <w:rPr>
                <w:rFonts w:hint="eastAsia"/>
                <w:bCs/>
                <w:szCs w:val="21"/>
                <w:lang w:val="en-US" w:eastAsia="zh-CN"/>
              </w:rPr>
              <w:t>DA008</w:t>
            </w:r>
            <w:r>
              <w:rPr>
                <w:rFonts w:hint="eastAsia"/>
                <w:bCs/>
                <w:szCs w:val="21"/>
                <w:lang w:eastAsia="zh-CN"/>
              </w:rPr>
              <w:t>混凝土粉煤灰筒仓废气排气筒</w:t>
            </w:r>
          </w:p>
        </w:tc>
        <w:tc>
          <w:tcPr>
            <w:tcW w:w="776" w:type="pct"/>
            <w:shd w:val="clear" w:color="000000" w:fill="FFFFFF"/>
            <w:vAlign w:val="center"/>
          </w:tcPr>
          <w:p w14:paraId="32800444">
            <w:pPr>
              <w:jc w:val="center"/>
              <w:rPr>
                <w:rFonts w:ascii="宋体" w:hAnsi="宋体" w:cs="宋体"/>
                <w:szCs w:val="21"/>
              </w:rPr>
            </w:pPr>
          </w:p>
        </w:tc>
      </w:tr>
      <w:tr w14:paraId="3D224631">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auto" w:fill="auto"/>
            <w:vAlign w:val="center"/>
          </w:tcPr>
          <w:p w14:paraId="12B1F060">
            <w:pPr>
              <w:widowControl/>
              <w:jc w:val="center"/>
              <w:rPr>
                <w:rFonts w:hint="eastAsia"/>
                <w:bCs/>
                <w:szCs w:val="21"/>
                <w:lang w:val="en-US" w:eastAsia="zh-CN"/>
              </w:rPr>
            </w:pPr>
            <w:r>
              <w:rPr>
                <w:rFonts w:hint="eastAsia"/>
                <w:kern w:val="0"/>
                <w:szCs w:val="21"/>
                <w:lang w:val="en-US" w:eastAsia="zh-CN"/>
              </w:rPr>
              <w:t>-</w:t>
            </w:r>
          </w:p>
        </w:tc>
        <w:tc>
          <w:tcPr>
            <w:tcW w:w="1469" w:type="pct"/>
            <w:gridSpan w:val="3"/>
            <w:shd w:val="clear" w:color="000000" w:fill="FFFFFF"/>
            <w:vAlign w:val="center"/>
          </w:tcPr>
          <w:p w14:paraId="41D4675D">
            <w:pPr>
              <w:widowControl/>
              <w:jc w:val="center"/>
              <w:rPr>
                <w:rFonts w:ascii="宋体" w:hAnsi="宋体" w:cs="宋体"/>
                <w:szCs w:val="21"/>
              </w:rPr>
            </w:pPr>
            <w:r>
              <w:rPr>
                <w:rFonts w:hint="eastAsia"/>
                <w:kern w:val="0"/>
                <w:szCs w:val="21"/>
                <w:lang w:val="en-US" w:eastAsia="zh-CN"/>
              </w:rPr>
              <w:t>PM</w:t>
            </w:r>
            <w:r>
              <w:rPr>
                <w:rFonts w:hint="eastAsia"/>
                <w:kern w:val="0"/>
                <w:szCs w:val="21"/>
                <w:vertAlign w:val="subscript"/>
                <w:lang w:val="en-US" w:eastAsia="zh-CN"/>
              </w:rPr>
              <w:t>10</w:t>
            </w:r>
          </w:p>
        </w:tc>
        <w:tc>
          <w:tcPr>
            <w:tcW w:w="693" w:type="pct"/>
            <w:shd w:val="clear" w:color="000000" w:fill="FFFFFF"/>
            <w:vAlign w:val="center"/>
          </w:tcPr>
          <w:p w14:paraId="64035793">
            <w:pPr>
              <w:widowControl/>
              <w:jc w:val="center"/>
              <w:rPr>
                <w:rFonts w:ascii="宋体" w:hAnsi="宋体" w:cs="宋体"/>
                <w:szCs w:val="21"/>
              </w:rPr>
            </w:pPr>
            <w:r>
              <w:rPr>
                <w:rFonts w:hint="eastAsia"/>
                <w:kern w:val="0"/>
                <w:szCs w:val="21"/>
                <w:lang w:val="en-US" w:eastAsia="zh-CN"/>
              </w:rPr>
              <w:t>-</w:t>
            </w:r>
          </w:p>
        </w:tc>
        <w:tc>
          <w:tcPr>
            <w:tcW w:w="1616" w:type="pct"/>
            <w:gridSpan w:val="4"/>
            <w:shd w:val="clear" w:color="000000" w:fill="FFFFFF"/>
            <w:vAlign w:val="center"/>
          </w:tcPr>
          <w:p w14:paraId="3E56C38F">
            <w:pPr>
              <w:widowControl/>
              <w:jc w:val="center"/>
              <w:rPr>
                <w:rFonts w:ascii="宋体" w:hAnsi="宋体" w:cs="宋体"/>
                <w:szCs w:val="21"/>
              </w:rPr>
            </w:pPr>
            <w:r>
              <w:rPr>
                <w:rFonts w:hint="eastAsia"/>
                <w:kern w:val="0"/>
                <w:szCs w:val="21"/>
                <w:lang w:val="en-US" w:eastAsia="zh-CN"/>
              </w:rPr>
              <w:t>PM</w:t>
            </w:r>
            <w:r>
              <w:rPr>
                <w:rFonts w:hint="eastAsia"/>
                <w:kern w:val="0"/>
                <w:szCs w:val="21"/>
                <w:vertAlign w:val="subscript"/>
                <w:lang w:val="en-US" w:eastAsia="zh-CN"/>
              </w:rPr>
              <w:t>10</w:t>
            </w:r>
          </w:p>
        </w:tc>
        <w:tc>
          <w:tcPr>
            <w:tcW w:w="776" w:type="pct"/>
            <w:shd w:val="clear" w:color="000000" w:fill="FFFFFF"/>
            <w:vAlign w:val="center"/>
          </w:tcPr>
          <w:p w14:paraId="7BB2BF5F">
            <w:pPr>
              <w:jc w:val="center"/>
              <w:rPr>
                <w:rFonts w:ascii="宋体" w:hAnsi="宋体" w:cs="宋体"/>
                <w:szCs w:val="21"/>
              </w:rPr>
            </w:pPr>
          </w:p>
        </w:tc>
      </w:tr>
      <w:tr w14:paraId="1C9E81A5">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auto" w:fill="auto"/>
            <w:vAlign w:val="center"/>
          </w:tcPr>
          <w:p w14:paraId="323AB050">
            <w:pPr>
              <w:widowControl/>
              <w:jc w:val="center"/>
              <w:rPr>
                <w:rFonts w:hint="eastAsia" w:ascii="Times New Roman" w:hAnsi="Times New Roman" w:eastAsia="宋体" w:cs="Times New Roman"/>
                <w:bCs/>
                <w:kern w:val="2"/>
                <w:sz w:val="21"/>
                <w:szCs w:val="21"/>
                <w:lang w:val="en-US" w:eastAsia="zh-CN" w:bidi="ar-SA"/>
              </w:rPr>
            </w:pPr>
            <w:r>
              <w:rPr>
                <w:kern w:val="0"/>
                <w:szCs w:val="21"/>
              </w:rPr>
              <w:t>距离</w:t>
            </w:r>
          </w:p>
        </w:tc>
        <w:tc>
          <w:tcPr>
            <w:tcW w:w="693" w:type="pct"/>
            <w:gridSpan w:val="2"/>
            <w:shd w:val="clear" w:color="000000" w:fill="FFFFFF"/>
            <w:vAlign w:val="center"/>
          </w:tcPr>
          <w:p w14:paraId="01EA8516">
            <w:pPr>
              <w:widowControl/>
              <w:jc w:val="center"/>
              <w:rPr>
                <w:rFonts w:ascii="宋体" w:hAnsi="宋体" w:cs="宋体"/>
                <w:szCs w:val="21"/>
              </w:rPr>
            </w:pPr>
            <w:r>
              <w:rPr>
                <w:kern w:val="0"/>
                <w:szCs w:val="21"/>
              </w:rPr>
              <w:t>浓度</w:t>
            </w:r>
          </w:p>
        </w:tc>
        <w:tc>
          <w:tcPr>
            <w:tcW w:w="775" w:type="pct"/>
            <w:shd w:val="clear" w:color="000000" w:fill="FFFFFF"/>
            <w:vAlign w:val="center"/>
          </w:tcPr>
          <w:p w14:paraId="23576DF3">
            <w:pPr>
              <w:widowControl/>
              <w:jc w:val="center"/>
              <w:rPr>
                <w:rFonts w:ascii="宋体" w:hAnsi="宋体" w:cs="宋体"/>
                <w:szCs w:val="21"/>
              </w:rPr>
            </w:pPr>
            <w:r>
              <w:rPr>
                <w:kern w:val="0"/>
                <w:szCs w:val="21"/>
              </w:rPr>
              <w:t>占标率</w:t>
            </w:r>
          </w:p>
        </w:tc>
        <w:tc>
          <w:tcPr>
            <w:tcW w:w="693" w:type="pct"/>
            <w:shd w:val="clear" w:color="000000" w:fill="FFFFFF"/>
            <w:vAlign w:val="center"/>
          </w:tcPr>
          <w:p w14:paraId="24782461">
            <w:pPr>
              <w:widowControl/>
              <w:jc w:val="center"/>
              <w:rPr>
                <w:rFonts w:ascii="宋体" w:hAnsi="宋体" w:cs="宋体"/>
                <w:szCs w:val="21"/>
              </w:rPr>
            </w:pPr>
            <w:r>
              <w:rPr>
                <w:kern w:val="0"/>
                <w:szCs w:val="21"/>
              </w:rPr>
              <w:t>距离</w:t>
            </w:r>
          </w:p>
        </w:tc>
        <w:tc>
          <w:tcPr>
            <w:tcW w:w="655" w:type="pct"/>
            <w:shd w:val="clear" w:color="000000" w:fill="FFFFFF"/>
            <w:vAlign w:val="center"/>
          </w:tcPr>
          <w:p w14:paraId="2D64519E">
            <w:pPr>
              <w:widowControl/>
              <w:jc w:val="center"/>
              <w:rPr>
                <w:rFonts w:ascii="宋体" w:hAnsi="宋体" w:cs="宋体"/>
                <w:szCs w:val="21"/>
              </w:rPr>
            </w:pPr>
            <w:r>
              <w:rPr>
                <w:kern w:val="0"/>
                <w:szCs w:val="21"/>
              </w:rPr>
              <w:t>浓度</w:t>
            </w:r>
          </w:p>
        </w:tc>
        <w:tc>
          <w:tcPr>
            <w:tcW w:w="961" w:type="pct"/>
            <w:gridSpan w:val="3"/>
            <w:shd w:val="clear" w:color="000000" w:fill="FFFFFF"/>
            <w:vAlign w:val="center"/>
          </w:tcPr>
          <w:p w14:paraId="06E1E0FD">
            <w:pPr>
              <w:widowControl/>
              <w:jc w:val="center"/>
              <w:rPr>
                <w:rFonts w:ascii="宋体" w:hAnsi="宋体" w:cs="宋体"/>
                <w:szCs w:val="21"/>
              </w:rPr>
            </w:pPr>
            <w:r>
              <w:rPr>
                <w:kern w:val="0"/>
                <w:szCs w:val="21"/>
              </w:rPr>
              <w:t>占标率</w:t>
            </w:r>
          </w:p>
        </w:tc>
        <w:tc>
          <w:tcPr>
            <w:tcW w:w="776" w:type="pct"/>
            <w:shd w:val="clear" w:color="000000" w:fill="FFFFFF"/>
            <w:vAlign w:val="center"/>
          </w:tcPr>
          <w:p w14:paraId="2F6CB5B4">
            <w:pPr>
              <w:jc w:val="center"/>
              <w:rPr>
                <w:rFonts w:ascii="宋体" w:hAnsi="宋体" w:cs="宋体"/>
                <w:szCs w:val="21"/>
              </w:rPr>
            </w:pPr>
          </w:p>
        </w:tc>
      </w:tr>
      <w:tr w14:paraId="6F267BAD">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auto" w:fill="auto"/>
            <w:vAlign w:val="center"/>
          </w:tcPr>
          <w:p w14:paraId="1055F0FE">
            <w:pPr>
              <w:widowControl/>
              <w:jc w:val="center"/>
              <w:rPr>
                <w:kern w:val="0"/>
                <w:szCs w:val="21"/>
              </w:rPr>
            </w:pPr>
            <w:r>
              <w:rPr>
                <w:rFonts w:hint="eastAsia"/>
                <w:kern w:val="0"/>
                <w:szCs w:val="21"/>
                <w:lang w:val="en-US" w:eastAsia="zh-CN"/>
              </w:rPr>
              <w:t>m</w:t>
            </w:r>
          </w:p>
        </w:tc>
        <w:tc>
          <w:tcPr>
            <w:tcW w:w="693" w:type="pct"/>
            <w:gridSpan w:val="2"/>
            <w:shd w:val="clear" w:color="000000" w:fill="FFFFFF"/>
            <w:vAlign w:val="center"/>
          </w:tcPr>
          <w:p w14:paraId="68F4AB52">
            <w:pPr>
              <w:widowControl/>
              <w:jc w:val="center"/>
              <w:rPr>
                <w:kern w:val="0"/>
                <w:szCs w:val="21"/>
              </w:rPr>
            </w:pPr>
            <w:r>
              <w:rPr>
                <w:kern w:val="0"/>
                <w:szCs w:val="21"/>
              </w:rPr>
              <w:t>ug/m</w:t>
            </w:r>
            <w:r>
              <w:rPr>
                <w:kern w:val="0"/>
                <w:szCs w:val="21"/>
                <w:vertAlign w:val="superscript"/>
              </w:rPr>
              <w:t>3</w:t>
            </w:r>
          </w:p>
        </w:tc>
        <w:tc>
          <w:tcPr>
            <w:tcW w:w="775" w:type="pct"/>
            <w:shd w:val="clear" w:color="000000" w:fill="FFFFFF"/>
            <w:vAlign w:val="center"/>
          </w:tcPr>
          <w:p w14:paraId="0A50875F">
            <w:pPr>
              <w:widowControl/>
              <w:jc w:val="center"/>
              <w:rPr>
                <w:kern w:val="0"/>
                <w:szCs w:val="21"/>
              </w:rPr>
            </w:pPr>
            <w:r>
              <w:rPr>
                <w:kern w:val="0"/>
                <w:szCs w:val="21"/>
              </w:rPr>
              <w:t>%</w:t>
            </w:r>
          </w:p>
        </w:tc>
        <w:tc>
          <w:tcPr>
            <w:tcW w:w="693" w:type="pct"/>
            <w:shd w:val="clear" w:color="000000" w:fill="FFFFFF"/>
            <w:vAlign w:val="center"/>
          </w:tcPr>
          <w:p w14:paraId="577213E6">
            <w:pPr>
              <w:widowControl/>
              <w:jc w:val="center"/>
              <w:rPr>
                <w:kern w:val="0"/>
                <w:szCs w:val="21"/>
              </w:rPr>
            </w:pPr>
            <w:r>
              <w:rPr>
                <w:rFonts w:hint="eastAsia"/>
                <w:kern w:val="0"/>
                <w:szCs w:val="21"/>
                <w:lang w:val="en-US" w:eastAsia="zh-CN"/>
              </w:rPr>
              <w:t>m</w:t>
            </w:r>
          </w:p>
        </w:tc>
        <w:tc>
          <w:tcPr>
            <w:tcW w:w="655" w:type="pct"/>
            <w:shd w:val="clear" w:color="000000" w:fill="FFFFFF"/>
            <w:vAlign w:val="center"/>
          </w:tcPr>
          <w:p w14:paraId="2DF19A3C">
            <w:pPr>
              <w:widowControl/>
              <w:jc w:val="center"/>
              <w:rPr>
                <w:kern w:val="0"/>
                <w:szCs w:val="21"/>
              </w:rPr>
            </w:pPr>
            <w:r>
              <w:rPr>
                <w:kern w:val="0"/>
                <w:szCs w:val="21"/>
              </w:rPr>
              <w:t>ug/m</w:t>
            </w:r>
            <w:r>
              <w:rPr>
                <w:kern w:val="0"/>
                <w:szCs w:val="21"/>
                <w:vertAlign w:val="superscript"/>
              </w:rPr>
              <w:t>3</w:t>
            </w:r>
          </w:p>
        </w:tc>
        <w:tc>
          <w:tcPr>
            <w:tcW w:w="961" w:type="pct"/>
            <w:gridSpan w:val="3"/>
            <w:shd w:val="clear" w:color="000000" w:fill="FFFFFF"/>
            <w:vAlign w:val="center"/>
          </w:tcPr>
          <w:p w14:paraId="7DCB0E58">
            <w:pPr>
              <w:widowControl/>
              <w:jc w:val="center"/>
              <w:rPr>
                <w:kern w:val="0"/>
                <w:szCs w:val="21"/>
              </w:rPr>
            </w:pPr>
            <w:r>
              <w:rPr>
                <w:kern w:val="0"/>
                <w:szCs w:val="21"/>
              </w:rPr>
              <w:t>%</w:t>
            </w:r>
          </w:p>
        </w:tc>
        <w:tc>
          <w:tcPr>
            <w:tcW w:w="776" w:type="pct"/>
            <w:shd w:val="clear" w:color="000000" w:fill="FFFFFF"/>
            <w:vAlign w:val="center"/>
          </w:tcPr>
          <w:p w14:paraId="3EAFED25">
            <w:pPr>
              <w:jc w:val="center"/>
              <w:rPr>
                <w:rFonts w:ascii="宋体" w:hAnsi="宋体" w:cs="宋体"/>
                <w:szCs w:val="21"/>
              </w:rPr>
            </w:pPr>
          </w:p>
        </w:tc>
      </w:tr>
      <w:tr w14:paraId="3D9AAF72">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73" w:type="dxa"/>
            <w:shd w:val="clear" w:color="auto" w:fill="auto"/>
            <w:vAlign w:val="center"/>
          </w:tcPr>
          <w:p w14:paraId="6A53B1AD">
            <w:pPr>
              <w:jc w:val="center"/>
              <w:rPr>
                <w:kern w:val="0"/>
                <w:szCs w:val="21"/>
              </w:rPr>
            </w:pPr>
            <w:r>
              <w:rPr>
                <w:rFonts w:hint="eastAsia"/>
                <w:szCs w:val="21"/>
                <w:lang w:val="en-US" w:eastAsia="zh-CN"/>
              </w:rPr>
              <w:t>10</w:t>
            </w:r>
          </w:p>
        </w:tc>
        <w:tc>
          <w:tcPr>
            <w:tcW w:w="693" w:type="pct"/>
            <w:gridSpan w:val="2"/>
            <w:shd w:val="clear" w:color="000000" w:fill="FFFFFF"/>
            <w:vAlign w:val="center"/>
          </w:tcPr>
          <w:p w14:paraId="6158E43C">
            <w:pPr>
              <w:jc w:val="center"/>
              <w:rPr>
                <w:rFonts w:hint="eastAsia"/>
                <w:szCs w:val="21"/>
                <w:lang w:val="en-US" w:eastAsia="zh-CN"/>
              </w:rPr>
            </w:pPr>
            <w:r>
              <w:rPr>
                <w:rFonts w:hint="eastAsia"/>
                <w:szCs w:val="21"/>
                <w:lang w:val="en-US" w:eastAsia="zh-CN"/>
              </w:rPr>
              <w:t>0.067743</w:t>
            </w:r>
          </w:p>
        </w:tc>
        <w:tc>
          <w:tcPr>
            <w:tcW w:w="775" w:type="pct"/>
            <w:shd w:val="clear" w:color="000000" w:fill="FFFFFF"/>
            <w:vAlign w:val="center"/>
          </w:tcPr>
          <w:p w14:paraId="4AFB68BA">
            <w:pPr>
              <w:jc w:val="center"/>
              <w:rPr>
                <w:rFonts w:hint="eastAsia"/>
                <w:szCs w:val="21"/>
                <w:lang w:val="en-US" w:eastAsia="zh-CN"/>
              </w:rPr>
            </w:pPr>
            <w:r>
              <w:rPr>
                <w:rFonts w:hint="eastAsia"/>
                <w:szCs w:val="21"/>
                <w:lang w:val="en-US" w:eastAsia="zh-CN"/>
              </w:rPr>
              <w:t>1.50540E-002</w:t>
            </w:r>
          </w:p>
        </w:tc>
        <w:tc>
          <w:tcPr>
            <w:tcW w:w="1210" w:type="dxa"/>
            <w:shd w:val="clear" w:color="000000" w:fill="FFFFFF"/>
            <w:vAlign w:val="center"/>
          </w:tcPr>
          <w:p w14:paraId="12DDED76">
            <w:pPr>
              <w:jc w:val="center"/>
              <w:rPr>
                <w:kern w:val="0"/>
                <w:szCs w:val="21"/>
              </w:rPr>
            </w:pPr>
            <w:r>
              <w:rPr>
                <w:rFonts w:hint="eastAsia"/>
                <w:szCs w:val="21"/>
                <w:lang w:val="en-US" w:eastAsia="zh-CN"/>
              </w:rPr>
              <w:t>10</w:t>
            </w:r>
          </w:p>
        </w:tc>
        <w:tc>
          <w:tcPr>
            <w:tcW w:w="1144" w:type="dxa"/>
            <w:shd w:val="clear" w:color="000000" w:fill="FFFFFF"/>
            <w:vAlign w:val="center"/>
          </w:tcPr>
          <w:p w14:paraId="3D5E880E">
            <w:pPr>
              <w:jc w:val="center"/>
              <w:rPr>
                <w:rFonts w:hint="eastAsia"/>
                <w:szCs w:val="21"/>
                <w:lang w:val="en-US" w:eastAsia="zh-CN"/>
              </w:rPr>
            </w:pPr>
            <w:r>
              <w:rPr>
                <w:rFonts w:hint="eastAsia"/>
                <w:szCs w:val="21"/>
                <w:lang w:val="en-US" w:eastAsia="zh-CN"/>
              </w:rPr>
              <w:t>0.13371</w:t>
            </w:r>
          </w:p>
        </w:tc>
        <w:tc>
          <w:tcPr>
            <w:tcW w:w="1676" w:type="dxa"/>
            <w:gridSpan w:val="3"/>
            <w:shd w:val="clear" w:color="000000" w:fill="FFFFFF"/>
            <w:vAlign w:val="center"/>
          </w:tcPr>
          <w:p w14:paraId="4184B7EF">
            <w:pPr>
              <w:jc w:val="center"/>
              <w:rPr>
                <w:rFonts w:hint="eastAsia"/>
                <w:szCs w:val="21"/>
                <w:lang w:val="en-US" w:eastAsia="zh-CN"/>
              </w:rPr>
            </w:pPr>
            <w:r>
              <w:rPr>
                <w:rFonts w:hint="eastAsia"/>
                <w:szCs w:val="21"/>
                <w:lang w:val="en-US" w:eastAsia="zh-CN"/>
              </w:rPr>
              <w:t>2.97133E-002</w:t>
            </w:r>
          </w:p>
        </w:tc>
        <w:tc>
          <w:tcPr>
            <w:tcW w:w="776" w:type="pct"/>
            <w:shd w:val="clear" w:color="000000" w:fill="FFFFFF"/>
            <w:vAlign w:val="center"/>
          </w:tcPr>
          <w:p w14:paraId="78E006DC">
            <w:pPr>
              <w:jc w:val="center"/>
              <w:rPr>
                <w:rFonts w:ascii="宋体" w:hAnsi="宋体" w:cs="宋体"/>
                <w:szCs w:val="21"/>
              </w:rPr>
            </w:pPr>
          </w:p>
        </w:tc>
      </w:tr>
      <w:tr w14:paraId="00579056">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73" w:type="dxa"/>
            <w:shd w:val="clear" w:color="auto" w:fill="auto"/>
            <w:vAlign w:val="center"/>
          </w:tcPr>
          <w:p w14:paraId="6DC4D7BF">
            <w:pPr>
              <w:jc w:val="center"/>
              <w:rPr>
                <w:kern w:val="0"/>
                <w:szCs w:val="21"/>
              </w:rPr>
            </w:pPr>
            <w:r>
              <w:rPr>
                <w:rFonts w:hint="eastAsia"/>
                <w:szCs w:val="21"/>
                <w:lang w:val="en-US" w:eastAsia="zh-CN"/>
              </w:rPr>
              <w:t>25</w:t>
            </w:r>
          </w:p>
        </w:tc>
        <w:tc>
          <w:tcPr>
            <w:tcW w:w="693" w:type="pct"/>
            <w:gridSpan w:val="2"/>
            <w:shd w:val="clear" w:color="000000" w:fill="FFFFFF"/>
            <w:vAlign w:val="center"/>
          </w:tcPr>
          <w:p w14:paraId="51303C7B">
            <w:pPr>
              <w:jc w:val="center"/>
              <w:rPr>
                <w:rFonts w:hint="eastAsia"/>
                <w:szCs w:val="21"/>
                <w:lang w:val="en-US" w:eastAsia="zh-CN"/>
              </w:rPr>
            </w:pPr>
            <w:r>
              <w:rPr>
                <w:rFonts w:hint="eastAsia"/>
                <w:szCs w:val="21"/>
                <w:lang w:val="en-US" w:eastAsia="zh-CN"/>
              </w:rPr>
              <w:t>1.244</w:t>
            </w:r>
          </w:p>
        </w:tc>
        <w:tc>
          <w:tcPr>
            <w:tcW w:w="775" w:type="pct"/>
            <w:shd w:val="clear" w:color="000000" w:fill="FFFFFF"/>
            <w:vAlign w:val="center"/>
          </w:tcPr>
          <w:p w14:paraId="1A436E6F">
            <w:pPr>
              <w:jc w:val="center"/>
              <w:rPr>
                <w:rFonts w:hint="eastAsia"/>
                <w:szCs w:val="21"/>
                <w:lang w:val="en-US" w:eastAsia="zh-CN"/>
              </w:rPr>
            </w:pPr>
            <w:r>
              <w:rPr>
                <w:rFonts w:hint="eastAsia"/>
                <w:szCs w:val="21"/>
                <w:lang w:val="en-US" w:eastAsia="zh-CN"/>
              </w:rPr>
              <w:t>2.76444E-001</w:t>
            </w:r>
          </w:p>
        </w:tc>
        <w:tc>
          <w:tcPr>
            <w:tcW w:w="1210" w:type="dxa"/>
            <w:shd w:val="clear" w:color="000000" w:fill="FFFFFF"/>
            <w:vAlign w:val="center"/>
          </w:tcPr>
          <w:p w14:paraId="0DF38DA9">
            <w:pPr>
              <w:jc w:val="center"/>
              <w:rPr>
                <w:kern w:val="0"/>
                <w:szCs w:val="21"/>
              </w:rPr>
            </w:pPr>
            <w:r>
              <w:rPr>
                <w:rFonts w:hint="eastAsia"/>
                <w:szCs w:val="21"/>
                <w:lang w:val="en-US" w:eastAsia="zh-CN"/>
              </w:rPr>
              <w:t>25</w:t>
            </w:r>
          </w:p>
        </w:tc>
        <w:tc>
          <w:tcPr>
            <w:tcW w:w="1144" w:type="dxa"/>
            <w:shd w:val="clear" w:color="000000" w:fill="FFFFFF"/>
            <w:vAlign w:val="center"/>
          </w:tcPr>
          <w:p w14:paraId="125582AD">
            <w:pPr>
              <w:jc w:val="center"/>
              <w:rPr>
                <w:rFonts w:hint="eastAsia"/>
                <w:szCs w:val="21"/>
                <w:lang w:val="en-US" w:eastAsia="zh-CN"/>
              </w:rPr>
            </w:pPr>
            <w:r>
              <w:rPr>
                <w:rFonts w:hint="eastAsia"/>
                <w:szCs w:val="21"/>
                <w:lang w:val="en-US" w:eastAsia="zh-CN"/>
              </w:rPr>
              <w:t>1.6425</w:t>
            </w:r>
          </w:p>
        </w:tc>
        <w:tc>
          <w:tcPr>
            <w:tcW w:w="1676" w:type="dxa"/>
            <w:gridSpan w:val="3"/>
            <w:shd w:val="clear" w:color="000000" w:fill="FFFFFF"/>
            <w:vAlign w:val="center"/>
          </w:tcPr>
          <w:p w14:paraId="743824CB">
            <w:pPr>
              <w:jc w:val="center"/>
              <w:rPr>
                <w:rFonts w:hint="eastAsia"/>
                <w:szCs w:val="21"/>
                <w:lang w:val="en-US" w:eastAsia="zh-CN"/>
              </w:rPr>
            </w:pPr>
            <w:r>
              <w:rPr>
                <w:rFonts w:hint="eastAsia"/>
                <w:szCs w:val="21"/>
                <w:lang w:val="en-US" w:eastAsia="zh-CN"/>
              </w:rPr>
              <w:t>3.65000E-001</w:t>
            </w:r>
          </w:p>
        </w:tc>
        <w:tc>
          <w:tcPr>
            <w:tcW w:w="776" w:type="pct"/>
            <w:shd w:val="clear" w:color="000000" w:fill="FFFFFF"/>
            <w:vAlign w:val="center"/>
          </w:tcPr>
          <w:p w14:paraId="1AD1A720">
            <w:pPr>
              <w:jc w:val="center"/>
              <w:rPr>
                <w:rFonts w:ascii="宋体" w:hAnsi="宋体" w:cs="宋体"/>
                <w:szCs w:val="21"/>
              </w:rPr>
            </w:pPr>
          </w:p>
        </w:tc>
      </w:tr>
      <w:tr w14:paraId="74ED6B95">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73" w:type="dxa"/>
            <w:shd w:val="clear" w:color="auto" w:fill="auto"/>
            <w:vAlign w:val="center"/>
          </w:tcPr>
          <w:p w14:paraId="09D82119">
            <w:pPr>
              <w:jc w:val="center"/>
              <w:rPr>
                <w:rFonts w:hint="default"/>
                <w:kern w:val="0"/>
                <w:szCs w:val="21"/>
                <w:lang w:val="en-US"/>
              </w:rPr>
            </w:pPr>
            <w:r>
              <w:rPr>
                <w:rFonts w:hint="eastAsia"/>
                <w:b/>
                <w:bCs/>
                <w:szCs w:val="21"/>
                <w:lang w:val="en-US" w:eastAsia="zh-CN"/>
              </w:rPr>
              <w:t>48</w:t>
            </w:r>
          </w:p>
        </w:tc>
        <w:tc>
          <w:tcPr>
            <w:tcW w:w="693" w:type="pct"/>
            <w:gridSpan w:val="2"/>
            <w:shd w:val="clear" w:color="000000" w:fill="FFFFFF"/>
            <w:vAlign w:val="center"/>
          </w:tcPr>
          <w:p w14:paraId="4791AD5F">
            <w:pPr>
              <w:jc w:val="center"/>
              <w:rPr>
                <w:rFonts w:hint="eastAsia"/>
                <w:b/>
                <w:bCs/>
                <w:szCs w:val="21"/>
                <w:lang w:val="en-US" w:eastAsia="zh-CN"/>
              </w:rPr>
            </w:pPr>
            <w:r>
              <w:rPr>
                <w:rFonts w:hint="eastAsia"/>
                <w:b/>
                <w:bCs/>
                <w:szCs w:val="21"/>
                <w:lang w:val="en-US" w:eastAsia="zh-CN"/>
              </w:rPr>
              <w:t>2.3156</w:t>
            </w:r>
          </w:p>
        </w:tc>
        <w:tc>
          <w:tcPr>
            <w:tcW w:w="775" w:type="pct"/>
            <w:shd w:val="clear" w:color="000000" w:fill="FFFFFF"/>
            <w:vAlign w:val="center"/>
          </w:tcPr>
          <w:p w14:paraId="19789D8A">
            <w:pPr>
              <w:jc w:val="center"/>
              <w:rPr>
                <w:rFonts w:hint="eastAsia"/>
                <w:b/>
                <w:bCs/>
                <w:szCs w:val="21"/>
                <w:lang w:val="en-US" w:eastAsia="zh-CN"/>
              </w:rPr>
            </w:pPr>
            <w:r>
              <w:rPr>
                <w:rFonts w:hint="eastAsia"/>
                <w:b/>
                <w:bCs/>
                <w:szCs w:val="21"/>
                <w:lang w:val="en-US" w:eastAsia="zh-CN"/>
              </w:rPr>
              <w:t>5.14578E-001</w:t>
            </w:r>
          </w:p>
        </w:tc>
        <w:tc>
          <w:tcPr>
            <w:tcW w:w="1210" w:type="dxa"/>
            <w:shd w:val="clear" w:color="000000" w:fill="FFFFFF"/>
            <w:vAlign w:val="center"/>
          </w:tcPr>
          <w:p w14:paraId="6DD35F7A">
            <w:pPr>
              <w:jc w:val="center"/>
              <w:rPr>
                <w:rFonts w:hint="default"/>
                <w:kern w:val="0"/>
                <w:szCs w:val="21"/>
                <w:lang w:val="en-US"/>
              </w:rPr>
            </w:pPr>
            <w:r>
              <w:rPr>
                <w:rFonts w:hint="eastAsia"/>
                <w:b/>
                <w:bCs/>
                <w:szCs w:val="21"/>
                <w:lang w:val="en-US" w:eastAsia="zh-CN"/>
              </w:rPr>
              <w:t>50</w:t>
            </w:r>
          </w:p>
        </w:tc>
        <w:tc>
          <w:tcPr>
            <w:tcW w:w="1144" w:type="dxa"/>
            <w:shd w:val="clear" w:color="000000" w:fill="FFFFFF"/>
            <w:vAlign w:val="center"/>
          </w:tcPr>
          <w:p w14:paraId="68727EE4">
            <w:pPr>
              <w:jc w:val="center"/>
              <w:rPr>
                <w:rFonts w:hint="eastAsia"/>
                <w:b/>
                <w:bCs/>
                <w:szCs w:val="21"/>
                <w:lang w:val="en-US" w:eastAsia="zh-CN"/>
              </w:rPr>
            </w:pPr>
            <w:r>
              <w:rPr>
                <w:rFonts w:hint="eastAsia"/>
                <w:b/>
                <w:bCs/>
                <w:szCs w:val="21"/>
                <w:lang w:val="en-US" w:eastAsia="zh-CN"/>
              </w:rPr>
              <w:t>3.1774</w:t>
            </w:r>
          </w:p>
        </w:tc>
        <w:tc>
          <w:tcPr>
            <w:tcW w:w="1676" w:type="dxa"/>
            <w:gridSpan w:val="3"/>
            <w:shd w:val="clear" w:color="000000" w:fill="FFFFFF"/>
            <w:vAlign w:val="center"/>
          </w:tcPr>
          <w:p w14:paraId="37EB0D22">
            <w:pPr>
              <w:jc w:val="center"/>
              <w:rPr>
                <w:rFonts w:hint="eastAsia"/>
                <w:b/>
                <w:bCs/>
                <w:szCs w:val="21"/>
                <w:lang w:val="en-US" w:eastAsia="zh-CN"/>
              </w:rPr>
            </w:pPr>
            <w:r>
              <w:rPr>
                <w:rFonts w:hint="eastAsia"/>
                <w:b/>
                <w:bCs/>
                <w:szCs w:val="21"/>
                <w:lang w:val="en-US" w:eastAsia="zh-CN"/>
              </w:rPr>
              <w:t>7.06089E-001</w:t>
            </w:r>
          </w:p>
        </w:tc>
        <w:tc>
          <w:tcPr>
            <w:tcW w:w="776" w:type="pct"/>
            <w:shd w:val="clear" w:color="000000" w:fill="FFFFFF"/>
            <w:vAlign w:val="center"/>
          </w:tcPr>
          <w:p w14:paraId="3912D8DE">
            <w:pPr>
              <w:jc w:val="center"/>
              <w:rPr>
                <w:rFonts w:ascii="宋体" w:hAnsi="宋体" w:cs="宋体"/>
                <w:szCs w:val="21"/>
              </w:rPr>
            </w:pPr>
          </w:p>
        </w:tc>
      </w:tr>
      <w:tr w14:paraId="38524F5A">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73" w:type="dxa"/>
            <w:shd w:val="clear" w:color="auto" w:fill="auto"/>
            <w:vAlign w:val="center"/>
          </w:tcPr>
          <w:p w14:paraId="50B154CD">
            <w:pPr>
              <w:jc w:val="center"/>
              <w:rPr>
                <w:rFonts w:hint="default"/>
                <w:kern w:val="0"/>
                <w:szCs w:val="21"/>
                <w:lang w:val="en-US"/>
              </w:rPr>
            </w:pPr>
            <w:r>
              <w:rPr>
                <w:rFonts w:hint="eastAsia"/>
                <w:b w:val="0"/>
                <w:bCs w:val="0"/>
                <w:szCs w:val="21"/>
                <w:lang w:val="en-US" w:eastAsia="zh-CN"/>
              </w:rPr>
              <w:t>50</w:t>
            </w:r>
          </w:p>
        </w:tc>
        <w:tc>
          <w:tcPr>
            <w:tcW w:w="693" w:type="pct"/>
            <w:gridSpan w:val="2"/>
            <w:shd w:val="clear" w:color="000000" w:fill="FFFFFF"/>
            <w:vAlign w:val="center"/>
          </w:tcPr>
          <w:p w14:paraId="59ECB40B">
            <w:pPr>
              <w:jc w:val="center"/>
              <w:rPr>
                <w:rFonts w:hint="eastAsia"/>
                <w:szCs w:val="21"/>
                <w:lang w:val="en-US" w:eastAsia="zh-CN"/>
              </w:rPr>
            </w:pPr>
            <w:r>
              <w:rPr>
                <w:rFonts w:hint="eastAsia"/>
                <w:szCs w:val="21"/>
                <w:lang w:val="en-US" w:eastAsia="zh-CN"/>
              </w:rPr>
              <w:t>2.3078</w:t>
            </w:r>
          </w:p>
        </w:tc>
        <w:tc>
          <w:tcPr>
            <w:tcW w:w="775" w:type="pct"/>
            <w:shd w:val="clear" w:color="000000" w:fill="FFFFFF"/>
            <w:vAlign w:val="center"/>
          </w:tcPr>
          <w:p w14:paraId="2A71ECAC">
            <w:pPr>
              <w:jc w:val="center"/>
              <w:rPr>
                <w:rFonts w:hint="eastAsia"/>
                <w:szCs w:val="21"/>
                <w:lang w:val="en-US" w:eastAsia="zh-CN"/>
              </w:rPr>
            </w:pPr>
            <w:r>
              <w:rPr>
                <w:rFonts w:hint="eastAsia"/>
                <w:szCs w:val="21"/>
                <w:lang w:val="en-US" w:eastAsia="zh-CN"/>
              </w:rPr>
              <w:t>5.12844E-001</w:t>
            </w:r>
          </w:p>
        </w:tc>
        <w:tc>
          <w:tcPr>
            <w:tcW w:w="1210" w:type="dxa"/>
            <w:shd w:val="clear" w:color="000000" w:fill="FFFFFF"/>
            <w:vAlign w:val="center"/>
          </w:tcPr>
          <w:p w14:paraId="1D9DEA2B">
            <w:pPr>
              <w:jc w:val="center"/>
              <w:rPr>
                <w:rFonts w:hint="default"/>
                <w:kern w:val="0"/>
                <w:szCs w:val="21"/>
                <w:lang w:val="en-US"/>
              </w:rPr>
            </w:pPr>
            <w:r>
              <w:rPr>
                <w:rFonts w:hint="eastAsia"/>
                <w:b w:val="0"/>
                <w:bCs w:val="0"/>
                <w:szCs w:val="21"/>
                <w:lang w:val="en-US" w:eastAsia="zh-CN"/>
              </w:rPr>
              <w:t>75</w:t>
            </w:r>
          </w:p>
        </w:tc>
        <w:tc>
          <w:tcPr>
            <w:tcW w:w="1144" w:type="dxa"/>
            <w:shd w:val="clear" w:color="000000" w:fill="FFFFFF"/>
            <w:vAlign w:val="center"/>
          </w:tcPr>
          <w:p w14:paraId="19ACA512">
            <w:pPr>
              <w:jc w:val="center"/>
              <w:rPr>
                <w:rFonts w:hint="eastAsia"/>
                <w:szCs w:val="21"/>
                <w:lang w:val="en-US" w:eastAsia="zh-CN"/>
              </w:rPr>
            </w:pPr>
            <w:r>
              <w:rPr>
                <w:rFonts w:hint="eastAsia"/>
                <w:szCs w:val="21"/>
                <w:lang w:val="en-US" w:eastAsia="zh-CN"/>
              </w:rPr>
              <w:t>2.48</w:t>
            </w:r>
          </w:p>
        </w:tc>
        <w:tc>
          <w:tcPr>
            <w:tcW w:w="1676" w:type="dxa"/>
            <w:gridSpan w:val="3"/>
            <w:shd w:val="clear" w:color="000000" w:fill="FFFFFF"/>
            <w:vAlign w:val="center"/>
          </w:tcPr>
          <w:p w14:paraId="0FA225C8">
            <w:pPr>
              <w:jc w:val="center"/>
              <w:rPr>
                <w:rFonts w:hint="eastAsia"/>
                <w:szCs w:val="21"/>
                <w:lang w:val="en-US" w:eastAsia="zh-CN"/>
              </w:rPr>
            </w:pPr>
            <w:r>
              <w:rPr>
                <w:rFonts w:hint="eastAsia"/>
                <w:szCs w:val="21"/>
                <w:lang w:val="en-US" w:eastAsia="zh-CN"/>
              </w:rPr>
              <w:t>5.51111E-001</w:t>
            </w:r>
          </w:p>
        </w:tc>
        <w:tc>
          <w:tcPr>
            <w:tcW w:w="776" w:type="pct"/>
            <w:shd w:val="clear" w:color="000000" w:fill="FFFFFF"/>
            <w:vAlign w:val="center"/>
          </w:tcPr>
          <w:p w14:paraId="2221C93D">
            <w:pPr>
              <w:jc w:val="center"/>
              <w:rPr>
                <w:rFonts w:ascii="宋体" w:hAnsi="宋体" w:cs="宋体"/>
                <w:szCs w:val="21"/>
              </w:rPr>
            </w:pPr>
          </w:p>
        </w:tc>
      </w:tr>
      <w:tr w14:paraId="5D78E10B">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73" w:type="dxa"/>
            <w:shd w:val="clear" w:color="auto" w:fill="auto"/>
            <w:vAlign w:val="center"/>
          </w:tcPr>
          <w:p w14:paraId="31B9F850">
            <w:pPr>
              <w:jc w:val="center"/>
              <w:rPr>
                <w:kern w:val="0"/>
                <w:szCs w:val="21"/>
              </w:rPr>
            </w:pPr>
            <w:r>
              <w:rPr>
                <w:rFonts w:hint="eastAsia"/>
                <w:szCs w:val="21"/>
                <w:lang w:val="en-US" w:eastAsia="zh-CN"/>
              </w:rPr>
              <w:t>100</w:t>
            </w:r>
          </w:p>
        </w:tc>
        <w:tc>
          <w:tcPr>
            <w:tcW w:w="693" w:type="pct"/>
            <w:gridSpan w:val="2"/>
            <w:shd w:val="clear" w:color="000000" w:fill="FFFFFF"/>
            <w:vAlign w:val="center"/>
          </w:tcPr>
          <w:p w14:paraId="5CEF4F4D">
            <w:pPr>
              <w:jc w:val="center"/>
              <w:rPr>
                <w:rFonts w:hint="eastAsia"/>
                <w:szCs w:val="21"/>
                <w:lang w:val="en-US" w:eastAsia="zh-CN"/>
              </w:rPr>
            </w:pPr>
            <w:r>
              <w:rPr>
                <w:rFonts w:hint="eastAsia"/>
                <w:szCs w:val="21"/>
                <w:lang w:val="en-US" w:eastAsia="zh-CN"/>
              </w:rPr>
              <w:t>1.9989</w:t>
            </w:r>
          </w:p>
        </w:tc>
        <w:tc>
          <w:tcPr>
            <w:tcW w:w="775" w:type="pct"/>
            <w:shd w:val="clear" w:color="000000" w:fill="FFFFFF"/>
            <w:vAlign w:val="center"/>
          </w:tcPr>
          <w:p w14:paraId="5F9E9F3E">
            <w:pPr>
              <w:jc w:val="center"/>
              <w:rPr>
                <w:rFonts w:hint="eastAsia"/>
                <w:szCs w:val="21"/>
                <w:lang w:val="en-US" w:eastAsia="zh-CN"/>
              </w:rPr>
            </w:pPr>
            <w:r>
              <w:rPr>
                <w:rFonts w:hint="eastAsia"/>
                <w:szCs w:val="21"/>
                <w:lang w:val="en-US" w:eastAsia="zh-CN"/>
              </w:rPr>
              <w:t>4.44200E-001</w:t>
            </w:r>
          </w:p>
        </w:tc>
        <w:tc>
          <w:tcPr>
            <w:tcW w:w="1210" w:type="dxa"/>
            <w:shd w:val="clear" w:color="000000" w:fill="FFFFFF"/>
            <w:vAlign w:val="center"/>
          </w:tcPr>
          <w:p w14:paraId="170A5F7C">
            <w:pPr>
              <w:jc w:val="center"/>
              <w:rPr>
                <w:kern w:val="0"/>
                <w:szCs w:val="21"/>
              </w:rPr>
            </w:pPr>
            <w:r>
              <w:rPr>
                <w:rFonts w:hint="eastAsia"/>
                <w:szCs w:val="21"/>
                <w:lang w:val="en-US" w:eastAsia="zh-CN"/>
              </w:rPr>
              <w:t>100</w:t>
            </w:r>
          </w:p>
        </w:tc>
        <w:tc>
          <w:tcPr>
            <w:tcW w:w="1144" w:type="dxa"/>
            <w:shd w:val="clear" w:color="000000" w:fill="FFFFFF"/>
            <w:vAlign w:val="center"/>
          </w:tcPr>
          <w:p w14:paraId="69777C62">
            <w:pPr>
              <w:jc w:val="center"/>
              <w:rPr>
                <w:rFonts w:hint="eastAsia"/>
                <w:szCs w:val="21"/>
                <w:lang w:val="en-US" w:eastAsia="zh-CN"/>
              </w:rPr>
            </w:pPr>
            <w:r>
              <w:rPr>
                <w:rFonts w:hint="eastAsia"/>
                <w:szCs w:val="21"/>
                <w:lang w:val="en-US" w:eastAsia="zh-CN"/>
              </w:rPr>
              <w:t>2.4901</w:t>
            </w:r>
          </w:p>
        </w:tc>
        <w:tc>
          <w:tcPr>
            <w:tcW w:w="1676" w:type="dxa"/>
            <w:gridSpan w:val="3"/>
            <w:shd w:val="clear" w:color="000000" w:fill="FFFFFF"/>
            <w:vAlign w:val="center"/>
          </w:tcPr>
          <w:p w14:paraId="0DE69D13">
            <w:pPr>
              <w:jc w:val="center"/>
              <w:rPr>
                <w:rFonts w:hint="eastAsia"/>
                <w:szCs w:val="21"/>
                <w:lang w:val="en-US" w:eastAsia="zh-CN"/>
              </w:rPr>
            </w:pPr>
            <w:r>
              <w:rPr>
                <w:rFonts w:hint="eastAsia"/>
                <w:szCs w:val="21"/>
                <w:lang w:val="en-US" w:eastAsia="zh-CN"/>
              </w:rPr>
              <w:t>5.53356E-001</w:t>
            </w:r>
          </w:p>
        </w:tc>
        <w:tc>
          <w:tcPr>
            <w:tcW w:w="776" w:type="pct"/>
            <w:shd w:val="clear" w:color="000000" w:fill="FFFFFF"/>
            <w:vAlign w:val="center"/>
          </w:tcPr>
          <w:p w14:paraId="6EB7DB72">
            <w:pPr>
              <w:jc w:val="center"/>
              <w:rPr>
                <w:rFonts w:ascii="宋体" w:hAnsi="宋体" w:cs="宋体"/>
                <w:szCs w:val="21"/>
              </w:rPr>
            </w:pPr>
          </w:p>
        </w:tc>
      </w:tr>
      <w:tr w14:paraId="6129866C">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73" w:type="dxa"/>
            <w:shd w:val="clear" w:color="auto" w:fill="auto"/>
            <w:vAlign w:val="center"/>
          </w:tcPr>
          <w:p w14:paraId="22D9C744">
            <w:pPr>
              <w:jc w:val="center"/>
              <w:rPr>
                <w:kern w:val="0"/>
                <w:szCs w:val="21"/>
              </w:rPr>
            </w:pPr>
            <w:r>
              <w:rPr>
                <w:rFonts w:hint="eastAsia"/>
                <w:szCs w:val="21"/>
                <w:lang w:val="en-US" w:eastAsia="zh-CN"/>
              </w:rPr>
              <w:t>200</w:t>
            </w:r>
          </w:p>
        </w:tc>
        <w:tc>
          <w:tcPr>
            <w:tcW w:w="1210" w:type="dxa"/>
            <w:gridSpan w:val="2"/>
            <w:shd w:val="clear" w:color="000000" w:fill="FFFFFF"/>
            <w:vAlign w:val="center"/>
          </w:tcPr>
          <w:p w14:paraId="56AE053F">
            <w:pPr>
              <w:jc w:val="center"/>
              <w:rPr>
                <w:rFonts w:hint="eastAsia"/>
                <w:szCs w:val="21"/>
                <w:lang w:val="en-US" w:eastAsia="zh-CN"/>
              </w:rPr>
            </w:pPr>
            <w:r>
              <w:rPr>
                <w:rFonts w:hint="eastAsia"/>
                <w:szCs w:val="21"/>
                <w:lang w:val="en-US" w:eastAsia="zh-CN"/>
              </w:rPr>
              <w:t>1.2422</w:t>
            </w:r>
          </w:p>
        </w:tc>
        <w:tc>
          <w:tcPr>
            <w:tcW w:w="1353" w:type="dxa"/>
            <w:shd w:val="clear" w:color="000000" w:fill="FFFFFF"/>
            <w:vAlign w:val="center"/>
          </w:tcPr>
          <w:p w14:paraId="61F2897B">
            <w:pPr>
              <w:jc w:val="center"/>
              <w:rPr>
                <w:rFonts w:hint="eastAsia"/>
                <w:szCs w:val="21"/>
                <w:lang w:val="en-US" w:eastAsia="zh-CN"/>
              </w:rPr>
            </w:pPr>
            <w:r>
              <w:rPr>
                <w:rFonts w:hint="eastAsia"/>
                <w:szCs w:val="21"/>
                <w:lang w:val="en-US" w:eastAsia="zh-CN"/>
              </w:rPr>
              <w:t>2.76044E-001</w:t>
            </w:r>
          </w:p>
        </w:tc>
        <w:tc>
          <w:tcPr>
            <w:tcW w:w="1210" w:type="dxa"/>
            <w:shd w:val="clear" w:color="000000" w:fill="FFFFFF"/>
            <w:vAlign w:val="center"/>
          </w:tcPr>
          <w:p w14:paraId="237FA9E6">
            <w:pPr>
              <w:jc w:val="center"/>
              <w:rPr>
                <w:kern w:val="0"/>
                <w:szCs w:val="21"/>
              </w:rPr>
            </w:pPr>
            <w:r>
              <w:rPr>
                <w:rFonts w:hint="eastAsia"/>
                <w:szCs w:val="21"/>
                <w:lang w:val="en-US" w:eastAsia="zh-CN"/>
              </w:rPr>
              <w:t>200</w:t>
            </w:r>
          </w:p>
        </w:tc>
        <w:tc>
          <w:tcPr>
            <w:tcW w:w="1144" w:type="dxa"/>
            <w:shd w:val="clear" w:color="000000" w:fill="FFFFFF"/>
            <w:vAlign w:val="center"/>
          </w:tcPr>
          <w:p w14:paraId="3AFA3D47">
            <w:pPr>
              <w:jc w:val="center"/>
              <w:rPr>
                <w:rFonts w:hint="eastAsia"/>
                <w:szCs w:val="21"/>
                <w:lang w:val="en-US" w:eastAsia="zh-CN"/>
              </w:rPr>
            </w:pPr>
            <w:r>
              <w:rPr>
                <w:rFonts w:hint="eastAsia"/>
                <w:szCs w:val="21"/>
                <w:lang w:val="en-US" w:eastAsia="zh-CN"/>
              </w:rPr>
              <w:t>1.288</w:t>
            </w:r>
          </w:p>
        </w:tc>
        <w:tc>
          <w:tcPr>
            <w:tcW w:w="1676" w:type="dxa"/>
            <w:gridSpan w:val="3"/>
            <w:shd w:val="clear" w:color="000000" w:fill="FFFFFF"/>
            <w:vAlign w:val="center"/>
          </w:tcPr>
          <w:p w14:paraId="21F833E7">
            <w:pPr>
              <w:jc w:val="center"/>
              <w:rPr>
                <w:rFonts w:hint="eastAsia"/>
                <w:szCs w:val="21"/>
                <w:lang w:val="en-US" w:eastAsia="zh-CN"/>
              </w:rPr>
            </w:pPr>
            <w:r>
              <w:rPr>
                <w:rFonts w:hint="eastAsia"/>
                <w:szCs w:val="21"/>
                <w:lang w:val="en-US" w:eastAsia="zh-CN"/>
              </w:rPr>
              <w:t>2.86222E-001</w:t>
            </w:r>
          </w:p>
        </w:tc>
        <w:tc>
          <w:tcPr>
            <w:tcW w:w="776" w:type="pct"/>
            <w:shd w:val="clear" w:color="000000" w:fill="FFFFFF"/>
            <w:vAlign w:val="center"/>
          </w:tcPr>
          <w:p w14:paraId="65A6BF34">
            <w:pPr>
              <w:jc w:val="center"/>
              <w:rPr>
                <w:rFonts w:ascii="宋体" w:hAnsi="宋体" w:cs="宋体"/>
                <w:szCs w:val="21"/>
              </w:rPr>
            </w:pPr>
          </w:p>
        </w:tc>
      </w:tr>
      <w:tr w14:paraId="22C35175">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73" w:type="dxa"/>
            <w:shd w:val="clear" w:color="auto" w:fill="auto"/>
            <w:vAlign w:val="center"/>
          </w:tcPr>
          <w:p w14:paraId="252A413D">
            <w:pPr>
              <w:jc w:val="center"/>
              <w:rPr>
                <w:kern w:val="0"/>
                <w:szCs w:val="21"/>
              </w:rPr>
            </w:pPr>
            <w:r>
              <w:rPr>
                <w:rFonts w:hint="eastAsia"/>
                <w:szCs w:val="21"/>
                <w:lang w:val="en-US" w:eastAsia="zh-CN"/>
              </w:rPr>
              <w:t>300</w:t>
            </w:r>
          </w:p>
        </w:tc>
        <w:tc>
          <w:tcPr>
            <w:tcW w:w="1210" w:type="dxa"/>
            <w:gridSpan w:val="2"/>
            <w:shd w:val="clear" w:color="000000" w:fill="FFFFFF"/>
            <w:vAlign w:val="center"/>
          </w:tcPr>
          <w:p w14:paraId="3AEACD4A">
            <w:pPr>
              <w:jc w:val="center"/>
              <w:rPr>
                <w:rFonts w:hint="eastAsia"/>
                <w:szCs w:val="21"/>
                <w:lang w:val="en-US" w:eastAsia="zh-CN"/>
              </w:rPr>
            </w:pPr>
            <w:r>
              <w:rPr>
                <w:rFonts w:hint="eastAsia"/>
                <w:szCs w:val="21"/>
                <w:lang w:val="en-US" w:eastAsia="zh-CN"/>
              </w:rPr>
              <w:t>1.0438</w:t>
            </w:r>
          </w:p>
        </w:tc>
        <w:tc>
          <w:tcPr>
            <w:tcW w:w="1353" w:type="dxa"/>
            <w:shd w:val="clear" w:color="000000" w:fill="FFFFFF"/>
            <w:vAlign w:val="center"/>
          </w:tcPr>
          <w:p w14:paraId="7C85C826">
            <w:pPr>
              <w:jc w:val="center"/>
              <w:rPr>
                <w:rFonts w:hint="eastAsia"/>
                <w:szCs w:val="21"/>
                <w:lang w:val="en-US" w:eastAsia="zh-CN"/>
              </w:rPr>
            </w:pPr>
            <w:r>
              <w:rPr>
                <w:rFonts w:hint="eastAsia"/>
                <w:szCs w:val="21"/>
                <w:lang w:val="en-US" w:eastAsia="zh-CN"/>
              </w:rPr>
              <w:t>2.31956E-001</w:t>
            </w:r>
          </w:p>
        </w:tc>
        <w:tc>
          <w:tcPr>
            <w:tcW w:w="1210" w:type="dxa"/>
            <w:shd w:val="clear" w:color="000000" w:fill="FFFFFF"/>
            <w:vAlign w:val="center"/>
          </w:tcPr>
          <w:p w14:paraId="163CDD4C">
            <w:pPr>
              <w:jc w:val="center"/>
              <w:rPr>
                <w:kern w:val="0"/>
                <w:szCs w:val="21"/>
              </w:rPr>
            </w:pPr>
            <w:r>
              <w:rPr>
                <w:rFonts w:hint="eastAsia"/>
                <w:szCs w:val="21"/>
                <w:lang w:val="en-US" w:eastAsia="zh-CN"/>
              </w:rPr>
              <w:t>300</w:t>
            </w:r>
          </w:p>
        </w:tc>
        <w:tc>
          <w:tcPr>
            <w:tcW w:w="1144" w:type="dxa"/>
            <w:shd w:val="clear" w:color="000000" w:fill="FFFFFF"/>
            <w:vAlign w:val="center"/>
          </w:tcPr>
          <w:p w14:paraId="0005FE39">
            <w:pPr>
              <w:jc w:val="center"/>
              <w:rPr>
                <w:rFonts w:hint="eastAsia"/>
                <w:szCs w:val="21"/>
                <w:lang w:val="en-US" w:eastAsia="zh-CN"/>
              </w:rPr>
            </w:pPr>
            <w:r>
              <w:rPr>
                <w:rFonts w:hint="eastAsia"/>
                <w:szCs w:val="21"/>
                <w:lang w:val="en-US" w:eastAsia="zh-CN"/>
              </w:rPr>
              <w:t>1.0438</w:t>
            </w:r>
          </w:p>
        </w:tc>
        <w:tc>
          <w:tcPr>
            <w:tcW w:w="1676" w:type="dxa"/>
            <w:gridSpan w:val="3"/>
            <w:shd w:val="clear" w:color="000000" w:fill="FFFFFF"/>
            <w:vAlign w:val="center"/>
          </w:tcPr>
          <w:p w14:paraId="24085FC6">
            <w:pPr>
              <w:jc w:val="center"/>
              <w:rPr>
                <w:rFonts w:hint="eastAsia"/>
                <w:szCs w:val="21"/>
                <w:lang w:val="en-US" w:eastAsia="zh-CN"/>
              </w:rPr>
            </w:pPr>
            <w:r>
              <w:rPr>
                <w:rFonts w:hint="eastAsia"/>
                <w:szCs w:val="21"/>
                <w:lang w:val="en-US" w:eastAsia="zh-CN"/>
              </w:rPr>
              <w:t>2.31956E-001</w:t>
            </w:r>
          </w:p>
        </w:tc>
        <w:tc>
          <w:tcPr>
            <w:tcW w:w="776" w:type="pct"/>
            <w:shd w:val="clear" w:color="000000" w:fill="FFFFFF"/>
            <w:vAlign w:val="center"/>
          </w:tcPr>
          <w:p w14:paraId="5C71ABBC">
            <w:pPr>
              <w:jc w:val="center"/>
              <w:rPr>
                <w:rFonts w:ascii="宋体" w:hAnsi="宋体" w:cs="宋体"/>
                <w:szCs w:val="21"/>
              </w:rPr>
            </w:pPr>
          </w:p>
        </w:tc>
      </w:tr>
      <w:tr w14:paraId="761BC95A">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73" w:type="dxa"/>
            <w:shd w:val="clear" w:color="auto" w:fill="auto"/>
            <w:vAlign w:val="center"/>
          </w:tcPr>
          <w:p w14:paraId="23B3C246">
            <w:pPr>
              <w:jc w:val="center"/>
              <w:rPr>
                <w:kern w:val="0"/>
                <w:szCs w:val="21"/>
              </w:rPr>
            </w:pPr>
            <w:r>
              <w:rPr>
                <w:rFonts w:hint="eastAsia"/>
                <w:szCs w:val="21"/>
                <w:lang w:val="en-US" w:eastAsia="zh-CN"/>
              </w:rPr>
              <w:t>400</w:t>
            </w:r>
          </w:p>
        </w:tc>
        <w:tc>
          <w:tcPr>
            <w:tcW w:w="1210" w:type="dxa"/>
            <w:gridSpan w:val="2"/>
            <w:shd w:val="clear" w:color="000000" w:fill="FFFFFF"/>
            <w:vAlign w:val="center"/>
          </w:tcPr>
          <w:p w14:paraId="34A347E1">
            <w:pPr>
              <w:jc w:val="center"/>
              <w:rPr>
                <w:rFonts w:hint="eastAsia"/>
                <w:szCs w:val="21"/>
                <w:lang w:val="en-US" w:eastAsia="zh-CN"/>
              </w:rPr>
            </w:pPr>
            <w:r>
              <w:rPr>
                <w:rFonts w:hint="eastAsia"/>
                <w:szCs w:val="21"/>
                <w:lang w:val="en-US" w:eastAsia="zh-CN"/>
              </w:rPr>
              <w:t>0.97164</w:t>
            </w:r>
          </w:p>
        </w:tc>
        <w:tc>
          <w:tcPr>
            <w:tcW w:w="1353" w:type="dxa"/>
            <w:shd w:val="clear" w:color="000000" w:fill="FFFFFF"/>
            <w:vAlign w:val="center"/>
          </w:tcPr>
          <w:p w14:paraId="1286721E">
            <w:pPr>
              <w:jc w:val="center"/>
              <w:rPr>
                <w:rFonts w:hint="eastAsia"/>
                <w:szCs w:val="21"/>
                <w:lang w:val="en-US" w:eastAsia="zh-CN"/>
              </w:rPr>
            </w:pPr>
            <w:r>
              <w:rPr>
                <w:rFonts w:hint="eastAsia"/>
                <w:szCs w:val="21"/>
                <w:lang w:val="en-US" w:eastAsia="zh-CN"/>
              </w:rPr>
              <w:t>2.15920E-001</w:t>
            </w:r>
          </w:p>
        </w:tc>
        <w:tc>
          <w:tcPr>
            <w:tcW w:w="1210" w:type="dxa"/>
            <w:shd w:val="clear" w:color="000000" w:fill="FFFFFF"/>
            <w:vAlign w:val="center"/>
          </w:tcPr>
          <w:p w14:paraId="36C31A28">
            <w:pPr>
              <w:jc w:val="center"/>
              <w:rPr>
                <w:kern w:val="0"/>
                <w:szCs w:val="21"/>
              </w:rPr>
            </w:pPr>
            <w:r>
              <w:rPr>
                <w:rFonts w:hint="eastAsia"/>
                <w:szCs w:val="21"/>
                <w:lang w:val="en-US" w:eastAsia="zh-CN"/>
              </w:rPr>
              <w:t>400</w:t>
            </w:r>
          </w:p>
        </w:tc>
        <w:tc>
          <w:tcPr>
            <w:tcW w:w="1144" w:type="dxa"/>
            <w:shd w:val="clear" w:color="000000" w:fill="FFFFFF"/>
            <w:vAlign w:val="center"/>
          </w:tcPr>
          <w:p w14:paraId="32A6E1D1">
            <w:pPr>
              <w:jc w:val="center"/>
              <w:rPr>
                <w:rFonts w:hint="eastAsia"/>
                <w:szCs w:val="21"/>
                <w:lang w:val="en-US" w:eastAsia="zh-CN"/>
              </w:rPr>
            </w:pPr>
            <w:r>
              <w:rPr>
                <w:rFonts w:hint="eastAsia"/>
                <w:szCs w:val="21"/>
                <w:lang w:val="en-US" w:eastAsia="zh-CN"/>
              </w:rPr>
              <w:t>0.97164</w:t>
            </w:r>
          </w:p>
        </w:tc>
        <w:tc>
          <w:tcPr>
            <w:tcW w:w="1676" w:type="dxa"/>
            <w:gridSpan w:val="3"/>
            <w:shd w:val="clear" w:color="000000" w:fill="FFFFFF"/>
            <w:vAlign w:val="center"/>
          </w:tcPr>
          <w:p w14:paraId="349BE45A">
            <w:pPr>
              <w:jc w:val="center"/>
              <w:rPr>
                <w:rFonts w:hint="eastAsia"/>
                <w:szCs w:val="21"/>
                <w:lang w:val="en-US" w:eastAsia="zh-CN"/>
              </w:rPr>
            </w:pPr>
            <w:r>
              <w:rPr>
                <w:rFonts w:hint="eastAsia"/>
                <w:szCs w:val="21"/>
                <w:lang w:val="en-US" w:eastAsia="zh-CN"/>
              </w:rPr>
              <w:t>2.15920E-001</w:t>
            </w:r>
          </w:p>
        </w:tc>
        <w:tc>
          <w:tcPr>
            <w:tcW w:w="776" w:type="pct"/>
            <w:shd w:val="clear" w:color="000000" w:fill="FFFFFF"/>
            <w:vAlign w:val="center"/>
          </w:tcPr>
          <w:p w14:paraId="23740FC4">
            <w:pPr>
              <w:jc w:val="center"/>
              <w:rPr>
                <w:rFonts w:ascii="宋体" w:hAnsi="宋体" w:cs="宋体"/>
                <w:szCs w:val="21"/>
              </w:rPr>
            </w:pPr>
          </w:p>
        </w:tc>
      </w:tr>
      <w:tr w14:paraId="7FDF9353">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73" w:type="dxa"/>
            <w:shd w:val="clear" w:color="auto" w:fill="auto"/>
            <w:vAlign w:val="center"/>
          </w:tcPr>
          <w:p w14:paraId="782DF142">
            <w:pPr>
              <w:jc w:val="center"/>
              <w:rPr>
                <w:kern w:val="0"/>
                <w:szCs w:val="21"/>
              </w:rPr>
            </w:pPr>
            <w:r>
              <w:rPr>
                <w:rFonts w:hint="eastAsia"/>
                <w:szCs w:val="21"/>
                <w:lang w:val="en-US" w:eastAsia="zh-CN"/>
              </w:rPr>
              <w:t>500</w:t>
            </w:r>
          </w:p>
        </w:tc>
        <w:tc>
          <w:tcPr>
            <w:tcW w:w="1210" w:type="dxa"/>
            <w:gridSpan w:val="2"/>
            <w:shd w:val="clear" w:color="000000" w:fill="FFFFFF"/>
            <w:vAlign w:val="center"/>
          </w:tcPr>
          <w:p w14:paraId="138F7500">
            <w:pPr>
              <w:jc w:val="center"/>
              <w:rPr>
                <w:rFonts w:hint="eastAsia"/>
                <w:szCs w:val="21"/>
                <w:lang w:val="en-US" w:eastAsia="zh-CN"/>
              </w:rPr>
            </w:pPr>
            <w:r>
              <w:rPr>
                <w:rFonts w:hint="eastAsia"/>
                <w:szCs w:val="21"/>
                <w:lang w:val="en-US" w:eastAsia="zh-CN"/>
              </w:rPr>
              <w:t>0.87032</w:t>
            </w:r>
          </w:p>
        </w:tc>
        <w:tc>
          <w:tcPr>
            <w:tcW w:w="1353" w:type="dxa"/>
            <w:shd w:val="clear" w:color="000000" w:fill="FFFFFF"/>
            <w:vAlign w:val="center"/>
          </w:tcPr>
          <w:p w14:paraId="54B6A47D">
            <w:pPr>
              <w:jc w:val="center"/>
              <w:rPr>
                <w:rFonts w:hint="eastAsia"/>
                <w:szCs w:val="21"/>
                <w:lang w:val="en-US" w:eastAsia="zh-CN"/>
              </w:rPr>
            </w:pPr>
            <w:r>
              <w:rPr>
                <w:rFonts w:hint="eastAsia"/>
                <w:szCs w:val="21"/>
                <w:lang w:val="en-US" w:eastAsia="zh-CN"/>
              </w:rPr>
              <w:t>1.93404E-001</w:t>
            </w:r>
          </w:p>
        </w:tc>
        <w:tc>
          <w:tcPr>
            <w:tcW w:w="1210" w:type="dxa"/>
            <w:shd w:val="clear" w:color="000000" w:fill="FFFFFF"/>
            <w:vAlign w:val="center"/>
          </w:tcPr>
          <w:p w14:paraId="614EDECE">
            <w:pPr>
              <w:jc w:val="center"/>
              <w:rPr>
                <w:kern w:val="0"/>
                <w:szCs w:val="21"/>
              </w:rPr>
            </w:pPr>
            <w:r>
              <w:rPr>
                <w:rFonts w:hint="eastAsia"/>
                <w:szCs w:val="21"/>
                <w:lang w:val="en-US" w:eastAsia="zh-CN"/>
              </w:rPr>
              <w:t>500</w:t>
            </w:r>
          </w:p>
        </w:tc>
        <w:tc>
          <w:tcPr>
            <w:tcW w:w="1144" w:type="dxa"/>
            <w:shd w:val="clear" w:color="000000" w:fill="FFFFFF"/>
            <w:vAlign w:val="center"/>
          </w:tcPr>
          <w:p w14:paraId="653539F2">
            <w:pPr>
              <w:jc w:val="center"/>
              <w:rPr>
                <w:rFonts w:hint="eastAsia"/>
                <w:szCs w:val="21"/>
                <w:lang w:val="en-US" w:eastAsia="zh-CN"/>
              </w:rPr>
            </w:pPr>
            <w:r>
              <w:rPr>
                <w:rFonts w:hint="eastAsia"/>
                <w:szCs w:val="21"/>
                <w:lang w:val="en-US" w:eastAsia="zh-CN"/>
              </w:rPr>
              <w:t>0.87032</w:t>
            </w:r>
          </w:p>
        </w:tc>
        <w:tc>
          <w:tcPr>
            <w:tcW w:w="1676" w:type="dxa"/>
            <w:gridSpan w:val="3"/>
            <w:shd w:val="clear" w:color="000000" w:fill="FFFFFF"/>
            <w:vAlign w:val="center"/>
          </w:tcPr>
          <w:p w14:paraId="757523D9">
            <w:pPr>
              <w:jc w:val="center"/>
              <w:rPr>
                <w:rFonts w:hint="eastAsia"/>
                <w:szCs w:val="21"/>
                <w:lang w:val="en-US" w:eastAsia="zh-CN"/>
              </w:rPr>
            </w:pPr>
            <w:r>
              <w:rPr>
                <w:rFonts w:hint="eastAsia"/>
                <w:szCs w:val="21"/>
                <w:lang w:val="en-US" w:eastAsia="zh-CN"/>
              </w:rPr>
              <w:t>1.93404E-001</w:t>
            </w:r>
          </w:p>
        </w:tc>
        <w:tc>
          <w:tcPr>
            <w:tcW w:w="776" w:type="pct"/>
            <w:shd w:val="clear" w:color="000000" w:fill="FFFFFF"/>
            <w:vAlign w:val="center"/>
          </w:tcPr>
          <w:p w14:paraId="667ADEAA">
            <w:pPr>
              <w:jc w:val="center"/>
              <w:rPr>
                <w:rFonts w:ascii="宋体" w:hAnsi="宋体" w:cs="宋体"/>
                <w:szCs w:val="21"/>
              </w:rPr>
            </w:pPr>
          </w:p>
        </w:tc>
      </w:tr>
      <w:tr w14:paraId="7CAB28AC">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73" w:type="dxa"/>
            <w:shd w:val="clear" w:color="auto" w:fill="auto"/>
            <w:vAlign w:val="center"/>
          </w:tcPr>
          <w:p w14:paraId="7C1431D6">
            <w:pPr>
              <w:jc w:val="center"/>
              <w:rPr>
                <w:kern w:val="0"/>
                <w:szCs w:val="21"/>
              </w:rPr>
            </w:pPr>
            <w:r>
              <w:rPr>
                <w:rFonts w:hint="eastAsia"/>
                <w:szCs w:val="21"/>
                <w:lang w:val="en-US" w:eastAsia="zh-CN"/>
              </w:rPr>
              <w:t>600</w:t>
            </w:r>
          </w:p>
        </w:tc>
        <w:tc>
          <w:tcPr>
            <w:tcW w:w="1210" w:type="dxa"/>
            <w:gridSpan w:val="2"/>
            <w:shd w:val="clear" w:color="000000" w:fill="FFFFFF"/>
            <w:vAlign w:val="center"/>
          </w:tcPr>
          <w:p w14:paraId="03796C19">
            <w:pPr>
              <w:jc w:val="center"/>
              <w:rPr>
                <w:rFonts w:hint="eastAsia"/>
                <w:szCs w:val="21"/>
                <w:lang w:val="en-US" w:eastAsia="zh-CN"/>
              </w:rPr>
            </w:pPr>
            <w:r>
              <w:rPr>
                <w:rFonts w:hint="eastAsia"/>
                <w:szCs w:val="21"/>
                <w:lang w:val="en-US" w:eastAsia="zh-CN"/>
              </w:rPr>
              <w:t>0.7657</w:t>
            </w:r>
          </w:p>
        </w:tc>
        <w:tc>
          <w:tcPr>
            <w:tcW w:w="1353" w:type="dxa"/>
            <w:shd w:val="clear" w:color="000000" w:fill="FFFFFF"/>
            <w:vAlign w:val="center"/>
          </w:tcPr>
          <w:p w14:paraId="7F689625">
            <w:pPr>
              <w:jc w:val="center"/>
              <w:rPr>
                <w:rFonts w:hint="eastAsia"/>
                <w:szCs w:val="21"/>
                <w:lang w:val="en-US" w:eastAsia="zh-CN"/>
              </w:rPr>
            </w:pPr>
            <w:r>
              <w:rPr>
                <w:rFonts w:hint="eastAsia"/>
                <w:szCs w:val="21"/>
                <w:lang w:val="en-US" w:eastAsia="zh-CN"/>
              </w:rPr>
              <w:t>1.70156E-001</w:t>
            </w:r>
          </w:p>
        </w:tc>
        <w:tc>
          <w:tcPr>
            <w:tcW w:w="1210" w:type="dxa"/>
            <w:shd w:val="clear" w:color="000000" w:fill="FFFFFF"/>
            <w:vAlign w:val="center"/>
          </w:tcPr>
          <w:p w14:paraId="0EBD0D22">
            <w:pPr>
              <w:jc w:val="center"/>
              <w:rPr>
                <w:kern w:val="0"/>
                <w:szCs w:val="21"/>
              </w:rPr>
            </w:pPr>
            <w:r>
              <w:rPr>
                <w:rFonts w:hint="eastAsia"/>
                <w:szCs w:val="21"/>
                <w:lang w:val="en-US" w:eastAsia="zh-CN"/>
              </w:rPr>
              <w:t>600</w:t>
            </w:r>
          </w:p>
        </w:tc>
        <w:tc>
          <w:tcPr>
            <w:tcW w:w="1144" w:type="dxa"/>
            <w:shd w:val="clear" w:color="000000" w:fill="FFFFFF"/>
            <w:vAlign w:val="center"/>
          </w:tcPr>
          <w:p w14:paraId="2C7A7993">
            <w:pPr>
              <w:jc w:val="center"/>
              <w:rPr>
                <w:rFonts w:hint="eastAsia"/>
                <w:szCs w:val="21"/>
                <w:lang w:val="en-US" w:eastAsia="zh-CN"/>
              </w:rPr>
            </w:pPr>
            <w:r>
              <w:rPr>
                <w:rFonts w:hint="eastAsia"/>
                <w:szCs w:val="21"/>
                <w:lang w:val="en-US" w:eastAsia="zh-CN"/>
              </w:rPr>
              <w:t>0.7657</w:t>
            </w:r>
          </w:p>
        </w:tc>
        <w:tc>
          <w:tcPr>
            <w:tcW w:w="1676" w:type="dxa"/>
            <w:gridSpan w:val="3"/>
            <w:shd w:val="clear" w:color="000000" w:fill="FFFFFF"/>
            <w:vAlign w:val="center"/>
          </w:tcPr>
          <w:p w14:paraId="01B0BFCF">
            <w:pPr>
              <w:jc w:val="center"/>
              <w:rPr>
                <w:rFonts w:hint="eastAsia"/>
                <w:szCs w:val="21"/>
                <w:lang w:val="en-US" w:eastAsia="zh-CN"/>
              </w:rPr>
            </w:pPr>
            <w:r>
              <w:rPr>
                <w:rFonts w:hint="eastAsia"/>
                <w:szCs w:val="21"/>
                <w:lang w:val="en-US" w:eastAsia="zh-CN"/>
              </w:rPr>
              <w:t>1.70156E-001</w:t>
            </w:r>
          </w:p>
        </w:tc>
        <w:tc>
          <w:tcPr>
            <w:tcW w:w="776" w:type="pct"/>
            <w:shd w:val="clear" w:color="000000" w:fill="FFFFFF"/>
            <w:vAlign w:val="center"/>
          </w:tcPr>
          <w:p w14:paraId="50219ED6">
            <w:pPr>
              <w:jc w:val="center"/>
              <w:rPr>
                <w:rFonts w:ascii="宋体" w:hAnsi="宋体" w:cs="宋体"/>
                <w:szCs w:val="21"/>
              </w:rPr>
            </w:pPr>
          </w:p>
        </w:tc>
      </w:tr>
      <w:tr w14:paraId="26CAE507">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73" w:type="dxa"/>
            <w:shd w:val="clear" w:color="auto" w:fill="auto"/>
            <w:vAlign w:val="center"/>
          </w:tcPr>
          <w:p w14:paraId="7611C1E2">
            <w:pPr>
              <w:jc w:val="center"/>
              <w:rPr>
                <w:kern w:val="0"/>
                <w:szCs w:val="21"/>
              </w:rPr>
            </w:pPr>
            <w:r>
              <w:rPr>
                <w:rFonts w:hint="eastAsia"/>
                <w:szCs w:val="21"/>
                <w:lang w:val="en-US" w:eastAsia="zh-CN"/>
              </w:rPr>
              <w:t>700</w:t>
            </w:r>
          </w:p>
        </w:tc>
        <w:tc>
          <w:tcPr>
            <w:tcW w:w="1210" w:type="dxa"/>
            <w:gridSpan w:val="2"/>
            <w:shd w:val="clear" w:color="000000" w:fill="FFFFFF"/>
            <w:vAlign w:val="center"/>
          </w:tcPr>
          <w:p w14:paraId="7F4C8F8F">
            <w:pPr>
              <w:jc w:val="center"/>
              <w:rPr>
                <w:rFonts w:hint="eastAsia"/>
                <w:szCs w:val="21"/>
                <w:lang w:val="en-US" w:eastAsia="zh-CN"/>
              </w:rPr>
            </w:pPr>
            <w:r>
              <w:rPr>
                <w:rFonts w:hint="eastAsia"/>
                <w:szCs w:val="21"/>
                <w:lang w:val="en-US" w:eastAsia="zh-CN"/>
              </w:rPr>
              <w:t>0.69481</w:t>
            </w:r>
          </w:p>
        </w:tc>
        <w:tc>
          <w:tcPr>
            <w:tcW w:w="1353" w:type="dxa"/>
            <w:shd w:val="clear" w:color="000000" w:fill="FFFFFF"/>
            <w:vAlign w:val="center"/>
          </w:tcPr>
          <w:p w14:paraId="245D4673">
            <w:pPr>
              <w:jc w:val="center"/>
              <w:rPr>
                <w:rFonts w:hint="eastAsia"/>
                <w:szCs w:val="21"/>
                <w:lang w:val="en-US" w:eastAsia="zh-CN"/>
              </w:rPr>
            </w:pPr>
            <w:r>
              <w:rPr>
                <w:rFonts w:hint="eastAsia"/>
                <w:szCs w:val="21"/>
                <w:lang w:val="en-US" w:eastAsia="zh-CN"/>
              </w:rPr>
              <w:t>1.54402E-001</w:t>
            </w:r>
          </w:p>
        </w:tc>
        <w:tc>
          <w:tcPr>
            <w:tcW w:w="1210" w:type="dxa"/>
            <w:shd w:val="clear" w:color="000000" w:fill="FFFFFF"/>
            <w:vAlign w:val="center"/>
          </w:tcPr>
          <w:p w14:paraId="2FA02B4C">
            <w:pPr>
              <w:jc w:val="center"/>
              <w:rPr>
                <w:kern w:val="0"/>
                <w:szCs w:val="21"/>
              </w:rPr>
            </w:pPr>
            <w:r>
              <w:rPr>
                <w:rFonts w:hint="eastAsia"/>
                <w:szCs w:val="21"/>
                <w:lang w:val="en-US" w:eastAsia="zh-CN"/>
              </w:rPr>
              <w:t>700</w:t>
            </w:r>
          </w:p>
        </w:tc>
        <w:tc>
          <w:tcPr>
            <w:tcW w:w="1144" w:type="dxa"/>
            <w:shd w:val="clear" w:color="000000" w:fill="FFFFFF"/>
            <w:vAlign w:val="center"/>
          </w:tcPr>
          <w:p w14:paraId="31D4F2FB">
            <w:pPr>
              <w:jc w:val="center"/>
              <w:rPr>
                <w:rFonts w:hint="eastAsia"/>
                <w:szCs w:val="21"/>
                <w:lang w:val="en-US" w:eastAsia="zh-CN"/>
              </w:rPr>
            </w:pPr>
            <w:r>
              <w:rPr>
                <w:rFonts w:hint="eastAsia"/>
                <w:szCs w:val="21"/>
                <w:lang w:val="en-US" w:eastAsia="zh-CN"/>
              </w:rPr>
              <w:t>0.69481</w:t>
            </w:r>
          </w:p>
        </w:tc>
        <w:tc>
          <w:tcPr>
            <w:tcW w:w="1676" w:type="dxa"/>
            <w:gridSpan w:val="3"/>
            <w:shd w:val="clear" w:color="000000" w:fill="FFFFFF"/>
            <w:vAlign w:val="center"/>
          </w:tcPr>
          <w:p w14:paraId="2A5B128A">
            <w:pPr>
              <w:jc w:val="center"/>
              <w:rPr>
                <w:rFonts w:hint="eastAsia"/>
                <w:szCs w:val="21"/>
                <w:lang w:val="en-US" w:eastAsia="zh-CN"/>
              </w:rPr>
            </w:pPr>
            <w:r>
              <w:rPr>
                <w:rFonts w:hint="eastAsia"/>
                <w:szCs w:val="21"/>
                <w:lang w:val="en-US" w:eastAsia="zh-CN"/>
              </w:rPr>
              <w:t>1.54402E-001</w:t>
            </w:r>
          </w:p>
        </w:tc>
        <w:tc>
          <w:tcPr>
            <w:tcW w:w="776" w:type="pct"/>
            <w:shd w:val="clear" w:color="000000" w:fill="FFFFFF"/>
            <w:vAlign w:val="center"/>
          </w:tcPr>
          <w:p w14:paraId="2623C10A">
            <w:pPr>
              <w:jc w:val="center"/>
              <w:rPr>
                <w:rFonts w:ascii="宋体" w:hAnsi="宋体" w:cs="宋体"/>
                <w:szCs w:val="21"/>
              </w:rPr>
            </w:pPr>
          </w:p>
        </w:tc>
      </w:tr>
      <w:tr w14:paraId="0D0E400F">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73" w:type="dxa"/>
            <w:shd w:val="clear" w:color="auto" w:fill="auto"/>
            <w:vAlign w:val="center"/>
          </w:tcPr>
          <w:p w14:paraId="243D0D39">
            <w:pPr>
              <w:jc w:val="center"/>
              <w:rPr>
                <w:kern w:val="0"/>
                <w:szCs w:val="21"/>
              </w:rPr>
            </w:pPr>
            <w:r>
              <w:rPr>
                <w:rFonts w:hint="eastAsia"/>
                <w:szCs w:val="21"/>
                <w:lang w:val="en-US" w:eastAsia="zh-CN"/>
              </w:rPr>
              <w:t>800</w:t>
            </w:r>
          </w:p>
        </w:tc>
        <w:tc>
          <w:tcPr>
            <w:tcW w:w="1210" w:type="dxa"/>
            <w:gridSpan w:val="2"/>
            <w:shd w:val="clear" w:color="000000" w:fill="FFFFFF"/>
            <w:vAlign w:val="center"/>
          </w:tcPr>
          <w:p w14:paraId="5EE99F01">
            <w:pPr>
              <w:jc w:val="center"/>
              <w:rPr>
                <w:rFonts w:hint="eastAsia"/>
                <w:szCs w:val="21"/>
                <w:lang w:val="en-US" w:eastAsia="zh-CN"/>
              </w:rPr>
            </w:pPr>
            <w:r>
              <w:rPr>
                <w:rFonts w:hint="eastAsia"/>
                <w:szCs w:val="21"/>
                <w:lang w:val="en-US" w:eastAsia="zh-CN"/>
              </w:rPr>
              <w:t>0.65328</w:t>
            </w:r>
          </w:p>
        </w:tc>
        <w:tc>
          <w:tcPr>
            <w:tcW w:w="1353" w:type="dxa"/>
            <w:shd w:val="clear" w:color="000000" w:fill="FFFFFF"/>
            <w:vAlign w:val="center"/>
          </w:tcPr>
          <w:p w14:paraId="3287E75E">
            <w:pPr>
              <w:jc w:val="center"/>
              <w:rPr>
                <w:rFonts w:hint="eastAsia"/>
                <w:szCs w:val="21"/>
                <w:lang w:val="en-US" w:eastAsia="zh-CN"/>
              </w:rPr>
            </w:pPr>
            <w:r>
              <w:rPr>
                <w:rFonts w:hint="eastAsia"/>
                <w:szCs w:val="21"/>
                <w:lang w:val="en-US" w:eastAsia="zh-CN"/>
              </w:rPr>
              <w:t>1.45173E-001</w:t>
            </w:r>
          </w:p>
        </w:tc>
        <w:tc>
          <w:tcPr>
            <w:tcW w:w="1210" w:type="dxa"/>
            <w:shd w:val="clear" w:color="000000" w:fill="FFFFFF"/>
            <w:vAlign w:val="center"/>
          </w:tcPr>
          <w:p w14:paraId="0C13413E">
            <w:pPr>
              <w:jc w:val="center"/>
              <w:rPr>
                <w:kern w:val="0"/>
                <w:szCs w:val="21"/>
              </w:rPr>
            </w:pPr>
            <w:r>
              <w:rPr>
                <w:rFonts w:hint="eastAsia"/>
                <w:szCs w:val="21"/>
                <w:lang w:val="en-US" w:eastAsia="zh-CN"/>
              </w:rPr>
              <w:t>800</w:t>
            </w:r>
          </w:p>
        </w:tc>
        <w:tc>
          <w:tcPr>
            <w:tcW w:w="1144" w:type="dxa"/>
            <w:shd w:val="clear" w:color="000000" w:fill="FFFFFF"/>
            <w:vAlign w:val="center"/>
          </w:tcPr>
          <w:p w14:paraId="5916369F">
            <w:pPr>
              <w:jc w:val="center"/>
              <w:rPr>
                <w:rFonts w:hint="eastAsia"/>
                <w:szCs w:val="21"/>
                <w:lang w:val="en-US" w:eastAsia="zh-CN"/>
              </w:rPr>
            </w:pPr>
            <w:r>
              <w:rPr>
                <w:rFonts w:hint="eastAsia"/>
                <w:szCs w:val="21"/>
                <w:lang w:val="en-US" w:eastAsia="zh-CN"/>
              </w:rPr>
              <w:t>0.65328</w:t>
            </w:r>
          </w:p>
        </w:tc>
        <w:tc>
          <w:tcPr>
            <w:tcW w:w="1676" w:type="dxa"/>
            <w:gridSpan w:val="3"/>
            <w:shd w:val="clear" w:color="000000" w:fill="FFFFFF"/>
            <w:vAlign w:val="center"/>
          </w:tcPr>
          <w:p w14:paraId="0070E5C2">
            <w:pPr>
              <w:jc w:val="center"/>
              <w:rPr>
                <w:rFonts w:hint="eastAsia"/>
                <w:szCs w:val="21"/>
                <w:lang w:val="en-US" w:eastAsia="zh-CN"/>
              </w:rPr>
            </w:pPr>
            <w:r>
              <w:rPr>
                <w:rFonts w:hint="eastAsia"/>
                <w:szCs w:val="21"/>
                <w:lang w:val="en-US" w:eastAsia="zh-CN"/>
              </w:rPr>
              <w:t>1.45173E-001</w:t>
            </w:r>
          </w:p>
        </w:tc>
        <w:tc>
          <w:tcPr>
            <w:tcW w:w="776" w:type="pct"/>
            <w:shd w:val="clear" w:color="000000" w:fill="FFFFFF"/>
            <w:vAlign w:val="center"/>
          </w:tcPr>
          <w:p w14:paraId="45D38342">
            <w:pPr>
              <w:jc w:val="center"/>
              <w:rPr>
                <w:rFonts w:ascii="宋体" w:hAnsi="宋体" w:cs="宋体"/>
                <w:szCs w:val="21"/>
              </w:rPr>
            </w:pPr>
          </w:p>
        </w:tc>
      </w:tr>
      <w:tr w14:paraId="083A0193">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73" w:type="dxa"/>
            <w:shd w:val="clear" w:color="auto" w:fill="auto"/>
            <w:vAlign w:val="center"/>
          </w:tcPr>
          <w:p w14:paraId="6E74AF97">
            <w:pPr>
              <w:jc w:val="center"/>
              <w:rPr>
                <w:kern w:val="0"/>
                <w:szCs w:val="21"/>
              </w:rPr>
            </w:pPr>
            <w:r>
              <w:rPr>
                <w:rFonts w:hint="eastAsia"/>
                <w:szCs w:val="21"/>
                <w:lang w:val="en-US" w:eastAsia="zh-CN"/>
              </w:rPr>
              <w:t>900</w:t>
            </w:r>
          </w:p>
        </w:tc>
        <w:tc>
          <w:tcPr>
            <w:tcW w:w="1210" w:type="dxa"/>
            <w:gridSpan w:val="2"/>
            <w:shd w:val="clear" w:color="000000" w:fill="FFFFFF"/>
            <w:vAlign w:val="center"/>
          </w:tcPr>
          <w:p w14:paraId="1A2166EB">
            <w:pPr>
              <w:jc w:val="center"/>
              <w:rPr>
                <w:rFonts w:hint="eastAsia"/>
                <w:szCs w:val="21"/>
                <w:lang w:val="en-US" w:eastAsia="zh-CN"/>
              </w:rPr>
            </w:pPr>
            <w:r>
              <w:rPr>
                <w:rFonts w:hint="eastAsia"/>
                <w:szCs w:val="21"/>
                <w:lang w:val="en-US" w:eastAsia="zh-CN"/>
              </w:rPr>
              <w:t>0.60944</w:t>
            </w:r>
          </w:p>
        </w:tc>
        <w:tc>
          <w:tcPr>
            <w:tcW w:w="1353" w:type="dxa"/>
            <w:shd w:val="clear" w:color="000000" w:fill="FFFFFF"/>
            <w:vAlign w:val="center"/>
          </w:tcPr>
          <w:p w14:paraId="46C89782">
            <w:pPr>
              <w:jc w:val="center"/>
              <w:rPr>
                <w:rFonts w:hint="eastAsia"/>
                <w:szCs w:val="21"/>
                <w:lang w:val="en-US" w:eastAsia="zh-CN"/>
              </w:rPr>
            </w:pPr>
            <w:r>
              <w:rPr>
                <w:rFonts w:hint="eastAsia"/>
                <w:szCs w:val="21"/>
                <w:lang w:val="en-US" w:eastAsia="zh-CN"/>
              </w:rPr>
              <w:t>1.35431E-001</w:t>
            </w:r>
          </w:p>
        </w:tc>
        <w:tc>
          <w:tcPr>
            <w:tcW w:w="1210" w:type="dxa"/>
            <w:shd w:val="clear" w:color="000000" w:fill="FFFFFF"/>
            <w:vAlign w:val="center"/>
          </w:tcPr>
          <w:p w14:paraId="39778309">
            <w:pPr>
              <w:jc w:val="center"/>
              <w:rPr>
                <w:kern w:val="0"/>
                <w:szCs w:val="21"/>
              </w:rPr>
            </w:pPr>
            <w:r>
              <w:rPr>
                <w:rFonts w:hint="eastAsia"/>
                <w:szCs w:val="21"/>
                <w:lang w:val="en-US" w:eastAsia="zh-CN"/>
              </w:rPr>
              <w:t>900</w:t>
            </w:r>
          </w:p>
        </w:tc>
        <w:tc>
          <w:tcPr>
            <w:tcW w:w="1144" w:type="dxa"/>
            <w:shd w:val="clear" w:color="000000" w:fill="FFFFFF"/>
            <w:vAlign w:val="center"/>
          </w:tcPr>
          <w:p w14:paraId="39BD4C3D">
            <w:pPr>
              <w:jc w:val="center"/>
              <w:rPr>
                <w:rFonts w:hint="eastAsia"/>
                <w:szCs w:val="21"/>
                <w:lang w:val="en-US" w:eastAsia="zh-CN"/>
              </w:rPr>
            </w:pPr>
            <w:r>
              <w:rPr>
                <w:rFonts w:hint="eastAsia"/>
                <w:szCs w:val="21"/>
                <w:lang w:val="en-US" w:eastAsia="zh-CN"/>
              </w:rPr>
              <w:t>0.60944</w:t>
            </w:r>
          </w:p>
        </w:tc>
        <w:tc>
          <w:tcPr>
            <w:tcW w:w="1676" w:type="dxa"/>
            <w:gridSpan w:val="3"/>
            <w:shd w:val="clear" w:color="000000" w:fill="FFFFFF"/>
            <w:vAlign w:val="center"/>
          </w:tcPr>
          <w:p w14:paraId="58C7741F">
            <w:pPr>
              <w:jc w:val="center"/>
              <w:rPr>
                <w:rFonts w:hint="eastAsia"/>
                <w:szCs w:val="21"/>
                <w:lang w:val="en-US" w:eastAsia="zh-CN"/>
              </w:rPr>
            </w:pPr>
            <w:r>
              <w:rPr>
                <w:rFonts w:hint="eastAsia"/>
                <w:szCs w:val="21"/>
                <w:lang w:val="en-US" w:eastAsia="zh-CN"/>
              </w:rPr>
              <w:t>1.35431E-001</w:t>
            </w:r>
          </w:p>
        </w:tc>
        <w:tc>
          <w:tcPr>
            <w:tcW w:w="776" w:type="pct"/>
            <w:shd w:val="clear" w:color="000000" w:fill="FFFFFF"/>
            <w:vAlign w:val="center"/>
          </w:tcPr>
          <w:p w14:paraId="3EB43E06">
            <w:pPr>
              <w:jc w:val="center"/>
              <w:rPr>
                <w:rFonts w:ascii="宋体" w:hAnsi="宋体" w:cs="宋体"/>
                <w:szCs w:val="21"/>
              </w:rPr>
            </w:pPr>
          </w:p>
        </w:tc>
      </w:tr>
      <w:tr w14:paraId="0CA5FCD0">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73" w:type="dxa"/>
            <w:shd w:val="clear" w:color="auto" w:fill="auto"/>
            <w:vAlign w:val="center"/>
          </w:tcPr>
          <w:p w14:paraId="2CAE31E7">
            <w:pPr>
              <w:jc w:val="center"/>
              <w:rPr>
                <w:kern w:val="0"/>
                <w:szCs w:val="21"/>
              </w:rPr>
            </w:pPr>
            <w:r>
              <w:rPr>
                <w:rFonts w:hint="eastAsia"/>
                <w:szCs w:val="21"/>
                <w:lang w:val="en-US" w:eastAsia="zh-CN"/>
              </w:rPr>
              <w:t>1000</w:t>
            </w:r>
          </w:p>
        </w:tc>
        <w:tc>
          <w:tcPr>
            <w:tcW w:w="1210" w:type="dxa"/>
            <w:gridSpan w:val="2"/>
            <w:shd w:val="clear" w:color="000000" w:fill="FFFFFF"/>
            <w:vAlign w:val="center"/>
          </w:tcPr>
          <w:p w14:paraId="1AA35C73">
            <w:pPr>
              <w:jc w:val="center"/>
              <w:rPr>
                <w:rFonts w:hint="eastAsia"/>
                <w:szCs w:val="21"/>
                <w:lang w:val="en-US" w:eastAsia="zh-CN"/>
              </w:rPr>
            </w:pPr>
            <w:r>
              <w:rPr>
                <w:rFonts w:hint="eastAsia"/>
                <w:szCs w:val="21"/>
                <w:lang w:val="en-US" w:eastAsia="zh-CN"/>
              </w:rPr>
              <w:t>0.56684</w:t>
            </w:r>
          </w:p>
        </w:tc>
        <w:tc>
          <w:tcPr>
            <w:tcW w:w="1353" w:type="dxa"/>
            <w:shd w:val="clear" w:color="000000" w:fill="FFFFFF"/>
            <w:vAlign w:val="center"/>
          </w:tcPr>
          <w:p w14:paraId="5EC6E26F">
            <w:pPr>
              <w:jc w:val="center"/>
              <w:rPr>
                <w:rFonts w:hint="eastAsia"/>
                <w:szCs w:val="21"/>
                <w:lang w:val="en-US" w:eastAsia="zh-CN"/>
              </w:rPr>
            </w:pPr>
            <w:r>
              <w:rPr>
                <w:rFonts w:hint="eastAsia"/>
                <w:szCs w:val="21"/>
                <w:lang w:val="en-US" w:eastAsia="zh-CN"/>
              </w:rPr>
              <w:t>1.25964E-001</w:t>
            </w:r>
          </w:p>
        </w:tc>
        <w:tc>
          <w:tcPr>
            <w:tcW w:w="1210" w:type="dxa"/>
            <w:shd w:val="clear" w:color="000000" w:fill="FFFFFF"/>
            <w:vAlign w:val="center"/>
          </w:tcPr>
          <w:p w14:paraId="4C2BA54B">
            <w:pPr>
              <w:jc w:val="center"/>
              <w:rPr>
                <w:kern w:val="0"/>
                <w:szCs w:val="21"/>
              </w:rPr>
            </w:pPr>
            <w:r>
              <w:rPr>
                <w:rFonts w:hint="eastAsia"/>
                <w:szCs w:val="21"/>
                <w:lang w:val="en-US" w:eastAsia="zh-CN"/>
              </w:rPr>
              <w:t>1000</w:t>
            </w:r>
          </w:p>
        </w:tc>
        <w:tc>
          <w:tcPr>
            <w:tcW w:w="1144" w:type="dxa"/>
            <w:shd w:val="clear" w:color="000000" w:fill="FFFFFF"/>
            <w:vAlign w:val="center"/>
          </w:tcPr>
          <w:p w14:paraId="6FDFFF7B">
            <w:pPr>
              <w:jc w:val="center"/>
              <w:rPr>
                <w:rFonts w:hint="eastAsia"/>
                <w:szCs w:val="21"/>
                <w:lang w:val="en-US" w:eastAsia="zh-CN"/>
              </w:rPr>
            </w:pPr>
            <w:r>
              <w:rPr>
                <w:rFonts w:hint="eastAsia"/>
                <w:szCs w:val="21"/>
                <w:lang w:val="en-US" w:eastAsia="zh-CN"/>
              </w:rPr>
              <w:t>0.56684</w:t>
            </w:r>
          </w:p>
        </w:tc>
        <w:tc>
          <w:tcPr>
            <w:tcW w:w="1676" w:type="dxa"/>
            <w:gridSpan w:val="3"/>
            <w:shd w:val="clear" w:color="000000" w:fill="FFFFFF"/>
            <w:vAlign w:val="center"/>
          </w:tcPr>
          <w:p w14:paraId="6E24EE95">
            <w:pPr>
              <w:jc w:val="center"/>
              <w:rPr>
                <w:rFonts w:hint="eastAsia"/>
                <w:szCs w:val="21"/>
                <w:lang w:val="en-US" w:eastAsia="zh-CN"/>
              </w:rPr>
            </w:pPr>
            <w:r>
              <w:rPr>
                <w:rFonts w:hint="eastAsia"/>
                <w:szCs w:val="21"/>
                <w:lang w:val="en-US" w:eastAsia="zh-CN"/>
              </w:rPr>
              <w:t>1.25964E-001</w:t>
            </w:r>
          </w:p>
        </w:tc>
        <w:tc>
          <w:tcPr>
            <w:tcW w:w="776" w:type="pct"/>
            <w:shd w:val="clear" w:color="000000" w:fill="FFFFFF"/>
            <w:vAlign w:val="center"/>
          </w:tcPr>
          <w:p w14:paraId="6F721DCB">
            <w:pPr>
              <w:jc w:val="center"/>
              <w:rPr>
                <w:rFonts w:ascii="宋体" w:hAnsi="宋体" w:cs="宋体"/>
                <w:szCs w:val="21"/>
              </w:rPr>
            </w:pPr>
          </w:p>
        </w:tc>
      </w:tr>
      <w:tr w14:paraId="0D2E2CBC">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73" w:type="dxa"/>
            <w:shd w:val="clear" w:color="auto" w:fill="auto"/>
            <w:vAlign w:val="center"/>
          </w:tcPr>
          <w:p w14:paraId="58E8A23A">
            <w:pPr>
              <w:jc w:val="center"/>
              <w:rPr>
                <w:kern w:val="0"/>
                <w:szCs w:val="21"/>
              </w:rPr>
            </w:pPr>
            <w:r>
              <w:rPr>
                <w:rFonts w:hint="eastAsia"/>
                <w:szCs w:val="21"/>
                <w:lang w:val="en-US" w:eastAsia="zh-CN"/>
              </w:rPr>
              <w:t>1500</w:t>
            </w:r>
          </w:p>
        </w:tc>
        <w:tc>
          <w:tcPr>
            <w:tcW w:w="1210" w:type="dxa"/>
            <w:gridSpan w:val="2"/>
            <w:shd w:val="clear" w:color="000000" w:fill="FFFFFF"/>
            <w:vAlign w:val="center"/>
          </w:tcPr>
          <w:p w14:paraId="06AFBCA0">
            <w:pPr>
              <w:jc w:val="center"/>
              <w:rPr>
                <w:rFonts w:hint="eastAsia"/>
                <w:szCs w:val="21"/>
                <w:lang w:val="en-US" w:eastAsia="zh-CN"/>
              </w:rPr>
            </w:pPr>
            <w:r>
              <w:rPr>
                <w:rFonts w:hint="eastAsia"/>
                <w:szCs w:val="21"/>
                <w:lang w:val="en-US" w:eastAsia="zh-CN"/>
              </w:rPr>
              <w:t>0.39963</w:t>
            </w:r>
          </w:p>
        </w:tc>
        <w:tc>
          <w:tcPr>
            <w:tcW w:w="1353" w:type="dxa"/>
            <w:shd w:val="clear" w:color="000000" w:fill="FFFFFF"/>
            <w:vAlign w:val="center"/>
          </w:tcPr>
          <w:p w14:paraId="78E01CCF">
            <w:pPr>
              <w:jc w:val="center"/>
              <w:rPr>
                <w:rFonts w:hint="eastAsia"/>
                <w:szCs w:val="21"/>
                <w:lang w:val="en-US" w:eastAsia="zh-CN"/>
              </w:rPr>
            </w:pPr>
            <w:r>
              <w:rPr>
                <w:rFonts w:hint="eastAsia"/>
                <w:szCs w:val="21"/>
                <w:lang w:val="en-US" w:eastAsia="zh-CN"/>
              </w:rPr>
              <w:t>8.88067E-002</w:t>
            </w:r>
          </w:p>
        </w:tc>
        <w:tc>
          <w:tcPr>
            <w:tcW w:w="1210" w:type="dxa"/>
            <w:shd w:val="clear" w:color="000000" w:fill="FFFFFF"/>
            <w:vAlign w:val="center"/>
          </w:tcPr>
          <w:p w14:paraId="046E1FFA">
            <w:pPr>
              <w:jc w:val="center"/>
              <w:rPr>
                <w:kern w:val="0"/>
                <w:szCs w:val="21"/>
              </w:rPr>
            </w:pPr>
            <w:r>
              <w:rPr>
                <w:rFonts w:hint="eastAsia"/>
                <w:szCs w:val="21"/>
                <w:lang w:val="en-US" w:eastAsia="zh-CN"/>
              </w:rPr>
              <w:t>1500</w:t>
            </w:r>
          </w:p>
        </w:tc>
        <w:tc>
          <w:tcPr>
            <w:tcW w:w="1144" w:type="dxa"/>
            <w:shd w:val="clear" w:color="000000" w:fill="FFFFFF"/>
            <w:vAlign w:val="center"/>
          </w:tcPr>
          <w:p w14:paraId="2423168C">
            <w:pPr>
              <w:jc w:val="center"/>
              <w:rPr>
                <w:rFonts w:hint="eastAsia"/>
                <w:szCs w:val="21"/>
                <w:lang w:val="en-US" w:eastAsia="zh-CN"/>
              </w:rPr>
            </w:pPr>
            <w:r>
              <w:rPr>
                <w:rFonts w:hint="eastAsia"/>
                <w:szCs w:val="21"/>
                <w:lang w:val="en-US" w:eastAsia="zh-CN"/>
              </w:rPr>
              <w:t>0.40601</w:t>
            </w:r>
          </w:p>
        </w:tc>
        <w:tc>
          <w:tcPr>
            <w:tcW w:w="1676" w:type="dxa"/>
            <w:gridSpan w:val="3"/>
            <w:shd w:val="clear" w:color="000000" w:fill="FFFFFF"/>
            <w:vAlign w:val="center"/>
          </w:tcPr>
          <w:p w14:paraId="55167E86">
            <w:pPr>
              <w:jc w:val="center"/>
              <w:rPr>
                <w:rFonts w:hint="eastAsia"/>
                <w:szCs w:val="21"/>
                <w:lang w:val="en-US" w:eastAsia="zh-CN"/>
              </w:rPr>
            </w:pPr>
            <w:r>
              <w:rPr>
                <w:rFonts w:hint="eastAsia"/>
                <w:szCs w:val="21"/>
                <w:lang w:val="en-US" w:eastAsia="zh-CN"/>
              </w:rPr>
              <w:t>9.02244E-002</w:t>
            </w:r>
          </w:p>
        </w:tc>
        <w:tc>
          <w:tcPr>
            <w:tcW w:w="776" w:type="pct"/>
            <w:shd w:val="clear" w:color="000000" w:fill="FFFFFF"/>
            <w:vAlign w:val="center"/>
          </w:tcPr>
          <w:p w14:paraId="4908519D">
            <w:pPr>
              <w:jc w:val="center"/>
              <w:rPr>
                <w:rFonts w:ascii="宋体" w:hAnsi="宋体" w:cs="宋体"/>
                <w:szCs w:val="21"/>
              </w:rPr>
            </w:pPr>
          </w:p>
        </w:tc>
      </w:tr>
      <w:tr w14:paraId="41CEF209">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73" w:type="dxa"/>
            <w:shd w:val="clear" w:color="auto" w:fill="auto"/>
            <w:vAlign w:val="center"/>
          </w:tcPr>
          <w:p w14:paraId="7052B980">
            <w:pPr>
              <w:jc w:val="center"/>
              <w:rPr>
                <w:kern w:val="0"/>
                <w:szCs w:val="21"/>
              </w:rPr>
            </w:pPr>
            <w:r>
              <w:rPr>
                <w:rFonts w:hint="eastAsia"/>
                <w:szCs w:val="21"/>
                <w:lang w:val="en-US" w:eastAsia="zh-CN"/>
              </w:rPr>
              <w:t>2000</w:t>
            </w:r>
          </w:p>
        </w:tc>
        <w:tc>
          <w:tcPr>
            <w:tcW w:w="1210" w:type="dxa"/>
            <w:gridSpan w:val="2"/>
            <w:shd w:val="clear" w:color="000000" w:fill="FFFFFF"/>
            <w:vAlign w:val="center"/>
          </w:tcPr>
          <w:p w14:paraId="2D945C5C">
            <w:pPr>
              <w:jc w:val="center"/>
              <w:rPr>
                <w:rFonts w:hint="eastAsia"/>
                <w:szCs w:val="21"/>
                <w:lang w:val="en-US" w:eastAsia="zh-CN"/>
              </w:rPr>
            </w:pPr>
            <w:r>
              <w:rPr>
                <w:rFonts w:hint="eastAsia"/>
                <w:szCs w:val="21"/>
                <w:lang w:val="en-US" w:eastAsia="zh-CN"/>
              </w:rPr>
              <w:t>0.33086</w:t>
            </w:r>
          </w:p>
        </w:tc>
        <w:tc>
          <w:tcPr>
            <w:tcW w:w="1353" w:type="dxa"/>
            <w:shd w:val="clear" w:color="000000" w:fill="FFFFFF"/>
            <w:vAlign w:val="center"/>
          </w:tcPr>
          <w:p w14:paraId="39371335">
            <w:pPr>
              <w:jc w:val="center"/>
              <w:rPr>
                <w:rFonts w:hint="eastAsia"/>
                <w:szCs w:val="21"/>
                <w:lang w:val="en-US" w:eastAsia="zh-CN"/>
              </w:rPr>
            </w:pPr>
            <w:r>
              <w:rPr>
                <w:rFonts w:hint="eastAsia"/>
                <w:szCs w:val="21"/>
                <w:lang w:val="en-US" w:eastAsia="zh-CN"/>
              </w:rPr>
              <w:t>7.35244E-002</w:t>
            </w:r>
          </w:p>
        </w:tc>
        <w:tc>
          <w:tcPr>
            <w:tcW w:w="1210" w:type="dxa"/>
            <w:shd w:val="clear" w:color="000000" w:fill="FFFFFF"/>
            <w:vAlign w:val="center"/>
          </w:tcPr>
          <w:p w14:paraId="7F4A797D">
            <w:pPr>
              <w:jc w:val="center"/>
              <w:rPr>
                <w:kern w:val="0"/>
                <w:szCs w:val="21"/>
              </w:rPr>
            </w:pPr>
            <w:r>
              <w:rPr>
                <w:rFonts w:hint="eastAsia"/>
                <w:szCs w:val="21"/>
                <w:lang w:val="en-US" w:eastAsia="zh-CN"/>
              </w:rPr>
              <w:t>2000</w:t>
            </w:r>
          </w:p>
        </w:tc>
        <w:tc>
          <w:tcPr>
            <w:tcW w:w="1144" w:type="dxa"/>
            <w:shd w:val="clear" w:color="000000" w:fill="FFFFFF"/>
            <w:vAlign w:val="center"/>
          </w:tcPr>
          <w:p w14:paraId="73E1BDC0">
            <w:pPr>
              <w:jc w:val="center"/>
              <w:rPr>
                <w:rFonts w:hint="eastAsia"/>
                <w:szCs w:val="21"/>
                <w:lang w:val="en-US" w:eastAsia="zh-CN"/>
              </w:rPr>
            </w:pPr>
            <w:r>
              <w:rPr>
                <w:rFonts w:hint="eastAsia"/>
                <w:szCs w:val="21"/>
                <w:lang w:val="en-US" w:eastAsia="zh-CN"/>
              </w:rPr>
              <w:t>0.33177</w:t>
            </w:r>
          </w:p>
        </w:tc>
        <w:tc>
          <w:tcPr>
            <w:tcW w:w="1676" w:type="dxa"/>
            <w:gridSpan w:val="3"/>
            <w:shd w:val="clear" w:color="000000" w:fill="FFFFFF"/>
            <w:vAlign w:val="center"/>
          </w:tcPr>
          <w:p w14:paraId="764DC4DB">
            <w:pPr>
              <w:jc w:val="center"/>
              <w:rPr>
                <w:rFonts w:hint="eastAsia"/>
                <w:szCs w:val="21"/>
                <w:lang w:val="en-US" w:eastAsia="zh-CN"/>
              </w:rPr>
            </w:pPr>
            <w:r>
              <w:rPr>
                <w:rFonts w:hint="eastAsia"/>
                <w:szCs w:val="21"/>
                <w:lang w:val="en-US" w:eastAsia="zh-CN"/>
              </w:rPr>
              <w:t>7.37267E-002</w:t>
            </w:r>
          </w:p>
        </w:tc>
        <w:tc>
          <w:tcPr>
            <w:tcW w:w="776" w:type="pct"/>
            <w:shd w:val="clear" w:color="000000" w:fill="FFFFFF"/>
            <w:vAlign w:val="center"/>
          </w:tcPr>
          <w:p w14:paraId="60A00418">
            <w:pPr>
              <w:jc w:val="center"/>
              <w:rPr>
                <w:rFonts w:ascii="宋体" w:hAnsi="宋体" w:cs="宋体"/>
                <w:szCs w:val="21"/>
              </w:rPr>
            </w:pPr>
          </w:p>
        </w:tc>
      </w:tr>
      <w:tr w14:paraId="22C29135">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73" w:type="dxa"/>
            <w:shd w:val="clear" w:color="auto" w:fill="auto"/>
            <w:vAlign w:val="center"/>
          </w:tcPr>
          <w:p w14:paraId="3E9DF670">
            <w:pPr>
              <w:jc w:val="center"/>
              <w:rPr>
                <w:kern w:val="0"/>
                <w:szCs w:val="21"/>
              </w:rPr>
            </w:pPr>
            <w:r>
              <w:rPr>
                <w:rFonts w:hint="eastAsia"/>
                <w:szCs w:val="21"/>
                <w:lang w:val="en-US" w:eastAsia="zh-CN"/>
              </w:rPr>
              <w:t>2500</w:t>
            </w:r>
          </w:p>
        </w:tc>
        <w:tc>
          <w:tcPr>
            <w:tcW w:w="1210" w:type="dxa"/>
            <w:gridSpan w:val="2"/>
            <w:shd w:val="clear" w:color="000000" w:fill="FFFFFF"/>
            <w:vAlign w:val="center"/>
          </w:tcPr>
          <w:p w14:paraId="02D53EA6">
            <w:pPr>
              <w:jc w:val="center"/>
              <w:rPr>
                <w:rFonts w:hint="eastAsia"/>
                <w:szCs w:val="21"/>
                <w:lang w:val="en-US" w:eastAsia="zh-CN"/>
              </w:rPr>
            </w:pPr>
            <w:r>
              <w:rPr>
                <w:rFonts w:hint="eastAsia"/>
                <w:szCs w:val="21"/>
                <w:lang w:val="en-US" w:eastAsia="zh-CN"/>
              </w:rPr>
              <w:t>0.28301</w:t>
            </w:r>
          </w:p>
        </w:tc>
        <w:tc>
          <w:tcPr>
            <w:tcW w:w="1353" w:type="dxa"/>
            <w:shd w:val="clear" w:color="000000" w:fill="FFFFFF"/>
            <w:vAlign w:val="center"/>
          </w:tcPr>
          <w:p w14:paraId="5E38BFF7">
            <w:pPr>
              <w:jc w:val="center"/>
              <w:rPr>
                <w:rFonts w:hint="eastAsia"/>
                <w:szCs w:val="21"/>
                <w:lang w:val="en-US" w:eastAsia="zh-CN"/>
              </w:rPr>
            </w:pPr>
            <w:r>
              <w:rPr>
                <w:rFonts w:hint="eastAsia"/>
                <w:szCs w:val="21"/>
                <w:lang w:val="en-US" w:eastAsia="zh-CN"/>
              </w:rPr>
              <w:t>6.28911E-002</w:t>
            </w:r>
          </w:p>
        </w:tc>
        <w:tc>
          <w:tcPr>
            <w:tcW w:w="1210" w:type="dxa"/>
            <w:shd w:val="clear" w:color="000000" w:fill="FFFFFF"/>
            <w:vAlign w:val="center"/>
          </w:tcPr>
          <w:p w14:paraId="57F64900">
            <w:pPr>
              <w:jc w:val="center"/>
              <w:rPr>
                <w:kern w:val="0"/>
                <w:szCs w:val="21"/>
              </w:rPr>
            </w:pPr>
            <w:r>
              <w:rPr>
                <w:rFonts w:hint="eastAsia"/>
                <w:szCs w:val="21"/>
                <w:lang w:val="en-US" w:eastAsia="zh-CN"/>
              </w:rPr>
              <w:t>2500</w:t>
            </w:r>
          </w:p>
        </w:tc>
        <w:tc>
          <w:tcPr>
            <w:tcW w:w="1144" w:type="dxa"/>
            <w:shd w:val="clear" w:color="000000" w:fill="FFFFFF"/>
            <w:vAlign w:val="center"/>
          </w:tcPr>
          <w:p w14:paraId="37409775">
            <w:pPr>
              <w:jc w:val="center"/>
              <w:rPr>
                <w:rFonts w:hint="eastAsia"/>
                <w:szCs w:val="21"/>
                <w:lang w:val="en-US" w:eastAsia="zh-CN"/>
              </w:rPr>
            </w:pPr>
            <w:r>
              <w:rPr>
                <w:rFonts w:hint="eastAsia"/>
                <w:szCs w:val="21"/>
                <w:lang w:val="en-US" w:eastAsia="zh-CN"/>
              </w:rPr>
              <w:t>0.28301</w:t>
            </w:r>
          </w:p>
        </w:tc>
        <w:tc>
          <w:tcPr>
            <w:tcW w:w="1676" w:type="dxa"/>
            <w:gridSpan w:val="3"/>
            <w:shd w:val="clear" w:color="000000" w:fill="FFFFFF"/>
            <w:vAlign w:val="center"/>
          </w:tcPr>
          <w:p w14:paraId="42C64AC2">
            <w:pPr>
              <w:jc w:val="center"/>
              <w:rPr>
                <w:rFonts w:hint="eastAsia"/>
                <w:szCs w:val="21"/>
                <w:lang w:val="en-US" w:eastAsia="zh-CN"/>
              </w:rPr>
            </w:pPr>
            <w:r>
              <w:rPr>
                <w:rFonts w:hint="eastAsia"/>
                <w:szCs w:val="21"/>
                <w:lang w:val="en-US" w:eastAsia="zh-CN"/>
              </w:rPr>
              <w:t>6.28911E-002</w:t>
            </w:r>
          </w:p>
        </w:tc>
        <w:tc>
          <w:tcPr>
            <w:tcW w:w="776" w:type="pct"/>
            <w:shd w:val="clear" w:color="000000" w:fill="FFFFFF"/>
            <w:vAlign w:val="center"/>
          </w:tcPr>
          <w:p w14:paraId="55A311DB">
            <w:pPr>
              <w:jc w:val="center"/>
              <w:rPr>
                <w:rFonts w:ascii="宋体" w:hAnsi="宋体" w:cs="宋体"/>
                <w:szCs w:val="21"/>
              </w:rPr>
            </w:pPr>
          </w:p>
        </w:tc>
      </w:tr>
      <w:tr w14:paraId="73436533">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912" w:type="pct"/>
            <w:gridSpan w:val="4"/>
            <w:shd w:val="clear" w:color="000000" w:fill="FFFFFF"/>
            <w:vAlign w:val="center"/>
          </w:tcPr>
          <w:p w14:paraId="7D3E09F5">
            <w:pPr>
              <w:jc w:val="center"/>
              <w:rPr>
                <w:rFonts w:ascii="宋体" w:hAnsi="宋体" w:cs="宋体"/>
                <w:szCs w:val="21"/>
              </w:rPr>
            </w:pPr>
            <w:r>
              <w:rPr>
                <w:rFonts w:hint="eastAsia"/>
                <w:bCs/>
                <w:spacing w:val="-11"/>
                <w:sz w:val="21"/>
                <w:szCs w:val="21"/>
                <w:lang w:val="en-US" w:eastAsia="zh-CN"/>
              </w:rPr>
              <w:t>DA009</w:t>
            </w:r>
            <w:r>
              <w:rPr>
                <w:rFonts w:hint="eastAsia"/>
                <w:bCs/>
                <w:spacing w:val="-11"/>
                <w:sz w:val="21"/>
                <w:szCs w:val="21"/>
                <w:lang w:eastAsia="zh-CN"/>
              </w:rPr>
              <w:t>混凝土矿粉筒仓废气排气筒</w:t>
            </w:r>
          </w:p>
        </w:tc>
        <w:tc>
          <w:tcPr>
            <w:tcW w:w="2310" w:type="pct"/>
            <w:gridSpan w:val="5"/>
            <w:shd w:val="clear" w:color="000000" w:fill="FFFFFF"/>
            <w:vAlign w:val="center"/>
          </w:tcPr>
          <w:p w14:paraId="7B8D80A1">
            <w:pPr>
              <w:jc w:val="center"/>
              <w:rPr>
                <w:rFonts w:ascii="宋体" w:hAnsi="宋体" w:cs="宋体"/>
                <w:szCs w:val="21"/>
              </w:rPr>
            </w:pPr>
            <w:r>
              <w:rPr>
                <w:rFonts w:hint="eastAsia"/>
                <w:bCs/>
                <w:szCs w:val="21"/>
                <w:lang w:val="en-US" w:eastAsia="zh-CN"/>
              </w:rPr>
              <w:t>DA010</w:t>
            </w:r>
            <w:r>
              <w:rPr>
                <w:rFonts w:hint="eastAsia"/>
                <w:bCs/>
                <w:szCs w:val="21"/>
                <w:lang w:eastAsia="zh-CN"/>
              </w:rPr>
              <w:t>水稳土水泥筒仓废气排气筒</w:t>
            </w:r>
          </w:p>
        </w:tc>
        <w:tc>
          <w:tcPr>
            <w:tcW w:w="776" w:type="pct"/>
            <w:shd w:val="clear" w:color="000000" w:fill="FFFFFF"/>
            <w:vAlign w:val="center"/>
          </w:tcPr>
          <w:p w14:paraId="7A0FBDA1">
            <w:pPr>
              <w:jc w:val="center"/>
              <w:rPr>
                <w:rFonts w:ascii="宋体" w:hAnsi="宋体" w:cs="宋体"/>
                <w:szCs w:val="21"/>
              </w:rPr>
            </w:pPr>
          </w:p>
        </w:tc>
      </w:tr>
      <w:tr w14:paraId="030A1F24">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362520BB">
            <w:pPr>
              <w:widowControl/>
              <w:jc w:val="center"/>
              <w:rPr>
                <w:rFonts w:hint="eastAsia"/>
                <w:bCs/>
                <w:szCs w:val="21"/>
                <w:lang w:val="en-US" w:eastAsia="zh-CN"/>
              </w:rPr>
            </w:pPr>
            <w:r>
              <w:rPr>
                <w:rFonts w:hint="eastAsia"/>
                <w:kern w:val="0"/>
                <w:szCs w:val="21"/>
                <w:lang w:val="en-US" w:eastAsia="zh-CN"/>
              </w:rPr>
              <w:t>-</w:t>
            </w:r>
          </w:p>
        </w:tc>
        <w:tc>
          <w:tcPr>
            <w:tcW w:w="1469" w:type="pct"/>
            <w:gridSpan w:val="3"/>
            <w:shd w:val="clear" w:color="000000" w:fill="FFFFFF"/>
            <w:vAlign w:val="center"/>
          </w:tcPr>
          <w:p w14:paraId="6A80A719">
            <w:pPr>
              <w:widowControl/>
              <w:jc w:val="center"/>
              <w:rPr>
                <w:rFonts w:ascii="宋体" w:hAnsi="宋体" w:cs="宋体"/>
                <w:szCs w:val="21"/>
              </w:rPr>
            </w:pPr>
            <w:r>
              <w:rPr>
                <w:rFonts w:hint="eastAsia"/>
                <w:kern w:val="0"/>
                <w:szCs w:val="21"/>
                <w:lang w:val="en-US" w:eastAsia="zh-CN"/>
              </w:rPr>
              <w:t>PM</w:t>
            </w:r>
            <w:r>
              <w:rPr>
                <w:rFonts w:hint="eastAsia"/>
                <w:kern w:val="0"/>
                <w:szCs w:val="21"/>
                <w:vertAlign w:val="subscript"/>
                <w:lang w:val="en-US" w:eastAsia="zh-CN"/>
              </w:rPr>
              <w:t>10</w:t>
            </w:r>
          </w:p>
        </w:tc>
        <w:tc>
          <w:tcPr>
            <w:tcW w:w="693" w:type="pct"/>
            <w:shd w:val="clear" w:color="000000" w:fill="FFFFFF"/>
            <w:vAlign w:val="center"/>
          </w:tcPr>
          <w:p w14:paraId="20B5D041">
            <w:pPr>
              <w:widowControl/>
              <w:jc w:val="center"/>
              <w:rPr>
                <w:rFonts w:ascii="宋体" w:hAnsi="宋体" w:cs="宋体"/>
                <w:szCs w:val="21"/>
              </w:rPr>
            </w:pPr>
            <w:r>
              <w:rPr>
                <w:rFonts w:hint="eastAsia"/>
                <w:kern w:val="0"/>
                <w:szCs w:val="21"/>
                <w:lang w:val="en-US" w:eastAsia="zh-CN"/>
              </w:rPr>
              <w:t>-</w:t>
            </w:r>
          </w:p>
        </w:tc>
        <w:tc>
          <w:tcPr>
            <w:tcW w:w="1616" w:type="pct"/>
            <w:gridSpan w:val="4"/>
            <w:shd w:val="clear" w:color="000000" w:fill="FFFFFF"/>
            <w:vAlign w:val="center"/>
          </w:tcPr>
          <w:p w14:paraId="55D08743">
            <w:pPr>
              <w:widowControl/>
              <w:jc w:val="center"/>
              <w:rPr>
                <w:rFonts w:ascii="宋体" w:hAnsi="宋体" w:cs="宋体"/>
                <w:szCs w:val="21"/>
              </w:rPr>
            </w:pPr>
            <w:r>
              <w:rPr>
                <w:rFonts w:hint="eastAsia"/>
                <w:kern w:val="0"/>
                <w:szCs w:val="21"/>
                <w:lang w:val="en-US" w:eastAsia="zh-CN"/>
              </w:rPr>
              <w:t>PM</w:t>
            </w:r>
            <w:r>
              <w:rPr>
                <w:rFonts w:hint="eastAsia"/>
                <w:kern w:val="0"/>
                <w:szCs w:val="21"/>
                <w:vertAlign w:val="subscript"/>
                <w:lang w:val="en-US" w:eastAsia="zh-CN"/>
              </w:rPr>
              <w:t>10</w:t>
            </w:r>
          </w:p>
        </w:tc>
        <w:tc>
          <w:tcPr>
            <w:tcW w:w="776" w:type="pct"/>
            <w:shd w:val="clear" w:color="000000" w:fill="FFFFFF"/>
            <w:vAlign w:val="center"/>
          </w:tcPr>
          <w:p w14:paraId="415127B6">
            <w:pPr>
              <w:jc w:val="center"/>
              <w:rPr>
                <w:rFonts w:ascii="宋体" w:hAnsi="宋体" w:cs="宋体"/>
                <w:szCs w:val="21"/>
              </w:rPr>
            </w:pPr>
          </w:p>
        </w:tc>
      </w:tr>
      <w:tr w14:paraId="76C87CCE">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3" w:type="pct"/>
            <w:shd w:val="clear" w:color="000000" w:fill="FFFFFF"/>
            <w:vAlign w:val="center"/>
          </w:tcPr>
          <w:p w14:paraId="7DDE4E5A">
            <w:pPr>
              <w:widowControl/>
              <w:jc w:val="center"/>
              <w:rPr>
                <w:rFonts w:ascii="宋体" w:hAnsi="宋体" w:cs="宋体"/>
                <w:szCs w:val="21"/>
              </w:rPr>
            </w:pPr>
            <w:r>
              <w:rPr>
                <w:kern w:val="0"/>
                <w:szCs w:val="21"/>
              </w:rPr>
              <w:t>距离</w:t>
            </w:r>
          </w:p>
        </w:tc>
        <w:tc>
          <w:tcPr>
            <w:tcW w:w="596" w:type="pct"/>
            <w:shd w:val="clear" w:color="000000" w:fill="FFFFFF"/>
            <w:vAlign w:val="center"/>
          </w:tcPr>
          <w:p w14:paraId="0FF73B90">
            <w:pPr>
              <w:widowControl/>
              <w:jc w:val="center"/>
              <w:rPr>
                <w:rFonts w:ascii="宋体" w:hAnsi="宋体" w:cs="宋体"/>
                <w:szCs w:val="21"/>
              </w:rPr>
            </w:pPr>
            <w:r>
              <w:rPr>
                <w:kern w:val="0"/>
                <w:szCs w:val="21"/>
              </w:rPr>
              <w:t>浓度</w:t>
            </w:r>
          </w:p>
        </w:tc>
        <w:tc>
          <w:tcPr>
            <w:tcW w:w="873" w:type="pct"/>
            <w:gridSpan w:val="2"/>
            <w:shd w:val="clear" w:color="000000" w:fill="FFFFFF"/>
            <w:vAlign w:val="center"/>
          </w:tcPr>
          <w:p w14:paraId="5AAC0315">
            <w:pPr>
              <w:widowControl/>
              <w:jc w:val="center"/>
              <w:rPr>
                <w:rFonts w:ascii="宋体" w:hAnsi="宋体" w:cs="宋体"/>
                <w:szCs w:val="21"/>
              </w:rPr>
            </w:pPr>
            <w:r>
              <w:rPr>
                <w:kern w:val="0"/>
                <w:szCs w:val="21"/>
              </w:rPr>
              <w:t>占标率</w:t>
            </w:r>
          </w:p>
        </w:tc>
        <w:tc>
          <w:tcPr>
            <w:tcW w:w="693" w:type="pct"/>
            <w:shd w:val="clear" w:color="000000" w:fill="FFFFFF"/>
            <w:vAlign w:val="center"/>
          </w:tcPr>
          <w:p w14:paraId="6BB9751C">
            <w:pPr>
              <w:widowControl/>
              <w:jc w:val="center"/>
              <w:rPr>
                <w:rFonts w:ascii="宋体" w:hAnsi="宋体" w:cs="宋体"/>
                <w:szCs w:val="21"/>
              </w:rPr>
            </w:pPr>
            <w:r>
              <w:rPr>
                <w:kern w:val="0"/>
                <w:szCs w:val="21"/>
              </w:rPr>
              <w:t>距离</w:t>
            </w:r>
          </w:p>
        </w:tc>
        <w:tc>
          <w:tcPr>
            <w:tcW w:w="655" w:type="pct"/>
            <w:shd w:val="clear" w:color="000000" w:fill="FFFFFF"/>
            <w:vAlign w:val="center"/>
          </w:tcPr>
          <w:p w14:paraId="50F607B3">
            <w:pPr>
              <w:widowControl/>
              <w:jc w:val="center"/>
              <w:rPr>
                <w:rFonts w:ascii="宋体" w:hAnsi="宋体" w:cs="宋体"/>
                <w:szCs w:val="21"/>
              </w:rPr>
            </w:pPr>
            <w:r>
              <w:rPr>
                <w:kern w:val="0"/>
                <w:szCs w:val="21"/>
              </w:rPr>
              <w:t>浓度</w:t>
            </w:r>
          </w:p>
        </w:tc>
        <w:tc>
          <w:tcPr>
            <w:tcW w:w="961" w:type="pct"/>
            <w:gridSpan w:val="3"/>
            <w:shd w:val="clear" w:color="000000" w:fill="FFFFFF"/>
            <w:vAlign w:val="center"/>
          </w:tcPr>
          <w:p w14:paraId="2EBFDFC8">
            <w:pPr>
              <w:widowControl/>
              <w:jc w:val="center"/>
              <w:rPr>
                <w:rFonts w:ascii="宋体" w:hAnsi="宋体" w:cs="宋体"/>
                <w:szCs w:val="21"/>
              </w:rPr>
            </w:pPr>
            <w:r>
              <w:rPr>
                <w:kern w:val="0"/>
                <w:szCs w:val="21"/>
              </w:rPr>
              <w:t>占标率</w:t>
            </w:r>
          </w:p>
        </w:tc>
        <w:tc>
          <w:tcPr>
            <w:tcW w:w="776" w:type="pct"/>
            <w:shd w:val="clear" w:color="000000" w:fill="FFFFFF"/>
            <w:vAlign w:val="center"/>
          </w:tcPr>
          <w:p w14:paraId="19F32ECF">
            <w:pPr>
              <w:jc w:val="center"/>
              <w:rPr>
                <w:rFonts w:ascii="宋体" w:hAnsi="宋体" w:cs="宋体"/>
                <w:szCs w:val="21"/>
              </w:rPr>
            </w:pPr>
          </w:p>
        </w:tc>
      </w:tr>
      <w:tr w14:paraId="541F010C">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73" w:type="dxa"/>
            <w:shd w:val="clear" w:color="000000" w:fill="FFFFFF"/>
            <w:vAlign w:val="center"/>
          </w:tcPr>
          <w:p w14:paraId="2F9ACCE6">
            <w:pPr>
              <w:widowControl/>
              <w:jc w:val="center"/>
              <w:rPr>
                <w:kern w:val="0"/>
                <w:szCs w:val="21"/>
              </w:rPr>
            </w:pPr>
            <w:r>
              <w:rPr>
                <w:rFonts w:hint="eastAsia"/>
                <w:kern w:val="0"/>
                <w:szCs w:val="21"/>
                <w:lang w:val="en-US" w:eastAsia="zh-CN"/>
              </w:rPr>
              <w:t>m</w:t>
            </w:r>
          </w:p>
        </w:tc>
        <w:tc>
          <w:tcPr>
            <w:tcW w:w="1040" w:type="dxa"/>
            <w:shd w:val="clear" w:color="000000" w:fill="FFFFFF"/>
            <w:vAlign w:val="center"/>
          </w:tcPr>
          <w:p w14:paraId="3F7E814A">
            <w:pPr>
              <w:widowControl/>
              <w:jc w:val="center"/>
              <w:rPr>
                <w:kern w:val="0"/>
                <w:szCs w:val="21"/>
              </w:rPr>
            </w:pPr>
            <w:r>
              <w:rPr>
                <w:kern w:val="0"/>
                <w:szCs w:val="21"/>
              </w:rPr>
              <w:t>ug/m</w:t>
            </w:r>
            <w:r>
              <w:rPr>
                <w:kern w:val="0"/>
                <w:szCs w:val="21"/>
                <w:vertAlign w:val="superscript"/>
              </w:rPr>
              <w:t>3</w:t>
            </w:r>
          </w:p>
        </w:tc>
        <w:tc>
          <w:tcPr>
            <w:tcW w:w="1523" w:type="dxa"/>
            <w:gridSpan w:val="2"/>
            <w:shd w:val="clear" w:color="000000" w:fill="FFFFFF"/>
            <w:vAlign w:val="center"/>
          </w:tcPr>
          <w:p w14:paraId="1552B6C5">
            <w:pPr>
              <w:widowControl/>
              <w:jc w:val="center"/>
              <w:rPr>
                <w:kern w:val="0"/>
                <w:szCs w:val="21"/>
              </w:rPr>
            </w:pPr>
            <w:r>
              <w:rPr>
                <w:kern w:val="0"/>
                <w:szCs w:val="21"/>
              </w:rPr>
              <w:t>%</w:t>
            </w:r>
          </w:p>
        </w:tc>
        <w:tc>
          <w:tcPr>
            <w:tcW w:w="1210" w:type="dxa"/>
            <w:shd w:val="clear" w:color="000000" w:fill="FFFFFF"/>
            <w:vAlign w:val="center"/>
          </w:tcPr>
          <w:p w14:paraId="7391ED1C">
            <w:pPr>
              <w:widowControl/>
              <w:jc w:val="center"/>
              <w:rPr>
                <w:kern w:val="0"/>
                <w:szCs w:val="21"/>
              </w:rPr>
            </w:pPr>
            <w:r>
              <w:rPr>
                <w:rFonts w:hint="eastAsia"/>
                <w:kern w:val="0"/>
                <w:szCs w:val="21"/>
                <w:lang w:val="en-US" w:eastAsia="zh-CN"/>
              </w:rPr>
              <w:t>m</w:t>
            </w:r>
          </w:p>
        </w:tc>
        <w:tc>
          <w:tcPr>
            <w:tcW w:w="1144" w:type="dxa"/>
            <w:shd w:val="clear" w:color="000000" w:fill="FFFFFF"/>
            <w:vAlign w:val="center"/>
          </w:tcPr>
          <w:p w14:paraId="3BB5EF64">
            <w:pPr>
              <w:widowControl/>
              <w:jc w:val="center"/>
              <w:rPr>
                <w:kern w:val="0"/>
                <w:szCs w:val="21"/>
              </w:rPr>
            </w:pPr>
            <w:r>
              <w:rPr>
                <w:kern w:val="0"/>
                <w:szCs w:val="21"/>
              </w:rPr>
              <w:t>ug/m</w:t>
            </w:r>
            <w:r>
              <w:rPr>
                <w:kern w:val="0"/>
                <w:szCs w:val="21"/>
                <w:vertAlign w:val="superscript"/>
              </w:rPr>
              <w:t>3</w:t>
            </w:r>
          </w:p>
        </w:tc>
        <w:tc>
          <w:tcPr>
            <w:tcW w:w="1676" w:type="dxa"/>
            <w:gridSpan w:val="3"/>
            <w:shd w:val="clear" w:color="000000" w:fill="FFFFFF"/>
            <w:vAlign w:val="center"/>
          </w:tcPr>
          <w:p w14:paraId="1CA3F79A">
            <w:pPr>
              <w:widowControl/>
              <w:jc w:val="center"/>
              <w:rPr>
                <w:kern w:val="0"/>
                <w:szCs w:val="21"/>
              </w:rPr>
            </w:pPr>
            <w:r>
              <w:rPr>
                <w:kern w:val="0"/>
                <w:szCs w:val="21"/>
              </w:rPr>
              <w:t>%</w:t>
            </w:r>
          </w:p>
        </w:tc>
        <w:tc>
          <w:tcPr>
            <w:tcW w:w="776" w:type="pct"/>
            <w:shd w:val="clear" w:color="000000" w:fill="FFFFFF"/>
            <w:vAlign w:val="center"/>
          </w:tcPr>
          <w:p w14:paraId="10F2FF83">
            <w:pPr>
              <w:jc w:val="center"/>
              <w:rPr>
                <w:rFonts w:ascii="宋体" w:hAnsi="宋体" w:cs="宋体"/>
                <w:szCs w:val="21"/>
              </w:rPr>
            </w:pPr>
          </w:p>
        </w:tc>
      </w:tr>
      <w:tr w14:paraId="7D554BCF">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73" w:type="dxa"/>
            <w:shd w:val="clear" w:color="000000" w:fill="FFFFFF"/>
            <w:vAlign w:val="center"/>
          </w:tcPr>
          <w:p w14:paraId="7705E01B">
            <w:pPr>
              <w:jc w:val="center"/>
              <w:rPr>
                <w:kern w:val="0"/>
                <w:szCs w:val="21"/>
              </w:rPr>
            </w:pPr>
            <w:r>
              <w:rPr>
                <w:rFonts w:hint="eastAsia"/>
                <w:szCs w:val="21"/>
                <w:lang w:val="en-US" w:eastAsia="zh-CN"/>
              </w:rPr>
              <w:t>10</w:t>
            </w:r>
          </w:p>
        </w:tc>
        <w:tc>
          <w:tcPr>
            <w:tcW w:w="1040" w:type="dxa"/>
            <w:shd w:val="clear" w:color="000000" w:fill="FFFFFF"/>
            <w:vAlign w:val="center"/>
          </w:tcPr>
          <w:p w14:paraId="43F4A69D">
            <w:pPr>
              <w:jc w:val="center"/>
              <w:rPr>
                <w:rFonts w:hint="eastAsia"/>
                <w:szCs w:val="21"/>
                <w:lang w:val="en-US" w:eastAsia="zh-CN"/>
              </w:rPr>
            </w:pPr>
            <w:r>
              <w:rPr>
                <w:rFonts w:hint="eastAsia"/>
                <w:szCs w:val="21"/>
                <w:lang w:val="en-US" w:eastAsia="zh-CN"/>
              </w:rPr>
              <w:t>0.13371</w:t>
            </w:r>
          </w:p>
        </w:tc>
        <w:tc>
          <w:tcPr>
            <w:tcW w:w="1523" w:type="dxa"/>
            <w:gridSpan w:val="2"/>
            <w:shd w:val="clear" w:color="000000" w:fill="FFFFFF"/>
            <w:vAlign w:val="center"/>
          </w:tcPr>
          <w:p w14:paraId="0EAF3760">
            <w:pPr>
              <w:jc w:val="center"/>
              <w:rPr>
                <w:rFonts w:hint="eastAsia"/>
                <w:szCs w:val="21"/>
                <w:lang w:val="en-US" w:eastAsia="zh-CN"/>
              </w:rPr>
            </w:pPr>
            <w:r>
              <w:rPr>
                <w:rFonts w:hint="eastAsia"/>
                <w:szCs w:val="21"/>
                <w:lang w:val="en-US" w:eastAsia="zh-CN"/>
              </w:rPr>
              <w:t>2.97133E-002</w:t>
            </w:r>
          </w:p>
        </w:tc>
        <w:tc>
          <w:tcPr>
            <w:tcW w:w="1210" w:type="dxa"/>
            <w:shd w:val="clear" w:color="000000" w:fill="FFFFFF"/>
            <w:vAlign w:val="center"/>
          </w:tcPr>
          <w:p w14:paraId="6F86B755">
            <w:pPr>
              <w:jc w:val="center"/>
              <w:rPr>
                <w:kern w:val="0"/>
                <w:szCs w:val="21"/>
              </w:rPr>
            </w:pPr>
            <w:r>
              <w:rPr>
                <w:rFonts w:hint="eastAsia"/>
                <w:szCs w:val="21"/>
                <w:lang w:val="en-US" w:eastAsia="zh-CN"/>
              </w:rPr>
              <w:t>10</w:t>
            </w:r>
          </w:p>
        </w:tc>
        <w:tc>
          <w:tcPr>
            <w:tcW w:w="1144" w:type="dxa"/>
            <w:shd w:val="clear" w:color="000000" w:fill="FFFFFF"/>
            <w:vAlign w:val="center"/>
          </w:tcPr>
          <w:p w14:paraId="424BBCC9">
            <w:pPr>
              <w:jc w:val="center"/>
              <w:rPr>
                <w:rFonts w:hint="eastAsia"/>
                <w:szCs w:val="21"/>
                <w:lang w:val="en-US" w:eastAsia="zh-CN"/>
              </w:rPr>
            </w:pPr>
            <w:r>
              <w:rPr>
                <w:rFonts w:hint="eastAsia"/>
                <w:szCs w:val="21"/>
                <w:lang w:val="en-US" w:eastAsia="zh-CN"/>
              </w:rPr>
              <w:t>0.34938</w:t>
            </w:r>
          </w:p>
        </w:tc>
        <w:tc>
          <w:tcPr>
            <w:tcW w:w="1676" w:type="dxa"/>
            <w:gridSpan w:val="3"/>
            <w:shd w:val="clear" w:color="000000" w:fill="FFFFFF"/>
            <w:vAlign w:val="center"/>
          </w:tcPr>
          <w:p w14:paraId="76B77A2C">
            <w:pPr>
              <w:jc w:val="center"/>
              <w:rPr>
                <w:rFonts w:hint="eastAsia"/>
                <w:szCs w:val="21"/>
                <w:lang w:val="en-US" w:eastAsia="zh-CN"/>
              </w:rPr>
            </w:pPr>
            <w:r>
              <w:rPr>
                <w:rFonts w:hint="eastAsia"/>
                <w:szCs w:val="21"/>
                <w:lang w:val="en-US" w:eastAsia="zh-CN"/>
              </w:rPr>
              <w:t>7.76400E-002</w:t>
            </w:r>
          </w:p>
        </w:tc>
        <w:tc>
          <w:tcPr>
            <w:tcW w:w="776" w:type="pct"/>
            <w:shd w:val="clear" w:color="000000" w:fill="FFFFFF"/>
            <w:vAlign w:val="center"/>
          </w:tcPr>
          <w:p w14:paraId="3985D138">
            <w:pPr>
              <w:jc w:val="center"/>
              <w:rPr>
                <w:rFonts w:ascii="宋体" w:hAnsi="宋体" w:cs="宋体"/>
                <w:szCs w:val="21"/>
              </w:rPr>
            </w:pPr>
          </w:p>
        </w:tc>
      </w:tr>
      <w:tr w14:paraId="0CB93FE7">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73" w:type="dxa"/>
            <w:shd w:val="clear" w:color="000000" w:fill="FFFFFF"/>
            <w:vAlign w:val="center"/>
          </w:tcPr>
          <w:p w14:paraId="54882D1A">
            <w:pPr>
              <w:jc w:val="center"/>
              <w:rPr>
                <w:kern w:val="0"/>
                <w:szCs w:val="21"/>
              </w:rPr>
            </w:pPr>
            <w:r>
              <w:rPr>
                <w:rFonts w:hint="eastAsia"/>
                <w:szCs w:val="21"/>
                <w:lang w:val="en-US" w:eastAsia="zh-CN"/>
              </w:rPr>
              <w:t>25</w:t>
            </w:r>
          </w:p>
        </w:tc>
        <w:tc>
          <w:tcPr>
            <w:tcW w:w="1040" w:type="dxa"/>
            <w:shd w:val="clear" w:color="000000" w:fill="FFFFFF"/>
            <w:vAlign w:val="center"/>
          </w:tcPr>
          <w:p w14:paraId="6D92BB20">
            <w:pPr>
              <w:jc w:val="center"/>
              <w:rPr>
                <w:rFonts w:hint="eastAsia"/>
                <w:szCs w:val="21"/>
                <w:lang w:val="en-US" w:eastAsia="zh-CN"/>
              </w:rPr>
            </w:pPr>
            <w:r>
              <w:rPr>
                <w:rFonts w:hint="eastAsia"/>
                <w:szCs w:val="21"/>
                <w:lang w:val="en-US" w:eastAsia="zh-CN"/>
              </w:rPr>
              <w:t>1.6425</w:t>
            </w:r>
          </w:p>
        </w:tc>
        <w:tc>
          <w:tcPr>
            <w:tcW w:w="1523" w:type="dxa"/>
            <w:gridSpan w:val="2"/>
            <w:shd w:val="clear" w:color="000000" w:fill="FFFFFF"/>
            <w:vAlign w:val="center"/>
          </w:tcPr>
          <w:p w14:paraId="422CF031">
            <w:pPr>
              <w:jc w:val="center"/>
              <w:rPr>
                <w:rFonts w:hint="eastAsia"/>
                <w:szCs w:val="21"/>
                <w:lang w:val="en-US" w:eastAsia="zh-CN"/>
              </w:rPr>
            </w:pPr>
            <w:r>
              <w:rPr>
                <w:rFonts w:hint="eastAsia"/>
                <w:szCs w:val="21"/>
                <w:lang w:val="en-US" w:eastAsia="zh-CN"/>
              </w:rPr>
              <w:t>3.65000E-001</w:t>
            </w:r>
          </w:p>
        </w:tc>
        <w:tc>
          <w:tcPr>
            <w:tcW w:w="1210" w:type="dxa"/>
            <w:shd w:val="clear" w:color="000000" w:fill="FFFFFF"/>
            <w:vAlign w:val="center"/>
          </w:tcPr>
          <w:p w14:paraId="0207B49F">
            <w:pPr>
              <w:jc w:val="center"/>
              <w:rPr>
                <w:kern w:val="0"/>
                <w:szCs w:val="21"/>
              </w:rPr>
            </w:pPr>
            <w:r>
              <w:rPr>
                <w:rFonts w:hint="eastAsia"/>
                <w:szCs w:val="21"/>
                <w:lang w:val="en-US" w:eastAsia="zh-CN"/>
              </w:rPr>
              <w:t>25</w:t>
            </w:r>
          </w:p>
        </w:tc>
        <w:tc>
          <w:tcPr>
            <w:tcW w:w="1144" w:type="dxa"/>
            <w:shd w:val="clear" w:color="000000" w:fill="FFFFFF"/>
            <w:vAlign w:val="center"/>
          </w:tcPr>
          <w:p w14:paraId="4680B427">
            <w:pPr>
              <w:jc w:val="center"/>
              <w:rPr>
                <w:rFonts w:hint="eastAsia"/>
                <w:szCs w:val="21"/>
                <w:lang w:val="en-US" w:eastAsia="zh-CN"/>
              </w:rPr>
            </w:pPr>
            <w:r>
              <w:rPr>
                <w:rFonts w:hint="eastAsia"/>
                <w:szCs w:val="21"/>
                <w:lang w:val="en-US" w:eastAsia="zh-CN"/>
              </w:rPr>
              <w:t>4.2918</w:t>
            </w:r>
          </w:p>
        </w:tc>
        <w:tc>
          <w:tcPr>
            <w:tcW w:w="1676" w:type="dxa"/>
            <w:gridSpan w:val="3"/>
            <w:shd w:val="clear" w:color="000000" w:fill="FFFFFF"/>
            <w:vAlign w:val="center"/>
          </w:tcPr>
          <w:p w14:paraId="77DDBCBC">
            <w:pPr>
              <w:jc w:val="center"/>
              <w:rPr>
                <w:rFonts w:hint="eastAsia"/>
                <w:szCs w:val="21"/>
                <w:lang w:val="en-US" w:eastAsia="zh-CN"/>
              </w:rPr>
            </w:pPr>
            <w:r>
              <w:rPr>
                <w:rFonts w:hint="eastAsia"/>
                <w:szCs w:val="21"/>
                <w:lang w:val="en-US" w:eastAsia="zh-CN"/>
              </w:rPr>
              <w:t>9.53733E-001</w:t>
            </w:r>
          </w:p>
        </w:tc>
        <w:tc>
          <w:tcPr>
            <w:tcW w:w="776" w:type="pct"/>
            <w:shd w:val="clear" w:color="000000" w:fill="FFFFFF"/>
            <w:vAlign w:val="center"/>
          </w:tcPr>
          <w:p w14:paraId="24E65C03">
            <w:pPr>
              <w:jc w:val="center"/>
              <w:rPr>
                <w:rFonts w:ascii="宋体" w:hAnsi="宋体" w:cs="宋体"/>
                <w:szCs w:val="21"/>
              </w:rPr>
            </w:pPr>
          </w:p>
        </w:tc>
      </w:tr>
      <w:tr w14:paraId="45897B60">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73" w:type="dxa"/>
            <w:shd w:val="clear" w:color="000000" w:fill="FFFFFF"/>
            <w:vAlign w:val="center"/>
          </w:tcPr>
          <w:p w14:paraId="6843FE51">
            <w:pPr>
              <w:jc w:val="center"/>
              <w:rPr>
                <w:kern w:val="0"/>
                <w:szCs w:val="21"/>
              </w:rPr>
            </w:pPr>
            <w:r>
              <w:rPr>
                <w:rFonts w:hint="eastAsia"/>
                <w:b/>
                <w:bCs/>
                <w:szCs w:val="21"/>
                <w:lang w:val="en-US" w:eastAsia="zh-CN"/>
              </w:rPr>
              <w:t>50</w:t>
            </w:r>
          </w:p>
        </w:tc>
        <w:tc>
          <w:tcPr>
            <w:tcW w:w="1040" w:type="dxa"/>
            <w:shd w:val="clear" w:color="000000" w:fill="FFFFFF"/>
            <w:vAlign w:val="center"/>
          </w:tcPr>
          <w:p w14:paraId="77C1AD70">
            <w:pPr>
              <w:jc w:val="center"/>
              <w:rPr>
                <w:rFonts w:hint="eastAsia"/>
                <w:b/>
                <w:bCs/>
                <w:szCs w:val="21"/>
                <w:lang w:val="en-US" w:eastAsia="zh-CN"/>
              </w:rPr>
            </w:pPr>
            <w:r>
              <w:rPr>
                <w:rFonts w:hint="eastAsia"/>
                <w:b/>
                <w:bCs/>
                <w:szCs w:val="21"/>
                <w:lang w:val="en-US" w:eastAsia="zh-CN"/>
              </w:rPr>
              <w:t>3.1774</w:t>
            </w:r>
          </w:p>
        </w:tc>
        <w:tc>
          <w:tcPr>
            <w:tcW w:w="1523" w:type="dxa"/>
            <w:gridSpan w:val="2"/>
            <w:shd w:val="clear" w:color="000000" w:fill="FFFFFF"/>
            <w:vAlign w:val="center"/>
          </w:tcPr>
          <w:p w14:paraId="2743935D">
            <w:pPr>
              <w:jc w:val="center"/>
              <w:rPr>
                <w:rFonts w:hint="eastAsia"/>
                <w:b/>
                <w:bCs/>
                <w:szCs w:val="21"/>
                <w:lang w:val="en-US" w:eastAsia="zh-CN"/>
              </w:rPr>
            </w:pPr>
            <w:r>
              <w:rPr>
                <w:rFonts w:hint="eastAsia"/>
                <w:b/>
                <w:bCs/>
                <w:szCs w:val="21"/>
                <w:lang w:val="en-US" w:eastAsia="zh-CN"/>
              </w:rPr>
              <w:t>7.06089E-001</w:t>
            </w:r>
          </w:p>
        </w:tc>
        <w:tc>
          <w:tcPr>
            <w:tcW w:w="1210" w:type="dxa"/>
            <w:shd w:val="clear" w:color="000000" w:fill="FFFFFF"/>
            <w:vAlign w:val="center"/>
          </w:tcPr>
          <w:p w14:paraId="3BA626DF">
            <w:pPr>
              <w:jc w:val="center"/>
              <w:rPr>
                <w:b/>
                <w:bCs/>
                <w:kern w:val="0"/>
                <w:szCs w:val="21"/>
              </w:rPr>
            </w:pPr>
            <w:r>
              <w:rPr>
                <w:rFonts w:hint="eastAsia"/>
                <w:b/>
                <w:bCs/>
                <w:szCs w:val="21"/>
                <w:lang w:val="en-US" w:eastAsia="zh-CN"/>
              </w:rPr>
              <w:t>50</w:t>
            </w:r>
          </w:p>
        </w:tc>
        <w:tc>
          <w:tcPr>
            <w:tcW w:w="1144" w:type="dxa"/>
            <w:shd w:val="clear" w:color="000000" w:fill="FFFFFF"/>
            <w:vAlign w:val="center"/>
          </w:tcPr>
          <w:p w14:paraId="5B735A8D">
            <w:pPr>
              <w:jc w:val="center"/>
              <w:rPr>
                <w:rFonts w:hint="eastAsia"/>
                <w:b/>
                <w:bCs/>
                <w:szCs w:val="21"/>
                <w:lang w:val="en-US" w:eastAsia="zh-CN"/>
              </w:rPr>
            </w:pPr>
            <w:r>
              <w:rPr>
                <w:rFonts w:hint="eastAsia"/>
                <w:b/>
                <w:bCs/>
                <w:szCs w:val="21"/>
                <w:lang w:val="en-US" w:eastAsia="zh-CN"/>
              </w:rPr>
              <w:t>8.3025</w:t>
            </w:r>
          </w:p>
        </w:tc>
        <w:tc>
          <w:tcPr>
            <w:tcW w:w="1676" w:type="dxa"/>
            <w:gridSpan w:val="3"/>
            <w:shd w:val="clear" w:color="000000" w:fill="FFFFFF"/>
            <w:vAlign w:val="center"/>
          </w:tcPr>
          <w:p w14:paraId="1F4F036F">
            <w:pPr>
              <w:jc w:val="center"/>
              <w:rPr>
                <w:rFonts w:hint="eastAsia"/>
                <w:b/>
                <w:bCs/>
                <w:szCs w:val="21"/>
                <w:lang w:val="en-US" w:eastAsia="zh-CN"/>
              </w:rPr>
            </w:pPr>
            <w:r>
              <w:rPr>
                <w:rFonts w:hint="eastAsia"/>
                <w:b/>
                <w:bCs/>
                <w:szCs w:val="21"/>
                <w:lang w:val="en-US" w:eastAsia="zh-CN"/>
              </w:rPr>
              <w:t>1.84500E+000</w:t>
            </w:r>
          </w:p>
        </w:tc>
        <w:tc>
          <w:tcPr>
            <w:tcW w:w="776" w:type="pct"/>
            <w:shd w:val="clear" w:color="000000" w:fill="FFFFFF"/>
            <w:vAlign w:val="center"/>
          </w:tcPr>
          <w:p w14:paraId="331445E3">
            <w:pPr>
              <w:jc w:val="center"/>
              <w:rPr>
                <w:rFonts w:ascii="宋体" w:hAnsi="宋体" w:cs="宋体"/>
                <w:szCs w:val="21"/>
              </w:rPr>
            </w:pPr>
          </w:p>
        </w:tc>
      </w:tr>
      <w:tr w14:paraId="7D245E66">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73" w:type="dxa"/>
            <w:shd w:val="clear" w:color="000000" w:fill="FFFFFF"/>
            <w:vAlign w:val="center"/>
          </w:tcPr>
          <w:p w14:paraId="1B8AED36">
            <w:pPr>
              <w:jc w:val="center"/>
              <w:rPr>
                <w:kern w:val="0"/>
                <w:szCs w:val="21"/>
              </w:rPr>
            </w:pPr>
            <w:r>
              <w:rPr>
                <w:rFonts w:hint="eastAsia"/>
                <w:b w:val="0"/>
                <w:bCs w:val="0"/>
                <w:szCs w:val="21"/>
                <w:lang w:val="en-US" w:eastAsia="zh-CN"/>
              </w:rPr>
              <w:t>75</w:t>
            </w:r>
          </w:p>
        </w:tc>
        <w:tc>
          <w:tcPr>
            <w:tcW w:w="1040" w:type="dxa"/>
            <w:shd w:val="clear" w:color="000000" w:fill="FFFFFF"/>
            <w:vAlign w:val="center"/>
          </w:tcPr>
          <w:p w14:paraId="7B23C9B0">
            <w:pPr>
              <w:jc w:val="center"/>
              <w:rPr>
                <w:rFonts w:hint="eastAsia"/>
                <w:szCs w:val="21"/>
                <w:lang w:val="en-US" w:eastAsia="zh-CN"/>
              </w:rPr>
            </w:pPr>
            <w:r>
              <w:rPr>
                <w:rFonts w:hint="eastAsia"/>
                <w:szCs w:val="21"/>
                <w:lang w:val="en-US" w:eastAsia="zh-CN"/>
              </w:rPr>
              <w:t>2.48</w:t>
            </w:r>
          </w:p>
        </w:tc>
        <w:tc>
          <w:tcPr>
            <w:tcW w:w="1523" w:type="dxa"/>
            <w:gridSpan w:val="2"/>
            <w:shd w:val="clear" w:color="000000" w:fill="FFFFFF"/>
            <w:vAlign w:val="center"/>
          </w:tcPr>
          <w:p w14:paraId="7FCDF10E">
            <w:pPr>
              <w:jc w:val="center"/>
              <w:rPr>
                <w:rFonts w:hint="eastAsia"/>
                <w:szCs w:val="21"/>
                <w:lang w:val="en-US" w:eastAsia="zh-CN"/>
              </w:rPr>
            </w:pPr>
            <w:r>
              <w:rPr>
                <w:rFonts w:hint="eastAsia"/>
                <w:szCs w:val="21"/>
                <w:lang w:val="en-US" w:eastAsia="zh-CN"/>
              </w:rPr>
              <w:t>5.51111E-001</w:t>
            </w:r>
          </w:p>
        </w:tc>
        <w:tc>
          <w:tcPr>
            <w:tcW w:w="1210" w:type="dxa"/>
            <w:shd w:val="clear" w:color="000000" w:fill="FFFFFF"/>
            <w:vAlign w:val="center"/>
          </w:tcPr>
          <w:p w14:paraId="150A4CE3">
            <w:pPr>
              <w:jc w:val="center"/>
              <w:rPr>
                <w:kern w:val="0"/>
                <w:szCs w:val="21"/>
              </w:rPr>
            </w:pPr>
            <w:r>
              <w:rPr>
                <w:rFonts w:hint="eastAsia"/>
                <w:b w:val="0"/>
                <w:bCs w:val="0"/>
                <w:szCs w:val="21"/>
                <w:lang w:val="en-US" w:eastAsia="zh-CN"/>
              </w:rPr>
              <w:t>75</w:t>
            </w:r>
          </w:p>
        </w:tc>
        <w:tc>
          <w:tcPr>
            <w:tcW w:w="1144" w:type="dxa"/>
            <w:shd w:val="clear" w:color="000000" w:fill="FFFFFF"/>
            <w:vAlign w:val="center"/>
          </w:tcPr>
          <w:p w14:paraId="0B8C8025">
            <w:pPr>
              <w:jc w:val="center"/>
              <w:rPr>
                <w:rFonts w:hint="eastAsia"/>
                <w:szCs w:val="21"/>
                <w:lang w:val="en-US" w:eastAsia="zh-CN"/>
              </w:rPr>
            </w:pPr>
            <w:r>
              <w:rPr>
                <w:rFonts w:hint="eastAsia"/>
                <w:szCs w:val="21"/>
                <w:lang w:val="en-US" w:eastAsia="zh-CN"/>
              </w:rPr>
              <w:t>6.4801</w:t>
            </w:r>
          </w:p>
        </w:tc>
        <w:tc>
          <w:tcPr>
            <w:tcW w:w="1676" w:type="dxa"/>
            <w:gridSpan w:val="3"/>
            <w:shd w:val="clear" w:color="000000" w:fill="FFFFFF"/>
            <w:vAlign w:val="center"/>
          </w:tcPr>
          <w:p w14:paraId="45453B73">
            <w:pPr>
              <w:jc w:val="center"/>
              <w:rPr>
                <w:rFonts w:hint="eastAsia"/>
                <w:szCs w:val="21"/>
                <w:lang w:val="en-US" w:eastAsia="zh-CN"/>
              </w:rPr>
            </w:pPr>
            <w:r>
              <w:rPr>
                <w:rFonts w:hint="eastAsia"/>
                <w:szCs w:val="21"/>
                <w:lang w:val="en-US" w:eastAsia="zh-CN"/>
              </w:rPr>
              <w:t>1.44002E+000</w:t>
            </w:r>
          </w:p>
        </w:tc>
        <w:tc>
          <w:tcPr>
            <w:tcW w:w="776" w:type="pct"/>
            <w:shd w:val="clear" w:color="000000" w:fill="FFFFFF"/>
            <w:vAlign w:val="center"/>
          </w:tcPr>
          <w:p w14:paraId="17E60216">
            <w:pPr>
              <w:jc w:val="center"/>
              <w:rPr>
                <w:rFonts w:ascii="宋体" w:hAnsi="宋体" w:cs="宋体"/>
                <w:szCs w:val="21"/>
              </w:rPr>
            </w:pPr>
          </w:p>
        </w:tc>
      </w:tr>
      <w:tr w14:paraId="58ACAC89">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73" w:type="dxa"/>
            <w:shd w:val="clear" w:color="000000" w:fill="FFFFFF"/>
            <w:vAlign w:val="center"/>
          </w:tcPr>
          <w:p w14:paraId="5606DD52">
            <w:pPr>
              <w:jc w:val="center"/>
              <w:rPr>
                <w:kern w:val="0"/>
                <w:szCs w:val="21"/>
              </w:rPr>
            </w:pPr>
            <w:r>
              <w:rPr>
                <w:rFonts w:hint="eastAsia"/>
                <w:szCs w:val="21"/>
                <w:lang w:val="en-US" w:eastAsia="zh-CN"/>
              </w:rPr>
              <w:t>100</w:t>
            </w:r>
          </w:p>
        </w:tc>
        <w:tc>
          <w:tcPr>
            <w:tcW w:w="1040" w:type="dxa"/>
            <w:shd w:val="clear" w:color="000000" w:fill="FFFFFF"/>
            <w:vAlign w:val="center"/>
          </w:tcPr>
          <w:p w14:paraId="42D0876B">
            <w:pPr>
              <w:jc w:val="center"/>
              <w:rPr>
                <w:rFonts w:hint="eastAsia"/>
                <w:szCs w:val="21"/>
                <w:lang w:val="en-US" w:eastAsia="zh-CN"/>
              </w:rPr>
            </w:pPr>
            <w:r>
              <w:rPr>
                <w:rFonts w:hint="eastAsia"/>
                <w:szCs w:val="21"/>
                <w:lang w:val="en-US" w:eastAsia="zh-CN"/>
              </w:rPr>
              <w:t>2.4901</w:t>
            </w:r>
          </w:p>
        </w:tc>
        <w:tc>
          <w:tcPr>
            <w:tcW w:w="1523" w:type="dxa"/>
            <w:gridSpan w:val="2"/>
            <w:shd w:val="clear" w:color="000000" w:fill="FFFFFF"/>
            <w:vAlign w:val="center"/>
          </w:tcPr>
          <w:p w14:paraId="37EF9467">
            <w:pPr>
              <w:jc w:val="center"/>
              <w:rPr>
                <w:rFonts w:hint="eastAsia"/>
                <w:szCs w:val="21"/>
                <w:lang w:val="en-US" w:eastAsia="zh-CN"/>
              </w:rPr>
            </w:pPr>
            <w:r>
              <w:rPr>
                <w:rFonts w:hint="eastAsia"/>
                <w:szCs w:val="21"/>
                <w:lang w:val="en-US" w:eastAsia="zh-CN"/>
              </w:rPr>
              <w:t>5.53356E-001</w:t>
            </w:r>
          </w:p>
        </w:tc>
        <w:tc>
          <w:tcPr>
            <w:tcW w:w="1210" w:type="dxa"/>
            <w:shd w:val="clear" w:color="000000" w:fill="FFFFFF"/>
            <w:vAlign w:val="center"/>
          </w:tcPr>
          <w:p w14:paraId="1FD03834">
            <w:pPr>
              <w:jc w:val="center"/>
              <w:rPr>
                <w:kern w:val="0"/>
                <w:szCs w:val="21"/>
              </w:rPr>
            </w:pPr>
            <w:r>
              <w:rPr>
                <w:rFonts w:hint="eastAsia"/>
                <w:szCs w:val="21"/>
                <w:lang w:val="en-US" w:eastAsia="zh-CN"/>
              </w:rPr>
              <w:t>100</w:t>
            </w:r>
          </w:p>
        </w:tc>
        <w:tc>
          <w:tcPr>
            <w:tcW w:w="1144" w:type="dxa"/>
            <w:shd w:val="clear" w:color="000000" w:fill="FFFFFF"/>
            <w:vAlign w:val="center"/>
          </w:tcPr>
          <w:p w14:paraId="7BB6E9A2">
            <w:pPr>
              <w:jc w:val="center"/>
              <w:rPr>
                <w:rFonts w:hint="eastAsia"/>
                <w:szCs w:val="21"/>
                <w:lang w:val="en-US" w:eastAsia="zh-CN"/>
              </w:rPr>
            </w:pPr>
            <w:r>
              <w:rPr>
                <w:rFonts w:hint="eastAsia"/>
                <w:szCs w:val="21"/>
                <w:lang w:val="en-US" w:eastAsia="zh-CN"/>
              </w:rPr>
              <w:t>6.5067</w:t>
            </w:r>
          </w:p>
        </w:tc>
        <w:tc>
          <w:tcPr>
            <w:tcW w:w="1676" w:type="dxa"/>
            <w:gridSpan w:val="3"/>
            <w:shd w:val="clear" w:color="000000" w:fill="FFFFFF"/>
            <w:vAlign w:val="center"/>
          </w:tcPr>
          <w:p w14:paraId="59740436">
            <w:pPr>
              <w:jc w:val="center"/>
              <w:rPr>
                <w:rFonts w:hint="eastAsia"/>
                <w:szCs w:val="21"/>
                <w:lang w:val="en-US" w:eastAsia="zh-CN"/>
              </w:rPr>
            </w:pPr>
            <w:r>
              <w:rPr>
                <w:rFonts w:hint="eastAsia"/>
                <w:szCs w:val="21"/>
                <w:lang w:val="en-US" w:eastAsia="zh-CN"/>
              </w:rPr>
              <w:t>1.44593E+000</w:t>
            </w:r>
          </w:p>
        </w:tc>
        <w:tc>
          <w:tcPr>
            <w:tcW w:w="776" w:type="pct"/>
            <w:shd w:val="clear" w:color="000000" w:fill="FFFFFF"/>
            <w:vAlign w:val="center"/>
          </w:tcPr>
          <w:p w14:paraId="33516E0D">
            <w:pPr>
              <w:jc w:val="center"/>
              <w:rPr>
                <w:rFonts w:ascii="宋体" w:hAnsi="宋体" w:cs="宋体"/>
                <w:szCs w:val="21"/>
              </w:rPr>
            </w:pPr>
          </w:p>
        </w:tc>
      </w:tr>
      <w:tr w14:paraId="75C32264">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73" w:type="dxa"/>
            <w:shd w:val="clear" w:color="000000" w:fill="FFFFFF"/>
            <w:vAlign w:val="center"/>
          </w:tcPr>
          <w:p w14:paraId="1D1FC592">
            <w:pPr>
              <w:jc w:val="center"/>
              <w:rPr>
                <w:kern w:val="0"/>
                <w:szCs w:val="21"/>
              </w:rPr>
            </w:pPr>
            <w:r>
              <w:rPr>
                <w:rFonts w:hint="eastAsia"/>
                <w:szCs w:val="21"/>
                <w:lang w:val="en-US" w:eastAsia="zh-CN"/>
              </w:rPr>
              <w:t>200</w:t>
            </w:r>
          </w:p>
        </w:tc>
        <w:tc>
          <w:tcPr>
            <w:tcW w:w="1040" w:type="dxa"/>
            <w:shd w:val="clear" w:color="000000" w:fill="FFFFFF"/>
            <w:vAlign w:val="center"/>
          </w:tcPr>
          <w:p w14:paraId="7C1BF6A7">
            <w:pPr>
              <w:jc w:val="center"/>
              <w:rPr>
                <w:rFonts w:hint="eastAsia"/>
                <w:szCs w:val="21"/>
                <w:lang w:val="en-US" w:eastAsia="zh-CN"/>
              </w:rPr>
            </w:pPr>
            <w:r>
              <w:rPr>
                <w:rFonts w:hint="eastAsia"/>
                <w:szCs w:val="21"/>
                <w:lang w:val="en-US" w:eastAsia="zh-CN"/>
              </w:rPr>
              <w:t>1.288</w:t>
            </w:r>
          </w:p>
        </w:tc>
        <w:tc>
          <w:tcPr>
            <w:tcW w:w="1523" w:type="dxa"/>
            <w:gridSpan w:val="2"/>
            <w:shd w:val="clear" w:color="000000" w:fill="FFFFFF"/>
            <w:vAlign w:val="center"/>
          </w:tcPr>
          <w:p w14:paraId="27EBD05E">
            <w:pPr>
              <w:jc w:val="center"/>
              <w:rPr>
                <w:rFonts w:hint="eastAsia"/>
                <w:szCs w:val="21"/>
                <w:lang w:val="en-US" w:eastAsia="zh-CN"/>
              </w:rPr>
            </w:pPr>
            <w:r>
              <w:rPr>
                <w:rFonts w:hint="eastAsia"/>
                <w:szCs w:val="21"/>
                <w:lang w:val="en-US" w:eastAsia="zh-CN"/>
              </w:rPr>
              <w:t>2.86222E-001</w:t>
            </w:r>
          </w:p>
        </w:tc>
        <w:tc>
          <w:tcPr>
            <w:tcW w:w="1210" w:type="dxa"/>
            <w:shd w:val="clear" w:color="000000" w:fill="FFFFFF"/>
            <w:vAlign w:val="center"/>
          </w:tcPr>
          <w:p w14:paraId="7B948C40">
            <w:pPr>
              <w:jc w:val="center"/>
              <w:rPr>
                <w:kern w:val="0"/>
                <w:szCs w:val="21"/>
              </w:rPr>
            </w:pPr>
            <w:r>
              <w:rPr>
                <w:rFonts w:hint="eastAsia"/>
                <w:szCs w:val="21"/>
                <w:lang w:val="en-US" w:eastAsia="zh-CN"/>
              </w:rPr>
              <w:t>200</w:t>
            </w:r>
          </w:p>
        </w:tc>
        <w:tc>
          <w:tcPr>
            <w:tcW w:w="1144" w:type="dxa"/>
            <w:shd w:val="clear" w:color="000000" w:fill="FFFFFF"/>
            <w:vAlign w:val="center"/>
          </w:tcPr>
          <w:p w14:paraId="2CA51ED2">
            <w:pPr>
              <w:jc w:val="center"/>
              <w:rPr>
                <w:rFonts w:hint="eastAsia"/>
                <w:szCs w:val="21"/>
                <w:lang w:val="en-US" w:eastAsia="zh-CN"/>
              </w:rPr>
            </w:pPr>
            <w:r>
              <w:rPr>
                <w:rFonts w:hint="eastAsia"/>
                <w:szCs w:val="21"/>
                <w:lang w:val="en-US" w:eastAsia="zh-CN"/>
              </w:rPr>
              <w:t>3.3656</w:t>
            </w:r>
          </w:p>
        </w:tc>
        <w:tc>
          <w:tcPr>
            <w:tcW w:w="1676" w:type="dxa"/>
            <w:gridSpan w:val="3"/>
            <w:shd w:val="clear" w:color="000000" w:fill="FFFFFF"/>
            <w:vAlign w:val="center"/>
          </w:tcPr>
          <w:p w14:paraId="38D1896C">
            <w:pPr>
              <w:jc w:val="center"/>
              <w:rPr>
                <w:rFonts w:hint="eastAsia"/>
                <w:szCs w:val="21"/>
                <w:lang w:val="en-US" w:eastAsia="zh-CN"/>
              </w:rPr>
            </w:pPr>
            <w:r>
              <w:rPr>
                <w:rFonts w:hint="eastAsia"/>
                <w:szCs w:val="21"/>
                <w:lang w:val="en-US" w:eastAsia="zh-CN"/>
              </w:rPr>
              <w:t>7.47911E-001</w:t>
            </w:r>
          </w:p>
        </w:tc>
        <w:tc>
          <w:tcPr>
            <w:tcW w:w="776" w:type="pct"/>
            <w:shd w:val="clear" w:color="000000" w:fill="FFFFFF"/>
            <w:vAlign w:val="center"/>
          </w:tcPr>
          <w:p w14:paraId="1C34D267">
            <w:pPr>
              <w:jc w:val="center"/>
              <w:rPr>
                <w:rFonts w:ascii="宋体" w:hAnsi="宋体" w:cs="宋体"/>
                <w:szCs w:val="21"/>
              </w:rPr>
            </w:pPr>
          </w:p>
        </w:tc>
      </w:tr>
      <w:tr w14:paraId="61AD11B4">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73" w:type="dxa"/>
            <w:shd w:val="clear" w:color="000000" w:fill="FFFFFF"/>
            <w:vAlign w:val="center"/>
          </w:tcPr>
          <w:p w14:paraId="6176C0FF">
            <w:pPr>
              <w:jc w:val="center"/>
              <w:rPr>
                <w:kern w:val="0"/>
                <w:szCs w:val="21"/>
              </w:rPr>
            </w:pPr>
            <w:r>
              <w:rPr>
                <w:rFonts w:hint="eastAsia"/>
                <w:szCs w:val="21"/>
                <w:lang w:val="en-US" w:eastAsia="zh-CN"/>
              </w:rPr>
              <w:t>300</w:t>
            </w:r>
          </w:p>
        </w:tc>
        <w:tc>
          <w:tcPr>
            <w:tcW w:w="1040" w:type="dxa"/>
            <w:shd w:val="clear" w:color="000000" w:fill="FFFFFF"/>
            <w:vAlign w:val="center"/>
          </w:tcPr>
          <w:p w14:paraId="52F61E53">
            <w:pPr>
              <w:jc w:val="center"/>
              <w:rPr>
                <w:rFonts w:hint="eastAsia"/>
                <w:szCs w:val="21"/>
                <w:lang w:val="en-US" w:eastAsia="zh-CN"/>
              </w:rPr>
            </w:pPr>
            <w:r>
              <w:rPr>
                <w:rFonts w:hint="eastAsia"/>
                <w:szCs w:val="21"/>
                <w:lang w:val="en-US" w:eastAsia="zh-CN"/>
              </w:rPr>
              <w:t>1.0438</w:t>
            </w:r>
          </w:p>
        </w:tc>
        <w:tc>
          <w:tcPr>
            <w:tcW w:w="1523" w:type="dxa"/>
            <w:gridSpan w:val="2"/>
            <w:shd w:val="clear" w:color="000000" w:fill="FFFFFF"/>
            <w:vAlign w:val="center"/>
          </w:tcPr>
          <w:p w14:paraId="54DB7E85">
            <w:pPr>
              <w:jc w:val="center"/>
              <w:rPr>
                <w:rFonts w:hint="eastAsia"/>
                <w:szCs w:val="21"/>
                <w:lang w:val="en-US" w:eastAsia="zh-CN"/>
              </w:rPr>
            </w:pPr>
            <w:r>
              <w:rPr>
                <w:rFonts w:hint="eastAsia"/>
                <w:szCs w:val="21"/>
                <w:lang w:val="en-US" w:eastAsia="zh-CN"/>
              </w:rPr>
              <w:t>2.31956E-001</w:t>
            </w:r>
          </w:p>
        </w:tc>
        <w:tc>
          <w:tcPr>
            <w:tcW w:w="1210" w:type="dxa"/>
            <w:shd w:val="clear" w:color="000000" w:fill="FFFFFF"/>
            <w:vAlign w:val="center"/>
          </w:tcPr>
          <w:p w14:paraId="0293B084">
            <w:pPr>
              <w:jc w:val="center"/>
              <w:rPr>
                <w:kern w:val="0"/>
                <w:szCs w:val="21"/>
              </w:rPr>
            </w:pPr>
            <w:r>
              <w:rPr>
                <w:rFonts w:hint="eastAsia"/>
                <w:szCs w:val="21"/>
                <w:lang w:val="en-US" w:eastAsia="zh-CN"/>
              </w:rPr>
              <w:t>300</w:t>
            </w:r>
          </w:p>
        </w:tc>
        <w:tc>
          <w:tcPr>
            <w:tcW w:w="1144" w:type="dxa"/>
            <w:shd w:val="clear" w:color="000000" w:fill="FFFFFF"/>
            <w:vAlign w:val="center"/>
          </w:tcPr>
          <w:p w14:paraId="27159B84">
            <w:pPr>
              <w:jc w:val="center"/>
              <w:rPr>
                <w:rFonts w:hint="eastAsia"/>
                <w:szCs w:val="21"/>
                <w:lang w:val="en-US" w:eastAsia="zh-CN"/>
              </w:rPr>
            </w:pPr>
            <w:r>
              <w:rPr>
                <w:rFonts w:hint="eastAsia"/>
                <w:szCs w:val="21"/>
                <w:lang w:val="en-US" w:eastAsia="zh-CN"/>
              </w:rPr>
              <w:t>2.7276</w:t>
            </w:r>
          </w:p>
        </w:tc>
        <w:tc>
          <w:tcPr>
            <w:tcW w:w="1676" w:type="dxa"/>
            <w:gridSpan w:val="3"/>
            <w:shd w:val="clear" w:color="000000" w:fill="FFFFFF"/>
            <w:vAlign w:val="center"/>
          </w:tcPr>
          <w:p w14:paraId="0DB207D1">
            <w:pPr>
              <w:jc w:val="center"/>
              <w:rPr>
                <w:rFonts w:hint="eastAsia"/>
                <w:szCs w:val="21"/>
                <w:lang w:val="en-US" w:eastAsia="zh-CN"/>
              </w:rPr>
            </w:pPr>
            <w:r>
              <w:rPr>
                <w:rFonts w:hint="eastAsia"/>
                <w:szCs w:val="21"/>
                <w:lang w:val="en-US" w:eastAsia="zh-CN"/>
              </w:rPr>
              <w:t>6.06133E-001</w:t>
            </w:r>
          </w:p>
        </w:tc>
        <w:tc>
          <w:tcPr>
            <w:tcW w:w="776" w:type="pct"/>
            <w:shd w:val="clear" w:color="000000" w:fill="FFFFFF"/>
            <w:vAlign w:val="center"/>
          </w:tcPr>
          <w:p w14:paraId="2A2F1E2E">
            <w:pPr>
              <w:jc w:val="center"/>
              <w:rPr>
                <w:rFonts w:ascii="宋体" w:hAnsi="宋体" w:cs="宋体"/>
                <w:szCs w:val="21"/>
              </w:rPr>
            </w:pPr>
          </w:p>
        </w:tc>
      </w:tr>
      <w:tr w14:paraId="5FF9124D">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73" w:type="dxa"/>
            <w:shd w:val="clear" w:color="000000" w:fill="FFFFFF"/>
            <w:vAlign w:val="center"/>
          </w:tcPr>
          <w:p w14:paraId="2A2A353E">
            <w:pPr>
              <w:jc w:val="center"/>
              <w:rPr>
                <w:kern w:val="0"/>
                <w:szCs w:val="21"/>
              </w:rPr>
            </w:pPr>
            <w:r>
              <w:rPr>
                <w:rFonts w:hint="eastAsia"/>
                <w:szCs w:val="21"/>
                <w:lang w:val="en-US" w:eastAsia="zh-CN"/>
              </w:rPr>
              <w:t>400</w:t>
            </w:r>
          </w:p>
        </w:tc>
        <w:tc>
          <w:tcPr>
            <w:tcW w:w="1040" w:type="dxa"/>
            <w:shd w:val="clear" w:color="000000" w:fill="FFFFFF"/>
            <w:vAlign w:val="center"/>
          </w:tcPr>
          <w:p w14:paraId="7A1D90D9">
            <w:pPr>
              <w:jc w:val="center"/>
              <w:rPr>
                <w:rFonts w:hint="eastAsia"/>
                <w:szCs w:val="21"/>
                <w:lang w:val="en-US" w:eastAsia="zh-CN"/>
              </w:rPr>
            </w:pPr>
            <w:r>
              <w:rPr>
                <w:rFonts w:hint="eastAsia"/>
                <w:szCs w:val="21"/>
                <w:lang w:val="en-US" w:eastAsia="zh-CN"/>
              </w:rPr>
              <w:t>0.97164</w:t>
            </w:r>
          </w:p>
        </w:tc>
        <w:tc>
          <w:tcPr>
            <w:tcW w:w="1523" w:type="dxa"/>
            <w:gridSpan w:val="2"/>
            <w:shd w:val="clear" w:color="000000" w:fill="FFFFFF"/>
            <w:vAlign w:val="center"/>
          </w:tcPr>
          <w:p w14:paraId="44C764A9">
            <w:pPr>
              <w:jc w:val="center"/>
              <w:rPr>
                <w:rFonts w:hint="eastAsia"/>
                <w:szCs w:val="21"/>
                <w:lang w:val="en-US" w:eastAsia="zh-CN"/>
              </w:rPr>
            </w:pPr>
            <w:r>
              <w:rPr>
                <w:rFonts w:hint="eastAsia"/>
                <w:szCs w:val="21"/>
                <w:lang w:val="en-US" w:eastAsia="zh-CN"/>
              </w:rPr>
              <w:t>2.15920E-001</w:t>
            </w:r>
          </w:p>
        </w:tc>
        <w:tc>
          <w:tcPr>
            <w:tcW w:w="1210" w:type="dxa"/>
            <w:shd w:val="clear" w:color="000000" w:fill="FFFFFF"/>
            <w:vAlign w:val="center"/>
          </w:tcPr>
          <w:p w14:paraId="51898582">
            <w:pPr>
              <w:jc w:val="center"/>
              <w:rPr>
                <w:kern w:val="0"/>
                <w:szCs w:val="21"/>
              </w:rPr>
            </w:pPr>
            <w:r>
              <w:rPr>
                <w:rFonts w:hint="eastAsia"/>
                <w:szCs w:val="21"/>
                <w:lang w:val="en-US" w:eastAsia="zh-CN"/>
              </w:rPr>
              <w:t>400</w:t>
            </w:r>
          </w:p>
        </w:tc>
        <w:tc>
          <w:tcPr>
            <w:tcW w:w="1144" w:type="dxa"/>
            <w:shd w:val="clear" w:color="000000" w:fill="FFFFFF"/>
            <w:vAlign w:val="center"/>
          </w:tcPr>
          <w:p w14:paraId="0B5FB0DD">
            <w:pPr>
              <w:jc w:val="center"/>
              <w:rPr>
                <w:rFonts w:hint="eastAsia"/>
                <w:szCs w:val="21"/>
                <w:lang w:val="en-US" w:eastAsia="zh-CN"/>
              </w:rPr>
            </w:pPr>
            <w:r>
              <w:rPr>
                <w:rFonts w:hint="eastAsia"/>
                <w:szCs w:val="21"/>
                <w:lang w:val="en-US" w:eastAsia="zh-CN"/>
              </w:rPr>
              <w:t>2.5389</w:t>
            </w:r>
          </w:p>
        </w:tc>
        <w:tc>
          <w:tcPr>
            <w:tcW w:w="1676" w:type="dxa"/>
            <w:gridSpan w:val="3"/>
            <w:shd w:val="clear" w:color="000000" w:fill="FFFFFF"/>
            <w:vAlign w:val="center"/>
          </w:tcPr>
          <w:p w14:paraId="1CBC6D7B">
            <w:pPr>
              <w:jc w:val="center"/>
              <w:rPr>
                <w:rFonts w:hint="eastAsia"/>
                <w:szCs w:val="21"/>
                <w:lang w:val="en-US" w:eastAsia="zh-CN"/>
              </w:rPr>
            </w:pPr>
            <w:r>
              <w:rPr>
                <w:rFonts w:hint="eastAsia"/>
                <w:szCs w:val="21"/>
                <w:lang w:val="en-US" w:eastAsia="zh-CN"/>
              </w:rPr>
              <w:t>5.64200E-001</w:t>
            </w:r>
          </w:p>
        </w:tc>
        <w:tc>
          <w:tcPr>
            <w:tcW w:w="776" w:type="pct"/>
            <w:shd w:val="clear" w:color="000000" w:fill="FFFFFF"/>
            <w:vAlign w:val="center"/>
          </w:tcPr>
          <w:p w14:paraId="05AA6BFC">
            <w:pPr>
              <w:jc w:val="center"/>
              <w:rPr>
                <w:rFonts w:ascii="宋体" w:hAnsi="宋体" w:cs="宋体"/>
                <w:szCs w:val="21"/>
              </w:rPr>
            </w:pPr>
          </w:p>
        </w:tc>
      </w:tr>
      <w:tr w14:paraId="61C5B7D0">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73" w:type="dxa"/>
            <w:shd w:val="clear" w:color="000000" w:fill="FFFFFF"/>
            <w:vAlign w:val="center"/>
          </w:tcPr>
          <w:p w14:paraId="4B3141EE">
            <w:pPr>
              <w:jc w:val="center"/>
              <w:rPr>
                <w:kern w:val="0"/>
                <w:szCs w:val="21"/>
              </w:rPr>
            </w:pPr>
            <w:r>
              <w:rPr>
                <w:rFonts w:hint="eastAsia"/>
                <w:szCs w:val="21"/>
                <w:lang w:val="en-US" w:eastAsia="zh-CN"/>
              </w:rPr>
              <w:t>500</w:t>
            </w:r>
          </w:p>
        </w:tc>
        <w:tc>
          <w:tcPr>
            <w:tcW w:w="1040" w:type="dxa"/>
            <w:shd w:val="clear" w:color="000000" w:fill="FFFFFF"/>
            <w:vAlign w:val="center"/>
          </w:tcPr>
          <w:p w14:paraId="2C4ABB0E">
            <w:pPr>
              <w:jc w:val="center"/>
              <w:rPr>
                <w:rFonts w:hint="eastAsia"/>
                <w:szCs w:val="21"/>
                <w:lang w:val="en-US" w:eastAsia="zh-CN"/>
              </w:rPr>
            </w:pPr>
            <w:r>
              <w:rPr>
                <w:rFonts w:hint="eastAsia"/>
                <w:szCs w:val="21"/>
                <w:lang w:val="en-US" w:eastAsia="zh-CN"/>
              </w:rPr>
              <w:t>0.87032</w:t>
            </w:r>
          </w:p>
        </w:tc>
        <w:tc>
          <w:tcPr>
            <w:tcW w:w="1523" w:type="dxa"/>
            <w:gridSpan w:val="2"/>
            <w:shd w:val="clear" w:color="000000" w:fill="FFFFFF"/>
            <w:vAlign w:val="center"/>
          </w:tcPr>
          <w:p w14:paraId="5E85F846">
            <w:pPr>
              <w:jc w:val="center"/>
              <w:rPr>
                <w:rFonts w:hint="eastAsia"/>
                <w:szCs w:val="21"/>
                <w:lang w:val="en-US" w:eastAsia="zh-CN"/>
              </w:rPr>
            </w:pPr>
            <w:r>
              <w:rPr>
                <w:rFonts w:hint="eastAsia"/>
                <w:szCs w:val="21"/>
                <w:lang w:val="en-US" w:eastAsia="zh-CN"/>
              </w:rPr>
              <w:t>1.93404E-001</w:t>
            </w:r>
          </w:p>
        </w:tc>
        <w:tc>
          <w:tcPr>
            <w:tcW w:w="1210" w:type="dxa"/>
            <w:shd w:val="clear" w:color="000000" w:fill="FFFFFF"/>
            <w:vAlign w:val="center"/>
          </w:tcPr>
          <w:p w14:paraId="428FB140">
            <w:pPr>
              <w:jc w:val="center"/>
              <w:rPr>
                <w:kern w:val="0"/>
                <w:szCs w:val="21"/>
              </w:rPr>
            </w:pPr>
            <w:r>
              <w:rPr>
                <w:rFonts w:hint="eastAsia"/>
                <w:szCs w:val="21"/>
                <w:lang w:val="en-US" w:eastAsia="zh-CN"/>
              </w:rPr>
              <w:t>500</w:t>
            </w:r>
          </w:p>
        </w:tc>
        <w:tc>
          <w:tcPr>
            <w:tcW w:w="1144" w:type="dxa"/>
            <w:shd w:val="clear" w:color="000000" w:fill="FFFFFF"/>
            <w:vAlign w:val="center"/>
          </w:tcPr>
          <w:p w14:paraId="52DF0C43">
            <w:pPr>
              <w:jc w:val="center"/>
              <w:rPr>
                <w:rFonts w:hint="eastAsia"/>
                <w:szCs w:val="21"/>
                <w:lang w:val="en-US" w:eastAsia="zh-CN"/>
              </w:rPr>
            </w:pPr>
            <w:r>
              <w:rPr>
                <w:rFonts w:hint="eastAsia"/>
                <w:szCs w:val="21"/>
                <w:lang w:val="en-US" w:eastAsia="zh-CN"/>
              </w:rPr>
              <w:t>2.2741</w:t>
            </w:r>
          </w:p>
        </w:tc>
        <w:tc>
          <w:tcPr>
            <w:tcW w:w="1676" w:type="dxa"/>
            <w:gridSpan w:val="3"/>
            <w:shd w:val="clear" w:color="000000" w:fill="FFFFFF"/>
            <w:vAlign w:val="center"/>
          </w:tcPr>
          <w:p w14:paraId="1E6B2BC8">
            <w:pPr>
              <w:jc w:val="center"/>
              <w:rPr>
                <w:rFonts w:hint="eastAsia"/>
                <w:szCs w:val="21"/>
                <w:lang w:val="en-US" w:eastAsia="zh-CN"/>
              </w:rPr>
            </w:pPr>
            <w:r>
              <w:rPr>
                <w:rFonts w:hint="eastAsia"/>
                <w:szCs w:val="21"/>
                <w:lang w:val="en-US" w:eastAsia="zh-CN"/>
              </w:rPr>
              <w:t>5.05356E-001</w:t>
            </w:r>
          </w:p>
        </w:tc>
        <w:tc>
          <w:tcPr>
            <w:tcW w:w="776" w:type="pct"/>
            <w:shd w:val="clear" w:color="000000" w:fill="FFFFFF"/>
            <w:vAlign w:val="center"/>
          </w:tcPr>
          <w:p w14:paraId="5847A465">
            <w:pPr>
              <w:jc w:val="center"/>
              <w:rPr>
                <w:rFonts w:ascii="宋体" w:hAnsi="宋体" w:cs="宋体"/>
                <w:szCs w:val="21"/>
              </w:rPr>
            </w:pPr>
          </w:p>
        </w:tc>
      </w:tr>
      <w:tr w14:paraId="6DA29A4D">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73" w:type="dxa"/>
            <w:shd w:val="clear" w:color="000000" w:fill="FFFFFF"/>
            <w:vAlign w:val="center"/>
          </w:tcPr>
          <w:p w14:paraId="22452A1A">
            <w:pPr>
              <w:jc w:val="center"/>
              <w:rPr>
                <w:kern w:val="0"/>
                <w:szCs w:val="21"/>
              </w:rPr>
            </w:pPr>
            <w:r>
              <w:rPr>
                <w:rFonts w:hint="eastAsia"/>
                <w:szCs w:val="21"/>
                <w:lang w:val="en-US" w:eastAsia="zh-CN"/>
              </w:rPr>
              <w:t>600</w:t>
            </w:r>
          </w:p>
        </w:tc>
        <w:tc>
          <w:tcPr>
            <w:tcW w:w="1040" w:type="dxa"/>
            <w:shd w:val="clear" w:color="000000" w:fill="FFFFFF"/>
            <w:vAlign w:val="center"/>
          </w:tcPr>
          <w:p w14:paraId="6654039D">
            <w:pPr>
              <w:jc w:val="center"/>
              <w:rPr>
                <w:rFonts w:hint="eastAsia"/>
                <w:szCs w:val="21"/>
                <w:lang w:val="en-US" w:eastAsia="zh-CN"/>
              </w:rPr>
            </w:pPr>
            <w:r>
              <w:rPr>
                <w:rFonts w:hint="eastAsia"/>
                <w:szCs w:val="21"/>
                <w:lang w:val="en-US" w:eastAsia="zh-CN"/>
              </w:rPr>
              <w:t>0.7657</w:t>
            </w:r>
          </w:p>
        </w:tc>
        <w:tc>
          <w:tcPr>
            <w:tcW w:w="1523" w:type="dxa"/>
            <w:gridSpan w:val="2"/>
            <w:shd w:val="clear" w:color="000000" w:fill="FFFFFF"/>
            <w:vAlign w:val="center"/>
          </w:tcPr>
          <w:p w14:paraId="3BBE5770">
            <w:pPr>
              <w:jc w:val="center"/>
              <w:rPr>
                <w:rFonts w:hint="eastAsia"/>
                <w:szCs w:val="21"/>
                <w:lang w:val="en-US" w:eastAsia="zh-CN"/>
              </w:rPr>
            </w:pPr>
            <w:r>
              <w:rPr>
                <w:rFonts w:hint="eastAsia"/>
                <w:szCs w:val="21"/>
                <w:lang w:val="en-US" w:eastAsia="zh-CN"/>
              </w:rPr>
              <w:t>1.70156E-001</w:t>
            </w:r>
          </w:p>
        </w:tc>
        <w:tc>
          <w:tcPr>
            <w:tcW w:w="1210" w:type="dxa"/>
            <w:shd w:val="clear" w:color="000000" w:fill="FFFFFF"/>
            <w:vAlign w:val="center"/>
          </w:tcPr>
          <w:p w14:paraId="338F1458">
            <w:pPr>
              <w:jc w:val="center"/>
              <w:rPr>
                <w:kern w:val="0"/>
                <w:szCs w:val="21"/>
              </w:rPr>
            </w:pPr>
            <w:r>
              <w:rPr>
                <w:rFonts w:hint="eastAsia"/>
                <w:szCs w:val="21"/>
                <w:lang w:val="en-US" w:eastAsia="zh-CN"/>
              </w:rPr>
              <w:t>600</w:t>
            </w:r>
          </w:p>
        </w:tc>
        <w:tc>
          <w:tcPr>
            <w:tcW w:w="1144" w:type="dxa"/>
            <w:shd w:val="clear" w:color="000000" w:fill="FFFFFF"/>
            <w:vAlign w:val="center"/>
          </w:tcPr>
          <w:p w14:paraId="4E45BBBF">
            <w:pPr>
              <w:jc w:val="center"/>
              <w:rPr>
                <w:rFonts w:hint="eastAsia"/>
                <w:szCs w:val="21"/>
                <w:lang w:val="en-US" w:eastAsia="zh-CN"/>
              </w:rPr>
            </w:pPr>
            <w:r>
              <w:rPr>
                <w:rFonts w:hint="eastAsia"/>
                <w:szCs w:val="21"/>
                <w:lang w:val="en-US" w:eastAsia="zh-CN"/>
              </w:rPr>
              <w:t>2.0008</w:t>
            </w:r>
          </w:p>
        </w:tc>
        <w:tc>
          <w:tcPr>
            <w:tcW w:w="1676" w:type="dxa"/>
            <w:gridSpan w:val="3"/>
            <w:shd w:val="clear" w:color="000000" w:fill="FFFFFF"/>
            <w:vAlign w:val="center"/>
          </w:tcPr>
          <w:p w14:paraId="75CC9C7C">
            <w:pPr>
              <w:jc w:val="center"/>
              <w:rPr>
                <w:rFonts w:hint="eastAsia"/>
                <w:szCs w:val="21"/>
                <w:lang w:val="en-US" w:eastAsia="zh-CN"/>
              </w:rPr>
            </w:pPr>
            <w:r>
              <w:rPr>
                <w:rFonts w:hint="eastAsia"/>
                <w:szCs w:val="21"/>
                <w:lang w:val="en-US" w:eastAsia="zh-CN"/>
              </w:rPr>
              <w:t>4.44622E-001</w:t>
            </w:r>
          </w:p>
        </w:tc>
        <w:tc>
          <w:tcPr>
            <w:tcW w:w="776" w:type="pct"/>
            <w:shd w:val="clear" w:color="000000" w:fill="FFFFFF"/>
            <w:vAlign w:val="center"/>
          </w:tcPr>
          <w:p w14:paraId="2D8B66F7">
            <w:pPr>
              <w:jc w:val="center"/>
              <w:rPr>
                <w:rFonts w:ascii="宋体" w:hAnsi="宋体" w:cs="宋体"/>
                <w:szCs w:val="21"/>
              </w:rPr>
            </w:pPr>
          </w:p>
        </w:tc>
      </w:tr>
      <w:tr w14:paraId="69DFC4A6">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73" w:type="dxa"/>
            <w:shd w:val="clear" w:color="000000" w:fill="FFFFFF"/>
            <w:vAlign w:val="center"/>
          </w:tcPr>
          <w:p w14:paraId="51D3F620">
            <w:pPr>
              <w:jc w:val="center"/>
              <w:rPr>
                <w:kern w:val="0"/>
                <w:szCs w:val="21"/>
              </w:rPr>
            </w:pPr>
            <w:r>
              <w:rPr>
                <w:rFonts w:hint="eastAsia"/>
                <w:szCs w:val="21"/>
                <w:lang w:val="en-US" w:eastAsia="zh-CN"/>
              </w:rPr>
              <w:t>700</w:t>
            </w:r>
          </w:p>
        </w:tc>
        <w:tc>
          <w:tcPr>
            <w:tcW w:w="1040" w:type="dxa"/>
            <w:shd w:val="clear" w:color="000000" w:fill="FFFFFF"/>
            <w:vAlign w:val="center"/>
          </w:tcPr>
          <w:p w14:paraId="78A7D3FC">
            <w:pPr>
              <w:jc w:val="center"/>
              <w:rPr>
                <w:rFonts w:hint="eastAsia"/>
                <w:szCs w:val="21"/>
                <w:lang w:val="en-US" w:eastAsia="zh-CN"/>
              </w:rPr>
            </w:pPr>
            <w:r>
              <w:rPr>
                <w:rFonts w:hint="eastAsia"/>
                <w:szCs w:val="21"/>
                <w:lang w:val="en-US" w:eastAsia="zh-CN"/>
              </w:rPr>
              <w:t>0.69481</w:t>
            </w:r>
          </w:p>
        </w:tc>
        <w:tc>
          <w:tcPr>
            <w:tcW w:w="1523" w:type="dxa"/>
            <w:gridSpan w:val="2"/>
            <w:shd w:val="clear" w:color="000000" w:fill="FFFFFF"/>
            <w:vAlign w:val="center"/>
          </w:tcPr>
          <w:p w14:paraId="231E70A4">
            <w:pPr>
              <w:jc w:val="center"/>
              <w:rPr>
                <w:rFonts w:hint="eastAsia"/>
                <w:szCs w:val="21"/>
                <w:lang w:val="en-US" w:eastAsia="zh-CN"/>
              </w:rPr>
            </w:pPr>
            <w:r>
              <w:rPr>
                <w:rFonts w:hint="eastAsia"/>
                <w:szCs w:val="21"/>
                <w:lang w:val="en-US" w:eastAsia="zh-CN"/>
              </w:rPr>
              <w:t>1.54402E-001</w:t>
            </w:r>
          </w:p>
        </w:tc>
        <w:tc>
          <w:tcPr>
            <w:tcW w:w="1210" w:type="dxa"/>
            <w:shd w:val="clear" w:color="000000" w:fill="FFFFFF"/>
            <w:vAlign w:val="center"/>
          </w:tcPr>
          <w:p w14:paraId="7D794364">
            <w:pPr>
              <w:jc w:val="center"/>
              <w:rPr>
                <w:kern w:val="0"/>
                <w:szCs w:val="21"/>
              </w:rPr>
            </w:pPr>
            <w:r>
              <w:rPr>
                <w:rFonts w:hint="eastAsia"/>
                <w:szCs w:val="21"/>
                <w:lang w:val="en-US" w:eastAsia="zh-CN"/>
              </w:rPr>
              <w:t>700</w:t>
            </w:r>
          </w:p>
        </w:tc>
        <w:tc>
          <w:tcPr>
            <w:tcW w:w="1144" w:type="dxa"/>
            <w:shd w:val="clear" w:color="000000" w:fill="FFFFFF"/>
            <w:vAlign w:val="center"/>
          </w:tcPr>
          <w:p w14:paraId="7955C556">
            <w:pPr>
              <w:jc w:val="center"/>
              <w:rPr>
                <w:rFonts w:hint="eastAsia"/>
                <w:szCs w:val="21"/>
                <w:lang w:val="en-US" w:eastAsia="zh-CN"/>
              </w:rPr>
            </w:pPr>
            <w:r>
              <w:rPr>
                <w:rFonts w:hint="eastAsia"/>
                <w:szCs w:val="21"/>
                <w:lang w:val="en-US" w:eastAsia="zh-CN"/>
              </w:rPr>
              <w:t>1.8155</w:t>
            </w:r>
          </w:p>
        </w:tc>
        <w:tc>
          <w:tcPr>
            <w:tcW w:w="1676" w:type="dxa"/>
            <w:gridSpan w:val="3"/>
            <w:shd w:val="clear" w:color="000000" w:fill="FFFFFF"/>
            <w:vAlign w:val="center"/>
          </w:tcPr>
          <w:p w14:paraId="409A1B23">
            <w:pPr>
              <w:jc w:val="center"/>
              <w:rPr>
                <w:rFonts w:hint="eastAsia"/>
                <w:szCs w:val="21"/>
                <w:lang w:val="en-US" w:eastAsia="zh-CN"/>
              </w:rPr>
            </w:pPr>
            <w:r>
              <w:rPr>
                <w:rFonts w:hint="eastAsia"/>
                <w:szCs w:val="21"/>
                <w:lang w:val="en-US" w:eastAsia="zh-CN"/>
              </w:rPr>
              <w:t>4.03444E-001</w:t>
            </w:r>
          </w:p>
        </w:tc>
        <w:tc>
          <w:tcPr>
            <w:tcW w:w="776" w:type="pct"/>
            <w:shd w:val="clear" w:color="000000" w:fill="FFFFFF"/>
            <w:vAlign w:val="center"/>
          </w:tcPr>
          <w:p w14:paraId="17DCA623">
            <w:pPr>
              <w:jc w:val="center"/>
              <w:rPr>
                <w:rFonts w:ascii="宋体" w:hAnsi="宋体" w:cs="宋体"/>
                <w:szCs w:val="21"/>
              </w:rPr>
            </w:pPr>
          </w:p>
        </w:tc>
      </w:tr>
      <w:tr w14:paraId="583578B8">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73" w:type="dxa"/>
            <w:shd w:val="clear" w:color="000000" w:fill="FFFFFF"/>
            <w:vAlign w:val="center"/>
          </w:tcPr>
          <w:p w14:paraId="7D1235C3">
            <w:pPr>
              <w:jc w:val="center"/>
              <w:rPr>
                <w:kern w:val="0"/>
                <w:szCs w:val="21"/>
              </w:rPr>
            </w:pPr>
            <w:r>
              <w:rPr>
                <w:rFonts w:hint="eastAsia"/>
                <w:szCs w:val="21"/>
                <w:lang w:val="en-US" w:eastAsia="zh-CN"/>
              </w:rPr>
              <w:t>800</w:t>
            </w:r>
          </w:p>
        </w:tc>
        <w:tc>
          <w:tcPr>
            <w:tcW w:w="1040" w:type="dxa"/>
            <w:shd w:val="clear" w:color="000000" w:fill="FFFFFF"/>
            <w:vAlign w:val="center"/>
          </w:tcPr>
          <w:p w14:paraId="7117C981">
            <w:pPr>
              <w:jc w:val="center"/>
              <w:rPr>
                <w:rFonts w:hint="eastAsia"/>
                <w:szCs w:val="21"/>
                <w:lang w:val="en-US" w:eastAsia="zh-CN"/>
              </w:rPr>
            </w:pPr>
            <w:r>
              <w:rPr>
                <w:rFonts w:hint="eastAsia"/>
                <w:szCs w:val="21"/>
                <w:lang w:val="en-US" w:eastAsia="zh-CN"/>
              </w:rPr>
              <w:t>0.65328</w:t>
            </w:r>
          </w:p>
        </w:tc>
        <w:tc>
          <w:tcPr>
            <w:tcW w:w="1523" w:type="dxa"/>
            <w:gridSpan w:val="2"/>
            <w:shd w:val="clear" w:color="000000" w:fill="FFFFFF"/>
            <w:vAlign w:val="center"/>
          </w:tcPr>
          <w:p w14:paraId="5067AF64">
            <w:pPr>
              <w:jc w:val="center"/>
              <w:rPr>
                <w:rFonts w:hint="eastAsia"/>
                <w:szCs w:val="21"/>
                <w:lang w:val="en-US" w:eastAsia="zh-CN"/>
              </w:rPr>
            </w:pPr>
            <w:r>
              <w:rPr>
                <w:rFonts w:hint="eastAsia"/>
                <w:szCs w:val="21"/>
                <w:lang w:val="en-US" w:eastAsia="zh-CN"/>
              </w:rPr>
              <w:t>1.45173E-001</w:t>
            </w:r>
          </w:p>
        </w:tc>
        <w:tc>
          <w:tcPr>
            <w:tcW w:w="1210" w:type="dxa"/>
            <w:shd w:val="clear" w:color="000000" w:fill="FFFFFF"/>
            <w:vAlign w:val="center"/>
          </w:tcPr>
          <w:p w14:paraId="7C1E3301">
            <w:pPr>
              <w:jc w:val="center"/>
              <w:rPr>
                <w:kern w:val="0"/>
                <w:szCs w:val="21"/>
              </w:rPr>
            </w:pPr>
            <w:r>
              <w:rPr>
                <w:rFonts w:hint="eastAsia"/>
                <w:szCs w:val="21"/>
                <w:lang w:val="en-US" w:eastAsia="zh-CN"/>
              </w:rPr>
              <w:t>800</w:t>
            </w:r>
          </w:p>
        </w:tc>
        <w:tc>
          <w:tcPr>
            <w:tcW w:w="1144" w:type="dxa"/>
            <w:shd w:val="clear" w:color="000000" w:fill="FFFFFF"/>
            <w:vAlign w:val="center"/>
          </w:tcPr>
          <w:p w14:paraId="11CC1B04">
            <w:pPr>
              <w:jc w:val="center"/>
              <w:rPr>
                <w:rFonts w:hint="eastAsia"/>
                <w:szCs w:val="21"/>
                <w:lang w:val="en-US" w:eastAsia="zh-CN"/>
              </w:rPr>
            </w:pPr>
            <w:r>
              <w:rPr>
                <w:rFonts w:hint="eastAsia"/>
                <w:szCs w:val="21"/>
                <w:lang w:val="en-US" w:eastAsia="zh-CN"/>
              </w:rPr>
              <w:t>1.707</w:t>
            </w:r>
          </w:p>
        </w:tc>
        <w:tc>
          <w:tcPr>
            <w:tcW w:w="1676" w:type="dxa"/>
            <w:gridSpan w:val="3"/>
            <w:shd w:val="clear" w:color="000000" w:fill="FFFFFF"/>
            <w:vAlign w:val="center"/>
          </w:tcPr>
          <w:p w14:paraId="30C1F4AF">
            <w:pPr>
              <w:jc w:val="center"/>
              <w:rPr>
                <w:rFonts w:hint="eastAsia"/>
                <w:szCs w:val="21"/>
                <w:lang w:val="en-US" w:eastAsia="zh-CN"/>
              </w:rPr>
            </w:pPr>
            <w:r>
              <w:rPr>
                <w:rFonts w:hint="eastAsia"/>
                <w:szCs w:val="21"/>
                <w:lang w:val="en-US" w:eastAsia="zh-CN"/>
              </w:rPr>
              <w:t>3.79333E-001</w:t>
            </w:r>
          </w:p>
        </w:tc>
        <w:tc>
          <w:tcPr>
            <w:tcW w:w="776" w:type="pct"/>
            <w:shd w:val="clear" w:color="000000" w:fill="FFFFFF"/>
            <w:vAlign w:val="center"/>
          </w:tcPr>
          <w:p w14:paraId="70071CCE">
            <w:pPr>
              <w:jc w:val="center"/>
              <w:rPr>
                <w:rFonts w:ascii="宋体" w:hAnsi="宋体" w:cs="宋体"/>
                <w:szCs w:val="21"/>
              </w:rPr>
            </w:pPr>
          </w:p>
        </w:tc>
      </w:tr>
      <w:tr w14:paraId="13FBAA25">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73" w:type="dxa"/>
            <w:shd w:val="clear" w:color="000000" w:fill="FFFFFF"/>
            <w:vAlign w:val="center"/>
          </w:tcPr>
          <w:p w14:paraId="7428B498">
            <w:pPr>
              <w:jc w:val="center"/>
              <w:rPr>
                <w:kern w:val="0"/>
                <w:szCs w:val="21"/>
              </w:rPr>
            </w:pPr>
            <w:r>
              <w:rPr>
                <w:rFonts w:hint="eastAsia"/>
                <w:szCs w:val="21"/>
                <w:lang w:val="en-US" w:eastAsia="zh-CN"/>
              </w:rPr>
              <w:t>900</w:t>
            </w:r>
          </w:p>
        </w:tc>
        <w:tc>
          <w:tcPr>
            <w:tcW w:w="1040" w:type="dxa"/>
            <w:shd w:val="clear" w:color="000000" w:fill="FFFFFF"/>
            <w:vAlign w:val="center"/>
          </w:tcPr>
          <w:p w14:paraId="52A669C3">
            <w:pPr>
              <w:jc w:val="center"/>
              <w:rPr>
                <w:rFonts w:hint="eastAsia"/>
                <w:szCs w:val="21"/>
                <w:lang w:val="en-US" w:eastAsia="zh-CN"/>
              </w:rPr>
            </w:pPr>
            <w:r>
              <w:rPr>
                <w:rFonts w:hint="eastAsia"/>
                <w:szCs w:val="21"/>
                <w:lang w:val="en-US" w:eastAsia="zh-CN"/>
              </w:rPr>
              <w:t>0.60944</w:t>
            </w:r>
          </w:p>
        </w:tc>
        <w:tc>
          <w:tcPr>
            <w:tcW w:w="1523" w:type="dxa"/>
            <w:gridSpan w:val="2"/>
            <w:shd w:val="clear" w:color="000000" w:fill="FFFFFF"/>
            <w:vAlign w:val="center"/>
          </w:tcPr>
          <w:p w14:paraId="1F4D97C5">
            <w:pPr>
              <w:jc w:val="center"/>
              <w:rPr>
                <w:rFonts w:hint="eastAsia"/>
                <w:szCs w:val="21"/>
                <w:lang w:val="en-US" w:eastAsia="zh-CN"/>
              </w:rPr>
            </w:pPr>
            <w:r>
              <w:rPr>
                <w:rFonts w:hint="eastAsia"/>
                <w:szCs w:val="21"/>
                <w:lang w:val="en-US" w:eastAsia="zh-CN"/>
              </w:rPr>
              <w:t>1.35431E-001</w:t>
            </w:r>
          </w:p>
        </w:tc>
        <w:tc>
          <w:tcPr>
            <w:tcW w:w="1210" w:type="dxa"/>
            <w:shd w:val="clear" w:color="000000" w:fill="FFFFFF"/>
            <w:vAlign w:val="center"/>
          </w:tcPr>
          <w:p w14:paraId="6B988600">
            <w:pPr>
              <w:jc w:val="center"/>
              <w:rPr>
                <w:kern w:val="0"/>
                <w:szCs w:val="21"/>
              </w:rPr>
            </w:pPr>
            <w:r>
              <w:rPr>
                <w:rFonts w:hint="eastAsia"/>
                <w:szCs w:val="21"/>
                <w:lang w:val="en-US" w:eastAsia="zh-CN"/>
              </w:rPr>
              <w:t>900</w:t>
            </w:r>
          </w:p>
        </w:tc>
        <w:tc>
          <w:tcPr>
            <w:tcW w:w="1144" w:type="dxa"/>
            <w:shd w:val="clear" w:color="000000" w:fill="FFFFFF"/>
            <w:vAlign w:val="center"/>
          </w:tcPr>
          <w:p w14:paraId="0CDD9A5F">
            <w:pPr>
              <w:jc w:val="center"/>
              <w:rPr>
                <w:rFonts w:hint="eastAsia"/>
                <w:szCs w:val="21"/>
                <w:lang w:val="en-US" w:eastAsia="zh-CN"/>
              </w:rPr>
            </w:pPr>
            <w:r>
              <w:rPr>
                <w:rFonts w:hint="eastAsia"/>
                <w:szCs w:val="21"/>
                <w:lang w:val="en-US" w:eastAsia="zh-CN"/>
              </w:rPr>
              <w:t>1.5925</w:t>
            </w:r>
          </w:p>
        </w:tc>
        <w:tc>
          <w:tcPr>
            <w:tcW w:w="1676" w:type="dxa"/>
            <w:gridSpan w:val="3"/>
            <w:shd w:val="clear" w:color="000000" w:fill="FFFFFF"/>
            <w:vAlign w:val="center"/>
          </w:tcPr>
          <w:p w14:paraId="12996B43">
            <w:pPr>
              <w:jc w:val="center"/>
              <w:rPr>
                <w:rFonts w:hint="eastAsia"/>
                <w:szCs w:val="21"/>
                <w:lang w:val="en-US" w:eastAsia="zh-CN"/>
              </w:rPr>
            </w:pPr>
            <w:r>
              <w:rPr>
                <w:rFonts w:hint="eastAsia"/>
                <w:szCs w:val="21"/>
                <w:lang w:val="en-US" w:eastAsia="zh-CN"/>
              </w:rPr>
              <w:t>3.53889E-001</w:t>
            </w:r>
          </w:p>
        </w:tc>
        <w:tc>
          <w:tcPr>
            <w:tcW w:w="776" w:type="pct"/>
            <w:shd w:val="clear" w:color="000000" w:fill="FFFFFF"/>
            <w:vAlign w:val="center"/>
          </w:tcPr>
          <w:p w14:paraId="7060E7E5">
            <w:pPr>
              <w:jc w:val="center"/>
              <w:rPr>
                <w:rFonts w:ascii="宋体" w:hAnsi="宋体" w:cs="宋体"/>
                <w:szCs w:val="21"/>
              </w:rPr>
            </w:pPr>
          </w:p>
        </w:tc>
      </w:tr>
      <w:tr w14:paraId="15CCB08E">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73" w:type="dxa"/>
            <w:shd w:val="clear" w:color="000000" w:fill="FFFFFF"/>
            <w:vAlign w:val="center"/>
          </w:tcPr>
          <w:p w14:paraId="55A737F0">
            <w:pPr>
              <w:jc w:val="center"/>
              <w:rPr>
                <w:kern w:val="0"/>
                <w:szCs w:val="21"/>
              </w:rPr>
            </w:pPr>
            <w:r>
              <w:rPr>
                <w:rFonts w:hint="eastAsia"/>
                <w:szCs w:val="21"/>
                <w:lang w:val="en-US" w:eastAsia="zh-CN"/>
              </w:rPr>
              <w:t>1000</w:t>
            </w:r>
          </w:p>
        </w:tc>
        <w:tc>
          <w:tcPr>
            <w:tcW w:w="1040" w:type="dxa"/>
            <w:shd w:val="clear" w:color="000000" w:fill="FFFFFF"/>
            <w:vAlign w:val="center"/>
          </w:tcPr>
          <w:p w14:paraId="2D2F8A9E">
            <w:pPr>
              <w:jc w:val="center"/>
              <w:rPr>
                <w:rFonts w:hint="eastAsia"/>
                <w:szCs w:val="21"/>
                <w:lang w:val="en-US" w:eastAsia="zh-CN"/>
              </w:rPr>
            </w:pPr>
            <w:r>
              <w:rPr>
                <w:rFonts w:hint="eastAsia"/>
                <w:szCs w:val="21"/>
                <w:lang w:val="en-US" w:eastAsia="zh-CN"/>
              </w:rPr>
              <w:t>0.56684</w:t>
            </w:r>
          </w:p>
        </w:tc>
        <w:tc>
          <w:tcPr>
            <w:tcW w:w="1523" w:type="dxa"/>
            <w:gridSpan w:val="2"/>
            <w:shd w:val="clear" w:color="000000" w:fill="FFFFFF"/>
            <w:vAlign w:val="center"/>
          </w:tcPr>
          <w:p w14:paraId="34354B6F">
            <w:pPr>
              <w:jc w:val="center"/>
              <w:rPr>
                <w:rFonts w:hint="eastAsia"/>
                <w:szCs w:val="21"/>
                <w:lang w:val="en-US" w:eastAsia="zh-CN"/>
              </w:rPr>
            </w:pPr>
            <w:r>
              <w:rPr>
                <w:rFonts w:hint="eastAsia"/>
                <w:szCs w:val="21"/>
                <w:lang w:val="en-US" w:eastAsia="zh-CN"/>
              </w:rPr>
              <w:t>1.25964E-001</w:t>
            </w:r>
          </w:p>
        </w:tc>
        <w:tc>
          <w:tcPr>
            <w:tcW w:w="1210" w:type="dxa"/>
            <w:shd w:val="clear" w:color="000000" w:fill="FFFFFF"/>
            <w:vAlign w:val="center"/>
          </w:tcPr>
          <w:p w14:paraId="79D08841">
            <w:pPr>
              <w:jc w:val="center"/>
              <w:rPr>
                <w:kern w:val="0"/>
                <w:szCs w:val="21"/>
              </w:rPr>
            </w:pPr>
            <w:r>
              <w:rPr>
                <w:rFonts w:hint="eastAsia"/>
                <w:szCs w:val="21"/>
                <w:lang w:val="en-US" w:eastAsia="zh-CN"/>
              </w:rPr>
              <w:t>1000</w:t>
            </w:r>
          </w:p>
        </w:tc>
        <w:tc>
          <w:tcPr>
            <w:tcW w:w="1144" w:type="dxa"/>
            <w:shd w:val="clear" w:color="000000" w:fill="FFFFFF"/>
            <w:vAlign w:val="center"/>
          </w:tcPr>
          <w:p w14:paraId="2E04EF73">
            <w:pPr>
              <w:jc w:val="center"/>
              <w:rPr>
                <w:rFonts w:hint="eastAsia"/>
                <w:szCs w:val="21"/>
                <w:lang w:val="en-US" w:eastAsia="zh-CN"/>
              </w:rPr>
            </w:pPr>
            <w:r>
              <w:rPr>
                <w:rFonts w:hint="eastAsia"/>
                <w:szCs w:val="21"/>
                <w:lang w:val="en-US" w:eastAsia="zh-CN"/>
              </w:rPr>
              <w:t>1.4811</w:t>
            </w:r>
          </w:p>
        </w:tc>
        <w:tc>
          <w:tcPr>
            <w:tcW w:w="1676" w:type="dxa"/>
            <w:gridSpan w:val="3"/>
            <w:shd w:val="clear" w:color="000000" w:fill="FFFFFF"/>
            <w:vAlign w:val="center"/>
          </w:tcPr>
          <w:p w14:paraId="13C6F839">
            <w:pPr>
              <w:jc w:val="center"/>
              <w:rPr>
                <w:rFonts w:hint="eastAsia"/>
                <w:szCs w:val="21"/>
                <w:lang w:val="en-US" w:eastAsia="zh-CN"/>
              </w:rPr>
            </w:pPr>
            <w:r>
              <w:rPr>
                <w:rFonts w:hint="eastAsia"/>
                <w:szCs w:val="21"/>
                <w:lang w:val="en-US" w:eastAsia="zh-CN"/>
              </w:rPr>
              <w:t>3.29133E-001</w:t>
            </w:r>
          </w:p>
        </w:tc>
        <w:tc>
          <w:tcPr>
            <w:tcW w:w="776" w:type="pct"/>
            <w:shd w:val="clear" w:color="000000" w:fill="FFFFFF"/>
            <w:vAlign w:val="center"/>
          </w:tcPr>
          <w:p w14:paraId="0D77E631">
            <w:pPr>
              <w:jc w:val="center"/>
              <w:rPr>
                <w:rFonts w:ascii="宋体" w:hAnsi="宋体" w:cs="宋体"/>
                <w:szCs w:val="21"/>
              </w:rPr>
            </w:pPr>
          </w:p>
        </w:tc>
      </w:tr>
      <w:tr w14:paraId="7256A19B">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773" w:type="dxa"/>
            <w:shd w:val="clear" w:color="000000" w:fill="FFFFFF"/>
            <w:vAlign w:val="center"/>
          </w:tcPr>
          <w:p w14:paraId="3A98B54E">
            <w:pPr>
              <w:jc w:val="center"/>
              <w:rPr>
                <w:kern w:val="0"/>
                <w:szCs w:val="21"/>
              </w:rPr>
            </w:pPr>
            <w:r>
              <w:rPr>
                <w:rFonts w:hint="eastAsia"/>
                <w:szCs w:val="21"/>
                <w:lang w:val="en-US" w:eastAsia="zh-CN"/>
              </w:rPr>
              <w:t>1500</w:t>
            </w:r>
          </w:p>
        </w:tc>
        <w:tc>
          <w:tcPr>
            <w:tcW w:w="1040" w:type="dxa"/>
            <w:shd w:val="clear" w:color="000000" w:fill="FFFFFF"/>
            <w:vAlign w:val="center"/>
          </w:tcPr>
          <w:p w14:paraId="6CF9278C">
            <w:pPr>
              <w:jc w:val="center"/>
              <w:rPr>
                <w:rFonts w:hint="eastAsia"/>
                <w:szCs w:val="21"/>
                <w:lang w:val="en-US" w:eastAsia="zh-CN"/>
              </w:rPr>
            </w:pPr>
            <w:r>
              <w:rPr>
                <w:rFonts w:hint="eastAsia"/>
                <w:szCs w:val="21"/>
                <w:lang w:val="en-US" w:eastAsia="zh-CN"/>
              </w:rPr>
              <w:t>0.40601</w:t>
            </w:r>
          </w:p>
        </w:tc>
        <w:tc>
          <w:tcPr>
            <w:tcW w:w="1523" w:type="dxa"/>
            <w:gridSpan w:val="2"/>
            <w:shd w:val="clear" w:color="000000" w:fill="FFFFFF"/>
            <w:vAlign w:val="center"/>
          </w:tcPr>
          <w:p w14:paraId="44A21406">
            <w:pPr>
              <w:jc w:val="center"/>
              <w:rPr>
                <w:rFonts w:hint="eastAsia"/>
                <w:szCs w:val="21"/>
                <w:lang w:val="en-US" w:eastAsia="zh-CN"/>
              </w:rPr>
            </w:pPr>
            <w:r>
              <w:rPr>
                <w:rFonts w:hint="eastAsia"/>
                <w:szCs w:val="21"/>
                <w:lang w:val="en-US" w:eastAsia="zh-CN"/>
              </w:rPr>
              <w:t>9.02244E-002</w:t>
            </w:r>
          </w:p>
        </w:tc>
        <w:tc>
          <w:tcPr>
            <w:tcW w:w="1210" w:type="dxa"/>
            <w:shd w:val="clear" w:color="000000" w:fill="FFFFFF"/>
            <w:vAlign w:val="center"/>
          </w:tcPr>
          <w:p w14:paraId="4B0F9B98">
            <w:pPr>
              <w:jc w:val="center"/>
              <w:rPr>
                <w:kern w:val="0"/>
                <w:szCs w:val="21"/>
              </w:rPr>
            </w:pPr>
            <w:r>
              <w:rPr>
                <w:rFonts w:hint="eastAsia"/>
                <w:szCs w:val="21"/>
                <w:lang w:val="en-US" w:eastAsia="zh-CN"/>
              </w:rPr>
              <w:t>1500</w:t>
            </w:r>
          </w:p>
        </w:tc>
        <w:tc>
          <w:tcPr>
            <w:tcW w:w="1144" w:type="dxa"/>
            <w:shd w:val="clear" w:color="000000" w:fill="FFFFFF"/>
            <w:vAlign w:val="center"/>
          </w:tcPr>
          <w:p w14:paraId="18693D2B">
            <w:pPr>
              <w:jc w:val="center"/>
              <w:rPr>
                <w:rFonts w:hint="eastAsia"/>
                <w:szCs w:val="21"/>
                <w:lang w:val="en-US" w:eastAsia="zh-CN"/>
              </w:rPr>
            </w:pPr>
            <w:r>
              <w:rPr>
                <w:rFonts w:hint="eastAsia"/>
                <w:szCs w:val="21"/>
                <w:lang w:val="en-US" w:eastAsia="zh-CN"/>
              </w:rPr>
              <w:t>1.0609</w:t>
            </w:r>
          </w:p>
        </w:tc>
        <w:tc>
          <w:tcPr>
            <w:tcW w:w="1676" w:type="dxa"/>
            <w:gridSpan w:val="3"/>
            <w:shd w:val="clear" w:color="000000" w:fill="FFFFFF"/>
            <w:vAlign w:val="center"/>
          </w:tcPr>
          <w:p w14:paraId="5DBD1EE5">
            <w:pPr>
              <w:jc w:val="center"/>
              <w:rPr>
                <w:rFonts w:hint="eastAsia"/>
                <w:szCs w:val="21"/>
                <w:lang w:val="en-US" w:eastAsia="zh-CN"/>
              </w:rPr>
            </w:pPr>
            <w:r>
              <w:rPr>
                <w:rFonts w:hint="eastAsia"/>
                <w:szCs w:val="21"/>
                <w:lang w:val="en-US" w:eastAsia="zh-CN"/>
              </w:rPr>
              <w:t>2.35756E-001</w:t>
            </w:r>
          </w:p>
        </w:tc>
        <w:tc>
          <w:tcPr>
            <w:tcW w:w="776" w:type="pct"/>
            <w:shd w:val="clear" w:color="000000" w:fill="FFFFFF"/>
            <w:vAlign w:val="center"/>
          </w:tcPr>
          <w:p w14:paraId="4A5DD73B">
            <w:pPr>
              <w:jc w:val="center"/>
              <w:rPr>
                <w:rFonts w:ascii="宋体" w:hAnsi="宋体" w:cs="宋体"/>
                <w:szCs w:val="21"/>
              </w:rPr>
            </w:pPr>
          </w:p>
        </w:tc>
      </w:tr>
      <w:tr w14:paraId="350B5431">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73" w:type="dxa"/>
            <w:shd w:val="clear" w:color="000000" w:fill="FFFFFF"/>
            <w:vAlign w:val="center"/>
          </w:tcPr>
          <w:p w14:paraId="5557E402">
            <w:pPr>
              <w:jc w:val="center"/>
              <w:rPr>
                <w:kern w:val="0"/>
                <w:szCs w:val="21"/>
              </w:rPr>
            </w:pPr>
            <w:r>
              <w:rPr>
                <w:rFonts w:hint="eastAsia"/>
                <w:szCs w:val="21"/>
                <w:lang w:val="en-US" w:eastAsia="zh-CN"/>
              </w:rPr>
              <w:t>2000</w:t>
            </w:r>
          </w:p>
        </w:tc>
        <w:tc>
          <w:tcPr>
            <w:tcW w:w="1040" w:type="dxa"/>
            <w:shd w:val="clear" w:color="000000" w:fill="FFFFFF"/>
            <w:vAlign w:val="center"/>
          </w:tcPr>
          <w:p w14:paraId="4A7E8F70">
            <w:pPr>
              <w:jc w:val="center"/>
              <w:rPr>
                <w:rFonts w:hint="eastAsia"/>
                <w:szCs w:val="21"/>
                <w:lang w:val="en-US" w:eastAsia="zh-CN"/>
              </w:rPr>
            </w:pPr>
            <w:r>
              <w:rPr>
                <w:rFonts w:hint="eastAsia"/>
                <w:szCs w:val="21"/>
                <w:lang w:val="en-US" w:eastAsia="zh-CN"/>
              </w:rPr>
              <w:t>0.33177</w:t>
            </w:r>
          </w:p>
        </w:tc>
        <w:tc>
          <w:tcPr>
            <w:tcW w:w="1523" w:type="dxa"/>
            <w:gridSpan w:val="2"/>
            <w:shd w:val="clear" w:color="000000" w:fill="FFFFFF"/>
            <w:vAlign w:val="center"/>
          </w:tcPr>
          <w:p w14:paraId="791623F6">
            <w:pPr>
              <w:jc w:val="center"/>
              <w:rPr>
                <w:rFonts w:hint="eastAsia"/>
                <w:szCs w:val="21"/>
                <w:lang w:val="en-US" w:eastAsia="zh-CN"/>
              </w:rPr>
            </w:pPr>
            <w:r>
              <w:rPr>
                <w:rFonts w:hint="eastAsia"/>
                <w:szCs w:val="21"/>
                <w:lang w:val="en-US" w:eastAsia="zh-CN"/>
              </w:rPr>
              <w:t>7.37267E-002</w:t>
            </w:r>
          </w:p>
        </w:tc>
        <w:tc>
          <w:tcPr>
            <w:tcW w:w="1210" w:type="dxa"/>
            <w:shd w:val="clear" w:color="000000" w:fill="FFFFFF"/>
            <w:vAlign w:val="center"/>
          </w:tcPr>
          <w:p w14:paraId="18640AAC">
            <w:pPr>
              <w:jc w:val="center"/>
              <w:rPr>
                <w:kern w:val="0"/>
                <w:szCs w:val="21"/>
              </w:rPr>
            </w:pPr>
            <w:r>
              <w:rPr>
                <w:rFonts w:hint="eastAsia"/>
                <w:szCs w:val="21"/>
                <w:lang w:val="en-US" w:eastAsia="zh-CN"/>
              </w:rPr>
              <w:t>2000</w:t>
            </w:r>
          </w:p>
        </w:tc>
        <w:tc>
          <w:tcPr>
            <w:tcW w:w="1144" w:type="dxa"/>
            <w:shd w:val="clear" w:color="000000" w:fill="FFFFFF"/>
            <w:vAlign w:val="center"/>
          </w:tcPr>
          <w:p w14:paraId="2C16A7A6">
            <w:pPr>
              <w:jc w:val="center"/>
              <w:rPr>
                <w:rFonts w:hint="eastAsia"/>
                <w:szCs w:val="21"/>
                <w:lang w:val="en-US" w:eastAsia="zh-CN"/>
              </w:rPr>
            </w:pPr>
            <w:r>
              <w:rPr>
                <w:rFonts w:hint="eastAsia"/>
                <w:szCs w:val="21"/>
                <w:lang w:val="en-US" w:eastAsia="zh-CN"/>
              </w:rPr>
              <w:t>0.8669</w:t>
            </w:r>
          </w:p>
        </w:tc>
        <w:tc>
          <w:tcPr>
            <w:tcW w:w="1676" w:type="dxa"/>
            <w:gridSpan w:val="3"/>
            <w:shd w:val="clear" w:color="000000" w:fill="FFFFFF"/>
            <w:vAlign w:val="center"/>
          </w:tcPr>
          <w:p w14:paraId="32E40838">
            <w:pPr>
              <w:jc w:val="center"/>
              <w:rPr>
                <w:rFonts w:hint="eastAsia"/>
                <w:szCs w:val="21"/>
                <w:lang w:val="en-US" w:eastAsia="zh-CN"/>
              </w:rPr>
            </w:pPr>
            <w:r>
              <w:rPr>
                <w:rFonts w:hint="eastAsia"/>
                <w:szCs w:val="21"/>
                <w:lang w:val="en-US" w:eastAsia="zh-CN"/>
              </w:rPr>
              <w:t>1.92644E-001</w:t>
            </w:r>
          </w:p>
        </w:tc>
        <w:tc>
          <w:tcPr>
            <w:tcW w:w="776" w:type="pct"/>
            <w:shd w:val="clear" w:color="000000" w:fill="FFFFFF"/>
            <w:vAlign w:val="center"/>
          </w:tcPr>
          <w:p w14:paraId="44D6290D">
            <w:pPr>
              <w:jc w:val="center"/>
              <w:rPr>
                <w:rFonts w:ascii="宋体" w:hAnsi="宋体" w:cs="宋体"/>
                <w:szCs w:val="21"/>
              </w:rPr>
            </w:pPr>
          </w:p>
        </w:tc>
      </w:tr>
      <w:tr w14:paraId="670408B7">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73" w:type="dxa"/>
            <w:shd w:val="clear" w:color="000000" w:fill="FFFFFF"/>
            <w:vAlign w:val="center"/>
          </w:tcPr>
          <w:p w14:paraId="05CAC04B">
            <w:pPr>
              <w:jc w:val="center"/>
              <w:rPr>
                <w:kern w:val="0"/>
                <w:szCs w:val="21"/>
              </w:rPr>
            </w:pPr>
            <w:r>
              <w:rPr>
                <w:rFonts w:hint="eastAsia"/>
                <w:szCs w:val="21"/>
                <w:lang w:val="en-US" w:eastAsia="zh-CN"/>
              </w:rPr>
              <w:t>2500</w:t>
            </w:r>
          </w:p>
        </w:tc>
        <w:tc>
          <w:tcPr>
            <w:tcW w:w="1040" w:type="dxa"/>
            <w:shd w:val="clear" w:color="000000" w:fill="FFFFFF"/>
            <w:vAlign w:val="center"/>
          </w:tcPr>
          <w:p w14:paraId="436CFB55">
            <w:pPr>
              <w:jc w:val="center"/>
              <w:rPr>
                <w:rFonts w:hint="eastAsia"/>
                <w:szCs w:val="21"/>
                <w:lang w:val="en-US" w:eastAsia="zh-CN"/>
              </w:rPr>
            </w:pPr>
            <w:r>
              <w:rPr>
                <w:rFonts w:hint="eastAsia"/>
                <w:szCs w:val="21"/>
                <w:lang w:val="en-US" w:eastAsia="zh-CN"/>
              </w:rPr>
              <w:t>0.28301</w:t>
            </w:r>
          </w:p>
        </w:tc>
        <w:tc>
          <w:tcPr>
            <w:tcW w:w="1523" w:type="dxa"/>
            <w:gridSpan w:val="2"/>
            <w:shd w:val="clear" w:color="000000" w:fill="FFFFFF"/>
            <w:vAlign w:val="center"/>
          </w:tcPr>
          <w:p w14:paraId="52E51C5A">
            <w:pPr>
              <w:jc w:val="center"/>
              <w:rPr>
                <w:rFonts w:hint="eastAsia"/>
                <w:szCs w:val="21"/>
                <w:lang w:val="en-US" w:eastAsia="zh-CN"/>
              </w:rPr>
            </w:pPr>
            <w:r>
              <w:rPr>
                <w:rFonts w:hint="eastAsia"/>
                <w:szCs w:val="21"/>
                <w:lang w:val="en-US" w:eastAsia="zh-CN"/>
              </w:rPr>
              <w:t>6.28911E-002</w:t>
            </w:r>
          </w:p>
        </w:tc>
        <w:tc>
          <w:tcPr>
            <w:tcW w:w="1210" w:type="dxa"/>
            <w:shd w:val="clear" w:color="000000" w:fill="FFFFFF"/>
            <w:vAlign w:val="center"/>
          </w:tcPr>
          <w:p w14:paraId="7FFB75C0">
            <w:pPr>
              <w:jc w:val="center"/>
              <w:rPr>
                <w:kern w:val="0"/>
                <w:szCs w:val="21"/>
              </w:rPr>
            </w:pPr>
            <w:r>
              <w:rPr>
                <w:rFonts w:hint="eastAsia"/>
                <w:szCs w:val="21"/>
                <w:lang w:val="en-US" w:eastAsia="zh-CN"/>
              </w:rPr>
              <w:t>2500</w:t>
            </w:r>
          </w:p>
        </w:tc>
        <w:tc>
          <w:tcPr>
            <w:tcW w:w="1144" w:type="dxa"/>
            <w:shd w:val="clear" w:color="000000" w:fill="FFFFFF"/>
            <w:vAlign w:val="center"/>
          </w:tcPr>
          <w:p w14:paraId="3F165B39">
            <w:pPr>
              <w:jc w:val="center"/>
              <w:rPr>
                <w:rFonts w:hint="eastAsia"/>
                <w:szCs w:val="21"/>
                <w:lang w:val="en-US" w:eastAsia="zh-CN"/>
              </w:rPr>
            </w:pPr>
            <w:r>
              <w:rPr>
                <w:rFonts w:hint="eastAsia"/>
                <w:szCs w:val="21"/>
                <w:lang w:val="en-US" w:eastAsia="zh-CN"/>
              </w:rPr>
              <w:t>0.7395</w:t>
            </w:r>
          </w:p>
        </w:tc>
        <w:tc>
          <w:tcPr>
            <w:tcW w:w="1676" w:type="dxa"/>
            <w:gridSpan w:val="3"/>
            <w:shd w:val="clear" w:color="000000" w:fill="FFFFFF"/>
            <w:vAlign w:val="center"/>
          </w:tcPr>
          <w:p w14:paraId="0789DD5B">
            <w:pPr>
              <w:jc w:val="center"/>
              <w:rPr>
                <w:rFonts w:hint="eastAsia"/>
                <w:szCs w:val="21"/>
                <w:lang w:val="en-US" w:eastAsia="zh-CN"/>
              </w:rPr>
            </w:pPr>
            <w:r>
              <w:rPr>
                <w:rFonts w:hint="eastAsia"/>
                <w:szCs w:val="21"/>
                <w:lang w:val="en-US" w:eastAsia="zh-CN"/>
              </w:rPr>
              <w:t>1.64333E-001</w:t>
            </w:r>
          </w:p>
        </w:tc>
        <w:tc>
          <w:tcPr>
            <w:tcW w:w="776" w:type="pct"/>
            <w:shd w:val="clear" w:color="000000" w:fill="FFFFFF"/>
            <w:vAlign w:val="center"/>
          </w:tcPr>
          <w:p w14:paraId="7F9842E3">
            <w:pPr>
              <w:jc w:val="center"/>
              <w:rPr>
                <w:rFonts w:ascii="宋体" w:hAnsi="宋体" w:cs="宋体"/>
                <w:szCs w:val="21"/>
              </w:rPr>
            </w:pPr>
          </w:p>
        </w:tc>
      </w:tr>
    </w:tbl>
    <w:p w14:paraId="1B06AB70">
      <w:pPr>
        <w:spacing w:line="240" w:lineRule="atLeast"/>
        <w:jc w:val="center"/>
        <w:rPr>
          <w:b/>
          <w:spacing w:val="4"/>
          <w:szCs w:val="21"/>
        </w:rPr>
      </w:pPr>
      <w:r>
        <w:rPr>
          <w:b/>
          <w:spacing w:val="4"/>
          <w:szCs w:val="21"/>
        </w:rPr>
        <w:t>表</w:t>
      </w:r>
      <w:r>
        <w:rPr>
          <w:rFonts w:hint="eastAsia"/>
          <w:b/>
          <w:spacing w:val="4"/>
          <w:szCs w:val="21"/>
        </w:rPr>
        <w:t>7</w:t>
      </w:r>
      <w:r>
        <w:rPr>
          <w:rFonts w:hint="eastAsia"/>
          <w:b/>
          <w:spacing w:val="4"/>
          <w:szCs w:val="21"/>
          <w:lang w:val="en-US" w:eastAsia="zh-CN"/>
        </w:rPr>
        <w:t xml:space="preserve">    </w:t>
      </w:r>
      <w:r>
        <w:rPr>
          <w:b/>
          <w:spacing w:val="4"/>
          <w:szCs w:val="21"/>
        </w:rPr>
        <w:t>大气污染物估算结果一览表</w:t>
      </w:r>
      <w:r>
        <w:rPr>
          <w:rFonts w:hint="eastAsia"/>
          <w:b/>
          <w:spacing w:val="4"/>
          <w:szCs w:val="21"/>
        </w:rPr>
        <w:t>（续）</w:t>
      </w:r>
    </w:p>
    <w:tbl>
      <w:tblPr>
        <w:tblStyle w:val="47"/>
        <w:tblW w:w="5000" w:type="pct"/>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autofit"/>
        <w:tblCellMar>
          <w:top w:w="0" w:type="dxa"/>
          <w:left w:w="108" w:type="dxa"/>
          <w:bottom w:w="0" w:type="dxa"/>
          <w:right w:w="108" w:type="dxa"/>
        </w:tblCellMar>
      </w:tblPr>
      <w:tblGrid>
        <w:gridCol w:w="3291"/>
        <w:gridCol w:w="3096"/>
        <w:gridCol w:w="2333"/>
      </w:tblGrid>
      <w:tr w14:paraId="188A4EA4">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000" w:type="pct"/>
            <w:gridSpan w:val="3"/>
            <w:shd w:val="clear" w:color="000000" w:fill="FFFFFF"/>
            <w:vAlign w:val="center"/>
          </w:tcPr>
          <w:p w14:paraId="52276EB8">
            <w:pPr>
              <w:widowControl/>
              <w:jc w:val="center"/>
              <w:rPr>
                <w:kern w:val="0"/>
                <w:szCs w:val="21"/>
              </w:rPr>
            </w:pPr>
            <w:r>
              <w:rPr>
                <w:rFonts w:hint="eastAsia"/>
                <w:kern w:val="0"/>
                <w:szCs w:val="21"/>
                <w:lang w:val="en-US" w:eastAsia="zh-CN"/>
              </w:rPr>
              <w:t>1#储料库</w:t>
            </w:r>
            <w:r>
              <w:rPr>
                <w:rFonts w:hint="eastAsia"/>
                <w:kern w:val="0"/>
                <w:szCs w:val="21"/>
              </w:rPr>
              <w:t>无组织</w:t>
            </w:r>
          </w:p>
        </w:tc>
      </w:tr>
      <w:tr w14:paraId="0A88C37A">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000" w:type="pct"/>
            <w:gridSpan w:val="3"/>
            <w:shd w:val="clear" w:color="000000" w:fill="FFFFFF"/>
            <w:vAlign w:val="center"/>
          </w:tcPr>
          <w:p w14:paraId="23034135">
            <w:pPr>
              <w:widowControl/>
              <w:jc w:val="center"/>
              <w:rPr>
                <w:kern w:val="0"/>
                <w:szCs w:val="21"/>
              </w:rPr>
            </w:pPr>
            <w:r>
              <w:rPr>
                <w:rFonts w:hint="eastAsia"/>
                <w:kern w:val="0"/>
                <w:szCs w:val="21"/>
              </w:rPr>
              <w:t>TSP</w:t>
            </w:r>
          </w:p>
        </w:tc>
      </w:tr>
      <w:tr w14:paraId="069F7031">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887" w:type="pct"/>
            <w:shd w:val="clear" w:color="000000" w:fill="FFFFFF"/>
            <w:vAlign w:val="center"/>
          </w:tcPr>
          <w:p w14:paraId="17BB4A87">
            <w:pPr>
              <w:widowControl/>
              <w:jc w:val="center"/>
              <w:rPr>
                <w:kern w:val="0"/>
                <w:szCs w:val="21"/>
              </w:rPr>
            </w:pPr>
            <w:r>
              <w:rPr>
                <w:kern w:val="0"/>
                <w:szCs w:val="21"/>
              </w:rPr>
              <w:t>浓度</w:t>
            </w:r>
          </w:p>
        </w:tc>
        <w:tc>
          <w:tcPr>
            <w:tcW w:w="1775" w:type="pct"/>
            <w:shd w:val="clear" w:color="000000" w:fill="FFFFFF"/>
            <w:vAlign w:val="center"/>
          </w:tcPr>
          <w:p w14:paraId="62EC8274">
            <w:pPr>
              <w:widowControl/>
              <w:jc w:val="center"/>
              <w:rPr>
                <w:kern w:val="0"/>
                <w:szCs w:val="21"/>
              </w:rPr>
            </w:pPr>
            <w:r>
              <w:rPr>
                <w:kern w:val="0"/>
                <w:szCs w:val="21"/>
              </w:rPr>
              <w:t>占标率</w:t>
            </w:r>
          </w:p>
        </w:tc>
        <w:tc>
          <w:tcPr>
            <w:tcW w:w="1337" w:type="pct"/>
            <w:shd w:val="clear" w:color="000000" w:fill="FFFFFF"/>
            <w:vAlign w:val="center"/>
          </w:tcPr>
          <w:p w14:paraId="11337512">
            <w:pPr>
              <w:widowControl/>
              <w:jc w:val="center"/>
              <w:rPr>
                <w:kern w:val="0"/>
                <w:szCs w:val="21"/>
              </w:rPr>
            </w:pPr>
            <w:r>
              <w:rPr>
                <w:kern w:val="0"/>
                <w:szCs w:val="21"/>
              </w:rPr>
              <w:t>距离</w:t>
            </w:r>
          </w:p>
        </w:tc>
      </w:tr>
      <w:tr w14:paraId="5FE1D7C4">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887" w:type="pct"/>
            <w:shd w:val="clear" w:color="000000" w:fill="FFFFFF"/>
            <w:vAlign w:val="center"/>
          </w:tcPr>
          <w:p w14:paraId="0205FB4C">
            <w:pPr>
              <w:widowControl/>
              <w:jc w:val="center"/>
              <w:rPr>
                <w:rFonts w:ascii="Times New Roman" w:hAnsi="Times New Roman" w:eastAsia="宋体" w:cs="Times New Roman"/>
                <w:kern w:val="0"/>
                <w:sz w:val="21"/>
                <w:szCs w:val="21"/>
                <w:lang w:val="en-US" w:eastAsia="zh-CN" w:bidi="ar-SA"/>
              </w:rPr>
            </w:pPr>
            <w:r>
              <w:rPr>
                <w:kern w:val="0"/>
                <w:szCs w:val="21"/>
              </w:rPr>
              <w:t>ug/m</w:t>
            </w:r>
            <w:r>
              <w:rPr>
                <w:kern w:val="0"/>
                <w:szCs w:val="21"/>
                <w:vertAlign w:val="superscript"/>
              </w:rPr>
              <w:t>3</w:t>
            </w:r>
          </w:p>
        </w:tc>
        <w:tc>
          <w:tcPr>
            <w:tcW w:w="1775" w:type="pct"/>
            <w:shd w:val="clear" w:color="000000" w:fill="FFFFFF"/>
            <w:vAlign w:val="center"/>
          </w:tcPr>
          <w:p w14:paraId="481E9BB8">
            <w:pPr>
              <w:widowControl/>
              <w:jc w:val="center"/>
              <w:rPr>
                <w:rFonts w:ascii="Times New Roman" w:hAnsi="Times New Roman" w:eastAsia="宋体" w:cs="Times New Roman"/>
                <w:kern w:val="0"/>
                <w:sz w:val="21"/>
                <w:szCs w:val="21"/>
                <w:lang w:val="en-US" w:eastAsia="zh-CN" w:bidi="ar-SA"/>
              </w:rPr>
            </w:pPr>
            <w:r>
              <w:rPr>
                <w:kern w:val="0"/>
                <w:szCs w:val="21"/>
              </w:rPr>
              <w:t>%</w:t>
            </w:r>
          </w:p>
        </w:tc>
        <w:tc>
          <w:tcPr>
            <w:tcW w:w="1337" w:type="pct"/>
            <w:shd w:val="clear" w:color="000000" w:fill="FFFFFF"/>
            <w:vAlign w:val="center"/>
          </w:tcPr>
          <w:p w14:paraId="5474905B">
            <w:pPr>
              <w:jc w:val="center"/>
              <w:rPr>
                <w:rFonts w:ascii="宋体" w:hAnsi="宋体" w:cs="宋体"/>
                <w:szCs w:val="21"/>
              </w:rPr>
            </w:pPr>
            <w:r>
              <w:rPr>
                <w:rFonts w:hint="eastAsia"/>
                <w:kern w:val="0"/>
                <w:szCs w:val="21"/>
                <w:lang w:val="en-US" w:eastAsia="zh-CN"/>
              </w:rPr>
              <w:t>m</w:t>
            </w:r>
          </w:p>
        </w:tc>
      </w:tr>
      <w:tr w14:paraId="7517CB0C">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887" w:type="pct"/>
            <w:shd w:val="clear" w:color="000000" w:fill="FFFFFF"/>
            <w:vAlign w:val="center"/>
          </w:tcPr>
          <w:p w14:paraId="107FFF25">
            <w:pPr>
              <w:jc w:val="center"/>
              <w:rPr>
                <w:rFonts w:hint="eastAsia"/>
                <w:b w:val="0"/>
                <w:bCs w:val="0"/>
                <w:szCs w:val="21"/>
                <w:lang w:val="en-US" w:eastAsia="zh-CN"/>
              </w:rPr>
            </w:pPr>
            <w:r>
              <w:rPr>
                <w:rFonts w:hint="eastAsia"/>
                <w:b w:val="0"/>
                <w:bCs w:val="0"/>
                <w:szCs w:val="21"/>
                <w:lang w:val="en-US" w:eastAsia="zh-CN"/>
              </w:rPr>
              <w:t>0.82653</w:t>
            </w:r>
          </w:p>
        </w:tc>
        <w:tc>
          <w:tcPr>
            <w:tcW w:w="1775" w:type="pct"/>
            <w:shd w:val="clear" w:color="000000" w:fill="FFFFFF"/>
            <w:vAlign w:val="center"/>
          </w:tcPr>
          <w:p w14:paraId="1ED6B526">
            <w:pPr>
              <w:jc w:val="center"/>
              <w:rPr>
                <w:rFonts w:hint="eastAsia"/>
                <w:b w:val="0"/>
                <w:bCs w:val="0"/>
                <w:szCs w:val="21"/>
                <w:lang w:val="en-US" w:eastAsia="zh-CN"/>
              </w:rPr>
            </w:pPr>
            <w:r>
              <w:rPr>
                <w:rFonts w:hint="eastAsia"/>
                <w:b w:val="0"/>
                <w:bCs w:val="0"/>
                <w:szCs w:val="21"/>
                <w:lang w:val="en-US" w:eastAsia="zh-CN"/>
              </w:rPr>
              <w:t>9.18367E-002</w:t>
            </w:r>
          </w:p>
        </w:tc>
        <w:tc>
          <w:tcPr>
            <w:tcW w:w="1337" w:type="pct"/>
            <w:shd w:val="clear" w:color="000000" w:fill="FFFFFF"/>
            <w:vAlign w:val="center"/>
          </w:tcPr>
          <w:p w14:paraId="4384C322">
            <w:pPr>
              <w:jc w:val="center"/>
              <w:rPr>
                <w:rFonts w:ascii="Times New Roman" w:hAnsi="Times New Roman" w:eastAsia="宋体" w:cs="Times New Roman"/>
                <w:kern w:val="0"/>
                <w:sz w:val="21"/>
                <w:szCs w:val="21"/>
                <w:lang w:val="en-US" w:eastAsia="zh-CN" w:bidi="ar-SA"/>
              </w:rPr>
            </w:pPr>
            <w:r>
              <w:rPr>
                <w:rFonts w:hint="eastAsia"/>
                <w:szCs w:val="21"/>
                <w:lang w:val="en-US" w:eastAsia="zh-CN"/>
              </w:rPr>
              <w:t>10</w:t>
            </w:r>
          </w:p>
        </w:tc>
      </w:tr>
      <w:tr w14:paraId="491468BC">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887" w:type="pct"/>
            <w:shd w:val="clear" w:color="000000" w:fill="FFFFFF"/>
            <w:vAlign w:val="center"/>
          </w:tcPr>
          <w:p w14:paraId="09639A06">
            <w:pPr>
              <w:jc w:val="center"/>
              <w:rPr>
                <w:rFonts w:hint="eastAsia"/>
                <w:b w:val="0"/>
                <w:bCs w:val="0"/>
                <w:szCs w:val="21"/>
                <w:lang w:val="en-US" w:eastAsia="zh-CN"/>
              </w:rPr>
            </w:pPr>
            <w:r>
              <w:rPr>
                <w:rFonts w:hint="eastAsia"/>
                <w:b w:val="0"/>
                <w:bCs w:val="0"/>
                <w:szCs w:val="21"/>
                <w:lang w:val="en-US" w:eastAsia="zh-CN"/>
              </w:rPr>
              <w:t>1.0374</w:t>
            </w:r>
          </w:p>
        </w:tc>
        <w:tc>
          <w:tcPr>
            <w:tcW w:w="1775" w:type="pct"/>
            <w:shd w:val="clear" w:color="000000" w:fill="FFFFFF"/>
            <w:vAlign w:val="center"/>
          </w:tcPr>
          <w:p w14:paraId="692E851E">
            <w:pPr>
              <w:jc w:val="center"/>
              <w:rPr>
                <w:rFonts w:hint="eastAsia"/>
                <w:b w:val="0"/>
                <w:bCs w:val="0"/>
                <w:szCs w:val="21"/>
                <w:lang w:val="en-US" w:eastAsia="zh-CN"/>
              </w:rPr>
            </w:pPr>
            <w:r>
              <w:rPr>
                <w:rFonts w:hint="eastAsia"/>
                <w:b w:val="0"/>
                <w:bCs w:val="0"/>
                <w:szCs w:val="21"/>
                <w:lang w:val="en-US" w:eastAsia="zh-CN"/>
              </w:rPr>
              <w:t>1.15267E-001</w:t>
            </w:r>
          </w:p>
        </w:tc>
        <w:tc>
          <w:tcPr>
            <w:tcW w:w="1337" w:type="pct"/>
            <w:shd w:val="clear" w:color="000000" w:fill="FFFFFF"/>
            <w:vAlign w:val="center"/>
          </w:tcPr>
          <w:p w14:paraId="5FB35EA1">
            <w:pPr>
              <w:jc w:val="center"/>
              <w:rPr>
                <w:rFonts w:ascii="宋体" w:hAnsi="宋体" w:cs="宋体"/>
                <w:szCs w:val="21"/>
              </w:rPr>
            </w:pPr>
            <w:r>
              <w:rPr>
                <w:rFonts w:hint="eastAsia"/>
                <w:szCs w:val="21"/>
                <w:lang w:val="en-US" w:eastAsia="zh-CN"/>
              </w:rPr>
              <w:t>25</w:t>
            </w:r>
          </w:p>
        </w:tc>
      </w:tr>
      <w:tr w14:paraId="233ECC08">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887" w:type="pct"/>
            <w:shd w:val="clear" w:color="000000" w:fill="FFFFFF"/>
            <w:vAlign w:val="center"/>
          </w:tcPr>
          <w:p w14:paraId="2E305A03">
            <w:pPr>
              <w:jc w:val="center"/>
              <w:rPr>
                <w:rFonts w:hint="eastAsia"/>
                <w:b w:val="0"/>
                <w:bCs w:val="0"/>
                <w:szCs w:val="21"/>
                <w:lang w:val="en-US" w:eastAsia="zh-CN"/>
              </w:rPr>
            </w:pPr>
            <w:r>
              <w:rPr>
                <w:rFonts w:hint="eastAsia"/>
                <w:b w:val="0"/>
                <w:bCs w:val="0"/>
                <w:szCs w:val="21"/>
                <w:lang w:val="en-US" w:eastAsia="zh-CN"/>
              </w:rPr>
              <w:t>1.5042</w:t>
            </w:r>
          </w:p>
        </w:tc>
        <w:tc>
          <w:tcPr>
            <w:tcW w:w="1775" w:type="pct"/>
            <w:shd w:val="clear" w:color="000000" w:fill="FFFFFF"/>
            <w:vAlign w:val="center"/>
          </w:tcPr>
          <w:p w14:paraId="15755BA0">
            <w:pPr>
              <w:jc w:val="center"/>
              <w:rPr>
                <w:rFonts w:hint="eastAsia"/>
                <w:b w:val="0"/>
                <w:bCs w:val="0"/>
                <w:szCs w:val="21"/>
                <w:lang w:val="en-US" w:eastAsia="zh-CN"/>
              </w:rPr>
            </w:pPr>
            <w:r>
              <w:rPr>
                <w:rFonts w:hint="eastAsia"/>
                <w:b w:val="0"/>
                <w:bCs w:val="0"/>
                <w:szCs w:val="21"/>
                <w:lang w:val="en-US" w:eastAsia="zh-CN"/>
              </w:rPr>
              <w:t>1.67133E-001</w:t>
            </w:r>
          </w:p>
        </w:tc>
        <w:tc>
          <w:tcPr>
            <w:tcW w:w="1337" w:type="pct"/>
            <w:shd w:val="clear" w:color="000000" w:fill="FFFFFF"/>
            <w:vAlign w:val="center"/>
          </w:tcPr>
          <w:p w14:paraId="212B1EF4">
            <w:pPr>
              <w:jc w:val="center"/>
              <w:rPr>
                <w:rFonts w:ascii="宋体" w:hAnsi="宋体" w:cs="宋体"/>
                <w:szCs w:val="21"/>
              </w:rPr>
            </w:pPr>
            <w:r>
              <w:rPr>
                <w:rFonts w:hint="eastAsia"/>
                <w:b w:val="0"/>
                <w:bCs w:val="0"/>
                <w:szCs w:val="21"/>
                <w:lang w:val="en-US" w:eastAsia="zh-CN"/>
              </w:rPr>
              <w:t>50</w:t>
            </w:r>
          </w:p>
        </w:tc>
      </w:tr>
      <w:tr w14:paraId="5EF2EF84">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887" w:type="pct"/>
            <w:shd w:val="clear" w:color="000000" w:fill="FFFFFF"/>
            <w:vAlign w:val="center"/>
          </w:tcPr>
          <w:p w14:paraId="2799441F">
            <w:pPr>
              <w:jc w:val="center"/>
              <w:rPr>
                <w:rFonts w:hint="eastAsia"/>
                <w:b w:val="0"/>
                <w:bCs w:val="0"/>
                <w:szCs w:val="21"/>
                <w:lang w:val="en-US" w:eastAsia="zh-CN"/>
              </w:rPr>
            </w:pPr>
            <w:r>
              <w:rPr>
                <w:rFonts w:hint="eastAsia"/>
                <w:b w:val="0"/>
                <w:bCs w:val="0"/>
                <w:szCs w:val="21"/>
                <w:lang w:val="en-US" w:eastAsia="zh-CN"/>
              </w:rPr>
              <w:t>2.0247</w:t>
            </w:r>
          </w:p>
        </w:tc>
        <w:tc>
          <w:tcPr>
            <w:tcW w:w="1775" w:type="pct"/>
            <w:shd w:val="clear" w:color="000000" w:fill="FFFFFF"/>
            <w:vAlign w:val="center"/>
          </w:tcPr>
          <w:p w14:paraId="33177651">
            <w:pPr>
              <w:jc w:val="center"/>
              <w:rPr>
                <w:rFonts w:hint="eastAsia"/>
                <w:b w:val="0"/>
                <w:bCs w:val="0"/>
                <w:szCs w:val="21"/>
                <w:lang w:val="en-US" w:eastAsia="zh-CN"/>
              </w:rPr>
            </w:pPr>
            <w:r>
              <w:rPr>
                <w:rFonts w:hint="eastAsia"/>
                <w:b w:val="0"/>
                <w:bCs w:val="0"/>
                <w:szCs w:val="21"/>
                <w:lang w:val="en-US" w:eastAsia="zh-CN"/>
              </w:rPr>
              <w:t>2.24967E-001</w:t>
            </w:r>
          </w:p>
        </w:tc>
        <w:tc>
          <w:tcPr>
            <w:tcW w:w="1337" w:type="pct"/>
            <w:shd w:val="clear" w:color="000000" w:fill="FFFFFF"/>
            <w:vAlign w:val="center"/>
          </w:tcPr>
          <w:p w14:paraId="477347C2">
            <w:pPr>
              <w:jc w:val="center"/>
              <w:rPr>
                <w:rFonts w:ascii="宋体" w:hAnsi="宋体" w:cs="宋体"/>
                <w:szCs w:val="21"/>
              </w:rPr>
            </w:pPr>
            <w:r>
              <w:rPr>
                <w:rFonts w:hint="eastAsia"/>
                <w:b w:val="0"/>
                <w:bCs w:val="0"/>
                <w:szCs w:val="21"/>
                <w:lang w:val="en-US" w:eastAsia="zh-CN"/>
              </w:rPr>
              <w:t>75</w:t>
            </w:r>
          </w:p>
        </w:tc>
      </w:tr>
      <w:tr w14:paraId="64EFDE2B">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887" w:type="pct"/>
            <w:shd w:val="clear" w:color="000000" w:fill="FFFFFF"/>
            <w:vAlign w:val="center"/>
          </w:tcPr>
          <w:p w14:paraId="571F9944">
            <w:pPr>
              <w:jc w:val="center"/>
              <w:rPr>
                <w:rFonts w:hint="eastAsia"/>
                <w:b/>
                <w:bCs/>
                <w:szCs w:val="21"/>
                <w:lang w:val="en-US" w:eastAsia="zh-CN"/>
              </w:rPr>
            </w:pPr>
            <w:r>
              <w:rPr>
                <w:rFonts w:hint="eastAsia"/>
                <w:b/>
                <w:bCs/>
                <w:szCs w:val="21"/>
                <w:lang w:val="en-US" w:eastAsia="zh-CN"/>
              </w:rPr>
              <w:t>2.0551</w:t>
            </w:r>
          </w:p>
        </w:tc>
        <w:tc>
          <w:tcPr>
            <w:tcW w:w="1775" w:type="pct"/>
            <w:shd w:val="clear" w:color="000000" w:fill="FFFFFF"/>
            <w:vAlign w:val="center"/>
          </w:tcPr>
          <w:p w14:paraId="50F22514">
            <w:pPr>
              <w:jc w:val="center"/>
              <w:rPr>
                <w:rFonts w:hint="eastAsia"/>
                <w:b/>
                <w:bCs/>
                <w:szCs w:val="21"/>
                <w:lang w:val="en-US" w:eastAsia="zh-CN"/>
              </w:rPr>
            </w:pPr>
            <w:r>
              <w:rPr>
                <w:rFonts w:hint="eastAsia"/>
                <w:b/>
                <w:bCs/>
                <w:szCs w:val="21"/>
                <w:lang w:val="en-US" w:eastAsia="zh-CN"/>
              </w:rPr>
              <w:t>2.28344E-001</w:t>
            </w:r>
          </w:p>
        </w:tc>
        <w:tc>
          <w:tcPr>
            <w:tcW w:w="1337" w:type="pct"/>
            <w:shd w:val="clear" w:color="000000" w:fill="FFFFFF"/>
            <w:vAlign w:val="center"/>
          </w:tcPr>
          <w:p w14:paraId="0AA5932E">
            <w:pPr>
              <w:jc w:val="center"/>
              <w:rPr>
                <w:rFonts w:hint="default"/>
                <w:b w:val="0"/>
                <w:bCs w:val="0"/>
                <w:szCs w:val="21"/>
                <w:lang w:val="en-US" w:eastAsia="zh-CN"/>
              </w:rPr>
            </w:pPr>
            <w:r>
              <w:rPr>
                <w:rFonts w:hint="eastAsia"/>
                <w:b/>
                <w:bCs/>
                <w:szCs w:val="21"/>
                <w:lang w:val="en-US" w:eastAsia="zh-CN"/>
              </w:rPr>
              <w:t>83</w:t>
            </w:r>
          </w:p>
        </w:tc>
      </w:tr>
      <w:tr w14:paraId="6121E9EB">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887" w:type="pct"/>
            <w:shd w:val="clear" w:color="000000" w:fill="FFFFFF"/>
            <w:vAlign w:val="center"/>
          </w:tcPr>
          <w:p w14:paraId="4F884139">
            <w:pPr>
              <w:jc w:val="center"/>
              <w:rPr>
                <w:rFonts w:hint="eastAsia"/>
                <w:b w:val="0"/>
                <w:bCs w:val="0"/>
                <w:szCs w:val="21"/>
                <w:lang w:val="en-US" w:eastAsia="zh-CN"/>
              </w:rPr>
            </w:pPr>
            <w:r>
              <w:rPr>
                <w:rFonts w:hint="eastAsia"/>
                <w:b w:val="0"/>
                <w:bCs w:val="0"/>
                <w:szCs w:val="21"/>
                <w:lang w:val="en-US" w:eastAsia="zh-CN"/>
              </w:rPr>
              <w:t>1.9813</w:t>
            </w:r>
          </w:p>
        </w:tc>
        <w:tc>
          <w:tcPr>
            <w:tcW w:w="1775" w:type="pct"/>
            <w:shd w:val="clear" w:color="000000" w:fill="FFFFFF"/>
            <w:vAlign w:val="center"/>
          </w:tcPr>
          <w:p w14:paraId="47081BA5">
            <w:pPr>
              <w:jc w:val="center"/>
              <w:rPr>
                <w:rFonts w:hint="eastAsia"/>
                <w:b w:val="0"/>
                <w:bCs w:val="0"/>
                <w:szCs w:val="21"/>
                <w:lang w:val="en-US" w:eastAsia="zh-CN"/>
              </w:rPr>
            </w:pPr>
            <w:r>
              <w:rPr>
                <w:rFonts w:hint="eastAsia"/>
                <w:b w:val="0"/>
                <w:bCs w:val="0"/>
                <w:szCs w:val="21"/>
                <w:lang w:val="en-US" w:eastAsia="zh-CN"/>
              </w:rPr>
              <w:t>2.20144E-001</w:t>
            </w:r>
          </w:p>
        </w:tc>
        <w:tc>
          <w:tcPr>
            <w:tcW w:w="1337" w:type="pct"/>
            <w:shd w:val="clear" w:color="000000" w:fill="FFFFFF"/>
            <w:vAlign w:val="center"/>
          </w:tcPr>
          <w:p w14:paraId="7C1B9AA5">
            <w:pPr>
              <w:jc w:val="center"/>
              <w:rPr>
                <w:rFonts w:ascii="宋体" w:hAnsi="宋体" w:cs="宋体"/>
                <w:szCs w:val="21"/>
              </w:rPr>
            </w:pPr>
            <w:r>
              <w:rPr>
                <w:rFonts w:hint="eastAsia"/>
                <w:szCs w:val="21"/>
                <w:lang w:val="en-US" w:eastAsia="zh-CN"/>
              </w:rPr>
              <w:t>100</w:t>
            </w:r>
          </w:p>
        </w:tc>
      </w:tr>
      <w:tr w14:paraId="68538952">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887" w:type="pct"/>
            <w:shd w:val="clear" w:color="000000" w:fill="FFFFFF"/>
            <w:vAlign w:val="center"/>
          </w:tcPr>
          <w:p w14:paraId="543DECAC">
            <w:pPr>
              <w:jc w:val="center"/>
              <w:rPr>
                <w:rFonts w:hint="eastAsia"/>
                <w:b w:val="0"/>
                <w:bCs w:val="0"/>
                <w:szCs w:val="21"/>
                <w:lang w:val="en-US" w:eastAsia="zh-CN"/>
              </w:rPr>
            </w:pPr>
            <w:r>
              <w:rPr>
                <w:rFonts w:hint="eastAsia"/>
                <w:b w:val="0"/>
                <w:bCs w:val="0"/>
                <w:szCs w:val="21"/>
                <w:lang w:val="en-US" w:eastAsia="zh-CN"/>
              </w:rPr>
              <w:t>1.4608</w:t>
            </w:r>
          </w:p>
        </w:tc>
        <w:tc>
          <w:tcPr>
            <w:tcW w:w="1775" w:type="pct"/>
            <w:shd w:val="clear" w:color="000000" w:fill="FFFFFF"/>
            <w:vAlign w:val="center"/>
          </w:tcPr>
          <w:p w14:paraId="2F46B0F5">
            <w:pPr>
              <w:jc w:val="center"/>
              <w:rPr>
                <w:rFonts w:hint="eastAsia"/>
                <w:b w:val="0"/>
                <w:bCs w:val="0"/>
                <w:szCs w:val="21"/>
                <w:lang w:val="en-US" w:eastAsia="zh-CN"/>
              </w:rPr>
            </w:pPr>
            <w:r>
              <w:rPr>
                <w:rFonts w:hint="eastAsia"/>
                <w:b w:val="0"/>
                <w:bCs w:val="0"/>
                <w:szCs w:val="21"/>
                <w:lang w:val="en-US" w:eastAsia="zh-CN"/>
              </w:rPr>
              <w:t>1.62311E-001</w:t>
            </w:r>
          </w:p>
        </w:tc>
        <w:tc>
          <w:tcPr>
            <w:tcW w:w="1337" w:type="pct"/>
            <w:shd w:val="clear" w:color="000000" w:fill="FFFFFF"/>
            <w:vAlign w:val="center"/>
          </w:tcPr>
          <w:p w14:paraId="00A4BBF7">
            <w:pPr>
              <w:jc w:val="center"/>
              <w:rPr>
                <w:rFonts w:ascii="宋体" w:hAnsi="宋体" w:cs="宋体"/>
                <w:szCs w:val="21"/>
              </w:rPr>
            </w:pPr>
            <w:r>
              <w:rPr>
                <w:rFonts w:hint="eastAsia"/>
                <w:szCs w:val="21"/>
                <w:lang w:val="en-US" w:eastAsia="zh-CN"/>
              </w:rPr>
              <w:t>200</w:t>
            </w:r>
          </w:p>
        </w:tc>
      </w:tr>
      <w:tr w14:paraId="5FCE2156">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887" w:type="pct"/>
            <w:shd w:val="clear" w:color="000000" w:fill="FFFFFF"/>
            <w:vAlign w:val="center"/>
          </w:tcPr>
          <w:p w14:paraId="19AE1E97">
            <w:pPr>
              <w:jc w:val="center"/>
              <w:rPr>
                <w:rFonts w:hint="eastAsia"/>
                <w:b w:val="0"/>
                <w:bCs w:val="0"/>
                <w:szCs w:val="21"/>
                <w:lang w:val="en-US" w:eastAsia="zh-CN"/>
              </w:rPr>
            </w:pPr>
            <w:r>
              <w:rPr>
                <w:rFonts w:hint="eastAsia"/>
                <w:b w:val="0"/>
                <w:bCs w:val="0"/>
                <w:szCs w:val="21"/>
                <w:lang w:val="en-US" w:eastAsia="zh-CN"/>
              </w:rPr>
              <w:t>1.1717</w:t>
            </w:r>
          </w:p>
        </w:tc>
        <w:tc>
          <w:tcPr>
            <w:tcW w:w="1775" w:type="pct"/>
            <w:shd w:val="clear" w:color="000000" w:fill="FFFFFF"/>
            <w:vAlign w:val="center"/>
          </w:tcPr>
          <w:p w14:paraId="5580A379">
            <w:pPr>
              <w:jc w:val="center"/>
              <w:rPr>
                <w:rFonts w:hint="eastAsia"/>
                <w:b w:val="0"/>
                <w:bCs w:val="0"/>
                <w:szCs w:val="21"/>
                <w:lang w:val="en-US" w:eastAsia="zh-CN"/>
              </w:rPr>
            </w:pPr>
            <w:r>
              <w:rPr>
                <w:rFonts w:hint="eastAsia"/>
                <w:b w:val="0"/>
                <w:bCs w:val="0"/>
                <w:szCs w:val="21"/>
                <w:lang w:val="en-US" w:eastAsia="zh-CN"/>
              </w:rPr>
              <w:t>1.30189E-001</w:t>
            </w:r>
          </w:p>
        </w:tc>
        <w:tc>
          <w:tcPr>
            <w:tcW w:w="1337" w:type="pct"/>
            <w:shd w:val="clear" w:color="000000" w:fill="FFFFFF"/>
            <w:vAlign w:val="center"/>
          </w:tcPr>
          <w:p w14:paraId="62722980">
            <w:pPr>
              <w:jc w:val="center"/>
              <w:rPr>
                <w:rFonts w:ascii="宋体" w:hAnsi="宋体" w:cs="宋体"/>
                <w:szCs w:val="21"/>
              </w:rPr>
            </w:pPr>
            <w:r>
              <w:rPr>
                <w:rFonts w:hint="eastAsia"/>
                <w:szCs w:val="21"/>
                <w:lang w:val="en-US" w:eastAsia="zh-CN"/>
              </w:rPr>
              <w:t>300</w:t>
            </w:r>
          </w:p>
        </w:tc>
      </w:tr>
      <w:tr w14:paraId="3635600E">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887" w:type="pct"/>
            <w:shd w:val="clear" w:color="000000" w:fill="FFFFFF"/>
            <w:vAlign w:val="center"/>
          </w:tcPr>
          <w:p w14:paraId="699DBE4C">
            <w:pPr>
              <w:jc w:val="center"/>
              <w:rPr>
                <w:rFonts w:hint="eastAsia"/>
                <w:b w:val="0"/>
                <w:bCs w:val="0"/>
                <w:szCs w:val="21"/>
                <w:lang w:val="en-US" w:eastAsia="zh-CN"/>
              </w:rPr>
            </w:pPr>
            <w:r>
              <w:rPr>
                <w:rFonts w:hint="eastAsia"/>
                <w:b w:val="0"/>
                <w:bCs w:val="0"/>
                <w:szCs w:val="21"/>
                <w:lang w:val="en-US" w:eastAsia="zh-CN"/>
              </w:rPr>
              <w:t>1.0486</w:t>
            </w:r>
          </w:p>
        </w:tc>
        <w:tc>
          <w:tcPr>
            <w:tcW w:w="1775" w:type="pct"/>
            <w:shd w:val="clear" w:color="000000" w:fill="FFFFFF"/>
            <w:vAlign w:val="center"/>
          </w:tcPr>
          <w:p w14:paraId="4C01385D">
            <w:pPr>
              <w:jc w:val="center"/>
              <w:rPr>
                <w:rFonts w:hint="eastAsia"/>
                <w:b w:val="0"/>
                <w:bCs w:val="0"/>
                <w:szCs w:val="21"/>
                <w:lang w:val="en-US" w:eastAsia="zh-CN"/>
              </w:rPr>
            </w:pPr>
            <w:r>
              <w:rPr>
                <w:rFonts w:hint="eastAsia"/>
                <w:b w:val="0"/>
                <w:bCs w:val="0"/>
                <w:szCs w:val="21"/>
                <w:lang w:val="en-US" w:eastAsia="zh-CN"/>
              </w:rPr>
              <w:t>1.16511E-001</w:t>
            </w:r>
          </w:p>
        </w:tc>
        <w:tc>
          <w:tcPr>
            <w:tcW w:w="1337" w:type="pct"/>
            <w:shd w:val="clear" w:color="000000" w:fill="FFFFFF"/>
            <w:vAlign w:val="center"/>
          </w:tcPr>
          <w:p w14:paraId="4F97F330">
            <w:pPr>
              <w:jc w:val="center"/>
              <w:rPr>
                <w:rFonts w:ascii="宋体" w:hAnsi="宋体" w:cs="宋体"/>
                <w:szCs w:val="21"/>
              </w:rPr>
            </w:pPr>
            <w:r>
              <w:rPr>
                <w:rFonts w:hint="eastAsia"/>
                <w:szCs w:val="21"/>
                <w:lang w:val="en-US" w:eastAsia="zh-CN"/>
              </w:rPr>
              <w:t>400</w:t>
            </w:r>
          </w:p>
        </w:tc>
      </w:tr>
      <w:tr w14:paraId="3F35EB7E">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887" w:type="pct"/>
            <w:shd w:val="clear" w:color="000000" w:fill="FFFFFF"/>
            <w:vAlign w:val="center"/>
          </w:tcPr>
          <w:p w14:paraId="5981F77E">
            <w:pPr>
              <w:jc w:val="center"/>
              <w:rPr>
                <w:rFonts w:hint="eastAsia"/>
                <w:b w:val="0"/>
                <w:bCs w:val="0"/>
                <w:szCs w:val="21"/>
                <w:lang w:val="en-US" w:eastAsia="zh-CN"/>
              </w:rPr>
            </w:pPr>
            <w:r>
              <w:rPr>
                <w:rFonts w:hint="eastAsia"/>
                <w:b w:val="0"/>
                <w:bCs w:val="0"/>
                <w:szCs w:val="21"/>
                <w:lang w:val="en-US" w:eastAsia="zh-CN"/>
              </w:rPr>
              <w:t>0.89604</w:t>
            </w:r>
          </w:p>
        </w:tc>
        <w:tc>
          <w:tcPr>
            <w:tcW w:w="1775" w:type="pct"/>
            <w:shd w:val="clear" w:color="000000" w:fill="FFFFFF"/>
            <w:vAlign w:val="center"/>
          </w:tcPr>
          <w:p w14:paraId="0254E6F5">
            <w:pPr>
              <w:jc w:val="center"/>
              <w:rPr>
                <w:rFonts w:hint="eastAsia"/>
                <w:b w:val="0"/>
                <w:bCs w:val="0"/>
                <w:szCs w:val="21"/>
                <w:lang w:val="en-US" w:eastAsia="zh-CN"/>
              </w:rPr>
            </w:pPr>
            <w:r>
              <w:rPr>
                <w:rFonts w:hint="eastAsia"/>
                <w:b w:val="0"/>
                <w:bCs w:val="0"/>
                <w:szCs w:val="21"/>
                <w:lang w:val="en-US" w:eastAsia="zh-CN"/>
              </w:rPr>
              <w:t>9.95600E-002</w:t>
            </w:r>
          </w:p>
        </w:tc>
        <w:tc>
          <w:tcPr>
            <w:tcW w:w="1337" w:type="pct"/>
            <w:shd w:val="clear" w:color="000000" w:fill="FFFFFF"/>
            <w:vAlign w:val="center"/>
          </w:tcPr>
          <w:p w14:paraId="1EF95F47">
            <w:pPr>
              <w:jc w:val="center"/>
              <w:rPr>
                <w:rFonts w:ascii="宋体" w:hAnsi="宋体" w:cs="宋体"/>
                <w:szCs w:val="21"/>
              </w:rPr>
            </w:pPr>
            <w:r>
              <w:rPr>
                <w:rFonts w:hint="eastAsia"/>
                <w:szCs w:val="21"/>
                <w:lang w:val="en-US" w:eastAsia="zh-CN"/>
              </w:rPr>
              <w:t>500</w:t>
            </w:r>
          </w:p>
        </w:tc>
      </w:tr>
      <w:tr w14:paraId="2E849E1D">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887" w:type="pct"/>
            <w:shd w:val="clear" w:color="000000" w:fill="FFFFFF"/>
            <w:vAlign w:val="center"/>
          </w:tcPr>
          <w:p w14:paraId="1D3608FC">
            <w:pPr>
              <w:jc w:val="center"/>
              <w:rPr>
                <w:rFonts w:hint="eastAsia"/>
                <w:b w:val="0"/>
                <w:bCs w:val="0"/>
                <w:szCs w:val="21"/>
                <w:lang w:val="en-US" w:eastAsia="zh-CN"/>
              </w:rPr>
            </w:pPr>
            <w:r>
              <w:rPr>
                <w:rFonts w:hint="eastAsia"/>
                <w:b w:val="0"/>
                <w:bCs w:val="0"/>
                <w:szCs w:val="21"/>
                <w:lang w:val="en-US" w:eastAsia="zh-CN"/>
              </w:rPr>
              <w:t>0.78816</w:t>
            </w:r>
          </w:p>
        </w:tc>
        <w:tc>
          <w:tcPr>
            <w:tcW w:w="1775" w:type="pct"/>
            <w:shd w:val="clear" w:color="000000" w:fill="FFFFFF"/>
            <w:vAlign w:val="center"/>
          </w:tcPr>
          <w:p w14:paraId="0F633D77">
            <w:pPr>
              <w:jc w:val="center"/>
              <w:rPr>
                <w:rFonts w:hint="eastAsia"/>
                <w:b w:val="0"/>
                <w:bCs w:val="0"/>
                <w:szCs w:val="21"/>
                <w:lang w:val="en-US" w:eastAsia="zh-CN"/>
              </w:rPr>
            </w:pPr>
            <w:r>
              <w:rPr>
                <w:rFonts w:hint="eastAsia"/>
                <w:b w:val="0"/>
                <w:bCs w:val="0"/>
                <w:szCs w:val="21"/>
                <w:lang w:val="en-US" w:eastAsia="zh-CN"/>
              </w:rPr>
              <w:t>8.75733E-002</w:t>
            </w:r>
          </w:p>
        </w:tc>
        <w:tc>
          <w:tcPr>
            <w:tcW w:w="1337" w:type="pct"/>
            <w:shd w:val="clear" w:color="000000" w:fill="FFFFFF"/>
            <w:vAlign w:val="center"/>
          </w:tcPr>
          <w:p w14:paraId="0446C821">
            <w:pPr>
              <w:jc w:val="center"/>
              <w:rPr>
                <w:rFonts w:ascii="宋体" w:hAnsi="宋体" w:cs="宋体"/>
                <w:szCs w:val="21"/>
              </w:rPr>
            </w:pPr>
            <w:r>
              <w:rPr>
                <w:rFonts w:hint="eastAsia"/>
                <w:szCs w:val="21"/>
                <w:lang w:val="en-US" w:eastAsia="zh-CN"/>
              </w:rPr>
              <w:t>600</w:t>
            </w:r>
          </w:p>
        </w:tc>
      </w:tr>
      <w:tr w14:paraId="1BFCFD0F">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887" w:type="pct"/>
            <w:shd w:val="clear" w:color="000000" w:fill="FFFFFF"/>
            <w:vAlign w:val="center"/>
          </w:tcPr>
          <w:p w14:paraId="738AECF9">
            <w:pPr>
              <w:jc w:val="center"/>
              <w:rPr>
                <w:rFonts w:hint="eastAsia"/>
                <w:b w:val="0"/>
                <w:bCs w:val="0"/>
                <w:szCs w:val="21"/>
                <w:lang w:val="en-US" w:eastAsia="zh-CN"/>
              </w:rPr>
            </w:pPr>
            <w:r>
              <w:rPr>
                <w:rFonts w:hint="eastAsia"/>
                <w:b w:val="0"/>
                <w:bCs w:val="0"/>
                <w:szCs w:val="21"/>
                <w:lang w:val="en-US" w:eastAsia="zh-CN"/>
              </w:rPr>
              <w:t>0.7072</w:t>
            </w:r>
          </w:p>
        </w:tc>
        <w:tc>
          <w:tcPr>
            <w:tcW w:w="1775" w:type="pct"/>
            <w:shd w:val="clear" w:color="000000" w:fill="FFFFFF"/>
            <w:vAlign w:val="center"/>
          </w:tcPr>
          <w:p w14:paraId="46A14493">
            <w:pPr>
              <w:jc w:val="center"/>
              <w:rPr>
                <w:rFonts w:hint="eastAsia"/>
                <w:b w:val="0"/>
                <w:bCs w:val="0"/>
                <w:szCs w:val="21"/>
                <w:lang w:val="en-US" w:eastAsia="zh-CN"/>
              </w:rPr>
            </w:pPr>
            <w:r>
              <w:rPr>
                <w:rFonts w:hint="eastAsia"/>
                <w:b w:val="0"/>
                <w:bCs w:val="0"/>
                <w:szCs w:val="21"/>
                <w:lang w:val="en-US" w:eastAsia="zh-CN"/>
              </w:rPr>
              <w:t>7.85778E-002</w:t>
            </w:r>
          </w:p>
        </w:tc>
        <w:tc>
          <w:tcPr>
            <w:tcW w:w="1337" w:type="pct"/>
            <w:shd w:val="clear" w:color="000000" w:fill="FFFFFF"/>
            <w:vAlign w:val="center"/>
          </w:tcPr>
          <w:p w14:paraId="6704D383">
            <w:pPr>
              <w:jc w:val="center"/>
              <w:rPr>
                <w:rFonts w:ascii="宋体" w:hAnsi="宋体" w:cs="宋体"/>
                <w:szCs w:val="21"/>
              </w:rPr>
            </w:pPr>
            <w:r>
              <w:rPr>
                <w:rFonts w:hint="eastAsia"/>
                <w:szCs w:val="21"/>
                <w:lang w:val="en-US" w:eastAsia="zh-CN"/>
              </w:rPr>
              <w:t>700</w:t>
            </w:r>
          </w:p>
        </w:tc>
      </w:tr>
      <w:tr w14:paraId="66BBEC64">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887" w:type="pct"/>
            <w:shd w:val="clear" w:color="000000" w:fill="FFFFFF"/>
            <w:vAlign w:val="center"/>
          </w:tcPr>
          <w:p w14:paraId="450B2E38">
            <w:pPr>
              <w:jc w:val="center"/>
              <w:rPr>
                <w:rFonts w:hint="eastAsia"/>
                <w:b w:val="0"/>
                <w:bCs w:val="0"/>
                <w:szCs w:val="21"/>
                <w:lang w:val="en-US" w:eastAsia="zh-CN"/>
              </w:rPr>
            </w:pPr>
            <w:r>
              <w:rPr>
                <w:rFonts w:hint="eastAsia"/>
                <w:b w:val="0"/>
                <w:bCs w:val="0"/>
                <w:szCs w:val="21"/>
                <w:lang w:val="en-US" w:eastAsia="zh-CN"/>
              </w:rPr>
              <w:t>0.64386</w:t>
            </w:r>
          </w:p>
        </w:tc>
        <w:tc>
          <w:tcPr>
            <w:tcW w:w="1775" w:type="pct"/>
            <w:shd w:val="clear" w:color="000000" w:fill="FFFFFF"/>
            <w:vAlign w:val="center"/>
          </w:tcPr>
          <w:p w14:paraId="30DC7623">
            <w:pPr>
              <w:jc w:val="center"/>
              <w:rPr>
                <w:rFonts w:hint="eastAsia"/>
                <w:b w:val="0"/>
                <w:bCs w:val="0"/>
                <w:szCs w:val="21"/>
                <w:lang w:val="en-US" w:eastAsia="zh-CN"/>
              </w:rPr>
            </w:pPr>
            <w:r>
              <w:rPr>
                <w:rFonts w:hint="eastAsia"/>
                <w:b w:val="0"/>
                <w:bCs w:val="0"/>
                <w:szCs w:val="21"/>
                <w:lang w:val="en-US" w:eastAsia="zh-CN"/>
              </w:rPr>
              <w:t>7.15400E-002</w:t>
            </w:r>
          </w:p>
        </w:tc>
        <w:tc>
          <w:tcPr>
            <w:tcW w:w="1337" w:type="pct"/>
            <w:shd w:val="clear" w:color="000000" w:fill="FFFFFF"/>
            <w:vAlign w:val="center"/>
          </w:tcPr>
          <w:p w14:paraId="70D72009">
            <w:pPr>
              <w:jc w:val="center"/>
              <w:rPr>
                <w:rFonts w:ascii="宋体" w:hAnsi="宋体" w:cs="宋体"/>
                <w:szCs w:val="21"/>
              </w:rPr>
            </w:pPr>
            <w:r>
              <w:rPr>
                <w:rFonts w:hint="eastAsia"/>
                <w:szCs w:val="21"/>
                <w:lang w:val="en-US" w:eastAsia="zh-CN"/>
              </w:rPr>
              <w:t>800</w:t>
            </w:r>
          </w:p>
        </w:tc>
      </w:tr>
      <w:tr w14:paraId="64B65552">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887" w:type="pct"/>
            <w:shd w:val="clear" w:color="000000" w:fill="FFFFFF"/>
            <w:vAlign w:val="center"/>
          </w:tcPr>
          <w:p w14:paraId="07C650FC">
            <w:pPr>
              <w:jc w:val="center"/>
              <w:rPr>
                <w:rFonts w:hint="eastAsia"/>
                <w:b w:val="0"/>
                <w:bCs w:val="0"/>
                <w:szCs w:val="21"/>
                <w:lang w:val="en-US" w:eastAsia="zh-CN"/>
              </w:rPr>
            </w:pPr>
            <w:r>
              <w:rPr>
                <w:rFonts w:hint="eastAsia"/>
                <w:b w:val="0"/>
                <w:bCs w:val="0"/>
                <w:szCs w:val="21"/>
                <w:lang w:val="en-US" w:eastAsia="zh-CN"/>
              </w:rPr>
              <w:t>0.59273</w:t>
            </w:r>
          </w:p>
        </w:tc>
        <w:tc>
          <w:tcPr>
            <w:tcW w:w="1775" w:type="pct"/>
            <w:shd w:val="clear" w:color="000000" w:fill="FFFFFF"/>
            <w:vAlign w:val="center"/>
          </w:tcPr>
          <w:p w14:paraId="12EFAEBA">
            <w:pPr>
              <w:jc w:val="center"/>
              <w:rPr>
                <w:rFonts w:hint="eastAsia"/>
                <w:b w:val="0"/>
                <w:bCs w:val="0"/>
                <w:szCs w:val="21"/>
                <w:lang w:val="en-US" w:eastAsia="zh-CN"/>
              </w:rPr>
            </w:pPr>
            <w:r>
              <w:rPr>
                <w:rFonts w:hint="eastAsia"/>
                <w:b w:val="0"/>
                <w:bCs w:val="0"/>
                <w:szCs w:val="21"/>
                <w:lang w:val="en-US" w:eastAsia="zh-CN"/>
              </w:rPr>
              <w:t>6.58589E-002</w:t>
            </w:r>
          </w:p>
        </w:tc>
        <w:tc>
          <w:tcPr>
            <w:tcW w:w="1337" w:type="pct"/>
            <w:shd w:val="clear" w:color="000000" w:fill="FFFFFF"/>
            <w:vAlign w:val="center"/>
          </w:tcPr>
          <w:p w14:paraId="5A64EA93">
            <w:pPr>
              <w:jc w:val="center"/>
              <w:rPr>
                <w:rFonts w:ascii="宋体" w:hAnsi="宋体" w:cs="宋体"/>
                <w:szCs w:val="21"/>
              </w:rPr>
            </w:pPr>
            <w:r>
              <w:rPr>
                <w:rFonts w:hint="eastAsia"/>
                <w:szCs w:val="21"/>
                <w:lang w:val="en-US" w:eastAsia="zh-CN"/>
              </w:rPr>
              <w:t>900</w:t>
            </w:r>
          </w:p>
        </w:tc>
      </w:tr>
      <w:tr w14:paraId="20EF90E3">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887" w:type="pct"/>
            <w:shd w:val="clear" w:color="000000" w:fill="FFFFFF"/>
            <w:vAlign w:val="center"/>
          </w:tcPr>
          <w:p w14:paraId="0228BFA4">
            <w:pPr>
              <w:jc w:val="center"/>
              <w:rPr>
                <w:rFonts w:hint="eastAsia"/>
                <w:b w:val="0"/>
                <w:bCs w:val="0"/>
                <w:szCs w:val="21"/>
                <w:lang w:val="en-US" w:eastAsia="zh-CN"/>
              </w:rPr>
            </w:pPr>
            <w:r>
              <w:rPr>
                <w:rFonts w:hint="eastAsia"/>
                <w:b w:val="0"/>
                <w:bCs w:val="0"/>
                <w:szCs w:val="21"/>
                <w:lang w:val="en-US" w:eastAsia="zh-CN"/>
              </w:rPr>
              <w:t>0.55047</w:t>
            </w:r>
          </w:p>
        </w:tc>
        <w:tc>
          <w:tcPr>
            <w:tcW w:w="1775" w:type="pct"/>
            <w:shd w:val="clear" w:color="000000" w:fill="FFFFFF"/>
            <w:vAlign w:val="center"/>
          </w:tcPr>
          <w:p w14:paraId="0AF1B137">
            <w:pPr>
              <w:jc w:val="center"/>
              <w:rPr>
                <w:rFonts w:hint="eastAsia"/>
                <w:b w:val="0"/>
                <w:bCs w:val="0"/>
                <w:szCs w:val="21"/>
                <w:lang w:val="en-US" w:eastAsia="zh-CN"/>
              </w:rPr>
            </w:pPr>
            <w:r>
              <w:rPr>
                <w:rFonts w:hint="eastAsia"/>
                <w:b w:val="0"/>
                <w:bCs w:val="0"/>
                <w:szCs w:val="21"/>
                <w:lang w:val="en-US" w:eastAsia="zh-CN"/>
              </w:rPr>
              <w:t>6.11633E-002</w:t>
            </w:r>
          </w:p>
        </w:tc>
        <w:tc>
          <w:tcPr>
            <w:tcW w:w="1337" w:type="pct"/>
            <w:shd w:val="clear" w:color="000000" w:fill="FFFFFF"/>
            <w:vAlign w:val="center"/>
          </w:tcPr>
          <w:p w14:paraId="36A7C81D">
            <w:pPr>
              <w:jc w:val="center"/>
              <w:rPr>
                <w:rFonts w:ascii="宋体" w:hAnsi="宋体" w:cs="宋体"/>
                <w:szCs w:val="21"/>
              </w:rPr>
            </w:pPr>
            <w:r>
              <w:rPr>
                <w:rFonts w:hint="eastAsia"/>
                <w:szCs w:val="21"/>
                <w:lang w:val="en-US" w:eastAsia="zh-CN"/>
              </w:rPr>
              <w:t>1000</w:t>
            </w:r>
          </w:p>
        </w:tc>
      </w:tr>
      <w:tr w14:paraId="15BE0403">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887" w:type="pct"/>
            <w:shd w:val="clear" w:color="000000" w:fill="FFFFFF"/>
            <w:vAlign w:val="center"/>
          </w:tcPr>
          <w:p w14:paraId="33E9EDA8">
            <w:pPr>
              <w:jc w:val="center"/>
              <w:rPr>
                <w:rFonts w:hint="eastAsia"/>
                <w:b w:val="0"/>
                <w:bCs w:val="0"/>
                <w:szCs w:val="21"/>
                <w:lang w:val="en-US" w:eastAsia="zh-CN"/>
              </w:rPr>
            </w:pPr>
            <w:r>
              <w:rPr>
                <w:rFonts w:hint="eastAsia"/>
                <w:b w:val="0"/>
                <w:bCs w:val="0"/>
                <w:szCs w:val="21"/>
                <w:lang w:val="en-US" w:eastAsia="zh-CN"/>
              </w:rPr>
              <w:t>0.4829</w:t>
            </w:r>
          </w:p>
        </w:tc>
        <w:tc>
          <w:tcPr>
            <w:tcW w:w="1775" w:type="pct"/>
            <w:shd w:val="clear" w:color="000000" w:fill="FFFFFF"/>
            <w:vAlign w:val="center"/>
          </w:tcPr>
          <w:p w14:paraId="68981C9E">
            <w:pPr>
              <w:jc w:val="center"/>
              <w:rPr>
                <w:rFonts w:hint="eastAsia"/>
                <w:b w:val="0"/>
                <w:bCs w:val="0"/>
                <w:szCs w:val="21"/>
                <w:lang w:val="en-US" w:eastAsia="zh-CN"/>
              </w:rPr>
            </w:pPr>
            <w:r>
              <w:rPr>
                <w:rFonts w:hint="eastAsia"/>
                <w:b w:val="0"/>
                <w:bCs w:val="0"/>
                <w:szCs w:val="21"/>
                <w:lang w:val="en-US" w:eastAsia="zh-CN"/>
              </w:rPr>
              <w:t>5.36556E-002</w:t>
            </w:r>
          </w:p>
        </w:tc>
        <w:tc>
          <w:tcPr>
            <w:tcW w:w="1337" w:type="pct"/>
            <w:shd w:val="clear" w:color="000000" w:fill="FFFFFF"/>
            <w:vAlign w:val="center"/>
          </w:tcPr>
          <w:p w14:paraId="783F89B2">
            <w:pPr>
              <w:jc w:val="center"/>
              <w:rPr>
                <w:rFonts w:ascii="宋体" w:hAnsi="宋体" w:cs="宋体"/>
                <w:szCs w:val="21"/>
              </w:rPr>
            </w:pPr>
            <w:r>
              <w:rPr>
                <w:rFonts w:hint="eastAsia"/>
                <w:szCs w:val="21"/>
                <w:lang w:val="en-US" w:eastAsia="zh-CN"/>
              </w:rPr>
              <w:t>1500</w:t>
            </w:r>
          </w:p>
        </w:tc>
      </w:tr>
      <w:tr w14:paraId="54A60CF9">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887" w:type="pct"/>
            <w:shd w:val="clear" w:color="000000" w:fill="FFFFFF"/>
            <w:vAlign w:val="center"/>
          </w:tcPr>
          <w:p w14:paraId="5CCD60B9">
            <w:pPr>
              <w:jc w:val="center"/>
              <w:rPr>
                <w:rFonts w:hint="eastAsia"/>
                <w:b w:val="0"/>
                <w:bCs w:val="0"/>
                <w:szCs w:val="21"/>
                <w:lang w:val="en-US" w:eastAsia="zh-CN"/>
              </w:rPr>
            </w:pPr>
            <w:r>
              <w:rPr>
                <w:rFonts w:hint="eastAsia"/>
                <w:b w:val="0"/>
                <w:bCs w:val="0"/>
                <w:szCs w:val="21"/>
                <w:lang w:val="en-US" w:eastAsia="zh-CN"/>
              </w:rPr>
              <w:t>0.4141</w:t>
            </w:r>
          </w:p>
        </w:tc>
        <w:tc>
          <w:tcPr>
            <w:tcW w:w="1775" w:type="pct"/>
            <w:shd w:val="clear" w:color="000000" w:fill="FFFFFF"/>
            <w:vAlign w:val="center"/>
          </w:tcPr>
          <w:p w14:paraId="444666B8">
            <w:pPr>
              <w:jc w:val="center"/>
              <w:rPr>
                <w:rFonts w:hint="eastAsia"/>
                <w:b w:val="0"/>
                <w:bCs w:val="0"/>
                <w:szCs w:val="21"/>
                <w:lang w:val="en-US" w:eastAsia="zh-CN"/>
              </w:rPr>
            </w:pPr>
            <w:r>
              <w:rPr>
                <w:rFonts w:hint="eastAsia"/>
                <w:b w:val="0"/>
                <w:bCs w:val="0"/>
                <w:szCs w:val="21"/>
                <w:lang w:val="en-US" w:eastAsia="zh-CN"/>
              </w:rPr>
              <w:t>4.60111E-002</w:t>
            </w:r>
          </w:p>
        </w:tc>
        <w:tc>
          <w:tcPr>
            <w:tcW w:w="1337" w:type="pct"/>
            <w:shd w:val="clear" w:color="000000" w:fill="FFFFFF"/>
            <w:vAlign w:val="center"/>
          </w:tcPr>
          <w:p w14:paraId="4C9E4F40">
            <w:pPr>
              <w:jc w:val="center"/>
              <w:rPr>
                <w:rFonts w:ascii="宋体" w:hAnsi="宋体" w:cs="宋体"/>
                <w:szCs w:val="21"/>
              </w:rPr>
            </w:pPr>
            <w:r>
              <w:rPr>
                <w:rFonts w:hint="eastAsia"/>
                <w:szCs w:val="21"/>
                <w:lang w:val="en-US" w:eastAsia="zh-CN"/>
              </w:rPr>
              <w:t>2000</w:t>
            </w:r>
          </w:p>
        </w:tc>
      </w:tr>
      <w:tr w14:paraId="4E695A96">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887" w:type="pct"/>
            <w:shd w:val="clear" w:color="000000" w:fill="FFFFFF"/>
            <w:vAlign w:val="center"/>
          </w:tcPr>
          <w:p w14:paraId="4CB63ABE">
            <w:pPr>
              <w:jc w:val="center"/>
              <w:rPr>
                <w:rFonts w:hint="eastAsia"/>
                <w:b w:val="0"/>
                <w:bCs w:val="0"/>
                <w:szCs w:val="21"/>
                <w:lang w:val="en-US" w:eastAsia="zh-CN"/>
              </w:rPr>
            </w:pPr>
            <w:r>
              <w:rPr>
                <w:rFonts w:hint="eastAsia"/>
                <w:b w:val="0"/>
                <w:bCs w:val="0"/>
                <w:szCs w:val="21"/>
                <w:lang w:val="en-US" w:eastAsia="zh-CN"/>
              </w:rPr>
              <w:t>0.3616</w:t>
            </w:r>
          </w:p>
        </w:tc>
        <w:tc>
          <w:tcPr>
            <w:tcW w:w="1775" w:type="pct"/>
            <w:shd w:val="clear" w:color="000000" w:fill="FFFFFF"/>
            <w:vAlign w:val="center"/>
          </w:tcPr>
          <w:p w14:paraId="2C175FA6">
            <w:pPr>
              <w:jc w:val="center"/>
              <w:rPr>
                <w:rFonts w:hint="eastAsia"/>
                <w:b w:val="0"/>
                <w:bCs w:val="0"/>
                <w:szCs w:val="21"/>
                <w:lang w:val="en-US" w:eastAsia="zh-CN"/>
              </w:rPr>
            </w:pPr>
            <w:r>
              <w:rPr>
                <w:rFonts w:hint="eastAsia"/>
                <w:b w:val="0"/>
                <w:bCs w:val="0"/>
                <w:szCs w:val="21"/>
                <w:lang w:val="en-US" w:eastAsia="zh-CN"/>
              </w:rPr>
              <w:t>4.01778E-002</w:t>
            </w:r>
          </w:p>
        </w:tc>
        <w:tc>
          <w:tcPr>
            <w:tcW w:w="1337" w:type="pct"/>
            <w:shd w:val="clear" w:color="000000" w:fill="FFFFFF"/>
            <w:vAlign w:val="center"/>
          </w:tcPr>
          <w:p w14:paraId="7E46CF96">
            <w:pPr>
              <w:jc w:val="center"/>
              <w:rPr>
                <w:rFonts w:ascii="宋体" w:hAnsi="宋体" w:cs="宋体"/>
                <w:szCs w:val="21"/>
              </w:rPr>
            </w:pPr>
            <w:r>
              <w:rPr>
                <w:rFonts w:hint="eastAsia"/>
                <w:szCs w:val="21"/>
                <w:lang w:val="en-US" w:eastAsia="zh-CN"/>
              </w:rPr>
              <w:t>2500</w:t>
            </w:r>
          </w:p>
        </w:tc>
      </w:tr>
    </w:tbl>
    <w:p w14:paraId="40461F15">
      <w:pPr>
        <w:spacing w:line="480" w:lineRule="exact"/>
        <w:ind w:firstLine="480" w:firstLineChars="200"/>
        <w:rPr>
          <w:sz w:val="24"/>
        </w:rPr>
      </w:pPr>
      <w:r>
        <w:rPr>
          <w:sz w:val="24"/>
        </w:rPr>
        <w:t>经估算模式计算，评价列出了具体的计算结果，见表</w:t>
      </w:r>
      <w:r>
        <w:rPr>
          <w:rFonts w:hint="eastAsia"/>
          <w:sz w:val="24"/>
        </w:rPr>
        <w:t>8。</w:t>
      </w:r>
    </w:p>
    <w:p w14:paraId="594681AD">
      <w:pPr>
        <w:jc w:val="center"/>
        <w:rPr>
          <w:b/>
        </w:rPr>
      </w:pPr>
      <w:r>
        <w:rPr>
          <w:rFonts w:hint="eastAsia"/>
          <w:b/>
        </w:rPr>
        <w:t>表8</w:t>
      </w:r>
      <w:r>
        <w:rPr>
          <w:rFonts w:hint="eastAsia"/>
          <w:b/>
          <w:lang w:val="en-US" w:eastAsia="zh-CN"/>
        </w:rPr>
        <w:t xml:space="preserve">    </w:t>
      </w:r>
      <w:r>
        <w:rPr>
          <w:b/>
        </w:rPr>
        <w:t>环境空气</w:t>
      </w:r>
      <w:r>
        <w:rPr>
          <w:rFonts w:hint="eastAsia"/>
          <w:b/>
        </w:rPr>
        <w:t>影响预测估算</w:t>
      </w:r>
      <w:r>
        <w:rPr>
          <w:b/>
        </w:rPr>
        <w:t>结果</w:t>
      </w:r>
    </w:p>
    <w:tbl>
      <w:tblPr>
        <w:tblStyle w:val="47"/>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57" w:type="dxa"/>
          <w:bottom w:w="0" w:type="dxa"/>
          <w:right w:w="57" w:type="dxa"/>
        </w:tblCellMar>
      </w:tblPr>
      <w:tblGrid>
        <w:gridCol w:w="838"/>
        <w:gridCol w:w="745"/>
        <w:gridCol w:w="650"/>
        <w:gridCol w:w="1112"/>
        <w:gridCol w:w="943"/>
        <w:gridCol w:w="1043"/>
        <w:gridCol w:w="1311"/>
        <w:gridCol w:w="1238"/>
        <w:gridCol w:w="735"/>
      </w:tblGrid>
      <w:tr w14:paraId="3574E6B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84" w:hRule="atLeast"/>
          <w:tblHeader/>
          <w:jc w:val="center"/>
        </w:trPr>
        <w:tc>
          <w:tcPr>
            <w:tcW w:w="1295" w:type="pct"/>
            <w:gridSpan w:val="3"/>
            <w:vAlign w:val="center"/>
          </w:tcPr>
          <w:p w14:paraId="475D3ABB">
            <w:pPr>
              <w:widowControl/>
              <w:jc w:val="center"/>
              <w:rPr>
                <w:kern w:val="0"/>
                <w:szCs w:val="21"/>
              </w:rPr>
            </w:pPr>
            <w:r>
              <w:rPr>
                <w:kern w:val="0"/>
                <w:szCs w:val="21"/>
              </w:rPr>
              <w:t>排放源名称</w:t>
            </w:r>
          </w:p>
        </w:tc>
        <w:tc>
          <w:tcPr>
            <w:tcW w:w="645" w:type="pct"/>
            <w:vAlign w:val="center"/>
          </w:tcPr>
          <w:p w14:paraId="4600DD44">
            <w:pPr>
              <w:widowControl/>
              <w:jc w:val="center"/>
              <w:rPr>
                <w:kern w:val="0"/>
                <w:szCs w:val="21"/>
              </w:rPr>
            </w:pPr>
            <w:r>
              <w:rPr>
                <w:kern w:val="0"/>
                <w:szCs w:val="21"/>
              </w:rPr>
              <w:t>最大落地浓度（μg/m</w:t>
            </w:r>
            <w:r>
              <w:rPr>
                <w:kern w:val="0"/>
                <w:szCs w:val="21"/>
                <w:vertAlign w:val="superscript"/>
              </w:rPr>
              <w:t>3</w:t>
            </w:r>
            <w:r>
              <w:rPr>
                <w:kern w:val="0"/>
                <w:szCs w:val="21"/>
              </w:rPr>
              <w:t>）</w:t>
            </w:r>
          </w:p>
        </w:tc>
        <w:tc>
          <w:tcPr>
            <w:tcW w:w="547" w:type="pct"/>
            <w:vAlign w:val="center"/>
          </w:tcPr>
          <w:p w14:paraId="5CCDCADC">
            <w:pPr>
              <w:widowControl/>
              <w:jc w:val="center"/>
              <w:rPr>
                <w:kern w:val="0"/>
                <w:szCs w:val="21"/>
              </w:rPr>
            </w:pPr>
            <w:r>
              <w:rPr>
                <w:kern w:val="0"/>
                <w:szCs w:val="21"/>
              </w:rPr>
              <w:t>最大浓度落地点（m）</w:t>
            </w:r>
          </w:p>
        </w:tc>
        <w:tc>
          <w:tcPr>
            <w:tcW w:w="605" w:type="pct"/>
            <w:vAlign w:val="center"/>
          </w:tcPr>
          <w:p w14:paraId="01C15C56">
            <w:pPr>
              <w:widowControl/>
              <w:jc w:val="center"/>
              <w:rPr>
                <w:kern w:val="0"/>
                <w:szCs w:val="21"/>
              </w:rPr>
            </w:pPr>
            <w:r>
              <w:rPr>
                <w:kern w:val="0"/>
                <w:szCs w:val="21"/>
              </w:rPr>
              <w:t>评价标准（μg/m</w:t>
            </w:r>
            <w:r>
              <w:rPr>
                <w:kern w:val="0"/>
                <w:szCs w:val="21"/>
                <w:vertAlign w:val="superscript"/>
              </w:rPr>
              <w:t>3</w:t>
            </w:r>
            <w:r>
              <w:rPr>
                <w:kern w:val="0"/>
                <w:szCs w:val="21"/>
              </w:rPr>
              <w:t>）</w:t>
            </w:r>
          </w:p>
        </w:tc>
        <w:tc>
          <w:tcPr>
            <w:tcW w:w="760" w:type="pct"/>
            <w:vAlign w:val="center"/>
          </w:tcPr>
          <w:p w14:paraId="1C729353">
            <w:pPr>
              <w:widowControl/>
              <w:jc w:val="center"/>
              <w:rPr>
                <w:kern w:val="0"/>
                <w:szCs w:val="21"/>
              </w:rPr>
            </w:pPr>
            <w:r>
              <w:rPr>
                <w:kern w:val="0"/>
                <w:szCs w:val="21"/>
              </w:rPr>
              <w:t>占标率（%）</w:t>
            </w:r>
          </w:p>
        </w:tc>
        <w:tc>
          <w:tcPr>
            <w:tcW w:w="718" w:type="pct"/>
            <w:vAlign w:val="center"/>
          </w:tcPr>
          <w:p w14:paraId="4C5D4F04">
            <w:pPr>
              <w:widowControl/>
              <w:jc w:val="center"/>
              <w:rPr>
                <w:kern w:val="0"/>
                <w:szCs w:val="21"/>
              </w:rPr>
            </w:pPr>
            <w:r>
              <w:rPr>
                <w:kern w:val="0"/>
                <w:szCs w:val="21"/>
              </w:rPr>
              <w:t>D</w:t>
            </w:r>
            <w:r>
              <w:rPr>
                <w:kern w:val="0"/>
                <w:szCs w:val="21"/>
                <w:vertAlign w:val="subscript"/>
              </w:rPr>
              <w:t>10%</w:t>
            </w:r>
            <w:r>
              <w:rPr>
                <w:kern w:val="0"/>
                <w:szCs w:val="21"/>
              </w:rPr>
              <w:t>（m）</w:t>
            </w:r>
          </w:p>
        </w:tc>
        <w:tc>
          <w:tcPr>
            <w:tcW w:w="426" w:type="pct"/>
            <w:vAlign w:val="center"/>
          </w:tcPr>
          <w:p w14:paraId="0FDF4D43">
            <w:pPr>
              <w:widowControl/>
              <w:jc w:val="center"/>
              <w:rPr>
                <w:kern w:val="0"/>
                <w:szCs w:val="21"/>
              </w:rPr>
            </w:pPr>
            <w:r>
              <w:rPr>
                <w:kern w:val="0"/>
                <w:szCs w:val="21"/>
              </w:rPr>
              <w:t>推荐评价等级</w:t>
            </w:r>
          </w:p>
        </w:tc>
      </w:tr>
      <w:tr w14:paraId="0A4989A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84" w:hRule="atLeast"/>
          <w:jc w:val="center"/>
        </w:trPr>
        <w:tc>
          <w:tcPr>
            <w:tcW w:w="486" w:type="pct"/>
            <w:vMerge w:val="restart"/>
            <w:vAlign w:val="center"/>
          </w:tcPr>
          <w:p w14:paraId="5919E225">
            <w:pPr>
              <w:widowControl/>
              <w:jc w:val="center"/>
              <w:rPr>
                <w:rFonts w:hint="default" w:eastAsia="宋体"/>
                <w:kern w:val="0"/>
                <w:szCs w:val="21"/>
                <w:lang w:val="en-US" w:eastAsia="zh-CN"/>
              </w:rPr>
            </w:pPr>
            <w:r>
              <w:rPr>
                <w:rFonts w:hint="eastAsia"/>
                <w:kern w:val="0"/>
                <w:szCs w:val="21"/>
                <w:lang w:val="en-US" w:eastAsia="zh-CN"/>
              </w:rPr>
              <w:t>DA001</w:t>
            </w:r>
          </w:p>
        </w:tc>
        <w:tc>
          <w:tcPr>
            <w:tcW w:w="432" w:type="pct"/>
            <w:vAlign w:val="center"/>
          </w:tcPr>
          <w:p w14:paraId="670DBCB2">
            <w:pPr>
              <w:widowControl/>
              <w:jc w:val="center"/>
              <w:rPr>
                <w:kern w:val="0"/>
                <w:szCs w:val="21"/>
              </w:rPr>
            </w:pPr>
            <w:r>
              <w:rPr>
                <w:rFonts w:hint="eastAsia"/>
                <w:kern w:val="0"/>
                <w:szCs w:val="21"/>
              </w:rPr>
              <w:t>PM</w:t>
            </w:r>
            <w:r>
              <w:rPr>
                <w:rFonts w:hint="eastAsia"/>
                <w:kern w:val="0"/>
                <w:szCs w:val="21"/>
                <w:vertAlign w:val="subscript"/>
              </w:rPr>
              <w:t>10</w:t>
            </w:r>
          </w:p>
        </w:tc>
        <w:tc>
          <w:tcPr>
            <w:tcW w:w="376" w:type="pct"/>
            <w:vMerge w:val="restart"/>
            <w:vAlign w:val="center"/>
          </w:tcPr>
          <w:p w14:paraId="26A1B521">
            <w:pPr>
              <w:jc w:val="center"/>
              <w:rPr>
                <w:kern w:val="0"/>
                <w:szCs w:val="21"/>
              </w:rPr>
            </w:pPr>
            <w:r>
              <w:rPr>
                <w:kern w:val="0"/>
                <w:szCs w:val="21"/>
              </w:rPr>
              <w:t>点源</w:t>
            </w:r>
          </w:p>
        </w:tc>
        <w:tc>
          <w:tcPr>
            <w:tcW w:w="645" w:type="pct"/>
            <w:vAlign w:val="center"/>
          </w:tcPr>
          <w:p w14:paraId="163A0809">
            <w:pPr>
              <w:jc w:val="center"/>
              <w:rPr>
                <w:b w:val="0"/>
                <w:bCs w:val="0"/>
                <w:kern w:val="0"/>
                <w:szCs w:val="21"/>
              </w:rPr>
            </w:pPr>
            <w:r>
              <w:rPr>
                <w:rFonts w:hint="eastAsia"/>
                <w:b w:val="0"/>
                <w:bCs w:val="0"/>
                <w:szCs w:val="21"/>
                <w:lang w:val="en-US" w:eastAsia="zh-CN"/>
              </w:rPr>
              <w:t>11.359</w:t>
            </w:r>
          </w:p>
        </w:tc>
        <w:tc>
          <w:tcPr>
            <w:tcW w:w="547" w:type="pct"/>
            <w:vMerge w:val="restart"/>
            <w:vAlign w:val="center"/>
          </w:tcPr>
          <w:p w14:paraId="577D55D0">
            <w:pPr>
              <w:jc w:val="center"/>
              <w:rPr>
                <w:rFonts w:hint="default" w:eastAsia="宋体"/>
                <w:kern w:val="0"/>
                <w:szCs w:val="21"/>
                <w:lang w:val="en-US" w:eastAsia="zh-CN"/>
              </w:rPr>
            </w:pPr>
            <w:r>
              <w:rPr>
                <w:rFonts w:hint="eastAsia"/>
                <w:kern w:val="0"/>
                <w:szCs w:val="21"/>
                <w:lang w:val="en-US" w:eastAsia="zh-CN"/>
              </w:rPr>
              <w:t>139</w:t>
            </w:r>
          </w:p>
        </w:tc>
        <w:tc>
          <w:tcPr>
            <w:tcW w:w="605" w:type="pct"/>
            <w:vAlign w:val="center"/>
          </w:tcPr>
          <w:p w14:paraId="04F9367F">
            <w:pPr>
              <w:jc w:val="center"/>
              <w:rPr>
                <w:kern w:val="0"/>
                <w:szCs w:val="21"/>
              </w:rPr>
            </w:pPr>
            <w:r>
              <w:rPr>
                <w:rFonts w:hint="eastAsia"/>
                <w:kern w:val="0"/>
                <w:szCs w:val="21"/>
              </w:rPr>
              <w:t>450</w:t>
            </w:r>
          </w:p>
        </w:tc>
        <w:tc>
          <w:tcPr>
            <w:tcW w:w="760" w:type="pct"/>
            <w:vAlign w:val="center"/>
          </w:tcPr>
          <w:p w14:paraId="550EDAD0">
            <w:pPr>
              <w:jc w:val="center"/>
              <w:rPr>
                <w:b w:val="0"/>
                <w:bCs w:val="0"/>
                <w:kern w:val="0"/>
                <w:szCs w:val="21"/>
              </w:rPr>
            </w:pPr>
            <w:r>
              <w:rPr>
                <w:rFonts w:hint="eastAsia"/>
                <w:b w:val="0"/>
                <w:bCs w:val="0"/>
                <w:szCs w:val="21"/>
                <w:lang w:val="en-US" w:eastAsia="zh-CN"/>
              </w:rPr>
              <w:t>2.52</w:t>
            </w:r>
          </w:p>
        </w:tc>
        <w:tc>
          <w:tcPr>
            <w:tcW w:w="718" w:type="pct"/>
            <w:vAlign w:val="center"/>
          </w:tcPr>
          <w:p w14:paraId="0FBBCA6C">
            <w:pPr>
              <w:jc w:val="center"/>
              <w:rPr>
                <w:kern w:val="0"/>
                <w:szCs w:val="21"/>
              </w:rPr>
            </w:pPr>
            <w:r>
              <w:rPr>
                <w:rFonts w:hint="eastAsia"/>
                <w:kern w:val="0"/>
                <w:szCs w:val="21"/>
              </w:rPr>
              <w:t>0</w:t>
            </w:r>
          </w:p>
        </w:tc>
        <w:tc>
          <w:tcPr>
            <w:tcW w:w="426" w:type="pct"/>
            <w:vAlign w:val="center"/>
          </w:tcPr>
          <w:p w14:paraId="1B24EA7D">
            <w:pPr>
              <w:jc w:val="center"/>
              <w:rPr>
                <w:kern w:val="0"/>
                <w:szCs w:val="21"/>
              </w:rPr>
            </w:pPr>
            <w:r>
              <w:rPr>
                <w:rFonts w:hint="eastAsia" w:ascii="宋体" w:hAnsi="宋体"/>
                <w:kern w:val="0"/>
                <w:szCs w:val="21"/>
              </w:rPr>
              <w:t>Ⅱ</w:t>
            </w:r>
          </w:p>
        </w:tc>
      </w:tr>
      <w:tr w14:paraId="7A9485A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84" w:hRule="atLeast"/>
          <w:jc w:val="center"/>
        </w:trPr>
        <w:tc>
          <w:tcPr>
            <w:tcW w:w="486" w:type="pct"/>
            <w:vMerge w:val="continue"/>
            <w:vAlign w:val="center"/>
          </w:tcPr>
          <w:p w14:paraId="52FD97C9">
            <w:pPr>
              <w:widowControl/>
              <w:jc w:val="center"/>
              <w:rPr>
                <w:kern w:val="0"/>
                <w:szCs w:val="21"/>
              </w:rPr>
            </w:pPr>
          </w:p>
        </w:tc>
        <w:tc>
          <w:tcPr>
            <w:tcW w:w="432" w:type="pct"/>
            <w:vAlign w:val="center"/>
          </w:tcPr>
          <w:p w14:paraId="315DC3DD">
            <w:pPr>
              <w:widowControl/>
              <w:jc w:val="center"/>
              <w:rPr>
                <w:kern w:val="0"/>
                <w:szCs w:val="21"/>
              </w:rPr>
            </w:pPr>
            <w:r>
              <w:rPr>
                <w:rFonts w:hint="eastAsia"/>
                <w:kern w:val="0"/>
                <w:szCs w:val="21"/>
              </w:rPr>
              <w:t>SO</w:t>
            </w:r>
            <w:r>
              <w:rPr>
                <w:rFonts w:hint="eastAsia"/>
                <w:kern w:val="0"/>
                <w:szCs w:val="21"/>
                <w:vertAlign w:val="subscript"/>
              </w:rPr>
              <w:t>2</w:t>
            </w:r>
          </w:p>
        </w:tc>
        <w:tc>
          <w:tcPr>
            <w:tcW w:w="376" w:type="pct"/>
            <w:vMerge w:val="continue"/>
            <w:vAlign w:val="center"/>
          </w:tcPr>
          <w:p w14:paraId="5575E8F8">
            <w:pPr>
              <w:jc w:val="center"/>
              <w:rPr>
                <w:kern w:val="0"/>
                <w:szCs w:val="21"/>
              </w:rPr>
            </w:pPr>
          </w:p>
        </w:tc>
        <w:tc>
          <w:tcPr>
            <w:tcW w:w="645" w:type="pct"/>
            <w:vAlign w:val="center"/>
          </w:tcPr>
          <w:p w14:paraId="31920D68">
            <w:pPr>
              <w:jc w:val="center"/>
              <w:rPr>
                <w:b w:val="0"/>
                <w:bCs w:val="0"/>
                <w:kern w:val="0"/>
                <w:szCs w:val="21"/>
              </w:rPr>
            </w:pPr>
            <w:r>
              <w:rPr>
                <w:rFonts w:hint="eastAsia"/>
                <w:b w:val="0"/>
                <w:bCs w:val="0"/>
                <w:szCs w:val="21"/>
                <w:lang w:val="en-US" w:eastAsia="zh-CN"/>
              </w:rPr>
              <w:t>11.359</w:t>
            </w:r>
          </w:p>
        </w:tc>
        <w:tc>
          <w:tcPr>
            <w:tcW w:w="547" w:type="pct"/>
            <w:vMerge w:val="continue"/>
            <w:vAlign w:val="center"/>
          </w:tcPr>
          <w:p w14:paraId="4A08FA47">
            <w:pPr>
              <w:jc w:val="center"/>
              <w:rPr>
                <w:kern w:val="0"/>
                <w:szCs w:val="21"/>
              </w:rPr>
            </w:pPr>
          </w:p>
        </w:tc>
        <w:tc>
          <w:tcPr>
            <w:tcW w:w="605" w:type="pct"/>
            <w:vAlign w:val="center"/>
          </w:tcPr>
          <w:p w14:paraId="6D220CEC">
            <w:pPr>
              <w:jc w:val="center"/>
              <w:rPr>
                <w:kern w:val="0"/>
                <w:szCs w:val="21"/>
              </w:rPr>
            </w:pPr>
            <w:r>
              <w:rPr>
                <w:rFonts w:hint="eastAsia"/>
                <w:kern w:val="0"/>
                <w:szCs w:val="21"/>
              </w:rPr>
              <w:t>500</w:t>
            </w:r>
          </w:p>
        </w:tc>
        <w:tc>
          <w:tcPr>
            <w:tcW w:w="760" w:type="pct"/>
            <w:vAlign w:val="center"/>
          </w:tcPr>
          <w:p w14:paraId="1C78A058">
            <w:pPr>
              <w:jc w:val="center"/>
              <w:rPr>
                <w:b w:val="0"/>
                <w:bCs w:val="0"/>
                <w:kern w:val="0"/>
                <w:szCs w:val="21"/>
              </w:rPr>
            </w:pPr>
            <w:r>
              <w:rPr>
                <w:rFonts w:hint="eastAsia"/>
                <w:b w:val="0"/>
                <w:bCs w:val="0"/>
                <w:szCs w:val="21"/>
                <w:lang w:val="en-US" w:eastAsia="zh-CN"/>
              </w:rPr>
              <w:t>2.27</w:t>
            </w:r>
          </w:p>
        </w:tc>
        <w:tc>
          <w:tcPr>
            <w:tcW w:w="718" w:type="pct"/>
            <w:vAlign w:val="center"/>
          </w:tcPr>
          <w:p w14:paraId="39A26BC1">
            <w:pPr>
              <w:jc w:val="center"/>
              <w:rPr>
                <w:kern w:val="0"/>
                <w:szCs w:val="21"/>
              </w:rPr>
            </w:pPr>
            <w:r>
              <w:rPr>
                <w:rFonts w:hint="eastAsia"/>
                <w:kern w:val="0"/>
                <w:szCs w:val="21"/>
              </w:rPr>
              <w:t>0</w:t>
            </w:r>
          </w:p>
        </w:tc>
        <w:tc>
          <w:tcPr>
            <w:tcW w:w="426" w:type="pct"/>
            <w:vAlign w:val="center"/>
          </w:tcPr>
          <w:p w14:paraId="7B76773D">
            <w:pPr>
              <w:jc w:val="center"/>
              <w:rPr>
                <w:rFonts w:ascii="宋体" w:hAnsi="宋体"/>
                <w:kern w:val="0"/>
                <w:szCs w:val="21"/>
              </w:rPr>
            </w:pPr>
            <w:r>
              <w:rPr>
                <w:rFonts w:hint="eastAsia" w:ascii="宋体" w:hAnsi="宋体"/>
                <w:kern w:val="0"/>
                <w:szCs w:val="21"/>
              </w:rPr>
              <w:t>Ⅱ</w:t>
            </w:r>
          </w:p>
        </w:tc>
      </w:tr>
      <w:tr w14:paraId="003F3F4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84" w:hRule="atLeast"/>
          <w:jc w:val="center"/>
        </w:trPr>
        <w:tc>
          <w:tcPr>
            <w:tcW w:w="486" w:type="pct"/>
            <w:vMerge w:val="continue"/>
            <w:vAlign w:val="center"/>
          </w:tcPr>
          <w:p w14:paraId="05CBF82D">
            <w:pPr>
              <w:widowControl/>
              <w:jc w:val="center"/>
              <w:rPr>
                <w:kern w:val="0"/>
                <w:szCs w:val="21"/>
              </w:rPr>
            </w:pPr>
          </w:p>
        </w:tc>
        <w:tc>
          <w:tcPr>
            <w:tcW w:w="432" w:type="pct"/>
            <w:vAlign w:val="center"/>
          </w:tcPr>
          <w:p w14:paraId="5E915993">
            <w:pPr>
              <w:widowControl/>
              <w:jc w:val="center"/>
              <w:rPr>
                <w:kern w:val="0"/>
                <w:szCs w:val="21"/>
              </w:rPr>
            </w:pPr>
            <w:r>
              <w:rPr>
                <w:rFonts w:hint="eastAsia"/>
                <w:kern w:val="0"/>
                <w:szCs w:val="21"/>
              </w:rPr>
              <w:t>NO</w:t>
            </w:r>
            <w:r>
              <w:rPr>
                <w:rFonts w:hint="eastAsia"/>
                <w:kern w:val="0"/>
                <w:szCs w:val="21"/>
                <w:vertAlign w:val="subscript"/>
              </w:rPr>
              <w:t>x</w:t>
            </w:r>
          </w:p>
        </w:tc>
        <w:tc>
          <w:tcPr>
            <w:tcW w:w="376" w:type="pct"/>
            <w:vMerge w:val="continue"/>
            <w:vAlign w:val="center"/>
          </w:tcPr>
          <w:p w14:paraId="3BDAFB9B">
            <w:pPr>
              <w:jc w:val="center"/>
              <w:rPr>
                <w:kern w:val="0"/>
                <w:szCs w:val="21"/>
              </w:rPr>
            </w:pPr>
          </w:p>
        </w:tc>
        <w:tc>
          <w:tcPr>
            <w:tcW w:w="645" w:type="pct"/>
            <w:vAlign w:val="center"/>
          </w:tcPr>
          <w:p w14:paraId="5B69B803">
            <w:pPr>
              <w:jc w:val="center"/>
              <w:rPr>
                <w:b w:val="0"/>
                <w:bCs w:val="0"/>
                <w:kern w:val="0"/>
                <w:szCs w:val="21"/>
              </w:rPr>
            </w:pPr>
            <w:r>
              <w:rPr>
                <w:rFonts w:hint="eastAsia"/>
                <w:b w:val="0"/>
                <w:bCs w:val="0"/>
                <w:szCs w:val="21"/>
                <w:lang w:val="en-US" w:eastAsia="zh-CN"/>
              </w:rPr>
              <w:t>11.359</w:t>
            </w:r>
          </w:p>
        </w:tc>
        <w:tc>
          <w:tcPr>
            <w:tcW w:w="547" w:type="pct"/>
            <w:vMerge w:val="continue"/>
            <w:vAlign w:val="center"/>
          </w:tcPr>
          <w:p w14:paraId="5A5ADFE2">
            <w:pPr>
              <w:jc w:val="center"/>
              <w:rPr>
                <w:kern w:val="0"/>
                <w:szCs w:val="21"/>
              </w:rPr>
            </w:pPr>
          </w:p>
        </w:tc>
        <w:tc>
          <w:tcPr>
            <w:tcW w:w="605" w:type="pct"/>
            <w:vAlign w:val="center"/>
          </w:tcPr>
          <w:p w14:paraId="1E48C705">
            <w:pPr>
              <w:jc w:val="center"/>
              <w:rPr>
                <w:kern w:val="0"/>
                <w:szCs w:val="21"/>
              </w:rPr>
            </w:pPr>
            <w:r>
              <w:rPr>
                <w:rFonts w:hint="eastAsia"/>
                <w:kern w:val="0"/>
                <w:szCs w:val="21"/>
              </w:rPr>
              <w:t>2</w:t>
            </w:r>
            <w:r>
              <w:rPr>
                <w:rFonts w:hint="eastAsia"/>
                <w:kern w:val="0"/>
                <w:szCs w:val="21"/>
                <w:lang w:val="en-US" w:eastAsia="zh-CN"/>
              </w:rPr>
              <w:t>0</w:t>
            </w:r>
            <w:r>
              <w:rPr>
                <w:rFonts w:hint="eastAsia"/>
                <w:kern w:val="0"/>
                <w:szCs w:val="21"/>
              </w:rPr>
              <w:t>0</w:t>
            </w:r>
          </w:p>
        </w:tc>
        <w:tc>
          <w:tcPr>
            <w:tcW w:w="760" w:type="pct"/>
            <w:vAlign w:val="center"/>
          </w:tcPr>
          <w:p w14:paraId="721F9A10">
            <w:pPr>
              <w:jc w:val="center"/>
              <w:rPr>
                <w:b w:val="0"/>
                <w:bCs w:val="0"/>
                <w:kern w:val="0"/>
                <w:szCs w:val="21"/>
              </w:rPr>
            </w:pPr>
            <w:r>
              <w:rPr>
                <w:rFonts w:hint="eastAsia"/>
                <w:b w:val="0"/>
                <w:bCs w:val="0"/>
                <w:szCs w:val="21"/>
                <w:lang w:val="en-US" w:eastAsia="zh-CN"/>
              </w:rPr>
              <w:t>5.67</w:t>
            </w:r>
          </w:p>
        </w:tc>
        <w:tc>
          <w:tcPr>
            <w:tcW w:w="718" w:type="pct"/>
            <w:vAlign w:val="center"/>
          </w:tcPr>
          <w:p w14:paraId="5385EAC4">
            <w:pPr>
              <w:jc w:val="center"/>
              <w:rPr>
                <w:kern w:val="0"/>
                <w:szCs w:val="21"/>
              </w:rPr>
            </w:pPr>
            <w:r>
              <w:rPr>
                <w:rFonts w:hint="eastAsia"/>
                <w:kern w:val="0"/>
                <w:szCs w:val="21"/>
              </w:rPr>
              <w:t>0</w:t>
            </w:r>
          </w:p>
        </w:tc>
        <w:tc>
          <w:tcPr>
            <w:tcW w:w="426" w:type="pct"/>
            <w:vAlign w:val="center"/>
          </w:tcPr>
          <w:p w14:paraId="215CEA8F">
            <w:pPr>
              <w:jc w:val="center"/>
              <w:rPr>
                <w:rFonts w:ascii="宋体" w:hAnsi="宋体"/>
                <w:kern w:val="0"/>
                <w:szCs w:val="21"/>
              </w:rPr>
            </w:pPr>
            <w:r>
              <w:rPr>
                <w:rFonts w:hint="eastAsia" w:ascii="宋体" w:hAnsi="宋体"/>
                <w:kern w:val="0"/>
                <w:szCs w:val="21"/>
              </w:rPr>
              <w:t>Ⅱ</w:t>
            </w:r>
          </w:p>
        </w:tc>
      </w:tr>
      <w:tr w14:paraId="41B0867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84" w:hRule="atLeast"/>
          <w:jc w:val="center"/>
        </w:trPr>
        <w:tc>
          <w:tcPr>
            <w:tcW w:w="486" w:type="pct"/>
            <w:vMerge w:val="restart"/>
            <w:vAlign w:val="center"/>
          </w:tcPr>
          <w:p w14:paraId="7CB19956">
            <w:pPr>
              <w:widowControl/>
              <w:jc w:val="center"/>
              <w:rPr>
                <w:rFonts w:hint="default"/>
                <w:kern w:val="0"/>
                <w:szCs w:val="21"/>
                <w:lang w:val="en-US"/>
              </w:rPr>
            </w:pPr>
            <w:r>
              <w:rPr>
                <w:rFonts w:hint="eastAsia"/>
                <w:kern w:val="0"/>
                <w:szCs w:val="21"/>
                <w:lang w:val="en-US" w:eastAsia="zh-CN"/>
              </w:rPr>
              <w:t>DA002</w:t>
            </w:r>
          </w:p>
        </w:tc>
        <w:tc>
          <w:tcPr>
            <w:tcW w:w="432" w:type="pct"/>
            <w:vAlign w:val="center"/>
          </w:tcPr>
          <w:p w14:paraId="3AF75E77">
            <w:pPr>
              <w:widowControl/>
              <w:jc w:val="center"/>
              <w:rPr>
                <w:kern w:val="0"/>
                <w:szCs w:val="21"/>
              </w:rPr>
            </w:pPr>
            <w:r>
              <w:rPr>
                <w:rFonts w:hint="eastAsia"/>
                <w:kern w:val="0"/>
                <w:szCs w:val="21"/>
              </w:rPr>
              <w:t>PM</w:t>
            </w:r>
            <w:r>
              <w:rPr>
                <w:rFonts w:hint="eastAsia"/>
                <w:kern w:val="0"/>
                <w:szCs w:val="21"/>
                <w:vertAlign w:val="subscript"/>
              </w:rPr>
              <w:t>10</w:t>
            </w:r>
          </w:p>
        </w:tc>
        <w:tc>
          <w:tcPr>
            <w:tcW w:w="376" w:type="pct"/>
            <w:vMerge w:val="continue"/>
            <w:vAlign w:val="center"/>
          </w:tcPr>
          <w:p w14:paraId="5EFFA922">
            <w:pPr>
              <w:jc w:val="center"/>
              <w:rPr>
                <w:kern w:val="0"/>
                <w:szCs w:val="21"/>
              </w:rPr>
            </w:pPr>
          </w:p>
        </w:tc>
        <w:tc>
          <w:tcPr>
            <w:tcW w:w="645" w:type="pct"/>
            <w:vAlign w:val="center"/>
          </w:tcPr>
          <w:p w14:paraId="18E729D5">
            <w:pPr>
              <w:jc w:val="center"/>
              <w:rPr>
                <w:b w:val="0"/>
                <w:bCs w:val="0"/>
                <w:kern w:val="0"/>
                <w:szCs w:val="21"/>
              </w:rPr>
            </w:pPr>
            <w:r>
              <w:rPr>
                <w:rFonts w:hint="eastAsia"/>
                <w:b w:val="0"/>
                <w:bCs w:val="0"/>
                <w:szCs w:val="21"/>
                <w:lang w:val="en-US" w:eastAsia="zh-CN"/>
              </w:rPr>
              <w:t>0.45369</w:t>
            </w:r>
          </w:p>
        </w:tc>
        <w:tc>
          <w:tcPr>
            <w:tcW w:w="547" w:type="pct"/>
            <w:vMerge w:val="restart"/>
            <w:vAlign w:val="center"/>
          </w:tcPr>
          <w:p w14:paraId="7211A90B">
            <w:pPr>
              <w:jc w:val="center"/>
              <w:rPr>
                <w:rFonts w:hint="default" w:eastAsia="宋体"/>
                <w:kern w:val="0"/>
                <w:szCs w:val="21"/>
                <w:lang w:val="en-US" w:eastAsia="zh-CN"/>
              </w:rPr>
            </w:pPr>
            <w:r>
              <w:rPr>
                <w:rFonts w:hint="eastAsia"/>
                <w:kern w:val="0"/>
                <w:szCs w:val="21"/>
                <w:lang w:val="en-US" w:eastAsia="zh-CN"/>
              </w:rPr>
              <w:t>97</w:t>
            </w:r>
          </w:p>
        </w:tc>
        <w:tc>
          <w:tcPr>
            <w:tcW w:w="605" w:type="pct"/>
            <w:vAlign w:val="center"/>
          </w:tcPr>
          <w:p w14:paraId="4559E959">
            <w:pPr>
              <w:jc w:val="center"/>
              <w:rPr>
                <w:kern w:val="0"/>
                <w:szCs w:val="21"/>
              </w:rPr>
            </w:pPr>
            <w:r>
              <w:rPr>
                <w:rFonts w:hint="eastAsia"/>
                <w:kern w:val="0"/>
                <w:szCs w:val="21"/>
              </w:rPr>
              <w:t>450</w:t>
            </w:r>
          </w:p>
        </w:tc>
        <w:tc>
          <w:tcPr>
            <w:tcW w:w="760" w:type="pct"/>
            <w:vAlign w:val="center"/>
          </w:tcPr>
          <w:p w14:paraId="77EFCC6D">
            <w:pPr>
              <w:jc w:val="center"/>
              <w:rPr>
                <w:rFonts w:hint="default"/>
                <w:b w:val="0"/>
                <w:bCs w:val="0"/>
                <w:kern w:val="0"/>
                <w:szCs w:val="21"/>
                <w:lang w:val="en-US"/>
              </w:rPr>
            </w:pPr>
            <w:r>
              <w:rPr>
                <w:rFonts w:hint="eastAsia"/>
                <w:b w:val="0"/>
                <w:bCs w:val="0"/>
                <w:szCs w:val="21"/>
                <w:lang w:val="en-US" w:eastAsia="zh-CN"/>
              </w:rPr>
              <w:t>0.10</w:t>
            </w:r>
          </w:p>
        </w:tc>
        <w:tc>
          <w:tcPr>
            <w:tcW w:w="718" w:type="pct"/>
            <w:vAlign w:val="center"/>
          </w:tcPr>
          <w:p w14:paraId="54E4A847">
            <w:pPr>
              <w:jc w:val="center"/>
              <w:rPr>
                <w:kern w:val="0"/>
                <w:szCs w:val="21"/>
              </w:rPr>
            </w:pPr>
            <w:r>
              <w:rPr>
                <w:rFonts w:hint="eastAsia"/>
                <w:kern w:val="0"/>
                <w:szCs w:val="21"/>
              </w:rPr>
              <w:t>0</w:t>
            </w:r>
          </w:p>
        </w:tc>
        <w:tc>
          <w:tcPr>
            <w:tcW w:w="426" w:type="pct"/>
            <w:vAlign w:val="center"/>
          </w:tcPr>
          <w:p w14:paraId="61454258">
            <w:pPr>
              <w:jc w:val="center"/>
              <w:rPr>
                <w:kern w:val="0"/>
                <w:szCs w:val="21"/>
              </w:rPr>
            </w:pPr>
            <w:r>
              <w:rPr>
                <w:rFonts w:hint="eastAsia" w:ascii="宋体" w:hAnsi="宋体"/>
                <w:kern w:val="0"/>
                <w:szCs w:val="21"/>
              </w:rPr>
              <w:t>Ⅲ</w:t>
            </w:r>
          </w:p>
        </w:tc>
      </w:tr>
      <w:tr w14:paraId="5C9F4AB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84" w:hRule="atLeast"/>
          <w:jc w:val="center"/>
        </w:trPr>
        <w:tc>
          <w:tcPr>
            <w:tcW w:w="486" w:type="pct"/>
            <w:vMerge w:val="continue"/>
            <w:vAlign w:val="center"/>
          </w:tcPr>
          <w:p w14:paraId="1345A2AD">
            <w:pPr>
              <w:widowControl/>
              <w:jc w:val="center"/>
              <w:rPr>
                <w:kern w:val="0"/>
                <w:szCs w:val="21"/>
              </w:rPr>
            </w:pPr>
          </w:p>
        </w:tc>
        <w:tc>
          <w:tcPr>
            <w:tcW w:w="432" w:type="pct"/>
            <w:vAlign w:val="center"/>
          </w:tcPr>
          <w:p w14:paraId="7F4E6EA3">
            <w:pPr>
              <w:widowControl/>
              <w:jc w:val="center"/>
              <w:rPr>
                <w:kern w:val="0"/>
                <w:szCs w:val="21"/>
              </w:rPr>
            </w:pPr>
            <w:r>
              <w:rPr>
                <w:rFonts w:hint="eastAsia"/>
                <w:kern w:val="0"/>
                <w:szCs w:val="21"/>
              </w:rPr>
              <w:t>SO</w:t>
            </w:r>
            <w:r>
              <w:rPr>
                <w:rFonts w:hint="eastAsia"/>
                <w:kern w:val="0"/>
                <w:szCs w:val="21"/>
                <w:vertAlign w:val="subscript"/>
              </w:rPr>
              <w:t>2</w:t>
            </w:r>
          </w:p>
        </w:tc>
        <w:tc>
          <w:tcPr>
            <w:tcW w:w="376" w:type="pct"/>
            <w:vMerge w:val="continue"/>
            <w:vAlign w:val="center"/>
          </w:tcPr>
          <w:p w14:paraId="60A2926E">
            <w:pPr>
              <w:jc w:val="center"/>
              <w:rPr>
                <w:kern w:val="0"/>
                <w:szCs w:val="21"/>
              </w:rPr>
            </w:pPr>
          </w:p>
        </w:tc>
        <w:tc>
          <w:tcPr>
            <w:tcW w:w="645" w:type="pct"/>
            <w:shd w:val="clear" w:color="000000" w:fill="FFFFFF"/>
            <w:vAlign w:val="center"/>
          </w:tcPr>
          <w:p w14:paraId="645738D0">
            <w:pPr>
              <w:jc w:val="center"/>
              <w:rPr>
                <w:rFonts w:hint="eastAsia" w:ascii="Times New Roman" w:hAnsi="Times New Roman" w:eastAsia="宋体" w:cs="Times New Roman"/>
                <w:b w:val="0"/>
                <w:bCs w:val="0"/>
                <w:kern w:val="2"/>
                <w:sz w:val="21"/>
                <w:szCs w:val="21"/>
                <w:lang w:val="en-US" w:eastAsia="zh-CN" w:bidi="ar-SA"/>
              </w:rPr>
            </w:pPr>
            <w:r>
              <w:rPr>
                <w:rFonts w:hint="eastAsia"/>
                <w:b w:val="0"/>
                <w:bCs w:val="0"/>
                <w:szCs w:val="21"/>
                <w:lang w:val="en-US" w:eastAsia="zh-CN"/>
              </w:rPr>
              <w:t>0.45369</w:t>
            </w:r>
          </w:p>
        </w:tc>
        <w:tc>
          <w:tcPr>
            <w:tcW w:w="547" w:type="pct"/>
            <w:vMerge w:val="continue"/>
            <w:vAlign w:val="center"/>
          </w:tcPr>
          <w:p w14:paraId="5A631721">
            <w:pPr>
              <w:jc w:val="center"/>
              <w:rPr>
                <w:kern w:val="0"/>
                <w:szCs w:val="21"/>
              </w:rPr>
            </w:pPr>
          </w:p>
        </w:tc>
        <w:tc>
          <w:tcPr>
            <w:tcW w:w="605" w:type="pct"/>
            <w:vAlign w:val="center"/>
          </w:tcPr>
          <w:p w14:paraId="2DC67A98">
            <w:pPr>
              <w:jc w:val="center"/>
              <w:rPr>
                <w:kern w:val="0"/>
                <w:szCs w:val="21"/>
              </w:rPr>
            </w:pPr>
            <w:r>
              <w:rPr>
                <w:rFonts w:hint="eastAsia"/>
                <w:kern w:val="0"/>
                <w:szCs w:val="21"/>
              </w:rPr>
              <w:t>500</w:t>
            </w:r>
          </w:p>
        </w:tc>
        <w:tc>
          <w:tcPr>
            <w:tcW w:w="760" w:type="pct"/>
            <w:vAlign w:val="center"/>
          </w:tcPr>
          <w:p w14:paraId="2D773B82">
            <w:pPr>
              <w:jc w:val="center"/>
              <w:rPr>
                <w:rFonts w:hint="default"/>
                <w:b w:val="0"/>
                <w:bCs w:val="0"/>
                <w:kern w:val="0"/>
                <w:szCs w:val="21"/>
                <w:lang w:val="en-US"/>
              </w:rPr>
            </w:pPr>
            <w:r>
              <w:rPr>
                <w:rFonts w:hint="eastAsia"/>
                <w:b w:val="0"/>
                <w:bCs w:val="0"/>
                <w:szCs w:val="21"/>
                <w:lang w:val="en-US" w:eastAsia="zh-CN"/>
              </w:rPr>
              <w:t>0.09</w:t>
            </w:r>
          </w:p>
        </w:tc>
        <w:tc>
          <w:tcPr>
            <w:tcW w:w="718" w:type="pct"/>
            <w:vAlign w:val="center"/>
          </w:tcPr>
          <w:p w14:paraId="7C903B89">
            <w:pPr>
              <w:jc w:val="center"/>
              <w:rPr>
                <w:kern w:val="0"/>
                <w:szCs w:val="21"/>
              </w:rPr>
            </w:pPr>
            <w:r>
              <w:rPr>
                <w:rFonts w:hint="eastAsia"/>
                <w:kern w:val="0"/>
                <w:szCs w:val="21"/>
              </w:rPr>
              <w:t>0</w:t>
            </w:r>
          </w:p>
        </w:tc>
        <w:tc>
          <w:tcPr>
            <w:tcW w:w="426" w:type="pct"/>
            <w:vAlign w:val="center"/>
          </w:tcPr>
          <w:p w14:paraId="6E8ECA23">
            <w:pPr>
              <w:jc w:val="center"/>
              <w:rPr>
                <w:kern w:val="0"/>
                <w:szCs w:val="21"/>
              </w:rPr>
            </w:pPr>
            <w:r>
              <w:rPr>
                <w:rFonts w:hint="eastAsia" w:ascii="宋体" w:hAnsi="宋体"/>
                <w:kern w:val="0"/>
                <w:szCs w:val="21"/>
              </w:rPr>
              <w:t>Ⅲ</w:t>
            </w:r>
          </w:p>
        </w:tc>
      </w:tr>
      <w:tr w14:paraId="5B42790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84" w:hRule="atLeast"/>
          <w:jc w:val="center"/>
        </w:trPr>
        <w:tc>
          <w:tcPr>
            <w:tcW w:w="486" w:type="pct"/>
            <w:vMerge w:val="continue"/>
            <w:vAlign w:val="center"/>
          </w:tcPr>
          <w:p w14:paraId="11F9997A">
            <w:pPr>
              <w:widowControl/>
              <w:jc w:val="center"/>
              <w:rPr>
                <w:kern w:val="0"/>
                <w:szCs w:val="21"/>
              </w:rPr>
            </w:pPr>
          </w:p>
        </w:tc>
        <w:tc>
          <w:tcPr>
            <w:tcW w:w="432" w:type="pct"/>
            <w:vAlign w:val="center"/>
          </w:tcPr>
          <w:p w14:paraId="06655920">
            <w:pPr>
              <w:widowControl/>
              <w:jc w:val="center"/>
              <w:rPr>
                <w:kern w:val="0"/>
                <w:szCs w:val="21"/>
              </w:rPr>
            </w:pPr>
            <w:r>
              <w:rPr>
                <w:rFonts w:hint="eastAsia"/>
                <w:kern w:val="0"/>
                <w:szCs w:val="21"/>
              </w:rPr>
              <w:t>NO</w:t>
            </w:r>
            <w:r>
              <w:rPr>
                <w:rFonts w:hint="eastAsia"/>
                <w:kern w:val="0"/>
                <w:szCs w:val="21"/>
                <w:vertAlign w:val="subscript"/>
              </w:rPr>
              <w:t>x</w:t>
            </w:r>
          </w:p>
        </w:tc>
        <w:tc>
          <w:tcPr>
            <w:tcW w:w="376" w:type="pct"/>
            <w:vMerge w:val="continue"/>
            <w:vAlign w:val="center"/>
          </w:tcPr>
          <w:p w14:paraId="3383B96C">
            <w:pPr>
              <w:jc w:val="center"/>
              <w:rPr>
                <w:kern w:val="0"/>
                <w:szCs w:val="21"/>
              </w:rPr>
            </w:pPr>
          </w:p>
        </w:tc>
        <w:tc>
          <w:tcPr>
            <w:tcW w:w="645" w:type="pct"/>
            <w:shd w:val="clear" w:color="000000" w:fill="FFFFFF"/>
            <w:vAlign w:val="center"/>
          </w:tcPr>
          <w:p w14:paraId="714C56D0">
            <w:pPr>
              <w:jc w:val="center"/>
              <w:rPr>
                <w:rFonts w:hint="eastAsia" w:ascii="Times New Roman" w:hAnsi="Times New Roman" w:eastAsia="宋体" w:cs="Times New Roman"/>
                <w:b w:val="0"/>
                <w:bCs w:val="0"/>
                <w:kern w:val="2"/>
                <w:sz w:val="21"/>
                <w:szCs w:val="21"/>
                <w:lang w:val="en-US" w:eastAsia="zh-CN" w:bidi="ar-SA"/>
              </w:rPr>
            </w:pPr>
            <w:r>
              <w:rPr>
                <w:rFonts w:hint="eastAsia"/>
                <w:b w:val="0"/>
                <w:bCs w:val="0"/>
                <w:szCs w:val="21"/>
                <w:lang w:val="en-US" w:eastAsia="zh-CN"/>
              </w:rPr>
              <w:t>0.45369</w:t>
            </w:r>
          </w:p>
        </w:tc>
        <w:tc>
          <w:tcPr>
            <w:tcW w:w="547" w:type="pct"/>
            <w:vMerge w:val="continue"/>
            <w:vAlign w:val="center"/>
          </w:tcPr>
          <w:p w14:paraId="64BF27B1">
            <w:pPr>
              <w:jc w:val="center"/>
              <w:rPr>
                <w:kern w:val="0"/>
                <w:szCs w:val="21"/>
              </w:rPr>
            </w:pPr>
          </w:p>
        </w:tc>
        <w:tc>
          <w:tcPr>
            <w:tcW w:w="605" w:type="pct"/>
            <w:vAlign w:val="center"/>
          </w:tcPr>
          <w:p w14:paraId="2F5BEE05">
            <w:pPr>
              <w:jc w:val="center"/>
              <w:rPr>
                <w:kern w:val="0"/>
                <w:szCs w:val="21"/>
              </w:rPr>
            </w:pPr>
            <w:r>
              <w:rPr>
                <w:rFonts w:hint="eastAsia"/>
                <w:kern w:val="0"/>
                <w:szCs w:val="21"/>
              </w:rPr>
              <w:t>2</w:t>
            </w:r>
            <w:r>
              <w:rPr>
                <w:rFonts w:hint="eastAsia"/>
                <w:kern w:val="0"/>
                <w:szCs w:val="21"/>
                <w:lang w:val="en-US" w:eastAsia="zh-CN"/>
              </w:rPr>
              <w:t>0</w:t>
            </w:r>
            <w:r>
              <w:rPr>
                <w:rFonts w:hint="eastAsia"/>
                <w:kern w:val="0"/>
                <w:szCs w:val="21"/>
              </w:rPr>
              <w:t>0</w:t>
            </w:r>
          </w:p>
        </w:tc>
        <w:tc>
          <w:tcPr>
            <w:tcW w:w="760" w:type="pct"/>
            <w:vAlign w:val="center"/>
          </w:tcPr>
          <w:p w14:paraId="4836716C">
            <w:pPr>
              <w:jc w:val="center"/>
              <w:rPr>
                <w:b w:val="0"/>
                <w:bCs w:val="0"/>
                <w:kern w:val="0"/>
                <w:szCs w:val="21"/>
              </w:rPr>
            </w:pPr>
            <w:r>
              <w:rPr>
                <w:rFonts w:hint="eastAsia"/>
                <w:b w:val="0"/>
                <w:bCs w:val="0"/>
                <w:szCs w:val="21"/>
                <w:lang w:val="en-US" w:eastAsia="zh-CN"/>
              </w:rPr>
              <w:t>2.26</w:t>
            </w:r>
          </w:p>
        </w:tc>
        <w:tc>
          <w:tcPr>
            <w:tcW w:w="718" w:type="pct"/>
            <w:vAlign w:val="center"/>
          </w:tcPr>
          <w:p w14:paraId="494B1D97">
            <w:pPr>
              <w:jc w:val="center"/>
              <w:rPr>
                <w:kern w:val="0"/>
                <w:szCs w:val="21"/>
              </w:rPr>
            </w:pPr>
            <w:r>
              <w:rPr>
                <w:rFonts w:hint="eastAsia"/>
                <w:kern w:val="0"/>
                <w:szCs w:val="21"/>
              </w:rPr>
              <w:t>0</w:t>
            </w:r>
          </w:p>
        </w:tc>
        <w:tc>
          <w:tcPr>
            <w:tcW w:w="426" w:type="pct"/>
            <w:vAlign w:val="center"/>
          </w:tcPr>
          <w:p w14:paraId="6FCD3CF8">
            <w:pPr>
              <w:jc w:val="center"/>
              <w:rPr>
                <w:rFonts w:ascii="宋体" w:hAnsi="宋体"/>
                <w:kern w:val="0"/>
                <w:szCs w:val="21"/>
              </w:rPr>
            </w:pPr>
            <w:r>
              <w:rPr>
                <w:rFonts w:hint="eastAsia" w:ascii="宋体" w:hAnsi="宋体"/>
                <w:kern w:val="0"/>
                <w:szCs w:val="21"/>
              </w:rPr>
              <w:t>Ⅱ</w:t>
            </w:r>
          </w:p>
        </w:tc>
      </w:tr>
      <w:tr w14:paraId="70C1C8E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84" w:hRule="atLeast"/>
          <w:jc w:val="center"/>
        </w:trPr>
        <w:tc>
          <w:tcPr>
            <w:tcW w:w="486" w:type="pct"/>
            <w:vMerge w:val="restart"/>
            <w:vAlign w:val="center"/>
          </w:tcPr>
          <w:p w14:paraId="3F658E9B">
            <w:pPr>
              <w:widowControl/>
              <w:jc w:val="center"/>
              <w:rPr>
                <w:rFonts w:hint="default"/>
                <w:kern w:val="0"/>
                <w:szCs w:val="21"/>
                <w:lang w:val="en-US"/>
              </w:rPr>
            </w:pPr>
            <w:r>
              <w:rPr>
                <w:rFonts w:hint="eastAsia"/>
                <w:kern w:val="0"/>
                <w:szCs w:val="21"/>
                <w:lang w:val="en-US" w:eastAsia="zh-CN"/>
              </w:rPr>
              <w:t>DA003</w:t>
            </w:r>
          </w:p>
        </w:tc>
        <w:tc>
          <w:tcPr>
            <w:tcW w:w="432" w:type="pct"/>
            <w:vAlign w:val="center"/>
          </w:tcPr>
          <w:p w14:paraId="6899CD99">
            <w:pPr>
              <w:widowControl/>
              <w:jc w:val="center"/>
              <w:rPr>
                <w:kern w:val="0"/>
                <w:szCs w:val="21"/>
              </w:rPr>
            </w:pPr>
            <w:r>
              <w:rPr>
                <w:rFonts w:hint="eastAsia"/>
                <w:kern w:val="0"/>
                <w:szCs w:val="21"/>
              </w:rPr>
              <w:t>B[a]P</w:t>
            </w:r>
          </w:p>
        </w:tc>
        <w:tc>
          <w:tcPr>
            <w:tcW w:w="376" w:type="pct"/>
            <w:vMerge w:val="continue"/>
            <w:vAlign w:val="center"/>
          </w:tcPr>
          <w:p w14:paraId="6B06DED7">
            <w:pPr>
              <w:jc w:val="center"/>
              <w:rPr>
                <w:kern w:val="0"/>
                <w:szCs w:val="21"/>
              </w:rPr>
            </w:pPr>
          </w:p>
        </w:tc>
        <w:tc>
          <w:tcPr>
            <w:tcW w:w="645" w:type="pct"/>
            <w:vAlign w:val="center"/>
          </w:tcPr>
          <w:p w14:paraId="07C84428">
            <w:pPr>
              <w:jc w:val="center"/>
              <w:rPr>
                <w:b w:val="0"/>
                <w:bCs w:val="0"/>
                <w:kern w:val="0"/>
                <w:szCs w:val="21"/>
              </w:rPr>
            </w:pPr>
            <w:r>
              <w:rPr>
                <w:rFonts w:hint="eastAsia"/>
                <w:b w:val="0"/>
                <w:bCs w:val="0"/>
                <w:szCs w:val="21"/>
                <w:lang w:val="en-US" w:eastAsia="zh-CN"/>
              </w:rPr>
              <w:t>0.00061803</w:t>
            </w:r>
          </w:p>
        </w:tc>
        <w:tc>
          <w:tcPr>
            <w:tcW w:w="547" w:type="pct"/>
            <w:vMerge w:val="restart"/>
            <w:vAlign w:val="center"/>
          </w:tcPr>
          <w:p w14:paraId="0CDF5693">
            <w:pPr>
              <w:jc w:val="center"/>
              <w:rPr>
                <w:rFonts w:hint="default" w:eastAsia="宋体"/>
                <w:kern w:val="0"/>
                <w:szCs w:val="21"/>
                <w:lang w:val="en-US" w:eastAsia="zh-CN"/>
              </w:rPr>
            </w:pPr>
            <w:r>
              <w:rPr>
                <w:rFonts w:hint="eastAsia"/>
                <w:kern w:val="0"/>
                <w:szCs w:val="21"/>
                <w:lang w:val="en-US" w:eastAsia="zh-CN"/>
              </w:rPr>
              <w:t>82</w:t>
            </w:r>
          </w:p>
        </w:tc>
        <w:tc>
          <w:tcPr>
            <w:tcW w:w="605" w:type="pct"/>
            <w:vAlign w:val="center"/>
          </w:tcPr>
          <w:p w14:paraId="297C242F">
            <w:pPr>
              <w:jc w:val="center"/>
              <w:rPr>
                <w:kern w:val="0"/>
                <w:szCs w:val="21"/>
              </w:rPr>
            </w:pPr>
            <w:r>
              <w:rPr>
                <w:rFonts w:hint="eastAsia"/>
                <w:kern w:val="0"/>
                <w:szCs w:val="21"/>
              </w:rPr>
              <w:t>0.0075</w:t>
            </w:r>
          </w:p>
        </w:tc>
        <w:tc>
          <w:tcPr>
            <w:tcW w:w="760" w:type="pct"/>
            <w:vAlign w:val="center"/>
          </w:tcPr>
          <w:p w14:paraId="3C27E9AB">
            <w:pPr>
              <w:jc w:val="center"/>
              <w:rPr>
                <w:b w:val="0"/>
                <w:bCs w:val="0"/>
                <w:kern w:val="0"/>
                <w:szCs w:val="21"/>
              </w:rPr>
            </w:pPr>
            <w:r>
              <w:rPr>
                <w:rFonts w:hint="eastAsia"/>
                <w:b w:val="0"/>
                <w:bCs w:val="0"/>
                <w:szCs w:val="21"/>
                <w:lang w:val="en-US" w:eastAsia="zh-CN"/>
              </w:rPr>
              <w:t>8.24</w:t>
            </w:r>
          </w:p>
        </w:tc>
        <w:tc>
          <w:tcPr>
            <w:tcW w:w="718" w:type="pct"/>
            <w:vAlign w:val="center"/>
          </w:tcPr>
          <w:p w14:paraId="793C17FB">
            <w:pPr>
              <w:jc w:val="center"/>
              <w:rPr>
                <w:kern w:val="0"/>
                <w:szCs w:val="21"/>
              </w:rPr>
            </w:pPr>
            <w:r>
              <w:rPr>
                <w:rFonts w:hint="eastAsia"/>
                <w:kern w:val="0"/>
                <w:szCs w:val="21"/>
              </w:rPr>
              <w:t>0</w:t>
            </w:r>
          </w:p>
        </w:tc>
        <w:tc>
          <w:tcPr>
            <w:tcW w:w="426" w:type="pct"/>
            <w:vAlign w:val="center"/>
          </w:tcPr>
          <w:p w14:paraId="3E496CA0">
            <w:pPr>
              <w:jc w:val="center"/>
              <w:rPr>
                <w:rFonts w:ascii="宋体" w:hAnsi="宋体"/>
                <w:kern w:val="0"/>
                <w:szCs w:val="21"/>
              </w:rPr>
            </w:pPr>
            <w:r>
              <w:rPr>
                <w:rFonts w:hint="eastAsia" w:ascii="宋体" w:hAnsi="宋体"/>
                <w:kern w:val="0"/>
                <w:szCs w:val="21"/>
              </w:rPr>
              <w:t>Ⅱ</w:t>
            </w:r>
          </w:p>
        </w:tc>
      </w:tr>
      <w:tr w14:paraId="33AFEFE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84" w:hRule="atLeast"/>
          <w:jc w:val="center"/>
        </w:trPr>
        <w:tc>
          <w:tcPr>
            <w:tcW w:w="486" w:type="pct"/>
            <w:vMerge w:val="continue"/>
            <w:vAlign w:val="center"/>
          </w:tcPr>
          <w:p w14:paraId="6DE8B114">
            <w:pPr>
              <w:widowControl/>
              <w:jc w:val="center"/>
              <w:rPr>
                <w:rFonts w:hint="eastAsia"/>
                <w:kern w:val="0"/>
                <w:szCs w:val="21"/>
                <w:lang w:val="en-US" w:eastAsia="zh-CN"/>
              </w:rPr>
            </w:pPr>
          </w:p>
        </w:tc>
        <w:tc>
          <w:tcPr>
            <w:tcW w:w="432" w:type="pct"/>
            <w:vAlign w:val="center"/>
          </w:tcPr>
          <w:p w14:paraId="3B297BDB">
            <w:pPr>
              <w:widowControl/>
              <w:jc w:val="center"/>
              <w:rPr>
                <w:rFonts w:hint="default" w:eastAsia="宋体"/>
                <w:kern w:val="0"/>
                <w:szCs w:val="21"/>
                <w:lang w:val="en-US" w:eastAsia="zh-CN"/>
              </w:rPr>
            </w:pPr>
            <w:r>
              <w:rPr>
                <w:rFonts w:hint="eastAsia"/>
                <w:kern w:val="0"/>
                <w:szCs w:val="21"/>
                <w:lang w:val="en-US" w:eastAsia="zh-CN"/>
              </w:rPr>
              <w:t>NMHC</w:t>
            </w:r>
          </w:p>
        </w:tc>
        <w:tc>
          <w:tcPr>
            <w:tcW w:w="376" w:type="pct"/>
            <w:vMerge w:val="continue"/>
            <w:vAlign w:val="center"/>
          </w:tcPr>
          <w:p w14:paraId="7E149FE1">
            <w:pPr>
              <w:jc w:val="center"/>
              <w:rPr>
                <w:kern w:val="0"/>
                <w:szCs w:val="21"/>
              </w:rPr>
            </w:pPr>
          </w:p>
        </w:tc>
        <w:tc>
          <w:tcPr>
            <w:tcW w:w="645" w:type="pct"/>
            <w:vAlign w:val="center"/>
          </w:tcPr>
          <w:p w14:paraId="1F34E978">
            <w:pPr>
              <w:jc w:val="center"/>
              <w:rPr>
                <w:rFonts w:hint="eastAsia"/>
                <w:b w:val="0"/>
                <w:bCs w:val="0"/>
                <w:kern w:val="0"/>
                <w:szCs w:val="21"/>
              </w:rPr>
            </w:pPr>
            <w:r>
              <w:rPr>
                <w:rFonts w:hint="eastAsia"/>
                <w:b w:val="0"/>
                <w:bCs w:val="0"/>
                <w:szCs w:val="21"/>
                <w:lang w:val="en-US" w:eastAsia="zh-CN"/>
              </w:rPr>
              <w:t>0.00061803</w:t>
            </w:r>
          </w:p>
        </w:tc>
        <w:tc>
          <w:tcPr>
            <w:tcW w:w="547" w:type="pct"/>
            <w:vMerge w:val="continue"/>
            <w:vAlign w:val="center"/>
          </w:tcPr>
          <w:p w14:paraId="07B761CB">
            <w:pPr>
              <w:jc w:val="center"/>
              <w:rPr>
                <w:rFonts w:hint="eastAsia"/>
                <w:kern w:val="0"/>
                <w:szCs w:val="21"/>
              </w:rPr>
            </w:pPr>
          </w:p>
        </w:tc>
        <w:tc>
          <w:tcPr>
            <w:tcW w:w="605" w:type="pct"/>
            <w:vAlign w:val="center"/>
          </w:tcPr>
          <w:p w14:paraId="4651E3F0">
            <w:pPr>
              <w:jc w:val="center"/>
              <w:rPr>
                <w:rFonts w:hint="default" w:eastAsia="宋体"/>
                <w:kern w:val="0"/>
                <w:szCs w:val="21"/>
                <w:lang w:val="en-US" w:eastAsia="zh-CN"/>
              </w:rPr>
            </w:pPr>
            <w:r>
              <w:rPr>
                <w:rFonts w:hint="eastAsia"/>
                <w:kern w:val="0"/>
                <w:szCs w:val="21"/>
                <w:lang w:val="en-US" w:eastAsia="zh-CN"/>
              </w:rPr>
              <w:t>1200</w:t>
            </w:r>
          </w:p>
        </w:tc>
        <w:tc>
          <w:tcPr>
            <w:tcW w:w="760" w:type="pct"/>
            <w:shd w:val="clear" w:color="000000" w:fill="FFFFFF"/>
            <w:vAlign w:val="center"/>
          </w:tcPr>
          <w:p w14:paraId="47D027D4">
            <w:pPr>
              <w:jc w:val="center"/>
              <w:rPr>
                <w:rFonts w:hint="default" w:ascii="Times New Roman" w:hAnsi="Times New Roman" w:eastAsia="宋体" w:cs="Times New Roman"/>
                <w:b w:val="0"/>
                <w:bCs w:val="0"/>
                <w:kern w:val="2"/>
                <w:sz w:val="21"/>
                <w:szCs w:val="21"/>
                <w:lang w:val="en-US" w:eastAsia="zh-CN" w:bidi="ar-SA"/>
              </w:rPr>
            </w:pPr>
            <w:r>
              <w:rPr>
                <w:rFonts w:hint="eastAsia"/>
                <w:b w:val="0"/>
                <w:bCs w:val="0"/>
                <w:szCs w:val="21"/>
                <w:lang w:val="en-US" w:eastAsia="zh-CN"/>
              </w:rPr>
              <w:t>0.00005</w:t>
            </w:r>
          </w:p>
        </w:tc>
        <w:tc>
          <w:tcPr>
            <w:tcW w:w="718" w:type="pct"/>
            <w:shd w:val="clear" w:color="000000" w:fill="FFFFFF"/>
            <w:vAlign w:val="center"/>
          </w:tcPr>
          <w:p w14:paraId="0A3BF147">
            <w:pPr>
              <w:jc w:val="center"/>
              <w:rPr>
                <w:rFonts w:hint="eastAsia" w:ascii="Times New Roman" w:hAnsi="Times New Roman" w:eastAsia="宋体" w:cs="Times New Roman"/>
                <w:b/>
                <w:bCs/>
                <w:kern w:val="2"/>
                <w:sz w:val="21"/>
                <w:szCs w:val="21"/>
                <w:lang w:val="en-US" w:eastAsia="zh-CN" w:bidi="ar-SA"/>
              </w:rPr>
            </w:pPr>
            <w:r>
              <w:rPr>
                <w:rFonts w:hint="eastAsia"/>
                <w:kern w:val="0"/>
                <w:szCs w:val="21"/>
              </w:rPr>
              <w:t>0</w:t>
            </w:r>
          </w:p>
        </w:tc>
        <w:tc>
          <w:tcPr>
            <w:tcW w:w="426" w:type="pct"/>
            <w:shd w:val="clear" w:color="000000" w:fill="FFFFFF"/>
            <w:vAlign w:val="center"/>
          </w:tcPr>
          <w:p w14:paraId="24949182">
            <w:pPr>
              <w:jc w:val="center"/>
              <w:rPr>
                <w:rFonts w:hint="eastAsia" w:ascii="Times New Roman" w:hAnsi="Times New Roman" w:eastAsia="宋体" w:cs="Times New Roman"/>
                <w:b/>
                <w:bCs/>
                <w:kern w:val="2"/>
                <w:sz w:val="21"/>
                <w:szCs w:val="21"/>
                <w:lang w:val="en-US" w:eastAsia="zh-CN" w:bidi="ar-SA"/>
              </w:rPr>
            </w:pPr>
            <w:r>
              <w:rPr>
                <w:rFonts w:hint="eastAsia" w:ascii="宋体" w:hAnsi="宋体"/>
                <w:kern w:val="0"/>
                <w:szCs w:val="21"/>
              </w:rPr>
              <w:t>Ⅲ</w:t>
            </w:r>
          </w:p>
        </w:tc>
      </w:tr>
      <w:tr w14:paraId="43AE480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84" w:hRule="atLeast"/>
          <w:jc w:val="center"/>
        </w:trPr>
        <w:tc>
          <w:tcPr>
            <w:tcW w:w="486" w:type="pct"/>
            <w:vAlign w:val="center"/>
          </w:tcPr>
          <w:p w14:paraId="55B9E5AE">
            <w:pPr>
              <w:widowControl/>
              <w:jc w:val="center"/>
              <w:rPr>
                <w:rFonts w:hint="default"/>
                <w:kern w:val="0"/>
                <w:szCs w:val="21"/>
                <w:lang w:val="en-US" w:eastAsia="zh-CN"/>
              </w:rPr>
            </w:pPr>
            <w:r>
              <w:rPr>
                <w:rFonts w:hint="eastAsia"/>
                <w:kern w:val="0"/>
                <w:szCs w:val="21"/>
                <w:lang w:val="en-US" w:eastAsia="zh-CN"/>
              </w:rPr>
              <w:t>DA004</w:t>
            </w:r>
          </w:p>
        </w:tc>
        <w:tc>
          <w:tcPr>
            <w:tcW w:w="432" w:type="pct"/>
            <w:vAlign w:val="center"/>
          </w:tcPr>
          <w:p w14:paraId="2E2F745A">
            <w:pPr>
              <w:widowControl/>
              <w:jc w:val="center"/>
              <w:rPr>
                <w:rFonts w:hint="eastAsia"/>
                <w:kern w:val="0"/>
                <w:szCs w:val="21"/>
              </w:rPr>
            </w:pPr>
            <w:r>
              <w:rPr>
                <w:rFonts w:hint="eastAsia"/>
                <w:kern w:val="0"/>
                <w:szCs w:val="21"/>
              </w:rPr>
              <w:t>PM</w:t>
            </w:r>
            <w:r>
              <w:rPr>
                <w:rFonts w:hint="eastAsia"/>
                <w:kern w:val="0"/>
                <w:szCs w:val="21"/>
                <w:vertAlign w:val="subscript"/>
              </w:rPr>
              <w:t>10</w:t>
            </w:r>
          </w:p>
        </w:tc>
        <w:tc>
          <w:tcPr>
            <w:tcW w:w="376" w:type="pct"/>
            <w:vMerge w:val="continue"/>
            <w:vAlign w:val="center"/>
          </w:tcPr>
          <w:p w14:paraId="7CA5CAFF">
            <w:pPr>
              <w:jc w:val="center"/>
              <w:rPr>
                <w:kern w:val="0"/>
                <w:szCs w:val="21"/>
              </w:rPr>
            </w:pPr>
          </w:p>
        </w:tc>
        <w:tc>
          <w:tcPr>
            <w:tcW w:w="645" w:type="pct"/>
            <w:vAlign w:val="center"/>
          </w:tcPr>
          <w:p w14:paraId="0EA470BF">
            <w:pPr>
              <w:jc w:val="center"/>
              <w:rPr>
                <w:rFonts w:hint="eastAsia"/>
                <w:b w:val="0"/>
                <w:bCs w:val="0"/>
                <w:kern w:val="0"/>
                <w:szCs w:val="21"/>
              </w:rPr>
            </w:pPr>
            <w:r>
              <w:rPr>
                <w:rFonts w:hint="eastAsia"/>
                <w:b w:val="0"/>
                <w:bCs w:val="0"/>
                <w:szCs w:val="21"/>
                <w:lang w:val="en-US" w:eastAsia="zh-CN"/>
              </w:rPr>
              <w:t>39.223</w:t>
            </w:r>
          </w:p>
        </w:tc>
        <w:tc>
          <w:tcPr>
            <w:tcW w:w="547" w:type="pct"/>
            <w:vAlign w:val="center"/>
          </w:tcPr>
          <w:p w14:paraId="763B07DC">
            <w:pPr>
              <w:jc w:val="center"/>
              <w:rPr>
                <w:rFonts w:hint="default" w:eastAsia="宋体"/>
                <w:kern w:val="0"/>
                <w:szCs w:val="21"/>
                <w:lang w:val="en-US" w:eastAsia="zh-CN"/>
              </w:rPr>
            </w:pPr>
            <w:r>
              <w:rPr>
                <w:rFonts w:hint="eastAsia"/>
                <w:kern w:val="0"/>
                <w:szCs w:val="21"/>
                <w:lang w:val="en-US" w:eastAsia="zh-CN"/>
              </w:rPr>
              <w:t>166</w:t>
            </w:r>
          </w:p>
        </w:tc>
        <w:tc>
          <w:tcPr>
            <w:tcW w:w="605" w:type="pct"/>
            <w:vAlign w:val="center"/>
          </w:tcPr>
          <w:p w14:paraId="6F596304">
            <w:pPr>
              <w:jc w:val="center"/>
              <w:rPr>
                <w:rFonts w:hint="default" w:eastAsia="宋体"/>
                <w:kern w:val="0"/>
                <w:szCs w:val="21"/>
                <w:lang w:val="en-US" w:eastAsia="zh-CN"/>
              </w:rPr>
            </w:pPr>
            <w:r>
              <w:rPr>
                <w:rFonts w:hint="eastAsia"/>
                <w:kern w:val="0"/>
                <w:szCs w:val="21"/>
                <w:lang w:val="en-US" w:eastAsia="zh-CN"/>
              </w:rPr>
              <w:t>450</w:t>
            </w:r>
          </w:p>
        </w:tc>
        <w:tc>
          <w:tcPr>
            <w:tcW w:w="760" w:type="pct"/>
            <w:shd w:val="clear" w:color="000000" w:fill="FFFFFF"/>
            <w:vAlign w:val="center"/>
          </w:tcPr>
          <w:p w14:paraId="63AE1A01">
            <w:pPr>
              <w:jc w:val="center"/>
              <w:rPr>
                <w:rFonts w:hint="eastAsia" w:ascii="Times New Roman" w:hAnsi="Times New Roman" w:eastAsia="宋体" w:cs="Times New Roman"/>
                <w:b w:val="0"/>
                <w:bCs w:val="0"/>
                <w:kern w:val="2"/>
                <w:sz w:val="21"/>
                <w:szCs w:val="21"/>
                <w:lang w:val="en-US" w:eastAsia="zh-CN" w:bidi="ar-SA"/>
              </w:rPr>
            </w:pPr>
            <w:r>
              <w:rPr>
                <w:rFonts w:hint="eastAsia"/>
                <w:b w:val="0"/>
                <w:bCs w:val="0"/>
                <w:szCs w:val="21"/>
                <w:lang w:val="en-US" w:eastAsia="zh-CN"/>
              </w:rPr>
              <w:t>8.72</w:t>
            </w:r>
          </w:p>
        </w:tc>
        <w:tc>
          <w:tcPr>
            <w:tcW w:w="718" w:type="pct"/>
            <w:vAlign w:val="center"/>
          </w:tcPr>
          <w:p w14:paraId="1F5A116C">
            <w:pPr>
              <w:jc w:val="center"/>
              <w:rPr>
                <w:rFonts w:hint="eastAsia"/>
                <w:kern w:val="0"/>
                <w:szCs w:val="21"/>
              </w:rPr>
            </w:pPr>
            <w:r>
              <w:rPr>
                <w:rFonts w:hint="eastAsia"/>
                <w:kern w:val="0"/>
                <w:szCs w:val="21"/>
              </w:rPr>
              <w:t>0</w:t>
            </w:r>
          </w:p>
        </w:tc>
        <w:tc>
          <w:tcPr>
            <w:tcW w:w="426" w:type="pct"/>
            <w:vAlign w:val="center"/>
          </w:tcPr>
          <w:p w14:paraId="031A7BFE">
            <w:pPr>
              <w:jc w:val="center"/>
              <w:rPr>
                <w:rFonts w:hint="eastAsia" w:ascii="宋体" w:hAnsi="宋体"/>
                <w:kern w:val="0"/>
                <w:szCs w:val="21"/>
              </w:rPr>
            </w:pPr>
            <w:r>
              <w:rPr>
                <w:rFonts w:hint="eastAsia" w:ascii="宋体" w:hAnsi="宋体"/>
                <w:kern w:val="0"/>
                <w:szCs w:val="21"/>
              </w:rPr>
              <w:t>Ⅱ</w:t>
            </w:r>
          </w:p>
        </w:tc>
      </w:tr>
      <w:tr w14:paraId="7A334F8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84" w:hRule="atLeast"/>
          <w:jc w:val="center"/>
        </w:trPr>
        <w:tc>
          <w:tcPr>
            <w:tcW w:w="486" w:type="pct"/>
            <w:vAlign w:val="center"/>
          </w:tcPr>
          <w:p w14:paraId="45C34BB4">
            <w:pPr>
              <w:widowControl/>
              <w:jc w:val="center"/>
              <w:rPr>
                <w:rFonts w:hint="default"/>
                <w:kern w:val="0"/>
                <w:szCs w:val="21"/>
                <w:lang w:val="en-US" w:eastAsia="zh-CN"/>
              </w:rPr>
            </w:pPr>
            <w:r>
              <w:rPr>
                <w:rFonts w:hint="eastAsia"/>
                <w:kern w:val="0"/>
                <w:szCs w:val="21"/>
                <w:lang w:val="en-US" w:eastAsia="zh-CN"/>
              </w:rPr>
              <w:t>DA005</w:t>
            </w:r>
          </w:p>
        </w:tc>
        <w:tc>
          <w:tcPr>
            <w:tcW w:w="432" w:type="pct"/>
            <w:vAlign w:val="center"/>
          </w:tcPr>
          <w:p w14:paraId="069D3FAE">
            <w:pPr>
              <w:widowControl/>
              <w:jc w:val="center"/>
              <w:rPr>
                <w:rFonts w:hint="eastAsia"/>
                <w:kern w:val="0"/>
                <w:szCs w:val="21"/>
              </w:rPr>
            </w:pPr>
            <w:r>
              <w:rPr>
                <w:rFonts w:hint="eastAsia"/>
                <w:kern w:val="0"/>
                <w:szCs w:val="21"/>
              </w:rPr>
              <w:t>PM</w:t>
            </w:r>
            <w:r>
              <w:rPr>
                <w:rFonts w:hint="eastAsia"/>
                <w:kern w:val="0"/>
                <w:szCs w:val="21"/>
                <w:vertAlign w:val="subscript"/>
              </w:rPr>
              <w:t>10</w:t>
            </w:r>
          </w:p>
        </w:tc>
        <w:tc>
          <w:tcPr>
            <w:tcW w:w="376" w:type="pct"/>
            <w:vMerge w:val="continue"/>
            <w:vAlign w:val="center"/>
          </w:tcPr>
          <w:p w14:paraId="2AE0873E">
            <w:pPr>
              <w:jc w:val="center"/>
              <w:rPr>
                <w:kern w:val="0"/>
                <w:szCs w:val="21"/>
              </w:rPr>
            </w:pPr>
          </w:p>
        </w:tc>
        <w:tc>
          <w:tcPr>
            <w:tcW w:w="645" w:type="pct"/>
            <w:vAlign w:val="center"/>
          </w:tcPr>
          <w:p w14:paraId="781FD0AD">
            <w:pPr>
              <w:jc w:val="center"/>
              <w:rPr>
                <w:rFonts w:hint="eastAsia"/>
                <w:b w:val="0"/>
                <w:bCs w:val="0"/>
                <w:kern w:val="0"/>
                <w:szCs w:val="21"/>
              </w:rPr>
            </w:pPr>
            <w:r>
              <w:rPr>
                <w:rFonts w:hint="eastAsia"/>
                <w:b w:val="0"/>
                <w:bCs w:val="0"/>
                <w:szCs w:val="21"/>
                <w:lang w:val="en-US" w:eastAsia="zh-CN"/>
              </w:rPr>
              <w:t>9.0166</w:t>
            </w:r>
          </w:p>
        </w:tc>
        <w:tc>
          <w:tcPr>
            <w:tcW w:w="547" w:type="pct"/>
            <w:vAlign w:val="center"/>
          </w:tcPr>
          <w:p w14:paraId="1FA13622">
            <w:pPr>
              <w:jc w:val="center"/>
              <w:rPr>
                <w:rFonts w:hint="default" w:eastAsia="宋体"/>
                <w:kern w:val="0"/>
                <w:szCs w:val="21"/>
                <w:lang w:val="en-US" w:eastAsia="zh-CN"/>
              </w:rPr>
            </w:pPr>
            <w:r>
              <w:rPr>
                <w:rFonts w:hint="eastAsia"/>
                <w:kern w:val="0"/>
                <w:szCs w:val="21"/>
                <w:lang w:val="en-US" w:eastAsia="zh-CN"/>
              </w:rPr>
              <w:t>78</w:t>
            </w:r>
          </w:p>
        </w:tc>
        <w:tc>
          <w:tcPr>
            <w:tcW w:w="605" w:type="pct"/>
            <w:vAlign w:val="center"/>
          </w:tcPr>
          <w:p w14:paraId="3E9E4F84">
            <w:pPr>
              <w:jc w:val="center"/>
              <w:rPr>
                <w:rFonts w:hint="eastAsia"/>
                <w:kern w:val="0"/>
                <w:szCs w:val="21"/>
              </w:rPr>
            </w:pPr>
            <w:r>
              <w:rPr>
                <w:rFonts w:hint="eastAsia"/>
                <w:kern w:val="0"/>
                <w:szCs w:val="21"/>
                <w:lang w:val="en-US" w:eastAsia="zh-CN"/>
              </w:rPr>
              <w:t>450</w:t>
            </w:r>
          </w:p>
        </w:tc>
        <w:tc>
          <w:tcPr>
            <w:tcW w:w="760" w:type="pct"/>
            <w:shd w:val="clear" w:color="000000" w:fill="FFFFFF"/>
            <w:vAlign w:val="center"/>
          </w:tcPr>
          <w:p w14:paraId="68C449B5">
            <w:pPr>
              <w:jc w:val="center"/>
              <w:rPr>
                <w:rFonts w:hint="eastAsia" w:ascii="Times New Roman" w:hAnsi="Times New Roman" w:eastAsia="宋体" w:cs="Times New Roman"/>
                <w:b w:val="0"/>
                <w:bCs w:val="0"/>
                <w:kern w:val="2"/>
                <w:sz w:val="21"/>
                <w:szCs w:val="21"/>
                <w:lang w:val="en-US" w:eastAsia="zh-CN" w:bidi="ar-SA"/>
              </w:rPr>
            </w:pPr>
            <w:r>
              <w:rPr>
                <w:rFonts w:hint="eastAsia"/>
                <w:b w:val="0"/>
                <w:bCs w:val="0"/>
                <w:szCs w:val="21"/>
                <w:lang w:val="en-US" w:eastAsia="zh-CN"/>
              </w:rPr>
              <w:t>2.00</w:t>
            </w:r>
          </w:p>
        </w:tc>
        <w:tc>
          <w:tcPr>
            <w:tcW w:w="718" w:type="pct"/>
            <w:shd w:val="clear" w:color="000000" w:fill="FFFFFF"/>
            <w:vAlign w:val="center"/>
          </w:tcPr>
          <w:p w14:paraId="6B2E8990">
            <w:pPr>
              <w:jc w:val="center"/>
              <w:rPr>
                <w:rFonts w:hint="eastAsia" w:ascii="Times New Roman" w:hAnsi="Times New Roman" w:eastAsia="宋体" w:cs="Times New Roman"/>
                <w:b/>
                <w:bCs/>
                <w:kern w:val="2"/>
                <w:sz w:val="21"/>
                <w:szCs w:val="21"/>
                <w:lang w:val="en-US" w:eastAsia="zh-CN" w:bidi="ar-SA"/>
              </w:rPr>
            </w:pPr>
            <w:r>
              <w:rPr>
                <w:rFonts w:hint="eastAsia"/>
                <w:kern w:val="0"/>
                <w:szCs w:val="21"/>
              </w:rPr>
              <w:t>0</w:t>
            </w:r>
          </w:p>
        </w:tc>
        <w:tc>
          <w:tcPr>
            <w:tcW w:w="426" w:type="pct"/>
            <w:shd w:val="clear" w:color="000000" w:fill="FFFFFF"/>
            <w:vAlign w:val="center"/>
          </w:tcPr>
          <w:p w14:paraId="62F2AF28">
            <w:pPr>
              <w:jc w:val="center"/>
              <w:rPr>
                <w:rFonts w:hint="eastAsia" w:ascii="Times New Roman" w:hAnsi="Times New Roman" w:eastAsia="宋体" w:cs="Times New Roman"/>
                <w:b/>
                <w:bCs/>
                <w:kern w:val="2"/>
                <w:sz w:val="21"/>
                <w:szCs w:val="21"/>
                <w:lang w:val="en-US" w:eastAsia="zh-CN" w:bidi="ar-SA"/>
              </w:rPr>
            </w:pPr>
            <w:r>
              <w:rPr>
                <w:rFonts w:hint="eastAsia" w:ascii="宋体" w:hAnsi="宋体"/>
                <w:kern w:val="0"/>
                <w:szCs w:val="21"/>
              </w:rPr>
              <w:t>Ⅱ</w:t>
            </w:r>
          </w:p>
        </w:tc>
      </w:tr>
      <w:tr w14:paraId="5D827DB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84" w:hRule="atLeast"/>
          <w:jc w:val="center"/>
        </w:trPr>
        <w:tc>
          <w:tcPr>
            <w:tcW w:w="486" w:type="pct"/>
            <w:vAlign w:val="center"/>
          </w:tcPr>
          <w:p w14:paraId="7BF3D3F6">
            <w:pPr>
              <w:widowControl/>
              <w:jc w:val="center"/>
              <w:rPr>
                <w:rFonts w:hint="default"/>
                <w:kern w:val="0"/>
                <w:szCs w:val="21"/>
                <w:lang w:val="en-US" w:eastAsia="zh-CN"/>
              </w:rPr>
            </w:pPr>
            <w:r>
              <w:rPr>
                <w:rFonts w:hint="eastAsia"/>
                <w:kern w:val="0"/>
                <w:szCs w:val="21"/>
                <w:lang w:val="en-US" w:eastAsia="zh-CN"/>
              </w:rPr>
              <w:t>DA006</w:t>
            </w:r>
          </w:p>
        </w:tc>
        <w:tc>
          <w:tcPr>
            <w:tcW w:w="432" w:type="pct"/>
            <w:vAlign w:val="center"/>
          </w:tcPr>
          <w:p w14:paraId="25726532">
            <w:pPr>
              <w:widowControl/>
              <w:jc w:val="center"/>
              <w:rPr>
                <w:rFonts w:hint="eastAsia"/>
                <w:kern w:val="0"/>
                <w:szCs w:val="21"/>
              </w:rPr>
            </w:pPr>
            <w:r>
              <w:rPr>
                <w:rFonts w:hint="eastAsia"/>
                <w:kern w:val="0"/>
                <w:szCs w:val="21"/>
              </w:rPr>
              <w:t>PM</w:t>
            </w:r>
            <w:r>
              <w:rPr>
                <w:rFonts w:hint="eastAsia"/>
                <w:kern w:val="0"/>
                <w:szCs w:val="21"/>
                <w:vertAlign w:val="subscript"/>
              </w:rPr>
              <w:t>10</w:t>
            </w:r>
          </w:p>
        </w:tc>
        <w:tc>
          <w:tcPr>
            <w:tcW w:w="376" w:type="pct"/>
            <w:vMerge w:val="continue"/>
            <w:vAlign w:val="center"/>
          </w:tcPr>
          <w:p w14:paraId="0C9F37A1">
            <w:pPr>
              <w:jc w:val="center"/>
              <w:rPr>
                <w:kern w:val="0"/>
                <w:szCs w:val="21"/>
              </w:rPr>
            </w:pPr>
          </w:p>
        </w:tc>
        <w:tc>
          <w:tcPr>
            <w:tcW w:w="645" w:type="pct"/>
            <w:vAlign w:val="center"/>
          </w:tcPr>
          <w:p w14:paraId="3E68C96B">
            <w:pPr>
              <w:jc w:val="center"/>
              <w:rPr>
                <w:rFonts w:hint="eastAsia"/>
                <w:b w:val="0"/>
                <w:bCs w:val="0"/>
                <w:kern w:val="0"/>
                <w:szCs w:val="21"/>
              </w:rPr>
            </w:pPr>
            <w:r>
              <w:rPr>
                <w:rFonts w:hint="eastAsia"/>
                <w:b w:val="0"/>
                <w:bCs w:val="0"/>
                <w:szCs w:val="21"/>
                <w:lang w:val="en-US" w:eastAsia="zh-CN"/>
              </w:rPr>
              <w:t>17.868</w:t>
            </w:r>
          </w:p>
        </w:tc>
        <w:tc>
          <w:tcPr>
            <w:tcW w:w="547" w:type="pct"/>
            <w:vAlign w:val="center"/>
          </w:tcPr>
          <w:p w14:paraId="0686673B">
            <w:pPr>
              <w:jc w:val="center"/>
              <w:rPr>
                <w:rFonts w:hint="default" w:eastAsia="宋体"/>
                <w:kern w:val="0"/>
                <w:szCs w:val="21"/>
                <w:lang w:val="en-US" w:eastAsia="zh-CN"/>
              </w:rPr>
            </w:pPr>
            <w:r>
              <w:rPr>
                <w:rFonts w:hint="eastAsia"/>
                <w:kern w:val="0"/>
                <w:szCs w:val="21"/>
                <w:lang w:val="en-US" w:eastAsia="zh-CN"/>
              </w:rPr>
              <w:t>48</w:t>
            </w:r>
          </w:p>
        </w:tc>
        <w:tc>
          <w:tcPr>
            <w:tcW w:w="605" w:type="pct"/>
            <w:vAlign w:val="center"/>
          </w:tcPr>
          <w:p w14:paraId="4F7553F3">
            <w:pPr>
              <w:jc w:val="center"/>
              <w:rPr>
                <w:rFonts w:hint="eastAsia"/>
                <w:kern w:val="0"/>
                <w:szCs w:val="21"/>
              </w:rPr>
            </w:pPr>
            <w:r>
              <w:rPr>
                <w:rFonts w:hint="eastAsia"/>
                <w:kern w:val="0"/>
                <w:szCs w:val="21"/>
                <w:lang w:val="en-US" w:eastAsia="zh-CN"/>
              </w:rPr>
              <w:t>450</w:t>
            </w:r>
          </w:p>
        </w:tc>
        <w:tc>
          <w:tcPr>
            <w:tcW w:w="760" w:type="pct"/>
            <w:shd w:val="clear" w:color="000000" w:fill="FFFFFF"/>
            <w:vAlign w:val="center"/>
          </w:tcPr>
          <w:p w14:paraId="5A320B82">
            <w:pPr>
              <w:jc w:val="center"/>
              <w:rPr>
                <w:rFonts w:hint="eastAsia" w:ascii="Times New Roman" w:hAnsi="Times New Roman" w:eastAsia="宋体" w:cs="Times New Roman"/>
                <w:b w:val="0"/>
                <w:bCs w:val="0"/>
                <w:kern w:val="2"/>
                <w:sz w:val="21"/>
                <w:szCs w:val="21"/>
                <w:lang w:val="en-US" w:eastAsia="zh-CN" w:bidi="ar-SA"/>
              </w:rPr>
            </w:pPr>
            <w:r>
              <w:rPr>
                <w:rFonts w:hint="eastAsia"/>
                <w:b w:val="0"/>
                <w:bCs w:val="0"/>
                <w:szCs w:val="21"/>
                <w:lang w:val="en-US" w:eastAsia="zh-CN"/>
              </w:rPr>
              <w:t>3.97</w:t>
            </w:r>
          </w:p>
        </w:tc>
        <w:tc>
          <w:tcPr>
            <w:tcW w:w="718" w:type="pct"/>
            <w:shd w:val="clear" w:color="000000" w:fill="FFFFFF"/>
            <w:vAlign w:val="center"/>
          </w:tcPr>
          <w:p w14:paraId="3A838B99">
            <w:pPr>
              <w:jc w:val="center"/>
              <w:rPr>
                <w:rFonts w:hint="eastAsia" w:ascii="Times New Roman" w:hAnsi="Times New Roman" w:eastAsia="宋体" w:cs="Times New Roman"/>
                <w:b/>
                <w:bCs/>
                <w:kern w:val="2"/>
                <w:sz w:val="21"/>
                <w:szCs w:val="21"/>
                <w:lang w:val="en-US" w:eastAsia="zh-CN" w:bidi="ar-SA"/>
              </w:rPr>
            </w:pPr>
            <w:r>
              <w:rPr>
                <w:rFonts w:hint="eastAsia"/>
                <w:kern w:val="0"/>
                <w:szCs w:val="21"/>
              </w:rPr>
              <w:t>0</w:t>
            </w:r>
          </w:p>
        </w:tc>
        <w:tc>
          <w:tcPr>
            <w:tcW w:w="426" w:type="pct"/>
            <w:shd w:val="clear" w:color="000000" w:fill="FFFFFF"/>
            <w:vAlign w:val="center"/>
          </w:tcPr>
          <w:p w14:paraId="2E7B2536">
            <w:pPr>
              <w:jc w:val="center"/>
              <w:rPr>
                <w:rFonts w:hint="eastAsia" w:ascii="Times New Roman" w:hAnsi="Times New Roman" w:eastAsia="宋体" w:cs="Times New Roman"/>
                <w:b/>
                <w:bCs/>
                <w:kern w:val="2"/>
                <w:sz w:val="21"/>
                <w:szCs w:val="21"/>
                <w:lang w:val="en-US" w:eastAsia="zh-CN" w:bidi="ar-SA"/>
              </w:rPr>
            </w:pPr>
            <w:r>
              <w:rPr>
                <w:rFonts w:hint="eastAsia" w:ascii="宋体" w:hAnsi="宋体"/>
                <w:kern w:val="0"/>
                <w:szCs w:val="21"/>
              </w:rPr>
              <w:t>Ⅱ</w:t>
            </w:r>
          </w:p>
        </w:tc>
      </w:tr>
      <w:tr w14:paraId="525F82C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84" w:hRule="atLeast"/>
          <w:jc w:val="center"/>
        </w:trPr>
        <w:tc>
          <w:tcPr>
            <w:tcW w:w="486" w:type="pct"/>
            <w:vAlign w:val="center"/>
          </w:tcPr>
          <w:p w14:paraId="1CAEF1CE">
            <w:pPr>
              <w:widowControl/>
              <w:jc w:val="center"/>
              <w:rPr>
                <w:rFonts w:hint="default"/>
                <w:kern w:val="0"/>
                <w:szCs w:val="21"/>
                <w:lang w:val="en-US" w:eastAsia="zh-CN"/>
              </w:rPr>
            </w:pPr>
            <w:r>
              <w:rPr>
                <w:rFonts w:hint="eastAsia"/>
                <w:kern w:val="0"/>
                <w:szCs w:val="21"/>
                <w:lang w:val="en-US" w:eastAsia="zh-CN"/>
              </w:rPr>
              <w:t>DA007</w:t>
            </w:r>
          </w:p>
        </w:tc>
        <w:tc>
          <w:tcPr>
            <w:tcW w:w="432" w:type="pct"/>
            <w:vAlign w:val="center"/>
          </w:tcPr>
          <w:p w14:paraId="37C49189">
            <w:pPr>
              <w:widowControl/>
              <w:jc w:val="center"/>
              <w:rPr>
                <w:rFonts w:hint="eastAsia"/>
                <w:kern w:val="0"/>
                <w:szCs w:val="21"/>
              </w:rPr>
            </w:pPr>
            <w:r>
              <w:rPr>
                <w:rFonts w:hint="eastAsia"/>
                <w:kern w:val="0"/>
                <w:szCs w:val="21"/>
              </w:rPr>
              <w:t>PM</w:t>
            </w:r>
            <w:r>
              <w:rPr>
                <w:rFonts w:hint="eastAsia"/>
                <w:kern w:val="0"/>
                <w:szCs w:val="21"/>
                <w:vertAlign w:val="subscript"/>
              </w:rPr>
              <w:t>10</w:t>
            </w:r>
          </w:p>
        </w:tc>
        <w:tc>
          <w:tcPr>
            <w:tcW w:w="376" w:type="pct"/>
            <w:vMerge w:val="continue"/>
            <w:vAlign w:val="center"/>
          </w:tcPr>
          <w:p w14:paraId="21F6F277">
            <w:pPr>
              <w:jc w:val="center"/>
              <w:rPr>
                <w:kern w:val="0"/>
                <w:szCs w:val="21"/>
              </w:rPr>
            </w:pPr>
          </w:p>
        </w:tc>
        <w:tc>
          <w:tcPr>
            <w:tcW w:w="645" w:type="pct"/>
            <w:vAlign w:val="center"/>
          </w:tcPr>
          <w:p w14:paraId="26B973D3">
            <w:pPr>
              <w:jc w:val="center"/>
              <w:rPr>
                <w:rFonts w:hint="eastAsia"/>
                <w:b w:val="0"/>
                <w:bCs w:val="0"/>
                <w:kern w:val="0"/>
                <w:szCs w:val="21"/>
              </w:rPr>
            </w:pPr>
            <w:r>
              <w:rPr>
                <w:rFonts w:hint="eastAsia"/>
                <w:b w:val="0"/>
                <w:bCs w:val="0"/>
                <w:szCs w:val="21"/>
                <w:lang w:val="en-US" w:eastAsia="zh-CN"/>
              </w:rPr>
              <w:t>2.3156</w:t>
            </w:r>
          </w:p>
        </w:tc>
        <w:tc>
          <w:tcPr>
            <w:tcW w:w="547" w:type="pct"/>
            <w:vAlign w:val="center"/>
          </w:tcPr>
          <w:p w14:paraId="0241454E">
            <w:pPr>
              <w:jc w:val="center"/>
              <w:rPr>
                <w:rFonts w:hint="default" w:eastAsia="宋体"/>
                <w:kern w:val="0"/>
                <w:szCs w:val="21"/>
                <w:lang w:val="en-US" w:eastAsia="zh-CN"/>
              </w:rPr>
            </w:pPr>
            <w:r>
              <w:rPr>
                <w:rFonts w:hint="eastAsia"/>
                <w:kern w:val="0"/>
                <w:szCs w:val="21"/>
                <w:lang w:val="en-US" w:eastAsia="zh-CN"/>
              </w:rPr>
              <w:t>48</w:t>
            </w:r>
          </w:p>
        </w:tc>
        <w:tc>
          <w:tcPr>
            <w:tcW w:w="605" w:type="pct"/>
            <w:vAlign w:val="center"/>
          </w:tcPr>
          <w:p w14:paraId="4D3BC845">
            <w:pPr>
              <w:jc w:val="center"/>
              <w:rPr>
                <w:rFonts w:hint="eastAsia"/>
                <w:kern w:val="0"/>
                <w:szCs w:val="21"/>
              </w:rPr>
            </w:pPr>
            <w:r>
              <w:rPr>
                <w:rFonts w:hint="eastAsia"/>
                <w:kern w:val="0"/>
                <w:szCs w:val="21"/>
                <w:lang w:val="en-US" w:eastAsia="zh-CN"/>
              </w:rPr>
              <w:t>450</w:t>
            </w:r>
          </w:p>
        </w:tc>
        <w:tc>
          <w:tcPr>
            <w:tcW w:w="760" w:type="pct"/>
            <w:shd w:val="clear" w:color="000000" w:fill="FFFFFF"/>
            <w:vAlign w:val="center"/>
          </w:tcPr>
          <w:p w14:paraId="46F03398">
            <w:pPr>
              <w:jc w:val="center"/>
              <w:rPr>
                <w:rFonts w:hint="default" w:ascii="Times New Roman" w:hAnsi="Times New Roman" w:eastAsia="宋体" w:cs="Times New Roman"/>
                <w:b w:val="0"/>
                <w:bCs w:val="0"/>
                <w:kern w:val="2"/>
                <w:sz w:val="21"/>
                <w:szCs w:val="21"/>
                <w:lang w:val="en-US" w:eastAsia="zh-CN" w:bidi="ar-SA"/>
              </w:rPr>
            </w:pPr>
            <w:r>
              <w:rPr>
                <w:rFonts w:hint="eastAsia"/>
                <w:b w:val="0"/>
                <w:bCs w:val="0"/>
                <w:szCs w:val="21"/>
                <w:lang w:val="en-US" w:eastAsia="zh-CN"/>
              </w:rPr>
              <w:t>0.51</w:t>
            </w:r>
          </w:p>
        </w:tc>
        <w:tc>
          <w:tcPr>
            <w:tcW w:w="718" w:type="pct"/>
            <w:shd w:val="clear" w:color="000000" w:fill="FFFFFF"/>
            <w:vAlign w:val="center"/>
          </w:tcPr>
          <w:p w14:paraId="061C0636">
            <w:pPr>
              <w:jc w:val="center"/>
              <w:rPr>
                <w:rFonts w:hint="eastAsia" w:ascii="Times New Roman" w:hAnsi="Times New Roman" w:eastAsia="宋体" w:cs="Times New Roman"/>
                <w:kern w:val="2"/>
                <w:sz w:val="21"/>
                <w:szCs w:val="21"/>
                <w:lang w:val="en-US" w:eastAsia="zh-CN" w:bidi="ar-SA"/>
              </w:rPr>
            </w:pPr>
            <w:r>
              <w:rPr>
                <w:rFonts w:hint="eastAsia"/>
                <w:kern w:val="0"/>
                <w:szCs w:val="21"/>
              </w:rPr>
              <w:t>0</w:t>
            </w:r>
          </w:p>
        </w:tc>
        <w:tc>
          <w:tcPr>
            <w:tcW w:w="426" w:type="pct"/>
            <w:shd w:val="clear" w:color="000000" w:fill="FFFFFF"/>
            <w:vAlign w:val="center"/>
          </w:tcPr>
          <w:p w14:paraId="31E2A25E">
            <w:pPr>
              <w:jc w:val="center"/>
              <w:rPr>
                <w:rFonts w:hint="eastAsia" w:ascii="Times New Roman" w:hAnsi="Times New Roman" w:eastAsia="宋体" w:cs="Times New Roman"/>
                <w:kern w:val="2"/>
                <w:sz w:val="21"/>
                <w:szCs w:val="21"/>
                <w:lang w:val="en-US" w:eastAsia="zh-CN" w:bidi="ar-SA"/>
              </w:rPr>
            </w:pPr>
            <w:r>
              <w:rPr>
                <w:rFonts w:hint="eastAsia" w:ascii="宋体" w:hAnsi="宋体"/>
                <w:kern w:val="0"/>
                <w:szCs w:val="21"/>
              </w:rPr>
              <w:t>Ⅲ</w:t>
            </w:r>
          </w:p>
        </w:tc>
      </w:tr>
      <w:tr w14:paraId="1F188EE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84" w:hRule="atLeast"/>
          <w:jc w:val="center"/>
        </w:trPr>
        <w:tc>
          <w:tcPr>
            <w:tcW w:w="486" w:type="pct"/>
            <w:vAlign w:val="center"/>
          </w:tcPr>
          <w:p w14:paraId="7C164FE6">
            <w:pPr>
              <w:widowControl/>
              <w:jc w:val="center"/>
              <w:rPr>
                <w:rFonts w:hint="default"/>
                <w:kern w:val="0"/>
                <w:szCs w:val="21"/>
                <w:lang w:val="en-US" w:eastAsia="zh-CN"/>
              </w:rPr>
            </w:pPr>
            <w:r>
              <w:rPr>
                <w:rFonts w:hint="eastAsia"/>
                <w:kern w:val="0"/>
                <w:szCs w:val="21"/>
                <w:lang w:val="en-US" w:eastAsia="zh-CN"/>
              </w:rPr>
              <w:t>DA008</w:t>
            </w:r>
          </w:p>
        </w:tc>
        <w:tc>
          <w:tcPr>
            <w:tcW w:w="432" w:type="pct"/>
            <w:vAlign w:val="center"/>
          </w:tcPr>
          <w:p w14:paraId="632A2763">
            <w:pPr>
              <w:widowControl/>
              <w:jc w:val="center"/>
              <w:rPr>
                <w:rFonts w:hint="eastAsia"/>
                <w:kern w:val="0"/>
                <w:szCs w:val="21"/>
              </w:rPr>
            </w:pPr>
            <w:r>
              <w:rPr>
                <w:rFonts w:hint="eastAsia"/>
                <w:kern w:val="0"/>
                <w:szCs w:val="21"/>
              </w:rPr>
              <w:t>PM</w:t>
            </w:r>
            <w:r>
              <w:rPr>
                <w:rFonts w:hint="eastAsia"/>
                <w:kern w:val="0"/>
                <w:szCs w:val="21"/>
                <w:vertAlign w:val="subscript"/>
              </w:rPr>
              <w:t>10</w:t>
            </w:r>
          </w:p>
        </w:tc>
        <w:tc>
          <w:tcPr>
            <w:tcW w:w="376" w:type="pct"/>
            <w:vMerge w:val="continue"/>
            <w:vAlign w:val="center"/>
          </w:tcPr>
          <w:p w14:paraId="794DE239">
            <w:pPr>
              <w:jc w:val="center"/>
              <w:rPr>
                <w:kern w:val="0"/>
                <w:szCs w:val="21"/>
              </w:rPr>
            </w:pPr>
          </w:p>
        </w:tc>
        <w:tc>
          <w:tcPr>
            <w:tcW w:w="645" w:type="pct"/>
            <w:vAlign w:val="center"/>
          </w:tcPr>
          <w:p w14:paraId="6DE0A0E0">
            <w:pPr>
              <w:jc w:val="center"/>
              <w:rPr>
                <w:rFonts w:hint="eastAsia"/>
                <w:b w:val="0"/>
                <w:bCs w:val="0"/>
                <w:kern w:val="0"/>
                <w:szCs w:val="21"/>
              </w:rPr>
            </w:pPr>
            <w:r>
              <w:rPr>
                <w:rFonts w:hint="eastAsia"/>
                <w:b w:val="0"/>
                <w:bCs w:val="0"/>
                <w:szCs w:val="21"/>
                <w:lang w:val="en-US" w:eastAsia="zh-CN"/>
              </w:rPr>
              <w:t>3.1774</w:t>
            </w:r>
          </w:p>
        </w:tc>
        <w:tc>
          <w:tcPr>
            <w:tcW w:w="547" w:type="pct"/>
            <w:vAlign w:val="center"/>
          </w:tcPr>
          <w:p w14:paraId="3D55D9FF">
            <w:pPr>
              <w:jc w:val="center"/>
              <w:rPr>
                <w:rFonts w:hint="default" w:eastAsia="宋体"/>
                <w:kern w:val="0"/>
                <w:szCs w:val="21"/>
                <w:lang w:val="en-US" w:eastAsia="zh-CN"/>
              </w:rPr>
            </w:pPr>
            <w:r>
              <w:rPr>
                <w:rFonts w:hint="eastAsia"/>
                <w:kern w:val="0"/>
                <w:szCs w:val="21"/>
                <w:lang w:val="en-US" w:eastAsia="zh-CN"/>
              </w:rPr>
              <w:t>50</w:t>
            </w:r>
          </w:p>
        </w:tc>
        <w:tc>
          <w:tcPr>
            <w:tcW w:w="605" w:type="pct"/>
            <w:vAlign w:val="center"/>
          </w:tcPr>
          <w:p w14:paraId="457187E9">
            <w:pPr>
              <w:jc w:val="center"/>
              <w:rPr>
                <w:rFonts w:hint="eastAsia"/>
                <w:kern w:val="0"/>
                <w:szCs w:val="21"/>
              </w:rPr>
            </w:pPr>
            <w:r>
              <w:rPr>
                <w:rFonts w:hint="eastAsia"/>
                <w:kern w:val="0"/>
                <w:szCs w:val="21"/>
                <w:lang w:val="en-US" w:eastAsia="zh-CN"/>
              </w:rPr>
              <w:t>450</w:t>
            </w:r>
          </w:p>
        </w:tc>
        <w:tc>
          <w:tcPr>
            <w:tcW w:w="760" w:type="pct"/>
            <w:vAlign w:val="center"/>
          </w:tcPr>
          <w:p w14:paraId="659C97A2">
            <w:pPr>
              <w:jc w:val="center"/>
              <w:rPr>
                <w:rFonts w:hint="default"/>
                <w:b w:val="0"/>
                <w:bCs w:val="0"/>
                <w:kern w:val="0"/>
                <w:szCs w:val="21"/>
                <w:lang w:val="en-US"/>
              </w:rPr>
            </w:pPr>
            <w:r>
              <w:rPr>
                <w:rFonts w:hint="eastAsia"/>
                <w:b w:val="0"/>
                <w:bCs w:val="0"/>
                <w:szCs w:val="21"/>
                <w:lang w:val="en-US" w:eastAsia="zh-CN"/>
              </w:rPr>
              <w:t>0.71</w:t>
            </w:r>
          </w:p>
        </w:tc>
        <w:tc>
          <w:tcPr>
            <w:tcW w:w="718" w:type="pct"/>
            <w:vAlign w:val="center"/>
          </w:tcPr>
          <w:p w14:paraId="3118F0C0">
            <w:pPr>
              <w:jc w:val="center"/>
              <w:rPr>
                <w:rFonts w:hint="eastAsia"/>
                <w:kern w:val="0"/>
                <w:szCs w:val="21"/>
              </w:rPr>
            </w:pPr>
            <w:r>
              <w:rPr>
                <w:rFonts w:hint="eastAsia"/>
                <w:kern w:val="0"/>
                <w:szCs w:val="21"/>
              </w:rPr>
              <w:t>0</w:t>
            </w:r>
          </w:p>
        </w:tc>
        <w:tc>
          <w:tcPr>
            <w:tcW w:w="426" w:type="pct"/>
            <w:vAlign w:val="center"/>
          </w:tcPr>
          <w:p w14:paraId="2CFAD234">
            <w:pPr>
              <w:jc w:val="center"/>
              <w:rPr>
                <w:rFonts w:hint="eastAsia" w:ascii="宋体" w:hAnsi="宋体"/>
                <w:kern w:val="0"/>
                <w:szCs w:val="21"/>
              </w:rPr>
            </w:pPr>
            <w:r>
              <w:rPr>
                <w:rFonts w:hint="eastAsia" w:ascii="宋体" w:hAnsi="宋体"/>
                <w:kern w:val="0"/>
                <w:szCs w:val="21"/>
              </w:rPr>
              <w:t>Ⅲ</w:t>
            </w:r>
          </w:p>
        </w:tc>
      </w:tr>
      <w:tr w14:paraId="3D5B38B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84" w:hRule="atLeast"/>
          <w:jc w:val="center"/>
        </w:trPr>
        <w:tc>
          <w:tcPr>
            <w:tcW w:w="486" w:type="pct"/>
            <w:vAlign w:val="center"/>
          </w:tcPr>
          <w:p w14:paraId="2BAA3DF1">
            <w:pPr>
              <w:widowControl/>
              <w:jc w:val="center"/>
              <w:rPr>
                <w:rFonts w:hint="default"/>
                <w:kern w:val="0"/>
                <w:szCs w:val="21"/>
                <w:lang w:val="en-US" w:eastAsia="zh-CN"/>
              </w:rPr>
            </w:pPr>
            <w:r>
              <w:rPr>
                <w:rFonts w:hint="eastAsia"/>
                <w:kern w:val="0"/>
                <w:szCs w:val="21"/>
                <w:lang w:val="en-US" w:eastAsia="zh-CN"/>
              </w:rPr>
              <w:t>DA009</w:t>
            </w:r>
          </w:p>
        </w:tc>
        <w:tc>
          <w:tcPr>
            <w:tcW w:w="432" w:type="pct"/>
            <w:vAlign w:val="center"/>
          </w:tcPr>
          <w:p w14:paraId="0085843E">
            <w:pPr>
              <w:widowControl/>
              <w:jc w:val="center"/>
              <w:rPr>
                <w:rFonts w:hint="eastAsia"/>
                <w:kern w:val="0"/>
                <w:szCs w:val="21"/>
              </w:rPr>
            </w:pPr>
            <w:r>
              <w:rPr>
                <w:rFonts w:hint="eastAsia"/>
                <w:kern w:val="0"/>
                <w:szCs w:val="21"/>
              </w:rPr>
              <w:t>PM</w:t>
            </w:r>
            <w:r>
              <w:rPr>
                <w:rFonts w:hint="eastAsia"/>
                <w:kern w:val="0"/>
                <w:szCs w:val="21"/>
                <w:vertAlign w:val="subscript"/>
              </w:rPr>
              <w:t>10</w:t>
            </w:r>
          </w:p>
        </w:tc>
        <w:tc>
          <w:tcPr>
            <w:tcW w:w="376" w:type="pct"/>
            <w:vMerge w:val="continue"/>
            <w:vAlign w:val="center"/>
          </w:tcPr>
          <w:p w14:paraId="721FEA45">
            <w:pPr>
              <w:jc w:val="center"/>
              <w:rPr>
                <w:kern w:val="0"/>
                <w:szCs w:val="21"/>
              </w:rPr>
            </w:pPr>
          </w:p>
        </w:tc>
        <w:tc>
          <w:tcPr>
            <w:tcW w:w="645" w:type="pct"/>
            <w:vAlign w:val="center"/>
          </w:tcPr>
          <w:p w14:paraId="0959EB4D">
            <w:pPr>
              <w:jc w:val="center"/>
              <w:rPr>
                <w:rFonts w:hint="eastAsia"/>
                <w:b w:val="0"/>
                <w:bCs w:val="0"/>
                <w:kern w:val="0"/>
                <w:szCs w:val="21"/>
              </w:rPr>
            </w:pPr>
            <w:r>
              <w:rPr>
                <w:rFonts w:hint="eastAsia"/>
                <w:b w:val="0"/>
                <w:bCs w:val="0"/>
                <w:szCs w:val="21"/>
                <w:lang w:val="en-US" w:eastAsia="zh-CN"/>
              </w:rPr>
              <w:t>3.1774</w:t>
            </w:r>
          </w:p>
        </w:tc>
        <w:tc>
          <w:tcPr>
            <w:tcW w:w="547" w:type="pct"/>
            <w:vAlign w:val="center"/>
          </w:tcPr>
          <w:p w14:paraId="2EB17A87">
            <w:pPr>
              <w:jc w:val="center"/>
              <w:rPr>
                <w:rFonts w:hint="default" w:eastAsia="宋体"/>
                <w:kern w:val="0"/>
                <w:szCs w:val="21"/>
                <w:lang w:val="en-US" w:eastAsia="zh-CN"/>
              </w:rPr>
            </w:pPr>
            <w:r>
              <w:rPr>
                <w:rFonts w:hint="eastAsia"/>
                <w:kern w:val="0"/>
                <w:szCs w:val="21"/>
                <w:lang w:val="en-US" w:eastAsia="zh-CN"/>
              </w:rPr>
              <w:t>50</w:t>
            </w:r>
          </w:p>
        </w:tc>
        <w:tc>
          <w:tcPr>
            <w:tcW w:w="605" w:type="pct"/>
            <w:vAlign w:val="center"/>
          </w:tcPr>
          <w:p w14:paraId="0CEF6625">
            <w:pPr>
              <w:jc w:val="center"/>
              <w:rPr>
                <w:rFonts w:hint="eastAsia"/>
                <w:kern w:val="0"/>
                <w:szCs w:val="21"/>
              </w:rPr>
            </w:pPr>
            <w:r>
              <w:rPr>
                <w:rFonts w:hint="eastAsia"/>
                <w:kern w:val="0"/>
                <w:szCs w:val="21"/>
                <w:lang w:val="en-US" w:eastAsia="zh-CN"/>
              </w:rPr>
              <w:t>450</w:t>
            </w:r>
          </w:p>
        </w:tc>
        <w:tc>
          <w:tcPr>
            <w:tcW w:w="760" w:type="pct"/>
            <w:vAlign w:val="center"/>
          </w:tcPr>
          <w:p w14:paraId="579F9B5B">
            <w:pPr>
              <w:jc w:val="center"/>
              <w:rPr>
                <w:rFonts w:hint="default"/>
                <w:b w:val="0"/>
                <w:bCs w:val="0"/>
                <w:kern w:val="0"/>
                <w:szCs w:val="21"/>
                <w:lang w:val="en-US"/>
              </w:rPr>
            </w:pPr>
            <w:r>
              <w:rPr>
                <w:rFonts w:hint="eastAsia"/>
                <w:b w:val="0"/>
                <w:bCs w:val="0"/>
                <w:szCs w:val="21"/>
                <w:lang w:val="en-US" w:eastAsia="zh-CN"/>
              </w:rPr>
              <w:t>0.71</w:t>
            </w:r>
          </w:p>
        </w:tc>
        <w:tc>
          <w:tcPr>
            <w:tcW w:w="718" w:type="pct"/>
            <w:vAlign w:val="center"/>
          </w:tcPr>
          <w:p w14:paraId="24063972">
            <w:pPr>
              <w:jc w:val="center"/>
              <w:rPr>
                <w:rFonts w:hint="eastAsia"/>
                <w:kern w:val="0"/>
                <w:szCs w:val="21"/>
              </w:rPr>
            </w:pPr>
            <w:r>
              <w:rPr>
                <w:rFonts w:hint="eastAsia"/>
                <w:kern w:val="0"/>
                <w:szCs w:val="21"/>
              </w:rPr>
              <w:t>0</w:t>
            </w:r>
          </w:p>
        </w:tc>
        <w:tc>
          <w:tcPr>
            <w:tcW w:w="426" w:type="pct"/>
            <w:vAlign w:val="center"/>
          </w:tcPr>
          <w:p w14:paraId="18B8A4DB">
            <w:pPr>
              <w:jc w:val="center"/>
              <w:rPr>
                <w:rFonts w:hint="eastAsia" w:ascii="宋体" w:hAnsi="宋体"/>
                <w:kern w:val="0"/>
                <w:szCs w:val="21"/>
              </w:rPr>
            </w:pPr>
            <w:r>
              <w:rPr>
                <w:rFonts w:hint="eastAsia" w:ascii="宋体" w:hAnsi="宋体"/>
                <w:kern w:val="0"/>
                <w:szCs w:val="21"/>
              </w:rPr>
              <w:t>Ⅲ</w:t>
            </w:r>
          </w:p>
        </w:tc>
      </w:tr>
      <w:tr w14:paraId="120720B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84" w:hRule="atLeast"/>
          <w:jc w:val="center"/>
        </w:trPr>
        <w:tc>
          <w:tcPr>
            <w:tcW w:w="486" w:type="pct"/>
            <w:vAlign w:val="center"/>
          </w:tcPr>
          <w:p w14:paraId="31F7D52B">
            <w:pPr>
              <w:widowControl/>
              <w:jc w:val="center"/>
              <w:rPr>
                <w:rFonts w:hint="default"/>
                <w:kern w:val="0"/>
                <w:szCs w:val="21"/>
                <w:lang w:val="en-US" w:eastAsia="zh-CN"/>
              </w:rPr>
            </w:pPr>
            <w:r>
              <w:rPr>
                <w:rFonts w:hint="eastAsia"/>
                <w:kern w:val="0"/>
                <w:szCs w:val="21"/>
                <w:lang w:val="en-US" w:eastAsia="zh-CN"/>
              </w:rPr>
              <w:t>DA010</w:t>
            </w:r>
          </w:p>
        </w:tc>
        <w:tc>
          <w:tcPr>
            <w:tcW w:w="432" w:type="pct"/>
            <w:vAlign w:val="center"/>
          </w:tcPr>
          <w:p w14:paraId="69A642E5">
            <w:pPr>
              <w:widowControl/>
              <w:jc w:val="center"/>
              <w:rPr>
                <w:rFonts w:hint="eastAsia"/>
                <w:kern w:val="0"/>
                <w:szCs w:val="21"/>
              </w:rPr>
            </w:pPr>
            <w:r>
              <w:rPr>
                <w:rFonts w:hint="eastAsia"/>
                <w:kern w:val="0"/>
                <w:szCs w:val="21"/>
              </w:rPr>
              <w:t>PM</w:t>
            </w:r>
            <w:r>
              <w:rPr>
                <w:rFonts w:hint="eastAsia"/>
                <w:kern w:val="0"/>
                <w:szCs w:val="21"/>
                <w:vertAlign w:val="subscript"/>
              </w:rPr>
              <w:t>10</w:t>
            </w:r>
          </w:p>
        </w:tc>
        <w:tc>
          <w:tcPr>
            <w:tcW w:w="376" w:type="pct"/>
            <w:vMerge w:val="continue"/>
            <w:vAlign w:val="center"/>
          </w:tcPr>
          <w:p w14:paraId="580FA0AF">
            <w:pPr>
              <w:jc w:val="center"/>
              <w:rPr>
                <w:kern w:val="0"/>
                <w:szCs w:val="21"/>
              </w:rPr>
            </w:pPr>
          </w:p>
        </w:tc>
        <w:tc>
          <w:tcPr>
            <w:tcW w:w="645" w:type="pct"/>
            <w:vAlign w:val="center"/>
          </w:tcPr>
          <w:p w14:paraId="774F12F6">
            <w:pPr>
              <w:jc w:val="center"/>
              <w:rPr>
                <w:rFonts w:hint="eastAsia"/>
                <w:b w:val="0"/>
                <w:bCs w:val="0"/>
                <w:kern w:val="0"/>
                <w:szCs w:val="21"/>
              </w:rPr>
            </w:pPr>
            <w:r>
              <w:rPr>
                <w:rFonts w:hint="eastAsia"/>
                <w:b w:val="0"/>
                <w:bCs w:val="0"/>
                <w:szCs w:val="21"/>
                <w:lang w:val="en-US" w:eastAsia="zh-CN"/>
              </w:rPr>
              <w:t>8.3025</w:t>
            </w:r>
          </w:p>
        </w:tc>
        <w:tc>
          <w:tcPr>
            <w:tcW w:w="547" w:type="pct"/>
            <w:vAlign w:val="center"/>
          </w:tcPr>
          <w:p w14:paraId="62AC7BFC">
            <w:pPr>
              <w:jc w:val="center"/>
              <w:rPr>
                <w:rFonts w:hint="default" w:eastAsia="宋体"/>
                <w:kern w:val="0"/>
                <w:szCs w:val="21"/>
                <w:lang w:val="en-US" w:eastAsia="zh-CN"/>
              </w:rPr>
            </w:pPr>
            <w:r>
              <w:rPr>
                <w:rFonts w:hint="eastAsia"/>
                <w:kern w:val="0"/>
                <w:szCs w:val="21"/>
                <w:lang w:val="en-US" w:eastAsia="zh-CN"/>
              </w:rPr>
              <w:t>50</w:t>
            </w:r>
          </w:p>
        </w:tc>
        <w:tc>
          <w:tcPr>
            <w:tcW w:w="605" w:type="pct"/>
            <w:vAlign w:val="center"/>
          </w:tcPr>
          <w:p w14:paraId="49D2E282">
            <w:pPr>
              <w:jc w:val="center"/>
              <w:rPr>
                <w:rFonts w:hint="eastAsia"/>
                <w:kern w:val="0"/>
                <w:szCs w:val="21"/>
              </w:rPr>
            </w:pPr>
            <w:r>
              <w:rPr>
                <w:rFonts w:hint="eastAsia"/>
                <w:kern w:val="0"/>
                <w:szCs w:val="21"/>
                <w:lang w:val="en-US" w:eastAsia="zh-CN"/>
              </w:rPr>
              <w:t>450</w:t>
            </w:r>
          </w:p>
        </w:tc>
        <w:tc>
          <w:tcPr>
            <w:tcW w:w="760" w:type="pct"/>
            <w:vAlign w:val="center"/>
          </w:tcPr>
          <w:p w14:paraId="24447FA9">
            <w:pPr>
              <w:jc w:val="center"/>
              <w:rPr>
                <w:rFonts w:hint="eastAsia"/>
                <w:b w:val="0"/>
                <w:bCs w:val="0"/>
                <w:kern w:val="0"/>
                <w:szCs w:val="21"/>
              </w:rPr>
            </w:pPr>
            <w:r>
              <w:rPr>
                <w:rFonts w:hint="eastAsia"/>
                <w:b w:val="0"/>
                <w:bCs w:val="0"/>
                <w:szCs w:val="21"/>
                <w:lang w:val="en-US" w:eastAsia="zh-CN"/>
              </w:rPr>
              <w:t>1.84</w:t>
            </w:r>
          </w:p>
        </w:tc>
        <w:tc>
          <w:tcPr>
            <w:tcW w:w="718" w:type="pct"/>
            <w:vAlign w:val="center"/>
          </w:tcPr>
          <w:p w14:paraId="5C229E04">
            <w:pPr>
              <w:jc w:val="center"/>
              <w:rPr>
                <w:rFonts w:hint="eastAsia"/>
                <w:kern w:val="0"/>
                <w:szCs w:val="21"/>
              </w:rPr>
            </w:pPr>
            <w:r>
              <w:rPr>
                <w:rFonts w:hint="eastAsia"/>
                <w:kern w:val="0"/>
                <w:szCs w:val="21"/>
              </w:rPr>
              <w:t>0</w:t>
            </w:r>
          </w:p>
        </w:tc>
        <w:tc>
          <w:tcPr>
            <w:tcW w:w="426" w:type="pct"/>
            <w:vAlign w:val="center"/>
          </w:tcPr>
          <w:p w14:paraId="394CF86F">
            <w:pPr>
              <w:jc w:val="center"/>
              <w:rPr>
                <w:rFonts w:hint="eastAsia" w:ascii="宋体" w:hAnsi="宋体"/>
                <w:kern w:val="0"/>
                <w:szCs w:val="21"/>
              </w:rPr>
            </w:pPr>
            <w:r>
              <w:rPr>
                <w:rFonts w:hint="eastAsia" w:ascii="宋体" w:hAnsi="宋体"/>
                <w:kern w:val="0"/>
                <w:szCs w:val="21"/>
              </w:rPr>
              <w:t>Ⅱ</w:t>
            </w:r>
          </w:p>
        </w:tc>
      </w:tr>
      <w:tr w14:paraId="52ACEF1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84" w:hRule="atLeast"/>
          <w:jc w:val="center"/>
        </w:trPr>
        <w:tc>
          <w:tcPr>
            <w:tcW w:w="486" w:type="pct"/>
            <w:vAlign w:val="center"/>
          </w:tcPr>
          <w:p w14:paraId="58C72D42">
            <w:pPr>
              <w:widowControl/>
              <w:jc w:val="center"/>
              <w:rPr>
                <w:kern w:val="0"/>
                <w:szCs w:val="21"/>
              </w:rPr>
            </w:pPr>
            <w:r>
              <w:rPr>
                <w:rFonts w:hint="eastAsia"/>
                <w:kern w:val="0"/>
                <w:szCs w:val="21"/>
              </w:rPr>
              <w:t>无组织</w:t>
            </w:r>
          </w:p>
        </w:tc>
        <w:tc>
          <w:tcPr>
            <w:tcW w:w="432" w:type="pct"/>
            <w:vAlign w:val="center"/>
          </w:tcPr>
          <w:p w14:paraId="115F7528">
            <w:pPr>
              <w:widowControl/>
              <w:jc w:val="center"/>
              <w:rPr>
                <w:kern w:val="0"/>
                <w:szCs w:val="21"/>
              </w:rPr>
            </w:pPr>
            <w:r>
              <w:rPr>
                <w:rFonts w:hint="eastAsia"/>
                <w:kern w:val="0"/>
                <w:szCs w:val="21"/>
              </w:rPr>
              <w:t>TSP</w:t>
            </w:r>
          </w:p>
        </w:tc>
        <w:tc>
          <w:tcPr>
            <w:tcW w:w="376" w:type="pct"/>
            <w:vAlign w:val="center"/>
          </w:tcPr>
          <w:p w14:paraId="21F70729">
            <w:pPr>
              <w:jc w:val="center"/>
              <w:rPr>
                <w:kern w:val="0"/>
                <w:szCs w:val="21"/>
              </w:rPr>
            </w:pPr>
            <w:r>
              <w:rPr>
                <w:rFonts w:hint="eastAsia"/>
                <w:kern w:val="0"/>
                <w:szCs w:val="21"/>
              </w:rPr>
              <w:t>面源</w:t>
            </w:r>
          </w:p>
        </w:tc>
        <w:tc>
          <w:tcPr>
            <w:tcW w:w="645" w:type="pct"/>
            <w:vAlign w:val="center"/>
          </w:tcPr>
          <w:p w14:paraId="63B47E15">
            <w:pPr>
              <w:jc w:val="center"/>
              <w:rPr>
                <w:b w:val="0"/>
                <w:bCs w:val="0"/>
                <w:kern w:val="0"/>
                <w:szCs w:val="21"/>
              </w:rPr>
            </w:pPr>
            <w:r>
              <w:rPr>
                <w:rFonts w:hint="eastAsia"/>
                <w:b w:val="0"/>
                <w:bCs w:val="0"/>
                <w:szCs w:val="21"/>
                <w:lang w:val="en-US" w:eastAsia="zh-CN"/>
              </w:rPr>
              <w:t>2.0551</w:t>
            </w:r>
          </w:p>
        </w:tc>
        <w:tc>
          <w:tcPr>
            <w:tcW w:w="547" w:type="pct"/>
            <w:vAlign w:val="center"/>
          </w:tcPr>
          <w:p w14:paraId="737A109D">
            <w:pPr>
              <w:jc w:val="center"/>
              <w:rPr>
                <w:rFonts w:hint="default"/>
                <w:kern w:val="0"/>
                <w:szCs w:val="21"/>
                <w:lang w:val="en-US"/>
              </w:rPr>
            </w:pPr>
            <w:r>
              <w:rPr>
                <w:rFonts w:hint="eastAsia"/>
                <w:b w:val="0"/>
                <w:bCs w:val="0"/>
                <w:szCs w:val="21"/>
                <w:lang w:val="en-US" w:eastAsia="zh-CN"/>
              </w:rPr>
              <w:t>83</w:t>
            </w:r>
          </w:p>
        </w:tc>
        <w:tc>
          <w:tcPr>
            <w:tcW w:w="605" w:type="pct"/>
            <w:vAlign w:val="center"/>
          </w:tcPr>
          <w:p w14:paraId="20B5B632">
            <w:pPr>
              <w:jc w:val="center"/>
              <w:rPr>
                <w:kern w:val="0"/>
                <w:szCs w:val="21"/>
              </w:rPr>
            </w:pPr>
            <w:r>
              <w:rPr>
                <w:rFonts w:hint="eastAsia"/>
                <w:kern w:val="0"/>
                <w:szCs w:val="21"/>
              </w:rPr>
              <w:t>900</w:t>
            </w:r>
          </w:p>
        </w:tc>
        <w:tc>
          <w:tcPr>
            <w:tcW w:w="760" w:type="pct"/>
            <w:vAlign w:val="center"/>
          </w:tcPr>
          <w:p w14:paraId="54E5AF6F">
            <w:pPr>
              <w:jc w:val="center"/>
              <w:rPr>
                <w:rFonts w:hint="default"/>
                <w:b w:val="0"/>
                <w:bCs w:val="0"/>
                <w:kern w:val="0"/>
                <w:szCs w:val="21"/>
                <w:lang w:val="en-US"/>
              </w:rPr>
            </w:pPr>
            <w:r>
              <w:rPr>
                <w:rFonts w:hint="eastAsia"/>
                <w:b w:val="0"/>
                <w:bCs w:val="0"/>
                <w:szCs w:val="21"/>
                <w:lang w:val="en-US" w:eastAsia="zh-CN"/>
              </w:rPr>
              <w:t>0.23</w:t>
            </w:r>
          </w:p>
        </w:tc>
        <w:tc>
          <w:tcPr>
            <w:tcW w:w="718" w:type="pct"/>
            <w:vAlign w:val="center"/>
          </w:tcPr>
          <w:p w14:paraId="58697302">
            <w:pPr>
              <w:jc w:val="center"/>
              <w:rPr>
                <w:kern w:val="0"/>
                <w:szCs w:val="21"/>
              </w:rPr>
            </w:pPr>
            <w:r>
              <w:rPr>
                <w:rFonts w:hint="eastAsia"/>
                <w:kern w:val="0"/>
                <w:szCs w:val="21"/>
              </w:rPr>
              <w:t>0</w:t>
            </w:r>
          </w:p>
        </w:tc>
        <w:tc>
          <w:tcPr>
            <w:tcW w:w="426" w:type="pct"/>
            <w:vAlign w:val="center"/>
          </w:tcPr>
          <w:p w14:paraId="15346C96">
            <w:pPr>
              <w:jc w:val="center"/>
              <w:rPr>
                <w:kern w:val="0"/>
                <w:szCs w:val="21"/>
              </w:rPr>
            </w:pPr>
            <w:r>
              <w:rPr>
                <w:rFonts w:hint="eastAsia" w:ascii="宋体" w:hAnsi="宋体"/>
                <w:kern w:val="0"/>
                <w:szCs w:val="21"/>
              </w:rPr>
              <w:t>Ⅲ</w:t>
            </w:r>
          </w:p>
        </w:tc>
      </w:tr>
    </w:tbl>
    <w:p w14:paraId="1F2C1F2B">
      <w:pPr>
        <w:spacing w:line="480" w:lineRule="exact"/>
        <w:ind w:firstLine="480" w:firstLineChars="200"/>
        <w:rPr>
          <w:rFonts w:hint="eastAsia"/>
          <w:sz w:val="24"/>
        </w:rPr>
      </w:pPr>
      <w:r>
        <w:rPr>
          <w:rFonts w:hint="eastAsia"/>
          <w:sz w:val="24"/>
        </w:rPr>
        <w:t>由表8可以看出，各污染物最大浓度占标率为低于1</w:t>
      </w:r>
      <w:r>
        <w:rPr>
          <w:sz w:val="24"/>
        </w:rPr>
        <w:t>0</w:t>
      </w:r>
      <w:r>
        <w:rPr>
          <w:rFonts w:hint="eastAsia"/>
          <w:sz w:val="24"/>
        </w:rPr>
        <w:t>%，确定本项目大气环境影响评价等级为二级，不进行进一步预测与评价，只对污染物排放量进行核算。</w:t>
      </w:r>
    </w:p>
    <w:p w14:paraId="17371905">
      <w:pPr>
        <w:spacing w:line="480" w:lineRule="exact"/>
        <w:ind w:firstLine="438" w:firstLineChars="200"/>
        <w:jc w:val="center"/>
        <w:rPr>
          <w:rFonts w:hint="eastAsia"/>
          <w:sz w:val="24"/>
        </w:rPr>
      </w:pPr>
      <w:r>
        <w:rPr>
          <w:rFonts w:hint="eastAsia"/>
          <w:b/>
          <w:spacing w:val="4"/>
          <w:szCs w:val="21"/>
        </w:rPr>
        <w:t>表9</w:t>
      </w:r>
      <w:r>
        <w:rPr>
          <w:rFonts w:hint="eastAsia"/>
          <w:b/>
          <w:spacing w:val="4"/>
          <w:szCs w:val="21"/>
          <w:lang w:val="en-US" w:eastAsia="zh-CN"/>
        </w:rPr>
        <w:t xml:space="preserve">    </w:t>
      </w:r>
      <w:r>
        <w:rPr>
          <w:rFonts w:hint="eastAsia"/>
          <w:b/>
          <w:spacing w:val="4"/>
          <w:szCs w:val="21"/>
        </w:rPr>
        <w:t>大气污染物有组织排放量核算表</w:t>
      </w:r>
    </w:p>
    <w:tbl>
      <w:tblPr>
        <w:tblStyle w:val="47"/>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744"/>
        <w:gridCol w:w="1519"/>
        <w:gridCol w:w="1648"/>
        <w:gridCol w:w="1970"/>
        <w:gridCol w:w="1836"/>
      </w:tblGrid>
      <w:tr w14:paraId="72655F7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01" w:type="pct"/>
            <w:vAlign w:val="center"/>
          </w:tcPr>
          <w:p w14:paraId="3F56A60C">
            <w:pPr>
              <w:adjustRightInd w:val="0"/>
              <w:snapToGrid w:val="0"/>
              <w:jc w:val="center"/>
              <w:rPr>
                <w:sz w:val="21"/>
                <w:szCs w:val="21"/>
              </w:rPr>
            </w:pPr>
            <w:r>
              <w:rPr>
                <w:rFonts w:hint="eastAsia"/>
                <w:sz w:val="21"/>
                <w:szCs w:val="21"/>
              </w:rPr>
              <w:t>排放口编号</w:t>
            </w:r>
          </w:p>
        </w:tc>
        <w:tc>
          <w:tcPr>
            <w:tcW w:w="871" w:type="pct"/>
            <w:vAlign w:val="center"/>
          </w:tcPr>
          <w:p w14:paraId="478F93E8">
            <w:pPr>
              <w:adjustRightInd w:val="0"/>
              <w:snapToGrid w:val="0"/>
              <w:jc w:val="center"/>
              <w:rPr>
                <w:sz w:val="21"/>
                <w:szCs w:val="21"/>
              </w:rPr>
            </w:pPr>
            <w:r>
              <w:rPr>
                <w:rFonts w:hint="eastAsia"/>
                <w:sz w:val="21"/>
                <w:szCs w:val="21"/>
              </w:rPr>
              <w:t>污染物</w:t>
            </w:r>
          </w:p>
        </w:tc>
        <w:tc>
          <w:tcPr>
            <w:tcW w:w="945" w:type="pct"/>
            <w:vAlign w:val="center"/>
          </w:tcPr>
          <w:p w14:paraId="1B790111">
            <w:pPr>
              <w:adjustRightInd w:val="0"/>
              <w:snapToGrid w:val="0"/>
              <w:jc w:val="center"/>
              <w:rPr>
                <w:sz w:val="21"/>
                <w:szCs w:val="21"/>
              </w:rPr>
            </w:pPr>
            <w:r>
              <w:rPr>
                <w:rFonts w:hint="eastAsia"/>
                <w:sz w:val="21"/>
                <w:szCs w:val="21"/>
              </w:rPr>
              <w:t>核算排放浓度（</w:t>
            </w:r>
            <w:r>
              <w:rPr>
                <w:sz w:val="21"/>
                <w:szCs w:val="21"/>
              </w:rPr>
              <w:t>mg/m</w:t>
            </w:r>
            <w:r>
              <w:rPr>
                <w:sz w:val="21"/>
                <w:szCs w:val="21"/>
                <w:vertAlign w:val="superscript"/>
              </w:rPr>
              <w:t>3</w:t>
            </w:r>
            <w:r>
              <w:rPr>
                <w:rFonts w:hint="eastAsia"/>
                <w:sz w:val="21"/>
                <w:szCs w:val="21"/>
              </w:rPr>
              <w:t>）</w:t>
            </w:r>
          </w:p>
        </w:tc>
        <w:tc>
          <w:tcPr>
            <w:tcW w:w="1129" w:type="pct"/>
            <w:vAlign w:val="center"/>
          </w:tcPr>
          <w:p w14:paraId="434C8B1D">
            <w:pPr>
              <w:adjustRightInd w:val="0"/>
              <w:snapToGrid w:val="0"/>
              <w:jc w:val="center"/>
              <w:rPr>
                <w:sz w:val="21"/>
                <w:szCs w:val="21"/>
              </w:rPr>
            </w:pPr>
            <w:r>
              <w:rPr>
                <w:rFonts w:hint="eastAsia"/>
                <w:sz w:val="21"/>
                <w:szCs w:val="21"/>
              </w:rPr>
              <w:t>核算排放速率（</w:t>
            </w:r>
            <w:r>
              <w:rPr>
                <w:sz w:val="21"/>
                <w:szCs w:val="21"/>
              </w:rPr>
              <w:t>kg/h</w:t>
            </w:r>
            <w:r>
              <w:rPr>
                <w:rFonts w:hint="eastAsia"/>
                <w:sz w:val="21"/>
                <w:szCs w:val="21"/>
              </w:rPr>
              <w:t>）</w:t>
            </w:r>
          </w:p>
        </w:tc>
        <w:tc>
          <w:tcPr>
            <w:tcW w:w="1051" w:type="pct"/>
            <w:vAlign w:val="center"/>
          </w:tcPr>
          <w:p w14:paraId="72D4C9CE">
            <w:pPr>
              <w:adjustRightInd w:val="0"/>
              <w:snapToGrid w:val="0"/>
              <w:jc w:val="center"/>
              <w:rPr>
                <w:sz w:val="21"/>
                <w:szCs w:val="21"/>
              </w:rPr>
            </w:pPr>
            <w:r>
              <w:rPr>
                <w:rFonts w:hint="eastAsia"/>
                <w:sz w:val="21"/>
                <w:szCs w:val="21"/>
              </w:rPr>
              <w:t>核算年排放量（</w:t>
            </w:r>
            <w:r>
              <w:rPr>
                <w:sz w:val="21"/>
                <w:szCs w:val="21"/>
              </w:rPr>
              <w:t>t/a</w:t>
            </w:r>
            <w:r>
              <w:rPr>
                <w:rFonts w:hint="eastAsia"/>
                <w:sz w:val="21"/>
                <w:szCs w:val="21"/>
              </w:rPr>
              <w:t>）</w:t>
            </w:r>
          </w:p>
        </w:tc>
      </w:tr>
      <w:tr w14:paraId="491625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000" w:type="pct"/>
            <w:gridSpan w:val="5"/>
            <w:vAlign w:val="center"/>
          </w:tcPr>
          <w:p w14:paraId="69541B2D">
            <w:pPr>
              <w:adjustRightInd w:val="0"/>
              <w:snapToGrid w:val="0"/>
              <w:jc w:val="center"/>
              <w:rPr>
                <w:sz w:val="21"/>
                <w:szCs w:val="21"/>
              </w:rPr>
            </w:pPr>
            <w:r>
              <w:rPr>
                <w:rFonts w:hint="eastAsia"/>
                <w:sz w:val="21"/>
                <w:szCs w:val="21"/>
              </w:rPr>
              <w:t>主要排放口</w:t>
            </w:r>
          </w:p>
        </w:tc>
      </w:tr>
      <w:tr w14:paraId="35CA21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01" w:type="pct"/>
            <w:vMerge w:val="restart"/>
            <w:vAlign w:val="center"/>
          </w:tcPr>
          <w:p w14:paraId="0FF72552">
            <w:pPr>
              <w:widowControl/>
              <w:jc w:val="center"/>
              <w:rPr>
                <w:rFonts w:hint="default" w:eastAsia="宋体"/>
                <w:kern w:val="0"/>
                <w:sz w:val="21"/>
                <w:szCs w:val="21"/>
                <w:lang w:val="en-US" w:eastAsia="zh-CN"/>
              </w:rPr>
            </w:pPr>
            <w:r>
              <w:rPr>
                <w:rFonts w:hint="eastAsia"/>
                <w:kern w:val="0"/>
                <w:sz w:val="21"/>
                <w:szCs w:val="21"/>
                <w:lang w:val="en-US" w:eastAsia="zh-CN"/>
              </w:rPr>
              <w:t>DA001</w:t>
            </w:r>
          </w:p>
        </w:tc>
        <w:tc>
          <w:tcPr>
            <w:tcW w:w="871" w:type="pct"/>
            <w:vAlign w:val="center"/>
          </w:tcPr>
          <w:p w14:paraId="7AF8503A">
            <w:pPr>
              <w:adjustRightInd w:val="0"/>
              <w:snapToGrid w:val="0"/>
              <w:jc w:val="center"/>
              <w:rPr>
                <w:rFonts w:hint="default" w:eastAsia="宋体"/>
                <w:sz w:val="21"/>
                <w:szCs w:val="21"/>
                <w:lang w:val="en-US" w:eastAsia="zh-CN"/>
              </w:rPr>
            </w:pPr>
            <w:r>
              <w:rPr>
                <w:rFonts w:hint="eastAsia"/>
                <w:sz w:val="21"/>
                <w:szCs w:val="21"/>
                <w:lang w:val="en-US" w:eastAsia="zh-CN"/>
              </w:rPr>
              <w:t>PM</w:t>
            </w:r>
            <w:r>
              <w:rPr>
                <w:rFonts w:hint="eastAsia"/>
                <w:sz w:val="21"/>
                <w:szCs w:val="21"/>
                <w:vertAlign w:val="subscript"/>
                <w:lang w:val="en-US" w:eastAsia="zh-CN"/>
              </w:rPr>
              <w:t>10</w:t>
            </w:r>
          </w:p>
        </w:tc>
        <w:tc>
          <w:tcPr>
            <w:tcW w:w="945" w:type="pct"/>
            <w:vAlign w:val="center"/>
          </w:tcPr>
          <w:p w14:paraId="157D2AF4">
            <w:pPr>
              <w:jc w:val="center"/>
              <w:rPr>
                <w:rFonts w:hAnsi="宋体"/>
                <w:snapToGrid w:val="0"/>
                <w:sz w:val="21"/>
                <w:szCs w:val="21"/>
              </w:rPr>
            </w:pPr>
            <w:r>
              <w:rPr>
                <w:rFonts w:hint="eastAsia"/>
                <w:color w:val="auto"/>
                <w:sz w:val="21"/>
                <w:szCs w:val="21"/>
                <w:lang w:val="en-US" w:eastAsia="zh-CN"/>
              </w:rPr>
              <w:t>15.0</w:t>
            </w:r>
          </w:p>
        </w:tc>
        <w:tc>
          <w:tcPr>
            <w:tcW w:w="1129" w:type="pct"/>
            <w:vAlign w:val="center"/>
          </w:tcPr>
          <w:p w14:paraId="42F69621">
            <w:pPr>
              <w:jc w:val="center"/>
              <w:rPr>
                <w:rFonts w:hAnsi="宋体"/>
                <w:snapToGrid w:val="0"/>
                <w:sz w:val="21"/>
                <w:szCs w:val="21"/>
              </w:rPr>
            </w:pPr>
            <w:r>
              <w:rPr>
                <w:rFonts w:hint="eastAsia"/>
                <w:color w:val="auto"/>
                <w:sz w:val="21"/>
                <w:szCs w:val="21"/>
                <w:lang w:val="en-US" w:eastAsia="zh-CN"/>
              </w:rPr>
              <w:t>1.65</w:t>
            </w:r>
          </w:p>
        </w:tc>
        <w:tc>
          <w:tcPr>
            <w:tcW w:w="1051" w:type="pct"/>
            <w:vAlign w:val="center"/>
          </w:tcPr>
          <w:p w14:paraId="7E184147">
            <w:pPr>
              <w:jc w:val="center"/>
              <w:rPr>
                <w:rFonts w:hAnsi="宋体"/>
                <w:snapToGrid w:val="0"/>
                <w:sz w:val="21"/>
                <w:szCs w:val="21"/>
              </w:rPr>
            </w:pPr>
            <w:r>
              <w:rPr>
                <w:rFonts w:hint="eastAsia"/>
                <w:color w:val="auto"/>
                <w:sz w:val="21"/>
                <w:szCs w:val="21"/>
                <w:lang w:val="en-US" w:eastAsia="zh-CN"/>
              </w:rPr>
              <w:t>1.98</w:t>
            </w:r>
          </w:p>
        </w:tc>
      </w:tr>
      <w:tr w14:paraId="039E5F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01" w:type="pct"/>
            <w:vMerge w:val="continue"/>
            <w:vAlign w:val="center"/>
          </w:tcPr>
          <w:p w14:paraId="31586185">
            <w:pPr>
              <w:adjustRightInd w:val="0"/>
              <w:snapToGrid w:val="0"/>
              <w:jc w:val="center"/>
              <w:rPr>
                <w:sz w:val="21"/>
                <w:szCs w:val="21"/>
              </w:rPr>
            </w:pPr>
          </w:p>
        </w:tc>
        <w:tc>
          <w:tcPr>
            <w:tcW w:w="871" w:type="pct"/>
            <w:vAlign w:val="center"/>
          </w:tcPr>
          <w:p w14:paraId="25A1DF4E">
            <w:pPr>
              <w:widowControl/>
              <w:jc w:val="center"/>
              <w:rPr>
                <w:kern w:val="0"/>
                <w:sz w:val="21"/>
                <w:szCs w:val="21"/>
              </w:rPr>
            </w:pPr>
            <w:r>
              <w:rPr>
                <w:rFonts w:hint="eastAsia"/>
                <w:kern w:val="0"/>
                <w:sz w:val="21"/>
                <w:szCs w:val="21"/>
              </w:rPr>
              <w:t>SO</w:t>
            </w:r>
            <w:r>
              <w:rPr>
                <w:rFonts w:hint="eastAsia"/>
                <w:kern w:val="0"/>
                <w:sz w:val="21"/>
                <w:szCs w:val="21"/>
                <w:vertAlign w:val="subscript"/>
              </w:rPr>
              <w:t>2</w:t>
            </w:r>
          </w:p>
        </w:tc>
        <w:tc>
          <w:tcPr>
            <w:tcW w:w="945" w:type="pct"/>
            <w:vAlign w:val="center"/>
          </w:tcPr>
          <w:p w14:paraId="032389C7">
            <w:pPr>
              <w:jc w:val="center"/>
              <w:rPr>
                <w:rFonts w:hAnsi="宋体"/>
                <w:snapToGrid w:val="0"/>
                <w:sz w:val="21"/>
                <w:szCs w:val="21"/>
              </w:rPr>
            </w:pPr>
            <w:r>
              <w:rPr>
                <w:rFonts w:hint="eastAsia"/>
                <w:color w:val="auto"/>
                <w:sz w:val="21"/>
                <w:szCs w:val="21"/>
                <w:lang w:val="en-US" w:eastAsia="zh-CN"/>
              </w:rPr>
              <w:t>0.03</w:t>
            </w:r>
          </w:p>
        </w:tc>
        <w:tc>
          <w:tcPr>
            <w:tcW w:w="1129" w:type="pct"/>
            <w:vAlign w:val="center"/>
          </w:tcPr>
          <w:p w14:paraId="5784497D">
            <w:pPr>
              <w:jc w:val="center"/>
              <w:rPr>
                <w:rFonts w:hAnsi="宋体"/>
                <w:snapToGrid w:val="0"/>
                <w:sz w:val="21"/>
                <w:szCs w:val="21"/>
              </w:rPr>
            </w:pPr>
            <w:r>
              <w:rPr>
                <w:rFonts w:hint="eastAsia"/>
                <w:color w:val="auto"/>
                <w:sz w:val="21"/>
                <w:szCs w:val="21"/>
                <w:lang w:val="en-US" w:eastAsia="zh-CN"/>
              </w:rPr>
              <w:t>0.003</w:t>
            </w:r>
          </w:p>
        </w:tc>
        <w:tc>
          <w:tcPr>
            <w:tcW w:w="1051" w:type="pct"/>
            <w:vAlign w:val="center"/>
          </w:tcPr>
          <w:p w14:paraId="6D4EA5B3">
            <w:pPr>
              <w:jc w:val="center"/>
              <w:rPr>
                <w:rFonts w:hAnsi="宋体"/>
                <w:snapToGrid w:val="0"/>
                <w:sz w:val="21"/>
                <w:szCs w:val="21"/>
              </w:rPr>
            </w:pPr>
            <w:r>
              <w:rPr>
                <w:rFonts w:hint="eastAsia"/>
                <w:color w:val="auto"/>
                <w:sz w:val="21"/>
                <w:szCs w:val="21"/>
                <w:lang w:val="en-US" w:eastAsia="zh-CN"/>
              </w:rPr>
              <w:t>0.0035</w:t>
            </w:r>
          </w:p>
        </w:tc>
      </w:tr>
      <w:tr w14:paraId="4E55DA1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01" w:type="pct"/>
            <w:vMerge w:val="continue"/>
            <w:vAlign w:val="center"/>
          </w:tcPr>
          <w:p w14:paraId="7D895F90">
            <w:pPr>
              <w:adjustRightInd w:val="0"/>
              <w:snapToGrid w:val="0"/>
              <w:jc w:val="center"/>
              <w:rPr>
                <w:sz w:val="21"/>
                <w:szCs w:val="21"/>
              </w:rPr>
            </w:pPr>
          </w:p>
        </w:tc>
        <w:tc>
          <w:tcPr>
            <w:tcW w:w="871" w:type="pct"/>
            <w:vAlign w:val="center"/>
          </w:tcPr>
          <w:p w14:paraId="4F4BBD7C">
            <w:pPr>
              <w:widowControl/>
              <w:jc w:val="center"/>
              <w:rPr>
                <w:kern w:val="0"/>
                <w:sz w:val="21"/>
                <w:szCs w:val="21"/>
              </w:rPr>
            </w:pPr>
            <w:r>
              <w:rPr>
                <w:rFonts w:hint="eastAsia"/>
                <w:kern w:val="0"/>
                <w:sz w:val="21"/>
                <w:szCs w:val="21"/>
              </w:rPr>
              <w:t>NO</w:t>
            </w:r>
            <w:r>
              <w:rPr>
                <w:rFonts w:hint="eastAsia"/>
                <w:kern w:val="0"/>
                <w:sz w:val="21"/>
                <w:szCs w:val="21"/>
                <w:vertAlign w:val="subscript"/>
              </w:rPr>
              <w:t>x</w:t>
            </w:r>
          </w:p>
        </w:tc>
        <w:tc>
          <w:tcPr>
            <w:tcW w:w="945" w:type="pct"/>
            <w:vAlign w:val="center"/>
          </w:tcPr>
          <w:p w14:paraId="347D7236">
            <w:pPr>
              <w:jc w:val="center"/>
              <w:rPr>
                <w:rFonts w:hAnsi="宋体"/>
                <w:snapToGrid w:val="0"/>
                <w:sz w:val="21"/>
                <w:szCs w:val="21"/>
              </w:rPr>
            </w:pPr>
            <w:r>
              <w:rPr>
                <w:rFonts w:hint="eastAsia"/>
                <w:color w:val="auto"/>
                <w:sz w:val="21"/>
                <w:szCs w:val="21"/>
                <w:lang w:val="en-US" w:eastAsia="zh-CN"/>
              </w:rPr>
              <w:t>3.83</w:t>
            </w:r>
          </w:p>
        </w:tc>
        <w:tc>
          <w:tcPr>
            <w:tcW w:w="1129" w:type="pct"/>
            <w:vAlign w:val="center"/>
          </w:tcPr>
          <w:p w14:paraId="47304595">
            <w:pPr>
              <w:jc w:val="center"/>
              <w:rPr>
                <w:rFonts w:hAnsi="宋体"/>
                <w:snapToGrid w:val="0"/>
                <w:sz w:val="21"/>
                <w:szCs w:val="21"/>
              </w:rPr>
            </w:pPr>
            <w:r>
              <w:rPr>
                <w:rFonts w:hint="eastAsia"/>
                <w:color w:val="auto"/>
                <w:sz w:val="21"/>
                <w:szCs w:val="21"/>
                <w:lang w:val="en-US" w:eastAsia="zh-CN"/>
              </w:rPr>
              <w:t>0.460</w:t>
            </w:r>
          </w:p>
        </w:tc>
        <w:tc>
          <w:tcPr>
            <w:tcW w:w="1051" w:type="pct"/>
            <w:vAlign w:val="center"/>
          </w:tcPr>
          <w:p w14:paraId="7DDFB8B8">
            <w:pPr>
              <w:jc w:val="center"/>
              <w:rPr>
                <w:rFonts w:hAnsi="宋体"/>
                <w:snapToGrid w:val="0"/>
                <w:sz w:val="21"/>
                <w:szCs w:val="21"/>
              </w:rPr>
            </w:pPr>
            <w:r>
              <w:rPr>
                <w:rFonts w:hint="eastAsia"/>
                <w:color w:val="auto"/>
                <w:sz w:val="21"/>
                <w:szCs w:val="21"/>
                <w:lang w:val="en-US" w:eastAsia="zh-CN"/>
              </w:rPr>
              <w:t>0.5515</w:t>
            </w:r>
          </w:p>
        </w:tc>
      </w:tr>
      <w:tr w14:paraId="1E1A599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01" w:type="pct"/>
            <w:vMerge w:val="restart"/>
            <w:vAlign w:val="center"/>
          </w:tcPr>
          <w:p w14:paraId="7A436089">
            <w:pPr>
              <w:widowControl/>
              <w:jc w:val="center"/>
              <w:rPr>
                <w:rFonts w:hint="default"/>
                <w:kern w:val="0"/>
                <w:sz w:val="21"/>
                <w:szCs w:val="21"/>
                <w:lang w:val="en-US"/>
              </w:rPr>
            </w:pPr>
            <w:r>
              <w:rPr>
                <w:rFonts w:hint="eastAsia"/>
                <w:kern w:val="0"/>
                <w:sz w:val="21"/>
                <w:szCs w:val="21"/>
                <w:lang w:val="en-US" w:eastAsia="zh-CN"/>
              </w:rPr>
              <w:t>DA002</w:t>
            </w:r>
          </w:p>
        </w:tc>
        <w:tc>
          <w:tcPr>
            <w:tcW w:w="871" w:type="pct"/>
            <w:vAlign w:val="center"/>
          </w:tcPr>
          <w:p w14:paraId="0B8433D0">
            <w:pPr>
              <w:adjustRightInd w:val="0"/>
              <w:snapToGrid w:val="0"/>
              <w:jc w:val="center"/>
              <w:rPr>
                <w:sz w:val="21"/>
                <w:szCs w:val="21"/>
              </w:rPr>
            </w:pPr>
            <w:r>
              <w:rPr>
                <w:rFonts w:hint="eastAsia"/>
                <w:sz w:val="21"/>
                <w:szCs w:val="21"/>
                <w:lang w:val="en-US" w:eastAsia="zh-CN"/>
              </w:rPr>
              <w:t>PM</w:t>
            </w:r>
            <w:r>
              <w:rPr>
                <w:rFonts w:hint="eastAsia"/>
                <w:sz w:val="21"/>
                <w:szCs w:val="21"/>
                <w:vertAlign w:val="subscript"/>
                <w:lang w:val="en-US" w:eastAsia="zh-CN"/>
              </w:rPr>
              <w:t>10</w:t>
            </w:r>
          </w:p>
        </w:tc>
        <w:tc>
          <w:tcPr>
            <w:tcW w:w="945" w:type="pct"/>
            <w:vAlign w:val="center"/>
          </w:tcPr>
          <w:p w14:paraId="47B0245B">
            <w:pPr>
              <w:jc w:val="center"/>
              <w:rPr>
                <w:rFonts w:hAnsi="宋体"/>
                <w:snapToGrid w:val="0"/>
                <w:sz w:val="21"/>
                <w:szCs w:val="21"/>
              </w:rPr>
            </w:pPr>
            <w:r>
              <w:rPr>
                <w:rFonts w:hint="eastAsia"/>
                <w:color w:val="auto"/>
                <w:sz w:val="21"/>
                <w:szCs w:val="21"/>
                <w:lang w:val="en-US" w:eastAsia="zh-CN"/>
              </w:rPr>
              <w:t>10.0</w:t>
            </w:r>
          </w:p>
        </w:tc>
        <w:tc>
          <w:tcPr>
            <w:tcW w:w="1129" w:type="pct"/>
            <w:vAlign w:val="center"/>
          </w:tcPr>
          <w:p w14:paraId="06BA62B9">
            <w:pPr>
              <w:jc w:val="center"/>
              <w:rPr>
                <w:rFonts w:hAnsi="宋体"/>
                <w:snapToGrid w:val="0"/>
                <w:sz w:val="21"/>
                <w:szCs w:val="21"/>
              </w:rPr>
            </w:pPr>
            <w:r>
              <w:rPr>
                <w:rFonts w:hint="eastAsia"/>
                <w:color w:val="auto"/>
                <w:sz w:val="21"/>
                <w:szCs w:val="21"/>
                <w:lang w:val="en-US" w:eastAsia="zh-CN"/>
              </w:rPr>
              <w:t>0.009</w:t>
            </w:r>
          </w:p>
        </w:tc>
        <w:tc>
          <w:tcPr>
            <w:tcW w:w="1051" w:type="pct"/>
            <w:vAlign w:val="center"/>
          </w:tcPr>
          <w:p w14:paraId="69FC7BBE">
            <w:pPr>
              <w:jc w:val="center"/>
              <w:rPr>
                <w:rFonts w:hAnsi="宋体"/>
                <w:snapToGrid w:val="0"/>
                <w:sz w:val="21"/>
                <w:szCs w:val="21"/>
              </w:rPr>
            </w:pPr>
            <w:r>
              <w:rPr>
                <w:rFonts w:hint="eastAsia"/>
                <w:color w:val="auto"/>
                <w:sz w:val="21"/>
                <w:szCs w:val="21"/>
                <w:lang w:val="en-US" w:eastAsia="zh-CN"/>
              </w:rPr>
              <w:t>0.0103</w:t>
            </w:r>
          </w:p>
        </w:tc>
      </w:tr>
      <w:tr w14:paraId="5D0C13C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01" w:type="pct"/>
            <w:vMerge w:val="continue"/>
            <w:vAlign w:val="center"/>
          </w:tcPr>
          <w:p w14:paraId="28304872">
            <w:pPr>
              <w:adjustRightInd w:val="0"/>
              <w:snapToGrid w:val="0"/>
              <w:jc w:val="center"/>
              <w:rPr>
                <w:sz w:val="21"/>
                <w:szCs w:val="21"/>
              </w:rPr>
            </w:pPr>
          </w:p>
        </w:tc>
        <w:tc>
          <w:tcPr>
            <w:tcW w:w="871" w:type="pct"/>
            <w:vAlign w:val="center"/>
          </w:tcPr>
          <w:p w14:paraId="5112F1F5">
            <w:pPr>
              <w:widowControl/>
              <w:jc w:val="center"/>
              <w:rPr>
                <w:kern w:val="0"/>
                <w:sz w:val="21"/>
                <w:szCs w:val="21"/>
              </w:rPr>
            </w:pPr>
            <w:r>
              <w:rPr>
                <w:rFonts w:hint="eastAsia"/>
                <w:kern w:val="0"/>
                <w:sz w:val="21"/>
                <w:szCs w:val="21"/>
              </w:rPr>
              <w:t>SO</w:t>
            </w:r>
            <w:r>
              <w:rPr>
                <w:rFonts w:hint="eastAsia"/>
                <w:kern w:val="0"/>
                <w:sz w:val="21"/>
                <w:szCs w:val="21"/>
                <w:vertAlign w:val="subscript"/>
              </w:rPr>
              <w:t>2</w:t>
            </w:r>
          </w:p>
        </w:tc>
        <w:tc>
          <w:tcPr>
            <w:tcW w:w="945" w:type="pct"/>
            <w:vAlign w:val="center"/>
          </w:tcPr>
          <w:p w14:paraId="2905084F">
            <w:pPr>
              <w:jc w:val="center"/>
              <w:rPr>
                <w:rFonts w:hAnsi="宋体"/>
                <w:snapToGrid w:val="0"/>
                <w:sz w:val="21"/>
                <w:szCs w:val="21"/>
              </w:rPr>
            </w:pPr>
            <w:r>
              <w:rPr>
                <w:rFonts w:hint="eastAsia"/>
                <w:color w:val="auto"/>
                <w:sz w:val="21"/>
                <w:szCs w:val="21"/>
                <w:lang w:val="en-US" w:eastAsia="zh-CN"/>
              </w:rPr>
              <w:t>1.07</w:t>
            </w:r>
          </w:p>
        </w:tc>
        <w:tc>
          <w:tcPr>
            <w:tcW w:w="1129" w:type="pct"/>
            <w:vAlign w:val="center"/>
          </w:tcPr>
          <w:p w14:paraId="27EA8A13">
            <w:pPr>
              <w:jc w:val="center"/>
              <w:rPr>
                <w:rFonts w:hAnsi="宋体"/>
                <w:snapToGrid w:val="0"/>
                <w:sz w:val="21"/>
                <w:szCs w:val="21"/>
              </w:rPr>
            </w:pPr>
            <w:r>
              <w:rPr>
                <w:rFonts w:hint="eastAsia"/>
                <w:color w:val="auto"/>
                <w:sz w:val="21"/>
                <w:szCs w:val="21"/>
                <w:lang w:val="en-US" w:eastAsia="zh-CN"/>
              </w:rPr>
              <w:t>0.001</w:t>
            </w:r>
          </w:p>
        </w:tc>
        <w:tc>
          <w:tcPr>
            <w:tcW w:w="1051" w:type="pct"/>
            <w:vAlign w:val="center"/>
          </w:tcPr>
          <w:p w14:paraId="0D42EA32">
            <w:pPr>
              <w:jc w:val="center"/>
              <w:rPr>
                <w:rFonts w:hAnsi="宋体"/>
                <w:snapToGrid w:val="0"/>
                <w:sz w:val="21"/>
                <w:szCs w:val="21"/>
              </w:rPr>
            </w:pPr>
            <w:r>
              <w:rPr>
                <w:rFonts w:hint="eastAsia"/>
                <w:color w:val="auto"/>
                <w:sz w:val="21"/>
                <w:szCs w:val="21"/>
                <w:lang w:val="en-US" w:eastAsia="zh-CN"/>
              </w:rPr>
              <w:t>0.0011</w:t>
            </w:r>
          </w:p>
        </w:tc>
      </w:tr>
      <w:tr w14:paraId="4312DCD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01" w:type="pct"/>
            <w:vMerge w:val="continue"/>
            <w:vAlign w:val="center"/>
          </w:tcPr>
          <w:p w14:paraId="58298D82">
            <w:pPr>
              <w:adjustRightInd w:val="0"/>
              <w:snapToGrid w:val="0"/>
              <w:jc w:val="center"/>
              <w:rPr>
                <w:sz w:val="21"/>
                <w:szCs w:val="21"/>
              </w:rPr>
            </w:pPr>
          </w:p>
        </w:tc>
        <w:tc>
          <w:tcPr>
            <w:tcW w:w="871" w:type="pct"/>
            <w:vAlign w:val="center"/>
          </w:tcPr>
          <w:p w14:paraId="20800308">
            <w:pPr>
              <w:widowControl/>
              <w:jc w:val="center"/>
              <w:rPr>
                <w:kern w:val="0"/>
                <w:sz w:val="21"/>
                <w:szCs w:val="21"/>
              </w:rPr>
            </w:pPr>
            <w:r>
              <w:rPr>
                <w:rFonts w:hint="eastAsia"/>
                <w:kern w:val="0"/>
                <w:sz w:val="21"/>
                <w:szCs w:val="21"/>
              </w:rPr>
              <w:t>NO</w:t>
            </w:r>
            <w:r>
              <w:rPr>
                <w:rFonts w:hint="eastAsia"/>
                <w:kern w:val="0"/>
                <w:sz w:val="21"/>
                <w:szCs w:val="21"/>
                <w:vertAlign w:val="subscript"/>
              </w:rPr>
              <w:t>x</w:t>
            </w:r>
          </w:p>
        </w:tc>
        <w:tc>
          <w:tcPr>
            <w:tcW w:w="945" w:type="pct"/>
            <w:vAlign w:val="center"/>
          </w:tcPr>
          <w:p w14:paraId="26FB85C0">
            <w:pPr>
              <w:jc w:val="center"/>
              <w:rPr>
                <w:rFonts w:hAnsi="宋体"/>
                <w:snapToGrid w:val="0"/>
                <w:sz w:val="21"/>
                <w:szCs w:val="21"/>
              </w:rPr>
            </w:pPr>
            <w:r>
              <w:rPr>
                <w:rFonts w:hint="eastAsia"/>
                <w:color w:val="auto"/>
                <w:sz w:val="21"/>
                <w:szCs w:val="21"/>
                <w:lang w:val="en-US" w:eastAsia="zh-CN"/>
              </w:rPr>
              <w:t>85.09</w:t>
            </w:r>
          </w:p>
        </w:tc>
        <w:tc>
          <w:tcPr>
            <w:tcW w:w="1129" w:type="pct"/>
            <w:vAlign w:val="center"/>
          </w:tcPr>
          <w:p w14:paraId="6A56083A">
            <w:pPr>
              <w:jc w:val="center"/>
              <w:rPr>
                <w:rFonts w:hAnsi="宋体"/>
                <w:snapToGrid w:val="0"/>
                <w:sz w:val="21"/>
                <w:szCs w:val="21"/>
              </w:rPr>
            </w:pPr>
            <w:r>
              <w:rPr>
                <w:rFonts w:hint="eastAsia"/>
                <w:color w:val="auto"/>
                <w:sz w:val="21"/>
                <w:szCs w:val="21"/>
                <w:lang w:val="en-US" w:eastAsia="zh-CN"/>
              </w:rPr>
              <w:t>0.073</w:t>
            </w:r>
          </w:p>
        </w:tc>
        <w:tc>
          <w:tcPr>
            <w:tcW w:w="1051" w:type="pct"/>
            <w:vAlign w:val="center"/>
          </w:tcPr>
          <w:p w14:paraId="55D2AAC4">
            <w:pPr>
              <w:jc w:val="center"/>
              <w:rPr>
                <w:rFonts w:hAnsi="宋体"/>
                <w:snapToGrid w:val="0"/>
                <w:sz w:val="21"/>
                <w:szCs w:val="21"/>
              </w:rPr>
            </w:pPr>
            <w:r>
              <w:rPr>
                <w:rFonts w:hint="eastAsia"/>
                <w:color w:val="auto"/>
                <w:sz w:val="21"/>
                <w:szCs w:val="21"/>
                <w:lang w:val="en-US" w:eastAsia="zh-CN"/>
              </w:rPr>
              <w:t>0.0873</w:t>
            </w:r>
          </w:p>
        </w:tc>
      </w:tr>
      <w:tr w14:paraId="3BA157E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01" w:type="pct"/>
            <w:vMerge w:val="restart"/>
            <w:vAlign w:val="center"/>
          </w:tcPr>
          <w:p w14:paraId="674E4F02">
            <w:pPr>
              <w:adjustRightInd w:val="0"/>
              <w:snapToGrid w:val="0"/>
              <w:jc w:val="center"/>
              <w:rPr>
                <w:rFonts w:hint="default"/>
                <w:sz w:val="21"/>
                <w:szCs w:val="21"/>
                <w:lang w:val="en-US"/>
              </w:rPr>
            </w:pPr>
            <w:r>
              <w:rPr>
                <w:rFonts w:hint="eastAsia"/>
                <w:kern w:val="0"/>
                <w:sz w:val="21"/>
                <w:szCs w:val="21"/>
                <w:lang w:val="en-US" w:eastAsia="zh-CN"/>
              </w:rPr>
              <w:t>DA003</w:t>
            </w:r>
          </w:p>
        </w:tc>
        <w:tc>
          <w:tcPr>
            <w:tcW w:w="871" w:type="pct"/>
            <w:vAlign w:val="center"/>
          </w:tcPr>
          <w:p w14:paraId="6A323667">
            <w:pPr>
              <w:widowControl/>
              <w:jc w:val="center"/>
              <w:rPr>
                <w:kern w:val="0"/>
                <w:sz w:val="21"/>
                <w:szCs w:val="21"/>
              </w:rPr>
            </w:pPr>
            <w:r>
              <w:rPr>
                <w:rFonts w:hint="eastAsia"/>
                <w:kern w:val="0"/>
                <w:sz w:val="21"/>
                <w:szCs w:val="21"/>
              </w:rPr>
              <w:t>沥青烟</w:t>
            </w:r>
          </w:p>
        </w:tc>
        <w:tc>
          <w:tcPr>
            <w:tcW w:w="945" w:type="pct"/>
            <w:vAlign w:val="center"/>
          </w:tcPr>
          <w:p w14:paraId="6DF40F25">
            <w:pPr>
              <w:jc w:val="center"/>
              <w:rPr>
                <w:rFonts w:hAnsi="宋体"/>
                <w:snapToGrid w:val="0"/>
                <w:sz w:val="21"/>
                <w:szCs w:val="21"/>
              </w:rPr>
            </w:pPr>
            <w:r>
              <w:rPr>
                <w:rFonts w:hint="eastAsia"/>
                <w:color w:val="auto"/>
                <w:sz w:val="21"/>
                <w:szCs w:val="21"/>
                <w:lang w:val="en-US" w:eastAsia="zh-CN"/>
              </w:rPr>
              <w:t>0.89</w:t>
            </w:r>
          </w:p>
        </w:tc>
        <w:tc>
          <w:tcPr>
            <w:tcW w:w="1129" w:type="pct"/>
            <w:vAlign w:val="center"/>
          </w:tcPr>
          <w:p w14:paraId="3E6EC055">
            <w:pPr>
              <w:jc w:val="center"/>
              <w:rPr>
                <w:rFonts w:hAnsi="宋体"/>
                <w:snapToGrid w:val="0"/>
                <w:sz w:val="21"/>
                <w:szCs w:val="21"/>
              </w:rPr>
            </w:pPr>
            <w:r>
              <w:rPr>
                <w:rFonts w:hint="eastAsia"/>
                <w:color w:val="auto"/>
                <w:sz w:val="21"/>
                <w:szCs w:val="21"/>
                <w:lang w:val="en-US" w:eastAsia="zh-CN"/>
              </w:rPr>
              <w:t>0.009</w:t>
            </w:r>
          </w:p>
        </w:tc>
        <w:tc>
          <w:tcPr>
            <w:tcW w:w="1051" w:type="pct"/>
            <w:vAlign w:val="center"/>
          </w:tcPr>
          <w:p w14:paraId="2339353D">
            <w:pPr>
              <w:jc w:val="center"/>
              <w:rPr>
                <w:rFonts w:hAnsi="宋体"/>
                <w:snapToGrid w:val="0"/>
                <w:sz w:val="21"/>
                <w:szCs w:val="21"/>
              </w:rPr>
            </w:pPr>
            <w:r>
              <w:rPr>
                <w:rFonts w:hint="eastAsia"/>
                <w:color w:val="auto"/>
                <w:sz w:val="21"/>
                <w:szCs w:val="21"/>
                <w:lang w:val="en-US" w:eastAsia="zh-CN"/>
              </w:rPr>
              <w:t>0.011</w:t>
            </w:r>
          </w:p>
        </w:tc>
      </w:tr>
      <w:tr w14:paraId="2B520FC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01" w:type="pct"/>
            <w:vMerge w:val="continue"/>
            <w:vAlign w:val="center"/>
          </w:tcPr>
          <w:p w14:paraId="6CC314DF">
            <w:pPr>
              <w:adjustRightInd w:val="0"/>
              <w:snapToGrid w:val="0"/>
              <w:jc w:val="center"/>
              <w:rPr>
                <w:rFonts w:hint="eastAsia"/>
                <w:kern w:val="0"/>
                <w:sz w:val="21"/>
                <w:szCs w:val="21"/>
                <w:lang w:val="en-US" w:eastAsia="zh-CN"/>
              </w:rPr>
            </w:pPr>
          </w:p>
        </w:tc>
        <w:tc>
          <w:tcPr>
            <w:tcW w:w="871" w:type="pct"/>
            <w:vAlign w:val="center"/>
          </w:tcPr>
          <w:p w14:paraId="5BAD900F">
            <w:pPr>
              <w:widowControl/>
              <w:jc w:val="center"/>
              <w:rPr>
                <w:rFonts w:hint="eastAsia"/>
                <w:kern w:val="0"/>
                <w:sz w:val="21"/>
                <w:szCs w:val="21"/>
              </w:rPr>
            </w:pPr>
            <w:r>
              <w:rPr>
                <w:rFonts w:hint="eastAsia"/>
                <w:kern w:val="0"/>
                <w:sz w:val="21"/>
                <w:szCs w:val="21"/>
              </w:rPr>
              <w:t>B[a]P</w:t>
            </w:r>
          </w:p>
        </w:tc>
        <w:tc>
          <w:tcPr>
            <w:tcW w:w="945" w:type="pct"/>
            <w:vAlign w:val="center"/>
          </w:tcPr>
          <w:p w14:paraId="79232108">
            <w:pPr>
              <w:jc w:val="center"/>
              <w:rPr>
                <w:rFonts w:hAnsi="宋体"/>
                <w:snapToGrid w:val="0"/>
                <w:sz w:val="21"/>
                <w:szCs w:val="21"/>
              </w:rPr>
            </w:pPr>
            <w:r>
              <w:rPr>
                <w:rFonts w:hint="eastAsia"/>
                <w:color w:val="auto"/>
                <w:sz w:val="21"/>
                <w:szCs w:val="21"/>
                <w:lang w:val="en-US" w:eastAsia="zh-CN"/>
              </w:rPr>
              <w:t>0.002</w:t>
            </w:r>
          </w:p>
        </w:tc>
        <w:tc>
          <w:tcPr>
            <w:tcW w:w="1129" w:type="pct"/>
            <w:vAlign w:val="center"/>
          </w:tcPr>
          <w:p w14:paraId="03BF101A">
            <w:pPr>
              <w:jc w:val="center"/>
              <w:rPr>
                <w:rFonts w:hAnsi="宋体"/>
                <w:snapToGrid w:val="0"/>
                <w:sz w:val="21"/>
                <w:szCs w:val="21"/>
              </w:rPr>
            </w:pPr>
            <w:r>
              <w:rPr>
                <w:rFonts w:hint="eastAsia"/>
                <w:color w:val="auto"/>
                <w:sz w:val="21"/>
                <w:szCs w:val="21"/>
                <w:lang w:val="en-US" w:eastAsia="zh-CN"/>
              </w:rPr>
              <w:t>0.00002</w:t>
            </w:r>
          </w:p>
        </w:tc>
        <w:tc>
          <w:tcPr>
            <w:tcW w:w="1051" w:type="pct"/>
            <w:vAlign w:val="center"/>
          </w:tcPr>
          <w:p w14:paraId="4B73B41E">
            <w:pPr>
              <w:jc w:val="center"/>
              <w:rPr>
                <w:rFonts w:hAnsi="宋体"/>
                <w:snapToGrid w:val="0"/>
                <w:sz w:val="21"/>
                <w:szCs w:val="21"/>
              </w:rPr>
            </w:pPr>
            <w:r>
              <w:rPr>
                <w:rFonts w:hint="eastAsia"/>
                <w:color w:val="auto"/>
                <w:sz w:val="21"/>
                <w:szCs w:val="21"/>
                <w:lang w:val="en-US" w:eastAsia="zh-CN"/>
              </w:rPr>
              <w:t>0.00003</w:t>
            </w:r>
          </w:p>
        </w:tc>
      </w:tr>
      <w:tr w14:paraId="4261CF7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01" w:type="pct"/>
            <w:vMerge w:val="continue"/>
            <w:vAlign w:val="center"/>
          </w:tcPr>
          <w:p w14:paraId="71F0A5CB">
            <w:pPr>
              <w:adjustRightInd w:val="0"/>
              <w:snapToGrid w:val="0"/>
              <w:jc w:val="center"/>
              <w:rPr>
                <w:kern w:val="0"/>
                <w:sz w:val="21"/>
                <w:szCs w:val="21"/>
              </w:rPr>
            </w:pPr>
          </w:p>
          <w:p w14:paraId="235D1E77">
            <w:pPr>
              <w:adjustRightInd w:val="0"/>
              <w:snapToGrid w:val="0"/>
              <w:jc w:val="center"/>
              <w:rPr>
                <w:kern w:val="0"/>
                <w:sz w:val="21"/>
                <w:szCs w:val="21"/>
              </w:rPr>
            </w:pPr>
          </w:p>
        </w:tc>
        <w:tc>
          <w:tcPr>
            <w:tcW w:w="871" w:type="pct"/>
            <w:vAlign w:val="center"/>
          </w:tcPr>
          <w:p w14:paraId="7030BC23">
            <w:pPr>
              <w:widowControl/>
              <w:jc w:val="center"/>
              <w:rPr>
                <w:rFonts w:hint="default" w:eastAsia="宋体"/>
                <w:kern w:val="0"/>
                <w:sz w:val="21"/>
                <w:szCs w:val="21"/>
                <w:lang w:val="en-US" w:eastAsia="zh-CN"/>
              </w:rPr>
            </w:pPr>
            <w:r>
              <w:rPr>
                <w:rFonts w:hint="eastAsia"/>
                <w:kern w:val="0"/>
                <w:sz w:val="21"/>
                <w:szCs w:val="21"/>
                <w:lang w:val="en-US" w:eastAsia="zh-CN"/>
              </w:rPr>
              <w:t>NMHC</w:t>
            </w:r>
          </w:p>
        </w:tc>
        <w:tc>
          <w:tcPr>
            <w:tcW w:w="945" w:type="pct"/>
            <w:vAlign w:val="center"/>
          </w:tcPr>
          <w:p w14:paraId="53F501BB">
            <w:pPr>
              <w:jc w:val="center"/>
              <w:rPr>
                <w:rFonts w:hAnsi="宋体"/>
                <w:snapToGrid w:val="0"/>
                <w:sz w:val="21"/>
                <w:szCs w:val="21"/>
              </w:rPr>
            </w:pPr>
            <w:r>
              <w:rPr>
                <w:rFonts w:hint="eastAsia"/>
                <w:color w:val="auto"/>
                <w:sz w:val="21"/>
                <w:szCs w:val="21"/>
                <w:lang w:val="en-US" w:eastAsia="zh-CN"/>
              </w:rPr>
              <w:t>0.57</w:t>
            </w:r>
          </w:p>
        </w:tc>
        <w:tc>
          <w:tcPr>
            <w:tcW w:w="1129" w:type="pct"/>
            <w:vAlign w:val="center"/>
          </w:tcPr>
          <w:p w14:paraId="38AA8284">
            <w:pPr>
              <w:jc w:val="center"/>
              <w:rPr>
                <w:rFonts w:hAnsi="宋体"/>
                <w:snapToGrid w:val="0"/>
                <w:sz w:val="21"/>
                <w:szCs w:val="21"/>
              </w:rPr>
            </w:pPr>
            <w:r>
              <w:rPr>
                <w:rFonts w:hint="eastAsia"/>
                <w:color w:val="auto"/>
                <w:sz w:val="21"/>
                <w:szCs w:val="21"/>
                <w:lang w:val="en-US" w:eastAsia="zh-CN"/>
              </w:rPr>
              <w:t>0.006</w:t>
            </w:r>
          </w:p>
        </w:tc>
        <w:tc>
          <w:tcPr>
            <w:tcW w:w="1051" w:type="pct"/>
            <w:vAlign w:val="center"/>
          </w:tcPr>
          <w:p w14:paraId="5782E5F7">
            <w:pPr>
              <w:jc w:val="center"/>
              <w:rPr>
                <w:rFonts w:hAnsi="宋体"/>
                <w:snapToGrid w:val="0"/>
                <w:sz w:val="21"/>
                <w:szCs w:val="21"/>
              </w:rPr>
            </w:pPr>
            <w:r>
              <w:rPr>
                <w:rFonts w:hint="eastAsia"/>
                <w:color w:val="auto"/>
                <w:sz w:val="21"/>
                <w:szCs w:val="21"/>
                <w:lang w:val="en-US" w:eastAsia="zh-CN"/>
              </w:rPr>
              <w:t>0.007</w:t>
            </w:r>
          </w:p>
        </w:tc>
      </w:tr>
      <w:tr w14:paraId="525F986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01" w:type="pct"/>
            <w:vAlign w:val="center"/>
          </w:tcPr>
          <w:p w14:paraId="44756AF2">
            <w:pPr>
              <w:adjustRightInd w:val="0"/>
              <w:snapToGrid w:val="0"/>
              <w:jc w:val="center"/>
              <w:rPr>
                <w:rFonts w:hint="default"/>
                <w:kern w:val="0"/>
                <w:sz w:val="21"/>
                <w:szCs w:val="21"/>
                <w:lang w:val="en-US"/>
              </w:rPr>
            </w:pPr>
            <w:r>
              <w:rPr>
                <w:rFonts w:hint="eastAsia"/>
                <w:kern w:val="0"/>
                <w:sz w:val="21"/>
                <w:szCs w:val="21"/>
                <w:lang w:val="en-US" w:eastAsia="zh-CN"/>
              </w:rPr>
              <w:t>DA004</w:t>
            </w:r>
          </w:p>
        </w:tc>
        <w:tc>
          <w:tcPr>
            <w:tcW w:w="871" w:type="pct"/>
            <w:vAlign w:val="center"/>
          </w:tcPr>
          <w:p w14:paraId="3505B660">
            <w:pPr>
              <w:widowControl/>
              <w:jc w:val="center"/>
              <w:rPr>
                <w:rFonts w:hint="eastAsia"/>
                <w:kern w:val="0"/>
                <w:sz w:val="21"/>
                <w:szCs w:val="21"/>
              </w:rPr>
            </w:pPr>
            <w:r>
              <w:rPr>
                <w:rFonts w:hint="eastAsia"/>
                <w:sz w:val="21"/>
                <w:szCs w:val="21"/>
                <w:lang w:val="en-US" w:eastAsia="zh-CN"/>
              </w:rPr>
              <w:t>PM</w:t>
            </w:r>
            <w:r>
              <w:rPr>
                <w:rFonts w:hint="eastAsia"/>
                <w:sz w:val="21"/>
                <w:szCs w:val="21"/>
                <w:vertAlign w:val="subscript"/>
                <w:lang w:val="en-US" w:eastAsia="zh-CN"/>
              </w:rPr>
              <w:t>10</w:t>
            </w:r>
          </w:p>
        </w:tc>
        <w:tc>
          <w:tcPr>
            <w:tcW w:w="945" w:type="pct"/>
            <w:vAlign w:val="center"/>
          </w:tcPr>
          <w:p w14:paraId="1C7EEA96">
            <w:pPr>
              <w:jc w:val="center"/>
              <w:rPr>
                <w:rFonts w:hAnsi="宋体"/>
                <w:snapToGrid w:val="0"/>
                <w:sz w:val="21"/>
                <w:szCs w:val="21"/>
              </w:rPr>
            </w:pPr>
            <w:r>
              <w:rPr>
                <w:rFonts w:hint="eastAsia"/>
                <w:color w:val="auto"/>
                <w:sz w:val="21"/>
                <w:szCs w:val="21"/>
                <w:lang w:val="en-US" w:eastAsia="zh-CN"/>
              </w:rPr>
              <w:t>9.88</w:t>
            </w:r>
          </w:p>
        </w:tc>
        <w:tc>
          <w:tcPr>
            <w:tcW w:w="1129" w:type="pct"/>
            <w:vAlign w:val="center"/>
          </w:tcPr>
          <w:p w14:paraId="35BA0884">
            <w:pPr>
              <w:jc w:val="center"/>
              <w:rPr>
                <w:rFonts w:hAnsi="宋体"/>
                <w:snapToGrid w:val="0"/>
                <w:sz w:val="21"/>
                <w:szCs w:val="21"/>
              </w:rPr>
            </w:pPr>
            <w:r>
              <w:rPr>
                <w:rFonts w:hint="eastAsia"/>
                <w:color w:val="auto"/>
                <w:sz w:val="21"/>
                <w:szCs w:val="21"/>
                <w:lang w:val="en-US" w:eastAsia="zh-CN"/>
              </w:rPr>
              <w:t>0.49</w:t>
            </w:r>
          </w:p>
        </w:tc>
        <w:tc>
          <w:tcPr>
            <w:tcW w:w="1051" w:type="pct"/>
            <w:vAlign w:val="center"/>
          </w:tcPr>
          <w:p w14:paraId="20EF2CC0">
            <w:pPr>
              <w:jc w:val="center"/>
              <w:rPr>
                <w:rFonts w:hAnsi="宋体"/>
                <w:snapToGrid w:val="0"/>
                <w:sz w:val="21"/>
                <w:szCs w:val="21"/>
              </w:rPr>
            </w:pPr>
            <w:r>
              <w:rPr>
                <w:rFonts w:hint="eastAsia"/>
                <w:color w:val="auto"/>
                <w:sz w:val="21"/>
                <w:szCs w:val="21"/>
                <w:lang w:val="en-US" w:eastAsia="zh-CN"/>
              </w:rPr>
              <w:t>0.5928</w:t>
            </w:r>
          </w:p>
        </w:tc>
      </w:tr>
      <w:tr w14:paraId="2B6D34A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01" w:type="pct"/>
            <w:vAlign w:val="center"/>
          </w:tcPr>
          <w:p w14:paraId="63E5B1DC">
            <w:pPr>
              <w:adjustRightInd w:val="0"/>
              <w:snapToGrid w:val="0"/>
              <w:jc w:val="center"/>
              <w:rPr>
                <w:rFonts w:hint="default"/>
                <w:kern w:val="0"/>
                <w:sz w:val="21"/>
                <w:szCs w:val="21"/>
                <w:lang w:val="en-US"/>
              </w:rPr>
            </w:pPr>
            <w:r>
              <w:rPr>
                <w:rFonts w:hint="eastAsia"/>
                <w:kern w:val="0"/>
                <w:sz w:val="21"/>
                <w:szCs w:val="21"/>
                <w:lang w:val="en-US" w:eastAsia="zh-CN"/>
              </w:rPr>
              <w:t>DA005</w:t>
            </w:r>
          </w:p>
        </w:tc>
        <w:tc>
          <w:tcPr>
            <w:tcW w:w="871" w:type="pct"/>
            <w:vAlign w:val="center"/>
          </w:tcPr>
          <w:p w14:paraId="78F16615">
            <w:pPr>
              <w:widowControl/>
              <w:jc w:val="center"/>
              <w:rPr>
                <w:rFonts w:hint="eastAsia"/>
                <w:kern w:val="0"/>
                <w:sz w:val="21"/>
                <w:szCs w:val="21"/>
              </w:rPr>
            </w:pPr>
            <w:r>
              <w:rPr>
                <w:rFonts w:hint="eastAsia"/>
                <w:sz w:val="21"/>
                <w:szCs w:val="21"/>
                <w:lang w:val="en-US" w:eastAsia="zh-CN"/>
              </w:rPr>
              <w:t>PM</w:t>
            </w:r>
            <w:r>
              <w:rPr>
                <w:rFonts w:hint="eastAsia"/>
                <w:sz w:val="21"/>
                <w:szCs w:val="21"/>
                <w:vertAlign w:val="subscript"/>
                <w:lang w:val="en-US" w:eastAsia="zh-CN"/>
              </w:rPr>
              <w:t>10</w:t>
            </w:r>
          </w:p>
        </w:tc>
        <w:tc>
          <w:tcPr>
            <w:tcW w:w="945" w:type="pct"/>
            <w:vAlign w:val="center"/>
          </w:tcPr>
          <w:p w14:paraId="150CB87D">
            <w:pPr>
              <w:jc w:val="center"/>
              <w:rPr>
                <w:rFonts w:hAnsi="宋体"/>
                <w:snapToGrid w:val="0"/>
                <w:sz w:val="21"/>
                <w:szCs w:val="21"/>
              </w:rPr>
            </w:pPr>
            <w:r>
              <w:rPr>
                <w:rFonts w:hint="eastAsia"/>
                <w:color w:val="auto"/>
                <w:sz w:val="21"/>
                <w:szCs w:val="21"/>
                <w:lang w:val="en-US" w:eastAsia="zh-CN"/>
              </w:rPr>
              <w:t>9.43</w:t>
            </w:r>
          </w:p>
        </w:tc>
        <w:tc>
          <w:tcPr>
            <w:tcW w:w="1129" w:type="pct"/>
            <w:vAlign w:val="center"/>
          </w:tcPr>
          <w:p w14:paraId="2A1190AD">
            <w:pPr>
              <w:jc w:val="center"/>
              <w:rPr>
                <w:rFonts w:hAnsi="宋体"/>
                <w:snapToGrid w:val="0"/>
                <w:sz w:val="21"/>
                <w:szCs w:val="21"/>
              </w:rPr>
            </w:pPr>
            <w:r>
              <w:rPr>
                <w:rFonts w:hint="eastAsia"/>
                <w:color w:val="auto"/>
                <w:sz w:val="21"/>
                <w:szCs w:val="21"/>
                <w:lang w:val="en-US" w:eastAsia="zh-CN"/>
              </w:rPr>
              <w:t>0.11</w:t>
            </w:r>
          </w:p>
        </w:tc>
        <w:tc>
          <w:tcPr>
            <w:tcW w:w="1051" w:type="pct"/>
            <w:vAlign w:val="center"/>
          </w:tcPr>
          <w:p w14:paraId="2558DCB9">
            <w:pPr>
              <w:jc w:val="center"/>
              <w:rPr>
                <w:rFonts w:hAnsi="宋体"/>
                <w:snapToGrid w:val="0"/>
                <w:sz w:val="21"/>
                <w:szCs w:val="21"/>
              </w:rPr>
            </w:pPr>
            <w:r>
              <w:rPr>
                <w:rFonts w:hint="eastAsia"/>
                <w:color w:val="auto"/>
                <w:sz w:val="21"/>
                <w:szCs w:val="21"/>
                <w:lang w:val="en-US" w:eastAsia="zh-CN"/>
              </w:rPr>
              <w:t>0.1359</w:t>
            </w:r>
          </w:p>
        </w:tc>
      </w:tr>
      <w:tr w14:paraId="048C623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01" w:type="pct"/>
            <w:vAlign w:val="center"/>
          </w:tcPr>
          <w:p w14:paraId="6FF23F53">
            <w:pPr>
              <w:adjustRightInd w:val="0"/>
              <w:snapToGrid w:val="0"/>
              <w:jc w:val="center"/>
              <w:rPr>
                <w:rFonts w:hint="default"/>
                <w:kern w:val="0"/>
                <w:sz w:val="21"/>
                <w:szCs w:val="21"/>
                <w:lang w:val="en-US"/>
              </w:rPr>
            </w:pPr>
            <w:r>
              <w:rPr>
                <w:rFonts w:hint="eastAsia"/>
                <w:kern w:val="0"/>
                <w:sz w:val="21"/>
                <w:szCs w:val="21"/>
                <w:lang w:val="en-US" w:eastAsia="zh-CN"/>
              </w:rPr>
              <w:t>DA006</w:t>
            </w:r>
          </w:p>
        </w:tc>
        <w:tc>
          <w:tcPr>
            <w:tcW w:w="871" w:type="pct"/>
            <w:vAlign w:val="center"/>
          </w:tcPr>
          <w:p w14:paraId="2851B886">
            <w:pPr>
              <w:widowControl/>
              <w:jc w:val="center"/>
              <w:rPr>
                <w:rFonts w:hint="eastAsia"/>
                <w:kern w:val="0"/>
                <w:sz w:val="21"/>
                <w:szCs w:val="21"/>
              </w:rPr>
            </w:pPr>
            <w:r>
              <w:rPr>
                <w:rFonts w:hint="eastAsia"/>
                <w:sz w:val="21"/>
                <w:szCs w:val="21"/>
                <w:lang w:val="en-US" w:eastAsia="zh-CN"/>
              </w:rPr>
              <w:t>PM</w:t>
            </w:r>
            <w:r>
              <w:rPr>
                <w:rFonts w:hint="eastAsia"/>
                <w:sz w:val="21"/>
                <w:szCs w:val="21"/>
                <w:vertAlign w:val="subscript"/>
                <w:lang w:val="en-US" w:eastAsia="zh-CN"/>
              </w:rPr>
              <w:t>10</w:t>
            </w:r>
          </w:p>
        </w:tc>
        <w:tc>
          <w:tcPr>
            <w:tcW w:w="945" w:type="pct"/>
            <w:vAlign w:val="center"/>
          </w:tcPr>
          <w:p w14:paraId="7CAF8524">
            <w:pPr>
              <w:jc w:val="center"/>
              <w:rPr>
                <w:rFonts w:hAnsi="宋体"/>
                <w:snapToGrid w:val="0"/>
                <w:sz w:val="21"/>
                <w:szCs w:val="21"/>
              </w:rPr>
            </w:pPr>
            <w:r>
              <w:rPr>
                <w:rFonts w:hint="eastAsia"/>
                <w:color w:val="auto"/>
                <w:sz w:val="21"/>
                <w:szCs w:val="21"/>
                <w:lang w:val="en-US" w:eastAsia="zh-CN"/>
              </w:rPr>
              <w:t>10.0</w:t>
            </w:r>
          </w:p>
        </w:tc>
        <w:tc>
          <w:tcPr>
            <w:tcW w:w="1129" w:type="pct"/>
            <w:vAlign w:val="center"/>
          </w:tcPr>
          <w:p w14:paraId="5B4FBA2E">
            <w:pPr>
              <w:jc w:val="center"/>
              <w:rPr>
                <w:rFonts w:hAnsi="宋体"/>
                <w:snapToGrid w:val="0"/>
                <w:sz w:val="21"/>
                <w:szCs w:val="21"/>
              </w:rPr>
            </w:pPr>
            <w:r>
              <w:rPr>
                <w:rFonts w:hint="eastAsia"/>
                <w:color w:val="auto"/>
                <w:sz w:val="21"/>
                <w:szCs w:val="21"/>
                <w:lang w:val="en-US" w:eastAsia="zh-CN"/>
              </w:rPr>
              <w:t>0.116</w:t>
            </w:r>
          </w:p>
        </w:tc>
        <w:tc>
          <w:tcPr>
            <w:tcW w:w="1051" w:type="pct"/>
            <w:vAlign w:val="center"/>
          </w:tcPr>
          <w:p w14:paraId="096F9E1E">
            <w:pPr>
              <w:jc w:val="center"/>
              <w:rPr>
                <w:rFonts w:hAnsi="宋体"/>
                <w:snapToGrid w:val="0"/>
                <w:sz w:val="21"/>
                <w:szCs w:val="21"/>
              </w:rPr>
            </w:pPr>
            <w:r>
              <w:rPr>
                <w:rFonts w:hint="eastAsia"/>
                <w:color w:val="auto"/>
                <w:sz w:val="21"/>
                <w:szCs w:val="21"/>
                <w:lang w:val="en-US" w:eastAsia="zh-CN"/>
              </w:rPr>
              <w:t>0.0008</w:t>
            </w:r>
          </w:p>
        </w:tc>
      </w:tr>
      <w:tr w14:paraId="0457BB0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01" w:type="pct"/>
            <w:vAlign w:val="center"/>
          </w:tcPr>
          <w:p w14:paraId="444BB2C4">
            <w:pPr>
              <w:adjustRightInd w:val="0"/>
              <w:snapToGrid w:val="0"/>
              <w:jc w:val="center"/>
              <w:rPr>
                <w:rFonts w:hint="default"/>
                <w:kern w:val="0"/>
                <w:sz w:val="21"/>
                <w:szCs w:val="21"/>
                <w:lang w:val="en-US"/>
              </w:rPr>
            </w:pPr>
            <w:r>
              <w:rPr>
                <w:rFonts w:hint="eastAsia"/>
                <w:kern w:val="0"/>
                <w:sz w:val="21"/>
                <w:szCs w:val="21"/>
                <w:lang w:val="en-US" w:eastAsia="zh-CN"/>
              </w:rPr>
              <w:t>DA007</w:t>
            </w:r>
          </w:p>
        </w:tc>
        <w:tc>
          <w:tcPr>
            <w:tcW w:w="871" w:type="pct"/>
            <w:vAlign w:val="center"/>
          </w:tcPr>
          <w:p w14:paraId="7EBA7D16">
            <w:pPr>
              <w:widowControl/>
              <w:jc w:val="center"/>
              <w:rPr>
                <w:rFonts w:hint="eastAsia"/>
                <w:kern w:val="0"/>
                <w:sz w:val="21"/>
                <w:szCs w:val="21"/>
              </w:rPr>
            </w:pPr>
            <w:r>
              <w:rPr>
                <w:rFonts w:hint="eastAsia"/>
                <w:sz w:val="21"/>
                <w:szCs w:val="21"/>
                <w:lang w:val="en-US" w:eastAsia="zh-CN"/>
              </w:rPr>
              <w:t>PM</w:t>
            </w:r>
            <w:r>
              <w:rPr>
                <w:rFonts w:hint="eastAsia"/>
                <w:sz w:val="21"/>
                <w:szCs w:val="21"/>
                <w:vertAlign w:val="subscript"/>
                <w:lang w:val="en-US" w:eastAsia="zh-CN"/>
              </w:rPr>
              <w:t>10</w:t>
            </w:r>
          </w:p>
        </w:tc>
        <w:tc>
          <w:tcPr>
            <w:tcW w:w="945" w:type="pct"/>
            <w:vAlign w:val="center"/>
          </w:tcPr>
          <w:p w14:paraId="62629165">
            <w:pPr>
              <w:jc w:val="center"/>
              <w:rPr>
                <w:rFonts w:hAnsi="宋体"/>
                <w:snapToGrid w:val="0"/>
                <w:sz w:val="21"/>
                <w:szCs w:val="21"/>
              </w:rPr>
            </w:pPr>
            <w:r>
              <w:rPr>
                <w:rFonts w:hint="eastAsia"/>
                <w:color w:val="auto"/>
                <w:sz w:val="21"/>
                <w:szCs w:val="21"/>
                <w:lang w:val="en-US" w:eastAsia="zh-CN"/>
              </w:rPr>
              <w:t>10.0</w:t>
            </w:r>
          </w:p>
        </w:tc>
        <w:tc>
          <w:tcPr>
            <w:tcW w:w="1129" w:type="pct"/>
            <w:vAlign w:val="center"/>
          </w:tcPr>
          <w:p w14:paraId="6A842F2A">
            <w:pPr>
              <w:jc w:val="center"/>
              <w:rPr>
                <w:rFonts w:hAnsi="宋体"/>
                <w:snapToGrid w:val="0"/>
                <w:sz w:val="21"/>
                <w:szCs w:val="21"/>
              </w:rPr>
            </w:pPr>
            <w:r>
              <w:rPr>
                <w:rFonts w:hint="eastAsia"/>
                <w:color w:val="auto"/>
                <w:sz w:val="21"/>
                <w:szCs w:val="21"/>
                <w:lang w:val="en-US" w:eastAsia="zh-CN"/>
              </w:rPr>
              <w:t>0.015</w:t>
            </w:r>
          </w:p>
        </w:tc>
        <w:tc>
          <w:tcPr>
            <w:tcW w:w="1051" w:type="pct"/>
            <w:vAlign w:val="center"/>
          </w:tcPr>
          <w:p w14:paraId="13463705">
            <w:pPr>
              <w:jc w:val="center"/>
              <w:rPr>
                <w:rFonts w:hAnsi="宋体"/>
                <w:snapToGrid w:val="0"/>
                <w:sz w:val="21"/>
                <w:szCs w:val="21"/>
              </w:rPr>
            </w:pPr>
            <w:r>
              <w:rPr>
                <w:rFonts w:hint="eastAsia"/>
                <w:color w:val="auto"/>
                <w:sz w:val="21"/>
                <w:szCs w:val="21"/>
                <w:lang w:val="en-US" w:eastAsia="zh-CN"/>
              </w:rPr>
              <w:t>0.034</w:t>
            </w:r>
          </w:p>
        </w:tc>
      </w:tr>
      <w:tr w14:paraId="299A718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01" w:type="pct"/>
            <w:vAlign w:val="center"/>
          </w:tcPr>
          <w:p w14:paraId="616CBC47">
            <w:pPr>
              <w:adjustRightInd w:val="0"/>
              <w:snapToGrid w:val="0"/>
              <w:jc w:val="center"/>
              <w:rPr>
                <w:rFonts w:hint="default"/>
                <w:kern w:val="0"/>
                <w:sz w:val="21"/>
                <w:szCs w:val="21"/>
                <w:lang w:val="en-US"/>
              </w:rPr>
            </w:pPr>
            <w:r>
              <w:rPr>
                <w:rFonts w:hint="eastAsia"/>
                <w:kern w:val="0"/>
                <w:sz w:val="21"/>
                <w:szCs w:val="21"/>
                <w:lang w:val="en-US" w:eastAsia="zh-CN"/>
              </w:rPr>
              <w:t>DA008</w:t>
            </w:r>
          </w:p>
        </w:tc>
        <w:tc>
          <w:tcPr>
            <w:tcW w:w="871" w:type="pct"/>
            <w:vAlign w:val="center"/>
          </w:tcPr>
          <w:p w14:paraId="0C375C54">
            <w:pPr>
              <w:widowControl/>
              <w:jc w:val="center"/>
              <w:rPr>
                <w:rFonts w:hint="eastAsia"/>
                <w:kern w:val="0"/>
                <w:sz w:val="21"/>
                <w:szCs w:val="21"/>
              </w:rPr>
            </w:pPr>
            <w:r>
              <w:rPr>
                <w:rFonts w:hint="eastAsia"/>
                <w:sz w:val="21"/>
                <w:szCs w:val="21"/>
                <w:lang w:val="en-US" w:eastAsia="zh-CN"/>
              </w:rPr>
              <w:t>PM</w:t>
            </w:r>
            <w:r>
              <w:rPr>
                <w:rFonts w:hint="eastAsia"/>
                <w:sz w:val="21"/>
                <w:szCs w:val="21"/>
                <w:vertAlign w:val="subscript"/>
                <w:lang w:val="en-US" w:eastAsia="zh-CN"/>
              </w:rPr>
              <w:t>10</w:t>
            </w:r>
          </w:p>
        </w:tc>
        <w:tc>
          <w:tcPr>
            <w:tcW w:w="945" w:type="pct"/>
            <w:vAlign w:val="center"/>
          </w:tcPr>
          <w:p w14:paraId="0682BB5F">
            <w:pPr>
              <w:jc w:val="center"/>
              <w:rPr>
                <w:rFonts w:hAnsi="宋体"/>
                <w:snapToGrid w:val="0"/>
                <w:sz w:val="21"/>
                <w:szCs w:val="21"/>
              </w:rPr>
            </w:pPr>
            <w:r>
              <w:rPr>
                <w:rFonts w:hint="eastAsia"/>
                <w:color w:val="auto"/>
                <w:sz w:val="21"/>
                <w:szCs w:val="21"/>
                <w:lang w:val="en-US" w:eastAsia="zh-CN"/>
              </w:rPr>
              <w:t>10.0</w:t>
            </w:r>
          </w:p>
        </w:tc>
        <w:tc>
          <w:tcPr>
            <w:tcW w:w="1129" w:type="pct"/>
            <w:vAlign w:val="center"/>
          </w:tcPr>
          <w:p w14:paraId="53C10823">
            <w:pPr>
              <w:jc w:val="center"/>
              <w:rPr>
                <w:rFonts w:hAnsi="宋体"/>
                <w:snapToGrid w:val="0"/>
                <w:sz w:val="21"/>
                <w:szCs w:val="21"/>
              </w:rPr>
            </w:pPr>
            <w:r>
              <w:rPr>
                <w:rFonts w:hint="eastAsia"/>
                <w:color w:val="auto"/>
                <w:sz w:val="21"/>
                <w:szCs w:val="21"/>
                <w:lang w:val="en-US" w:eastAsia="zh-CN"/>
              </w:rPr>
              <w:t>0.015</w:t>
            </w:r>
          </w:p>
        </w:tc>
        <w:tc>
          <w:tcPr>
            <w:tcW w:w="1051" w:type="pct"/>
            <w:vAlign w:val="center"/>
          </w:tcPr>
          <w:p w14:paraId="2FB3030D">
            <w:pPr>
              <w:jc w:val="center"/>
              <w:rPr>
                <w:rFonts w:hAnsi="宋体"/>
                <w:snapToGrid w:val="0"/>
                <w:sz w:val="21"/>
                <w:szCs w:val="21"/>
              </w:rPr>
            </w:pPr>
            <w:r>
              <w:rPr>
                <w:rFonts w:hint="eastAsia"/>
                <w:color w:val="auto"/>
                <w:sz w:val="21"/>
                <w:szCs w:val="21"/>
                <w:lang w:val="en-US" w:eastAsia="zh-CN"/>
              </w:rPr>
              <w:t>0.0032</w:t>
            </w:r>
          </w:p>
        </w:tc>
      </w:tr>
      <w:tr w14:paraId="6F7A7CD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01" w:type="pct"/>
            <w:vAlign w:val="center"/>
          </w:tcPr>
          <w:p w14:paraId="146D859E">
            <w:pPr>
              <w:adjustRightInd w:val="0"/>
              <w:snapToGrid w:val="0"/>
              <w:jc w:val="center"/>
              <w:rPr>
                <w:rFonts w:hint="default"/>
                <w:kern w:val="0"/>
                <w:sz w:val="21"/>
                <w:szCs w:val="21"/>
                <w:lang w:val="en-US"/>
              </w:rPr>
            </w:pPr>
            <w:r>
              <w:rPr>
                <w:rFonts w:hint="eastAsia"/>
                <w:kern w:val="0"/>
                <w:sz w:val="21"/>
                <w:szCs w:val="21"/>
                <w:lang w:val="en-US" w:eastAsia="zh-CN"/>
              </w:rPr>
              <w:t>DA009</w:t>
            </w:r>
          </w:p>
        </w:tc>
        <w:tc>
          <w:tcPr>
            <w:tcW w:w="871" w:type="pct"/>
            <w:vAlign w:val="center"/>
          </w:tcPr>
          <w:p w14:paraId="5E62EC57">
            <w:pPr>
              <w:widowControl/>
              <w:jc w:val="center"/>
              <w:rPr>
                <w:rFonts w:hint="eastAsia"/>
                <w:kern w:val="0"/>
                <w:sz w:val="21"/>
                <w:szCs w:val="21"/>
              </w:rPr>
            </w:pPr>
            <w:r>
              <w:rPr>
                <w:rFonts w:hint="eastAsia"/>
                <w:sz w:val="21"/>
                <w:szCs w:val="21"/>
                <w:lang w:val="en-US" w:eastAsia="zh-CN"/>
              </w:rPr>
              <w:t>PM</w:t>
            </w:r>
            <w:r>
              <w:rPr>
                <w:rFonts w:hint="eastAsia"/>
                <w:sz w:val="21"/>
                <w:szCs w:val="21"/>
                <w:vertAlign w:val="subscript"/>
                <w:lang w:val="en-US" w:eastAsia="zh-CN"/>
              </w:rPr>
              <w:t>10</w:t>
            </w:r>
          </w:p>
        </w:tc>
        <w:tc>
          <w:tcPr>
            <w:tcW w:w="945" w:type="pct"/>
            <w:vAlign w:val="center"/>
          </w:tcPr>
          <w:p w14:paraId="509008FB">
            <w:pPr>
              <w:jc w:val="center"/>
              <w:rPr>
                <w:rFonts w:hAnsi="宋体"/>
                <w:snapToGrid w:val="0"/>
                <w:sz w:val="21"/>
                <w:szCs w:val="21"/>
              </w:rPr>
            </w:pPr>
            <w:r>
              <w:rPr>
                <w:rFonts w:hint="eastAsia"/>
                <w:color w:val="auto"/>
                <w:sz w:val="21"/>
                <w:szCs w:val="21"/>
                <w:lang w:val="en-US" w:eastAsia="zh-CN"/>
              </w:rPr>
              <w:t>10.0</w:t>
            </w:r>
          </w:p>
        </w:tc>
        <w:tc>
          <w:tcPr>
            <w:tcW w:w="1129" w:type="pct"/>
            <w:vAlign w:val="center"/>
          </w:tcPr>
          <w:p w14:paraId="6B2FF29F">
            <w:pPr>
              <w:jc w:val="center"/>
              <w:rPr>
                <w:rFonts w:hAnsi="宋体"/>
                <w:snapToGrid w:val="0"/>
                <w:sz w:val="21"/>
                <w:szCs w:val="21"/>
              </w:rPr>
            </w:pPr>
            <w:r>
              <w:rPr>
                <w:rFonts w:hint="eastAsia"/>
                <w:color w:val="auto"/>
                <w:sz w:val="21"/>
                <w:szCs w:val="21"/>
                <w:lang w:val="en-US" w:eastAsia="zh-CN"/>
              </w:rPr>
              <w:t>0.015</w:t>
            </w:r>
          </w:p>
        </w:tc>
        <w:tc>
          <w:tcPr>
            <w:tcW w:w="1051" w:type="pct"/>
            <w:vAlign w:val="center"/>
          </w:tcPr>
          <w:p w14:paraId="186F10B6">
            <w:pPr>
              <w:jc w:val="center"/>
              <w:rPr>
                <w:rFonts w:hAnsi="宋体"/>
                <w:snapToGrid w:val="0"/>
                <w:sz w:val="21"/>
                <w:szCs w:val="21"/>
              </w:rPr>
            </w:pPr>
            <w:r>
              <w:rPr>
                <w:rFonts w:hint="eastAsia"/>
                <w:color w:val="auto"/>
                <w:sz w:val="21"/>
                <w:szCs w:val="21"/>
                <w:lang w:val="en-US" w:eastAsia="zh-CN"/>
              </w:rPr>
              <w:t>0.0016</w:t>
            </w:r>
          </w:p>
        </w:tc>
      </w:tr>
      <w:tr w14:paraId="307869B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01" w:type="pct"/>
            <w:vAlign w:val="center"/>
          </w:tcPr>
          <w:p w14:paraId="562F2969">
            <w:pPr>
              <w:adjustRightInd w:val="0"/>
              <w:snapToGrid w:val="0"/>
              <w:jc w:val="center"/>
              <w:rPr>
                <w:rFonts w:hint="default"/>
                <w:kern w:val="0"/>
                <w:sz w:val="21"/>
                <w:szCs w:val="21"/>
                <w:lang w:val="en-US"/>
              </w:rPr>
            </w:pPr>
            <w:r>
              <w:rPr>
                <w:rFonts w:hint="eastAsia"/>
                <w:kern w:val="0"/>
                <w:sz w:val="21"/>
                <w:szCs w:val="21"/>
                <w:lang w:val="en-US" w:eastAsia="zh-CN"/>
              </w:rPr>
              <w:t>DA010</w:t>
            </w:r>
          </w:p>
        </w:tc>
        <w:tc>
          <w:tcPr>
            <w:tcW w:w="871" w:type="pct"/>
            <w:vAlign w:val="center"/>
          </w:tcPr>
          <w:p w14:paraId="25E9E129">
            <w:pPr>
              <w:widowControl/>
              <w:jc w:val="center"/>
              <w:rPr>
                <w:rFonts w:hint="eastAsia"/>
                <w:kern w:val="0"/>
                <w:sz w:val="21"/>
                <w:szCs w:val="21"/>
              </w:rPr>
            </w:pPr>
            <w:r>
              <w:rPr>
                <w:rFonts w:hint="eastAsia"/>
                <w:sz w:val="21"/>
                <w:szCs w:val="21"/>
                <w:lang w:val="en-US" w:eastAsia="zh-CN"/>
              </w:rPr>
              <w:t>PM</w:t>
            </w:r>
            <w:r>
              <w:rPr>
                <w:rFonts w:hint="eastAsia"/>
                <w:sz w:val="21"/>
                <w:szCs w:val="21"/>
                <w:vertAlign w:val="subscript"/>
                <w:lang w:val="en-US" w:eastAsia="zh-CN"/>
              </w:rPr>
              <w:t>10</w:t>
            </w:r>
          </w:p>
        </w:tc>
        <w:tc>
          <w:tcPr>
            <w:tcW w:w="945" w:type="pct"/>
            <w:vAlign w:val="center"/>
          </w:tcPr>
          <w:p w14:paraId="04AC8C20">
            <w:pPr>
              <w:jc w:val="center"/>
              <w:rPr>
                <w:rFonts w:hAnsi="宋体"/>
                <w:snapToGrid w:val="0"/>
                <w:sz w:val="21"/>
                <w:szCs w:val="21"/>
              </w:rPr>
            </w:pPr>
            <w:r>
              <w:rPr>
                <w:rFonts w:hint="eastAsia"/>
                <w:color w:val="auto"/>
                <w:sz w:val="21"/>
                <w:szCs w:val="21"/>
                <w:lang w:val="en-US" w:eastAsia="zh-CN"/>
              </w:rPr>
              <w:t>10.0</w:t>
            </w:r>
          </w:p>
        </w:tc>
        <w:tc>
          <w:tcPr>
            <w:tcW w:w="1129" w:type="pct"/>
            <w:vAlign w:val="center"/>
          </w:tcPr>
          <w:p w14:paraId="28C1668A">
            <w:pPr>
              <w:jc w:val="center"/>
              <w:rPr>
                <w:rFonts w:hAnsi="宋体"/>
                <w:snapToGrid w:val="0"/>
                <w:sz w:val="21"/>
                <w:szCs w:val="21"/>
              </w:rPr>
            </w:pPr>
            <w:r>
              <w:rPr>
                <w:rFonts w:hint="eastAsia"/>
                <w:color w:val="auto"/>
                <w:sz w:val="21"/>
                <w:szCs w:val="21"/>
                <w:lang w:val="en-US" w:eastAsia="zh-CN"/>
              </w:rPr>
              <w:t>0.039</w:t>
            </w:r>
          </w:p>
        </w:tc>
        <w:tc>
          <w:tcPr>
            <w:tcW w:w="1051" w:type="pct"/>
            <w:vAlign w:val="center"/>
          </w:tcPr>
          <w:p w14:paraId="100FC786">
            <w:pPr>
              <w:jc w:val="center"/>
              <w:rPr>
                <w:rFonts w:hAnsi="宋体"/>
                <w:snapToGrid w:val="0"/>
                <w:sz w:val="21"/>
                <w:szCs w:val="21"/>
              </w:rPr>
            </w:pPr>
            <w:r>
              <w:rPr>
                <w:rFonts w:hint="eastAsia"/>
                <w:color w:val="auto"/>
                <w:sz w:val="21"/>
                <w:szCs w:val="21"/>
                <w:lang w:val="en-US" w:eastAsia="zh-CN"/>
              </w:rPr>
              <w:t>0.0016</w:t>
            </w:r>
          </w:p>
        </w:tc>
      </w:tr>
      <w:tr w14:paraId="1A46D57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01" w:type="pct"/>
            <w:vMerge w:val="restart"/>
            <w:vAlign w:val="center"/>
          </w:tcPr>
          <w:p w14:paraId="00CA43B8">
            <w:pPr>
              <w:adjustRightInd w:val="0"/>
              <w:snapToGrid w:val="0"/>
              <w:jc w:val="center"/>
              <w:rPr>
                <w:sz w:val="21"/>
                <w:szCs w:val="21"/>
              </w:rPr>
            </w:pPr>
          </w:p>
          <w:p w14:paraId="6C5FC8B1">
            <w:pPr>
              <w:adjustRightInd w:val="0"/>
              <w:snapToGrid w:val="0"/>
              <w:jc w:val="center"/>
              <w:rPr>
                <w:sz w:val="21"/>
                <w:szCs w:val="21"/>
              </w:rPr>
            </w:pPr>
            <w:r>
              <w:rPr>
                <w:rFonts w:hint="eastAsia"/>
                <w:sz w:val="21"/>
                <w:szCs w:val="21"/>
              </w:rPr>
              <w:t>主要排放口合计</w:t>
            </w:r>
          </w:p>
        </w:tc>
        <w:tc>
          <w:tcPr>
            <w:tcW w:w="2946" w:type="pct"/>
            <w:gridSpan w:val="3"/>
            <w:vAlign w:val="center"/>
          </w:tcPr>
          <w:p w14:paraId="16568BBB">
            <w:pPr>
              <w:adjustRightInd w:val="0"/>
              <w:snapToGrid w:val="0"/>
              <w:jc w:val="center"/>
              <w:rPr>
                <w:sz w:val="21"/>
                <w:szCs w:val="21"/>
              </w:rPr>
            </w:pPr>
            <w:r>
              <w:rPr>
                <w:rFonts w:hint="eastAsia"/>
                <w:sz w:val="21"/>
                <w:szCs w:val="21"/>
                <w:lang w:val="en-US" w:eastAsia="zh-CN"/>
              </w:rPr>
              <w:t>PM</w:t>
            </w:r>
            <w:r>
              <w:rPr>
                <w:rFonts w:hint="eastAsia"/>
                <w:sz w:val="21"/>
                <w:szCs w:val="21"/>
                <w:vertAlign w:val="subscript"/>
                <w:lang w:val="en-US" w:eastAsia="zh-CN"/>
              </w:rPr>
              <w:t>10</w:t>
            </w:r>
          </w:p>
        </w:tc>
        <w:tc>
          <w:tcPr>
            <w:tcW w:w="1051" w:type="pct"/>
            <w:vAlign w:val="center"/>
          </w:tcPr>
          <w:p w14:paraId="10E7B6EA">
            <w:pPr>
              <w:jc w:val="center"/>
              <w:rPr>
                <w:sz w:val="21"/>
                <w:szCs w:val="21"/>
              </w:rPr>
            </w:pPr>
            <w:r>
              <w:rPr>
                <w:rFonts w:hint="eastAsia"/>
                <w:bCs/>
                <w:color w:val="auto"/>
                <w:sz w:val="21"/>
                <w:szCs w:val="21"/>
                <w:lang w:val="en-US" w:eastAsia="zh-CN"/>
              </w:rPr>
              <w:t>2.7149</w:t>
            </w:r>
          </w:p>
        </w:tc>
      </w:tr>
      <w:tr w14:paraId="0936287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01" w:type="pct"/>
            <w:vMerge w:val="continue"/>
            <w:vAlign w:val="center"/>
          </w:tcPr>
          <w:p w14:paraId="0104EB7E">
            <w:pPr>
              <w:adjustRightInd w:val="0"/>
              <w:snapToGrid w:val="0"/>
              <w:jc w:val="center"/>
              <w:rPr>
                <w:sz w:val="21"/>
                <w:szCs w:val="21"/>
              </w:rPr>
            </w:pPr>
          </w:p>
        </w:tc>
        <w:tc>
          <w:tcPr>
            <w:tcW w:w="2946" w:type="pct"/>
            <w:gridSpan w:val="3"/>
            <w:vAlign w:val="center"/>
          </w:tcPr>
          <w:p w14:paraId="090E6ED3">
            <w:pPr>
              <w:widowControl/>
              <w:jc w:val="center"/>
              <w:rPr>
                <w:kern w:val="0"/>
                <w:sz w:val="21"/>
                <w:szCs w:val="21"/>
              </w:rPr>
            </w:pPr>
            <w:r>
              <w:rPr>
                <w:rFonts w:hint="eastAsia"/>
                <w:kern w:val="0"/>
                <w:sz w:val="21"/>
                <w:szCs w:val="21"/>
              </w:rPr>
              <w:t>SO</w:t>
            </w:r>
            <w:r>
              <w:rPr>
                <w:rFonts w:hint="eastAsia"/>
                <w:kern w:val="0"/>
                <w:sz w:val="21"/>
                <w:szCs w:val="21"/>
                <w:vertAlign w:val="subscript"/>
              </w:rPr>
              <w:t>2</w:t>
            </w:r>
          </w:p>
        </w:tc>
        <w:tc>
          <w:tcPr>
            <w:tcW w:w="1051" w:type="pct"/>
            <w:vAlign w:val="center"/>
          </w:tcPr>
          <w:p w14:paraId="128FE79F">
            <w:pPr>
              <w:jc w:val="center"/>
              <w:rPr>
                <w:sz w:val="21"/>
                <w:szCs w:val="21"/>
              </w:rPr>
            </w:pPr>
            <w:r>
              <w:rPr>
                <w:rFonts w:hint="eastAsia"/>
                <w:bCs/>
                <w:color w:val="auto"/>
                <w:sz w:val="21"/>
                <w:szCs w:val="21"/>
                <w:lang w:val="en-US" w:eastAsia="zh-CN"/>
              </w:rPr>
              <w:t>0.0046</w:t>
            </w:r>
          </w:p>
        </w:tc>
      </w:tr>
      <w:tr w14:paraId="20187C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01" w:type="pct"/>
            <w:vMerge w:val="continue"/>
            <w:vAlign w:val="center"/>
          </w:tcPr>
          <w:p w14:paraId="6FE9ED00">
            <w:pPr>
              <w:adjustRightInd w:val="0"/>
              <w:snapToGrid w:val="0"/>
              <w:jc w:val="center"/>
              <w:rPr>
                <w:sz w:val="21"/>
                <w:szCs w:val="21"/>
              </w:rPr>
            </w:pPr>
          </w:p>
        </w:tc>
        <w:tc>
          <w:tcPr>
            <w:tcW w:w="2946" w:type="pct"/>
            <w:gridSpan w:val="3"/>
            <w:vAlign w:val="center"/>
          </w:tcPr>
          <w:p w14:paraId="54775E5A">
            <w:pPr>
              <w:widowControl/>
              <w:jc w:val="center"/>
              <w:rPr>
                <w:kern w:val="0"/>
                <w:sz w:val="21"/>
                <w:szCs w:val="21"/>
              </w:rPr>
            </w:pPr>
            <w:r>
              <w:rPr>
                <w:rFonts w:hint="eastAsia"/>
                <w:kern w:val="0"/>
                <w:sz w:val="21"/>
                <w:szCs w:val="21"/>
              </w:rPr>
              <w:t>NO</w:t>
            </w:r>
            <w:r>
              <w:rPr>
                <w:rFonts w:hint="eastAsia"/>
                <w:kern w:val="0"/>
                <w:sz w:val="21"/>
                <w:szCs w:val="21"/>
                <w:vertAlign w:val="subscript"/>
              </w:rPr>
              <w:t>x</w:t>
            </w:r>
          </w:p>
        </w:tc>
        <w:tc>
          <w:tcPr>
            <w:tcW w:w="1051" w:type="pct"/>
            <w:vAlign w:val="center"/>
          </w:tcPr>
          <w:p w14:paraId="56E967D8">
            <w:pPr>
              <w:jc w:val="center"/>
              <w:rPr>
                <w:sz w:val="21"/>
                <w:szCs w:val="21"/>
              </w:rPr>
            </w:pPr>
            <w:r>
              <w:rPr>
                <w:rFonts w:hint="eastAsia"/>
                <w:bCs/>
                <w:color w:val="auto"/>
                <w:sz w:val="21"/>
                <w:szCs w:val="21"/>
                <w:lang w:val="en-US" w:eastAsia="zh-CN"/>
              </w:rPr>
              <w:t>0.6388</w:t>
            </w:r>
          </w:p>
        </w:tc>
      </w:tr>
      <w:tr w14:paraId="3743DED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01" w:type="pct"/>
            <w:vMerge w:val="continue"/>
            <w:vAlign w:val="center"/>
          </w:tcPr>
          <w:p w14:paraId="110424CB">
            <w:pPr>
              <w:adjustRightInd w:val="0"/>
              <w:snapToGrid w:val="0"/>
              <w:jc w:val="center"/>
              <w:rPr>
                <w:sz w:val="21"/>
                <w:szCs w:val="21"/>
              </w:rPr>
            </w:pPr>
          </w:p>
        </w:tc>
        <w:tc>
          <w:tcPr>
            <w:tcW w:w="2946" w:type="pct"/>
            <w:gridSpan w:val="3"/>
            <w:vAlign w:val="center"/>
          </w:tcPr>
          <w:p w14:paraId="3B15DD45">
            <w:pPr>
              <w:widowControl/>
              <w:jc w:val="center"/>
              <w:rPr>
                <w:kern w:val="0"/>
                <w:sz w:val="21"/>
                <w:szCs w:val="21"/>
              </w:rPr>
            </w:pPr>
            <w:r>
              <w:rPr>
                <w:rFonts w:hint="eastAsia"/>
                <w:kern w:val="0"/>
                <w:sz w:val="21"/>
                <w:szCs w:val="21"/>
              </w:rPr>
              <w:t>沥青烟</w:t>
            </w:r>
          </w:p>
        </w:tc>
        <w:tc>
          <w:tcPr>
            <w:tcW w:w="1051" w:type="pct"/>
            <w:vAlign w:val="center"/>
          </w:tcPr>
          <w:p w14:paraId="5A8DA27D">
            <w:pPr>
              <w:jc w:val="center"/>
              <w:rPr>
                <w:rFonts w:hAnsi="宋体"/>
                <w:snapToGrid w:val="0"/>
                <w:sz w:val="21"/>
                <w:szCs w:val="21"/>
              </w:rPr>
            </w:pPr>
            <w:r>
              <w:rPr>
                <w:rFonts w:hint="eastAsia"/>
                <w:color w:val="auto"/>
                <w:sz w:val="21"/>
                <w:szCs w:val="21"/>
                <w:lang w:val="en-US" w:eastAsia="zh-CN"/>
              </w:rPr>
              <w:t>0.011</w:t>
            </w:r>
          </w:p>
        </w:tc>
      </w:tr>
      <w:tr w14:paraId="456E718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01" w:type="pct"/>
            <w:vMerge w:val="continue"/>
            <w:vAlign w:val="center"/>
          </w:tcPr>
          <w:p w14:paraId="1FCDD9A5">
            <w:pPr>
              <w:adjustRightInd w:val="0"/>
              <w:snapToGrid w:val="0"/>
              <w:jc w:val="center"/>
              <w:rPr>
                <w:sz w:val="21"/>
                <w:szCs w:val="21"/>
              </w:rPr>
            </w:pPr>
          </w:p>
        </w:tc>
        <w:tc>
          <w:tcPr>
            <w:tcW w:w="2946" w:type="pct"/>
            <w:gridSpan w:val="3"/>
            <w:vAlign w:val="center"/>
          </w:tcPr>
          <w:p w14:paraId="13487E49">
            <w:pPr>
              <w:adjustRightInd w:val="0"/>
              <w:snapToGrid w:val="0"/>
              <w:jc w:val="center"/>
              <w:rPr>
                <w:sz w:val="21"/>
                <w:szCs w:val="21"/>
              </w:rPr>
            </w:pPr>
            <w:r>
              <w:rPr>
                <w:rFonts w:hint="eastAsia"/>
                <w:kern w:val="0"/>
                <w:sz w:val="21"/>
                <w:szCs w:val="21"/>
              </w:rPr>
              <w:t>B[a]P</w:t>
            </w:r>
          </w:p>
        </w:tc>
        <w:tc>
          <w:tcPr>
            <w:tcW w:w="1051" w:type="pct"/>
            <w:vAlign w:val="center"/>
          </w:tcPr>
          <w:p w14:paraId="42A6F055">
            <w:pPr>
              <w:jc w:val="center"/>
              <w:rPr>
                <w:rFonts w:hAnsi="宋体"/>
                <w:snapToGrid w:val="0"/>
                <w:sz w:val="21"/>
                <w:szCs w:val="21"/>
              </w:rPr>
            </w:pPr>
            <w:r>
              <w:rPr>
                <w:rFonts w:hint="eastAsia"/>
                <w:color w:val="auto"/>
                <w:sz w:val="21"/>
                <w:szCs w:val="21"/>
                <w:lang w:val="en-US" w:eastAsia="zh-CN"/>
              </w:rPr>
              <w:t>0.00003</w:t>
            </w:r>
          </w:p>
        </w:tc>
      </w:tr>
      <w:tr w14:paraId="1035DFD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01" w:type="pct"/>
            <w:vMerge w:val="continue"/>
            <w:vAlign w:val="center"/>
          </w:tcPr>
          <w:p w14:paraId="126B467C">
            <w:pPr>
              <w:adjustRightInd w:val="0"/>
              <w:snapToGrid w:val="0"/>
              <w:jc w:val="center"/>
              <w:rPr>
                <w:sz w:val="21"/>
                <w:szCs w:val="21"/>
              </w:rPr>
            </w:pPr>
          </w:p>
        </w:tc>
        <w:tc>
          <w:tcPr>
            <w:tcW w:w="2946" w:type="pct"/>
            <w:gridSpan w:val="3"/>
            <w:vAlign w:val="center"/>
          </w:tcPr>
          <w:p w14:paraId="3FCEF926">
            <w:pPr>
              <w:adjustRightInd w:val="0"/>
              <w:snapToGrid w:val="0"/>
              <w:jc w:val="center"/>
              <w:rPr>
                <w:rFonts w:hint="default" w:eastAsia="宋体"/>
                <w:kern w:val="0"/>
                <w:sz w:val="21"/>
                <w:szCs w:val="21"/>
                <w:lang w:val="en-US" w:eastAsia="zh-CN"/>
              </w:rPr>
            </w:pPr>
            <w:r>
              <w:rPr>
                <w:rFonts w:hint="eastAsia"/>
                <w:kern w:val="0"/>
                <w:sz w:val="21"/>
                <w:szCs w:val="21"/>
                <w:lang w:val="en-US" w:eastAsia="zh-CN"/>
              </w:rPr>
              <w:t>NMHC</w:t>
            </w:r>
          </w:p>
        </w:tc>
        <w:tc>
          <w:tcPr>
            <w:tcW w:w="1051" w:type="pct"/>
            <w:vAlign w:val="center"/>
          </w:tcPr>
          <w:p w14:paraId="557A8660">
            <w:pPr>
              <w:jc w:val="center"/>
              <w:rPr>
                <w:rFonts w:hint="eastAsia"/>
                <w:spacing w:val="6"/>
                <w:sz w:val="21"/>
                <w:szCs w:val="21"/>
              </w:rPr>
            </w:pPr>
            <w:r>
              <w:rPr>
                <w:rFonts w:hint="eastAsia"/>
                <w:color w:val="auto"/>
                <w:sz w:val="21"/>
                <w:szCs w:val="21"/>
                <w:lang w:val="en-US" w:eastAsia="zh-CN"/>
              </w:rPr>
              <w:t>0.007</w:t>
            </w:r>
          </w:p>
        </w:tc>
      </w:tr>
      <w:tr w14:paraId="277AFE0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000" w:type="pct"/>
            <w:gridSpan w:val="5"/>
            <w:vAlign w:val="center"/>
          </w:tcPr>
          <w:p w14:paraId="2584A264">
            <w:pPr>
              <w:adjustRightInd w:val="0"/>
              <w:snapToGrid w:val="0"/>
              <w:jc w:val="center"/>
              <w:rPr>
                <w:sz w:val="21"/>
                <w:szCs w:val="21"/>
              </w:rPr>
            </w:pPr>
            <w:r>
              <w:rPr>
                <w:rFonts w:hint="eastAsia"/>
                <w:sz w:val="21"/>
                <w:szCs w:val="21"/>
              </w:rPr>
              <w:t>有组织排放总计</w:t>
            </w:r>
          </w:p>
        </w:tc>
      </w:tr>
      <w:tr w14:paraId="261F21E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01" w:type="pct"/>
            <w:vMerge w:val="restart"/>
            <w:vAlign w:val="center"/>
          </w:tcPr>
          <w:p w14:paraId="63F80D60">
            <w:pPr>
              <w:adjustRightInd w:val="0"/>
              <w:snapToGrid w:val="0"/>
              <w:jc w:val="center"/>
              <w:rPr>
                <w:sz w:val="21"/>
                <w:szCs w:val="21"/>
              </w:rPr>
            </w:pPr>
            <w:r>
              <w:rPr>
                <w:rFonts w:hint="eastAsia"/>
                <w:sz w:val="21"/>
                <w:szCs w:val="21"/>
              </w:rPr>
              <w:t>有组织排放总计</w:t>
            </w:r>
          </w:p>
        </w:tc>
        <w:tc>
          <w:tcPr>
            <w:tcW w:w="2946" w:type="pct"/>
            <w:gridSpan w:val="3"/>
            <w:vAlign w:val="center"/>
          </w:tcPr>
          <w:p w14:paraId="2A7A723F">
            <w:pPr>
              <w:adjustRightInd w:val="0"/>
              <w:snapToGrid w:val="0"/>
              <w:jc w:val="center"/>
              <w:rPr>
                <w:sz w:val="21"/>
                <w:szCs w:val="21"/>
              </w:rPr>
            </w:pPr>
            <w:r>
              <w:rPr>
                <w:rFonts w:hint="eastAsia"/>
                <w:sz w:val="21"/>
                <w:szCs w:val="21"/>
              </w:rPr>
              <w:t>颗粒物</w:t>
            </w:r>
          </w:p>
        </w:tc>
        <w:tc>
          <w:tcPr>
            <w:tcW w:w="1051" w:type="pct"/>
            <w:vAlign w:val="center"/>
          </w:tcPr>
          <w:p w14:paraId="112A1F5C">
            <w:pPr>
              <w:jc w:val="center"/>
              <w:rPr>
                <w:sz w:val="21"/>
                <w:szCs w:val="21"/>
              </w:rPr>
            </w:pPr>
            <w:r>
              <w:rPr>
                <w:rFonts w:hint="eastAsia"/>
                <w:bCs/>
                <w:color w:val="auto"/>
                <w:sz w:val="21"/>
                <w:szCs w:val="21"/>
                <w:lang w:val="en-US" w:eastAsia="zh-CN"/>
              </w:rPr>
              <w:t>2.7149</w:t>
            </w:r>
          </w:p>
        </w:tc>
      </w:tr>
      <w:tr w14:paraId="141866F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01" w:type="pct"/>
            <w:vMerge w:val="continue"/>
            <w:vAlign w:val="center"/>
          </w:tcPr>
          <w:p w14:paraId="180BA207">
            <w:pPr>
              <w:adjustRightInd w:val="0"/>
              <w:snapToGrid w:val="0"/>
              <w:jc w:val="center"/>
              <w:rPr>
                <w:sz w:val="21"/>
                <w:szCs w:val="21"/>
              </w:rPr>
            </w:pPr>
          </w:p>
        </w:tc>
        <w:tc>
          <w:tcPr>
            <w:tcW w:w="2946" w:type="pct"/>
            <w:gridSpan w:val="3"/>
            <w:vAlign w:val="center"/>
          </w:tcPr>
          <w:p w14:paraId="3B44A072">
            <w:pPr>
              <w:widowControl/>
              <w:jc w:val="center"/>
              <w:rPr>
                <w:rFonts w:hint="eastAsia" w:eastAsia="宋体"/>
                <w:kern w:val="0"/>
                <w:sz w:val="21"/>
                <w:szCs w:val="21"/>
                <w:lang w:eastAsia="zh-CN"/>
              </w:rPr>
            </w:pPr>
            <w:r>
              <w:rPr>
                <w:rFonts w:hint="eastAsia"/>
                <w:kern w:val="0"/>
                <w:sz w:val="21"/>
                <w:szCs w:val="21"/>
                <w:lang w:eastAsia="zh-CN"/>
              </w:rPr>
              <w:t>二氧化硫</w:t>
            </w:r>
          </w:p>
        </w:tc>
        <w:tc>
          <w:tcPr>
            <w:tcW w:w="1051" w:type="pct"/>
            <w:vAlign w:val="center"/>
          </w:tcPr>
          <w:p w14:paraId="77E83527">
            <w:pPr>
              <w:jc w:val="center"/>
              <w:rPr>
                <w:sz w:val="21"/>
                <w:szCs w:val="21"/>
              </w:rPr>
            </w:pPr>
            <w:r>
              <w:rPr>
                <w:rFonts w:hint="eastAsia"/>
                <w:bCs/>
                <w:color w:val="auto"/>
                <w:sz w:val="21"/>
                <w:szCs w:val="21"/>
                <w:lang w:val="en-US" w:eastAsia="zh-CN"/>
              </w:rPr>
              <w:t>0.0046</w:t>
            </w:r>
          </w:p>
        </w:tc>
      </w:tr>
      <w:tr w14:paraId="39C71F3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01" w:type="pct"/>
            <w:vMerge w:val="continue"/>
            <w:vAlign w:val="center"/>
          </w:tcPr>
          <w:p w14:paraId="00879837">
            <w:pPr>
              <w:adjustRightInd w:val="0"/>
              <w:snapToGrid w:val="0"/>
              <w:jc w:val="center"/>
              <w:rPr>
                <w:sz w:val="21"/>
                <w:szCs w:val="21"/>
              </w:rPr>
            </w:pPr>
          </w:p>
        </w:tc>
        <w:tc>
          <w:tcPr>
            <w:tcW w:w="2946" w:type="pct"/>
            <w:gridSpan w:val="3"/>
            <w:vAlign w:val="center"/>
          </w:tcPr>
          <w:p w14:paraId="6EB79FA9">
            <w:pPr>
              <w:widowControl/>
              <w:jc w:val="center"/>
              <w:rPr>
                <w:rFonts w:hint="eastAsia" w:eastAsia="宋体"/>
                <w:kern w:val="0"/>
                <w:sz w:val="21"/>
                <w:szCs w:val="21"/>
                <w:lang w:eastAsia="zh-CN"/>
              </w:rPr>
            </w:pPr>
            <w:r>
              <w:rPr>
                <w:rFonts w:hint="eastAsia"/>
                <w:kern w:val="0"/>
                <w:sz w:val="21"/>
                <w:szCs w:val="21"/>
                <w:lang w:eastAsia="zh-CN"/>
              </w:rPr>
              <w:t>氮氧化物</w:t>
            </w:r>
          </w:p>
        </w:tc>
        <w:tc>
          <w:tcPr>
            <w:tcW w:w="1051" w:type="pct"/>
            <w:vAlign w:val="center"/>
          </w:tcPr>
          <w:p w14:paraId="54086FF3">
            <w:pPr>
              <w:jc w:val="center"/>
              <w:rPr>
                <w:sz w:val="21"/>
                <w:szCs w:val="21"/>
              </w:rPr>
            </w:pPr>
            <w:r>
              <w:rPr>
                <w:rFonts w:hint="eastAsia"/>
                <w:bCs/>
                <w:color w:val="auto"/>
                <w:sz w:val="21"/>
                <w:szCs w:val="21"/>
                <w:lang w:val="en-US" w:eastAsia="zh-CN"/>
              </w:rPr>
              <w:t>0.6388</w:t>
            </w:r>
          </w:p>
        </w:tc>
      </w:tr>
      <w:tr w14:paraId="684B24C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01" w:type="pct"/>
            <w:vMerge w:val="continue"/>
            <w:vAlign w:val="center"/>
          </w:tcPr>
          <w:p w14:paraId="0970FF52">
            <w:pPr>
              <w:adjustRightInd w:val="0"/>
              <w:snapToGrid w:val="0"/>
              <w:jc w:val="center"/>
              <w:rPr>
                <w:sz w:val="21"/>
                <w:szCs w:val="21"/>
              </w:rPr>
            </w:pPr>
          </w:p>
        </w:tc>
        <w:tc>
          <w:tcPr>
            <w:tcW w:w="2946" w:type="pct"/>
            <w:gridSpan w:val="3"/>
            <w:vAlign w:val="center"/>
          </w:tcPr>
          <w:p w14:paraId="5B999FBA">
            <w:pPr>
              <w:widowControl/>
              <w:jc w:val="center"/>
              <w:rPr>
                <w:kern w:val="0"/>
                <w:sz w:val="21"/>
                <w:szCs w:val="21"/>
              </w:rPr>
            </w:pPr>
            <w:r>
              <w:rPr>
                <w:rFonts w:hint="eastAsia"/>
                <w:kern w:val="0"/>
                <w:sz w:val="21"/>
                <w:szCs w:val="21"/>
              </w:rPr>
              <w:t>沥青烟</w:t>
            </w:r>
          </w:p>
        </w:tc>
        <w:tc>
          <w:tcPr>
            <w:tcW w:w="1051" w:type="pct"/>
            <w:vAlign w:val="center"/>
          </w:tcPr>
          <w:p w14:paraId="07485091">
            <w:pPr>
              <w:jc w:val="center"/>
              <w:rPr>
                <w:rFonts w:hAnsi="宋体"/>
                <w:snapToGrid w:val="0"/>
                <w:sz w:val="21"/>
                <w:szCs w:val="21"/>
              </w:rPr>
            </w:pPr>
            <w:r>
              <w:rPr>
                <w:rFonts w:hint="eastAsia"/>
                <w:color w:val="auto"/>
                <w:sz w:val="21"/>
                <w:szCs w:val="21"/>
                <w:lang w:val="en-US" w:eastAsia="zh-CN"/>
              </w:rPr>
              <w:t>0.011</w:t>
            </w:r>
          </w:p>
        </w:tc>
      </w:tr>
      <w:tr w14:paraId="7324C2B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01" w:type="pct"/>
            <w:vMerge w:val="continue"/>
            <w:vAlign w:val="center"/>
          </w:tcPr>
          <w:p w14:paraId="4FCA3147">
            <w:pPr>
              <w:adjustRightInd w:val="0"/>
              <w:snapToGrid w:val="0"/>
              <w:jc w:val="center"/>
              <w:rPr>
                <w:sz w:val="21"/>
                <w:szCs w:val="21"/>
              </w:rPr>
            </w:pPr>
          </w:p>
        </w:tc>
        <w:tc>
          <w:tcPr>
            <w:tcW w:w="2946" w:type="pct"/>
            <w:gridSpan w:val="3"/>
            <w:vAlign w:val="center"/>
          </w:tcPr>
          <w:p w14:paraId="122545AA">
            <w:pPr>
              <w:adjustRightInd w:val="0"/>
              <w:snapToGrid w:val="0"/>
              <w:jc w:val="center"/>
              <w:rPr>
                <w:rFonts w:hint="eastAsia" w:eastAsia="宋体"/>
                <w:sz w:val="21"/>
                <w:szCs w:val="21"/>
                <w:lang w:eastAsia="zh-CN"/>
              </w:rPr>
            </w:pPr>
            <w:r>
              <w:rPr>
                <w:rFonts w:hint="eastAsia"/>
                <w:kern w:val="0"/>
                <w:sz w:val="21"/>
                <w:szCs w:val="21"/>
                <w:lang w:eastAsia="zh-CN"/>
              </w:rPr>
              <w:t>苯并</w:t>
            </w:r>
            <w:r>
              <w:rPr>
                <w:rFonts w:hint="eastAsia"/>
                <w:kern w:val="0"/>
                <w:sz w:val="21"/>
                <w:szCs w:val="21"/>
                <w:lang w:val="en-US" w:eastAsia="zh-CN"/>
              </w:rPr>
              <w:t>[a]</w:t>
            </w:r>
            <w:r>
              <w:rPr>
                <w:rFonts w:hint="eastAsia"/>
                <w:kern w:val="0"/>
                <w:sz w:val="21"/>
                <w:szCs w:val="21"/>
                <w:lang w:eastAsia="zh-CN"/>
              </w:rPr>
              <w:t>芘</w:t>
            </w:r>
          </w:p>
        </w:tc>
        <w:tc>
          <w:tcPr>
            <w:tcW w:w="1051" w:type="pct"/>
            <w:vAlign w:val="center"/>
          </w:tcPr>
          <w:p w14:paraId="3EE414C9">
            <w:pPr>
              <w:jc w:val="center"/>
              <w:rPr>
                <w:rFonts w:hAnsi="宋体"/>
                <w:snapToGrid w:val="0"/>
                <w:sz w:val="21"/>
                <w:szCs w:val="21"/>
              </w:rPr>
            </w:pPr>
            <w:r>
              <w:rPr>
                <w:rFonts w:hint="eastAsia"/>
                <w:color w:val="auto"/>
                <w:sz w:val="21"/>
                <w:szCs w:val="21"/>
                <w:lang w:val="en-US" w:eastAsia="zh-CN"/>
              </w:rPr>
              <w:t>0.00003</w:t>
            </w:r>
          </w:p>
        </w:tc>
      </w:tr>
      <w:tr w14:paraId="0E92641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01" w:type="pct"/>
            <w:vMerge w:val="continue"/>
            <w:vAlign w:val="center"/>
          </w:tcPr>
          <w:p w14:paraId="748765CA">
            <w:pPr>
              <w:adjustRightInd w:val="0"/>
              <w:snapToGrid w:val="0"/>
              <w:jc w:val="center"/>
              <w:rPr>
                <w:sz w:val="21"/>
                <w:szCs w:val="21"/>
              </w:rPr>
            </w:pPr>
          </w:p>
        </w:tc>
        <w:tc>
          <w:tcPr>
            <w:tcW w:w="2946" w:type="pct"/>
            <w:gridSpan w:val="3"/>
            <w:vAlign w:val="center"/>
          </w:tcPr>
          <w:p w14:paraId="4E70CC9F">
            <w:pPr>
              <w:adjustRightInd w:val="0"/>
              <w:snapToGrid w:val="0"/>
              <w:jc w:val="center"/>
              <w:rPr>
                <w:rFonts w:hint="eastAsia"/>
                <w:kern w:val="0"/>
                <w:sz w:val="21"/>
                <w:szCs w:val="21"/>
                <w:lang w:eastAsia="zh-CN"/>
              </w:rPr>
            </w:pPr>
            <w:r>
              <w:rPr>
                <w:rFonts w:hint="eastAsia"/>
                <w:kern w:val="0"/>
                <w:sz w:val="21"/>
                <w:szCs w:val="21"/>
                <w:lang w:eastAsia="zh-CN"/>
              </w:rPr>
              <w:t>非甲烷总烃</w:t>
            </w:r>
          </w:p>
        </w:tc>
        <w:tc>
          <w:tcPr>
            <w:tcW w:w="1051" w:type="pct"/>
            <w:vAlign w:val="center"/>
          </w:tcPr>
          <w:p w14:paraId="2E861776">
            <w:pPr>
              <w:jc w:val="center"/>
              <w:rPr>
                <w:rFonts w:hint="eastAsia"/>
                <w:spacing w:val="6"/>
                <w:sz w:val="21"/>
                <w:szCs w:val="21"/>
              </w:rPr>
            </w:pPr>
            <w:r>
              <w:rPr>
                <w:rFonts w:hint="eastAsia"/>
                <w:color w:val="auto"/>
                <w:sz w:val="21"/>
                <w:szCs w:val="21"/>
                <w:lang w:val="en-US" w:eastAsia="zh-CN"/>
              </w:rPr>
              <w:t>0.007</w:t>
            </w:r>
          </w:p>
        </w:tc>
      </w:tr>
    </w:tbl>
    <w:p w14:paraId="5EC60C15">
      <w:pPr>
        <w:spacing w:line="240" w:lineRule="atLeast"/>
        <w:jc w:val="center"/>
        <w:rPr>
          <w:b/>
          <w:spacing w:val="4"/>
          <w:szCs w:val="21"/>
        </w:rPr>
      </w:pPr>
      <w:r>
        <w:rPr>
          <w:rFonts w:hint="eastAsia"/>
          <w:b/>
          <w:spacing w:val="4"/>
          <w:szCs w:val="21"/>
        </w:rPr>
        <w:t>表10   大气污染物无组织排放量核算表</w:t>
      </w:r>
    </w:p>
    <w:tbl>
      <w:tblPr>
        <w:tblStyle w:val="47"/>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26"/>
        <w:gridCol w:w="1304"/>
        <w:gridCol w:w="846"/>
        <w:gridCol w:w="1830"/>
        <w:gridCol w:w="1816"/>
        <w:gridCol w:w="1557"/>
        <w:gridCol w:w="938"/>
      </w:tblGrid>
      <w:tr w14:paraId="562C8B7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79" w:type="pct"/>
            <w:vMerge w:val="restart"/>
            <w:vAlign w:val="center"/>
          </w:tcPr>
          <w:p w14:paraId="2EA91D85">
            <w:pPr>
              <w:adjustRightInd w:val="0"/>
              <w:snapToGrid w:val="0"/>
              <w:jc w:val="center"/>
              <w:rPr>
                <w:szCs w:val="21"/>
              </w:rPr>
            </w:pPr>
            <w:r>
              <w:rPr>
                <w:rFonts w:hint="eastAsia"/>
                <w:szCs w:val="21"/>
              </w:rPr>
              <w:t>序号</w:t>
            </w:r>
          </w:p>
        </w:tc>
        <w:tc>
          <w:tcPr>
            <w:tcW w:w="825" w:type="pct"/>
            <w:vMerge w:val="restart"/>
            <w:vAlign w:val="center"/>
          </w:tcPr>
          <w:p w14:paraId="5B3F34CC">
            <w:pPr>
              <w:adjustRightInd w:val="0"/>
              <w:snapToGrid w:val="0"/>
              <w:jc w:val="center"/>
              <w:rPr>
                <w:szCs w:val="21"/>
              </w:rPr>
            </w:pPr>
            <w:r>
              <w:rPr>
                <w:rFonts w:hint="eastAsia"/>
                <w:szCs w:val="21"/>
              </w:rPr>
              <w:t>产污环节</w:t>
            </w:r>
          </w:p>
        </w:tc>
        <w:tc>
          <w:tcPr>
            <w:tcW w:w="539" w:type="pct"/>
            <w:vMerge w:val="restart"/>
            <w:vAlign w:val="center"/>
          </w:tcPr>
          <w:p w14:paraId="7A8204DA">
            <w:pPr>
              <w:adjustRightInd w:val="0"/>
              <w:snapToGrid w:val="0"/>
              <w:jc w:val="center"/>
              <w:rPr>
                <w:szCs w:val="21"/>
              </w:rPr>
            </w:pPr>
            <w:r>
              <w:rPr>
                <w:rFonts w:hint="eastAsia"/>
                <w:szCs w:val="21"/>
              </w:rPr>
              <w:t>污染物</w:t>
            </w:r>
          </w:p>
        </w:tc>
        <w:tc>
          <w:tcPr>
            <w:tcW w:w="1105" w:type="pct"/>
            <w:vMerge w:val="restart"/>
            <w:vAlign w:val="center"/>
          </w:tcPr>
          <w:p w14:paraId="342D1251">
            <w:pPr>
              <w:adjustRightInd w:val="0"/>
              <w:snapToGrid w:val="0"/>
              <w:jc w:val="center"/>
              <w:rPr>
                <w:szCs w:val="21"/>
              </w:rPr>
            </w:pPr>
            <w:r>
              <w:rPr>
                <w:rFonts w:hint="eastAsia"/>
                <w:szCs w:val="21"/>
              </w:rPr>
              <w:t>主要防治措施</w:t>
            </w:r>
          </w:p>
        </w:tc>
        <w:tc>
          <w:tcPr>
            <w:tcW w:w="1657" w:type="pct"/>
            <w:gridSpan w:val="2"/>
            <w:vAlign w:val="center"/>
          </w:tcPr>
          <w:p w14:paraId="2B7A3747">
            <w:pPr>
              <w:adjustRightInd w:val="0"/>
              <w:snapToGrid w:val="0"/>
              <w:jc w:val="center"/>
              <w:rPr>
                <w:szCs w:val="21"/>
              </w:rPr>
            </w:pPr>
            <w:r>
              <w:rPr>
                <w:rFonts w:hint="eastAsia"/>
                <w:szCs w:val="21"/>
              </w:rPr>
              <w:t>国家或地方污染物排放标准</w:t>
            </w:r>
          </w:p>
        </w:tc>
        <w:tc>
          <w:tcPr>
            <w:tcW w:w="592" w:type="pct"/>
            <w:vMerge w:val="restart"/>
            <w:vAlign w:val="center"/>
          </w:tcPr>
          <w:p w14:paraId="020A9E54">
            <w:pPr>
              <w:adjustRightInd w:val="0"/>
              <w:snapToGrid w:val="0"/>
              <w:jc w:val="center"/>
              <w:rPr>
                <w:szCs w:val="21"/>
              </w:rPr>
            </w:pPr>
            <w:r>
              <w:rPr>
                <w:rFonts w:hint="eastAsia"/>
                <w:szCs w:val="21"/>
              </w:rPr>
              <w:t>年排放量</w:t>
            </w:r>
          </w:p>
          <w:p w14:paraId="6003CCE1">
            <w:pPr>
              <w:adjustRightInd w:val="0"/>
              <w:snapToGrid w:val="0"/>
              <w:jc w:val="center"/>
              <w:rPr>
                <w:szCs w:val="21"/>
              </w:rPr>
            </w:pPr>
            <w:r>
              <w:rPr>
                <w:rFonts w:hint="eastAsia"/>
                <w:szCs w:val="21"/>
              </w:rPr>
              <w:t>（</w:t>
            </w:r>
            <w:r>
              <w:rPr>
                <w:szCs w:val="21"/>
              </w:rPr>
              <w:t>t/a</w:t>
            </w:r>
            <w:r>
              <w:rPr>
                <w:rFonts w:hint="eastAsia"/>
                <w:szCs w:val="21"/>
              </w:rPr>
              <w:t>）</w:t>
            </w:r>
          </w:p>
        </w:tc>
      </w:tr>
      <w:tr w14:paraId="62EC409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79" w:type="pct"/>
            <w:vMerge w:val="continue"/>
            <w:vAlign w:val="center"/>
          </w:tcPr>
          <w:p w14:paraId="57424D08">
            <w:pPr>
              <w:adjustRightInd w:val="0"/>
              <w:snapToGrid w:val="0"/>
              <w:jc w:val="center"/>
              <w:rPr>
                <w:szCs w:val="21"/>
              </w:rPr>
            </w:pPr>
          </w:p>
        </w:tc>
        <w:tc>
          <w:tcPr>
            <w:tcW w:w="825" w:type="pct"/>
            <w:vMerge w:val="continue"/>
            <w:vAlign w:val="center"/>
          </w:tcPr>
          <w:p w14:paraId="291C3407">
            <w:pPr>
              <w:adjustRightInd w:val="0"/>
              <w:snapToGrid w:val="0"/>
              <w:jc w:val="center"/>
              <w:rPr>
                <w:szCs w:val="21"/>
              </w:rPr>
            </w:pPr>
          </w:p>
        </w:tc>
        <w:tc>
          <w:tcPr>
            <w:tcW w:w="539" w:type="pct"/>
            <w:vMerge w:val="continue"/>
            <w:vAlign w:val="center"/>
          </w:tcPr>
          <w:p w14:paraId="24885F0E">
            <w:pPr>
              <w:adjustRightInd w:val="0"/>
              <w:snapToGrid w:val="0"/>
              <w:jc w:val="center"/>
              <w:rPr>
                <w:szCs w:val="21"/>
              </w:rPr>
            </w:pPr>
          </w:p>
        </w:tc>
        <w:tc>
          <w:tcPr>
            <w:tcW w:w="1105" w:type="pct"/>
            <w:vMerge w:val="continue"/>
            <w:vAlign w:val="center"/>
          </w:tcPr>
          <w:p w14:paraId="7F5C4F27">
            <w:pPr>
              <w:adjustRightInd w:val="0"/>
              <w:snapToGrid w:val="0"/>
              <w:jc w:val="center"/>
              <w:rPr>
                <w:szCs w:val="21"/>
              </w:rPr>
            </w:pPr>
          </w:p>
        </w:tc>
        <w:tc>
          <w:tcPr>
            <w:tcW w:w="709" w:type="pct"/>
            <w:vAlign w:val="center"/>
          </w:tcPr>
          <w:p w14:paraId="607C32F4">
            <w:pPr>
              <w:adjustRightInd w:val="0"/>
              <w:snapToGrid w:val="0"/>
              <w:jc w:val="center"/>
              <w:rPr>
                <w:szCs w:val="21"/>
              </w:rPr>
            </w:pPr>
            <w:r>
              <w:rPr>
                <w:rFonts w:hint="eastAsia"/>
                <w:szCs w:val="21"/>
              </w:rPr>
              <w:t>标准名称</w:t>
            </w:r>
          </w:p>
        </w:tc>
        <w:tc>
          <w:tcPr>
            <w:tcW w:w="947" w:type="pct"/>
            <w:vAlign w:val="center"/>
          </w:tcPr>
          <w:p w14:paraId="18ED243A">
            <w:pPr>
              <w:adjustRightInd w:val="0"/>
              <w:snapToGrid w:val="0"/>
              <w:jc w:val="center"/>
              <w:rPr>
                <w:szCs w:val="21"/>
              </w:rPr>
            </w:pPr>
            <w:r>
              <w:rPr>
                <w:rFonts w:hint="eastAsia"/>
                <w:szCs w:val="21"/>
              </w:rPr>
              <w:t>浓度限值（m</w:t>
            </w:r>
            <w:r>
              <w:rPr>
                <w:szCs w:val="21"/>
              </w:rPr>
              <w:t>g/m</w:t>
            </w:r>
            <w:r>
              <w:rPr>
                <w:szCs w:val="21"/>
                <w:vertAlign w:val="superscript"/>
              </w:rPr>
              <w:t>3</w:t>
            </w:r>
            <w:r>
              <w:rPr>
                <w:rFonts w:hint="eastAsia"/>
                <w:szCs w:val="21"/>
              </w:rPr>
              <w:t>）</w:t>
            </w:r>
          </w:p>
        </w:tc>
        <w:tc>
          <w:tcPr>
            <w:tcW w:w="592" w:type="pct"/>
            <w:vMerge w:val="continue"/>
            <w:vAlign w:val="center"/>
          </w:tcPr>
          <w:p w14:paraId="1059F427">
            <w:pPr>
              <w:adjustRightInd w:val="0"/>
              <w:snapToGrid w:val="0"/>
              <w:jc w:val="center"/>
              <w:rPr>
                <w:szCs w:val="21"/>
              </w:rPr>
            </w:pPr>
          </w:p>
        </w:tc>
      </w:tr>
      <w:tr w14:paraId="7B298BD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85" w:hRule="atLeast"/>
          <w:jc w:val="center"/>
        </w:trPr>
        <w:tc>
          <w:tcPr>
            <w:tcW w:w="279" w:type="pct"/>
            <w:vAlign w:val="center"/>
          </w:tcPr>
          <w:p w14:paraId="3B52EC4C">
            <w:pPr>
              <w:adjustRightInd w:val="0"/>
              <w:snapToGrid w:val="0"/>
              <w:jc w:val="center"/>
              <w:rPr>
                <w:szCs w:val="21"/>
              </w:rPr>
            </w:pPr>
            <w:r>
              <w:rPr>
                <w:rFonts w:hint="eastAsia"/>
                <w:szCs w:val="21"/>
              </w:rPr>
              <w:t>1</w:t>
            </w:r>
          </w:p>
        </w:tc>
        <w:tc>
          <w:tcPr>
            <w:tcW w:w="825" w:type="pct"/>
            <w:vAlign w:val="center"/>
          </w:tcPr>
          <w:p w14:paraId="2B0627AB">
            <w:pPr>
              <w:adjustRightInd w:val="0"/>
              <w:snapToGrid w:val="0"/>
              <w:jc w:val="center"/>
              <w:rPr>
                <w:rFonts w:hint="eastAsia" w:eastAsia="宋体"/>
                <w:szCs w:val="21"/>
                <w:lang w:eastAsia="zh-CN"/>
              </w:rPr>
            </w:pPr>
            <w:r>
              <w:rPr>
                <w:rFonts w:hint="eastAsia"/>
                <w:szCs w:val="21"/>
                <w:lang w:eastAsia="zh-CN"/>
              </w:rPr>
              <w:t>储料库</w:t>
            </w:r>
          </w:p>
        </w:tc>
        <w:tc>
          <w:tcPr>
            <w:tcW w:w="539" w:type="pct"/>
            <w:vAlign w:val="center"/>
          </w:tcPr>
          <w:p w14:paraId="496ED452">
            <w:pPr>
              <w:adjustRightInd w:val="0"/>
              <w:snapToGrid w:val="0"/>
              <w:jc w:val="center"/>
              <w:rPr>
                <w:szCs w:val="21"/>
              </w:rPr>
            </w:pPr>
            <w:r>
              <w:rPr>
                <w:rFonts w:hint="eastAsia"/>
                <w:szCs w:val="21"/>
              </w:rPr>
              <w:t>颗粒物</w:t>
            </w:r>
          </w:p>
        </w:tc>
        <w:tc>
          <w:tcPr>
            <w:tcW w:w="1105" w:type="pct"/>
            <w:vAlign w:val="center"/>
          </w:tcPr>
          <w:p w14:paraId="1787CFD4">
            <w:pPr>
              <w:adjustRightInd w:val="0"/>
              <w:snapToGrid w:val="0"/>
              <w:jc w:val="center"/>
              <w:rPr>
                <w:szCs w:val="21"/>
              </w:rPr>
            </w:pPr>
            <w:r>
              <w:rPr>
                <w:rFonts w:hint="eastAsia"/>
                <w:bCs/>
                <w:spacing w:val="-8"/>
                <w:szCs w:val="21"/>
              </w:rPr>
              <w:t>封闭式原料库，及时清扫地面，洒水降尘，加强装卸管理，尽量降低装卸高度</w:t>
            </w:r>
          </w:p>
        </w:tc>
        <w:tc>
          <w:tcPr>
            <w:tcW w:w="709" w:type="pct"/>
            <w:vAlign w:val="center"/>
          </w:tcPr>
          <w:p w14:paraId="2382E5CB">
            <w:pPr>
              <w:adjustRightInd w:val="0"/>
              <w:snapToGrid w:val="0"/>
              <w:jc w:val="center"/>
              <w:rPr>
                <w:szCs w:val="21"/>
              </w:rPr>
            </w:pPr>
            <w:r>
              <w:rPr>
                <w:rFonts w:hint="eastAsia"/>
                <w:bCs/>
                <w:spacing w:val="-8"/>
                <w:szCs w:val="21"/>
              </w:rPr>
              <w:t>《大气污染物综合排放标准》（GB16297-1996）表2无组织排放限值</w:t>
            </w:r>
          </w:p>
        </w:tc>
        <w:tc>
          <w:tcPr>
            <w:tcW w:w="947" w:type="pct"/>
            <w:vAlign w:val="center"/>
          </w:tcPr>
          <w:p w14:paraId="3BE527E5">
            <w:pPr>
              <w:jc w:val="center"/>
              <w:rPr>
                <w:szCs w:val="21"/>
              </w:rPr>
            </w:pPr>
            <w:r>
              <w:rPr>
                <w:rFonts w:hint="eastAsia"/>
                <w:szCs w:val="21"/>
              </w:rPr>
              <w:t>1.0</w:t>
            </w:r>
          </w:p>
        </w:tc>
        <w:tc>
          <w:tcPr>
            <w:tcW w:w="592" w:type="pct"/>
            <w:vAlign w:val="center"/>
          </w:tcPr>
          <w:p w14:paraId="423B1078">
            <w:pPr>
              <w:tabs>
                <w:tab w:val="left" w:pos="5880"/>
              </w:tabs>
              <w:snapToGrid w:val="0"/>
              <w:jc w:val="center"/>
              <w:rPr>
                <w:rFonts w:hint="eastAsia" w:hAnsi="宋体" w:eastAsia="宋体"/>
                <w:snapToGrid w:val="0"/>
                <w:szCs w:val="21"/>
                <w:lang w:val="en-US" w:eastAsia="zh-CN"/>
              </w:rPr>
            </w:pPr>
            <w:r>
              <w:rPr>
                <w:rFonts w:hint="eastAsia" w:hAnsi="宋体"/>
                <w:snapToGrid w:val="0"/>
                <w:szCs w:val="21"/>
              </w:rPr>
              <w:t>0.0</w:t>
            </w:r>
            <w:r>
              <w:rPr>
                <w:rFonts w:hint="eastAsia" w:hAnsi="宋体"/>
                <w:snapToGrid w:val="0"/>
                <w:szCs w:val="21"/>
                <w:lang w:val="en-US" w:eastAsia="zh-CN"/>
              </w:rPr>
              <w:t>1</w:t>
            </w:r>
          </w:p>
        </w:tc>
      </w:tr>
      <w:tr w14:paraId="17D8DBF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01" w:hRule="atLeast"/>
          <w:jc w:val="center"/>
        </w:trPr>
        <w:tc>
          <w:tcPr>
            <w:tcW w:w="5000" w:type="pct"/>
            <w:gridSpan w:val="7"/>
            <w:vAlign w:val="center"/>
          </w:tcPr>
          <w:p w14:paraId="31F3DB56">
            <w:pPr>
              <w:adjustRightInd w:val="0"/>
              <w:snapToGrid w:val="0"/>
              <w:jc w:val="center"/>
              <w:rPr>
                <w:szCs w:val="21"/>
              </w:rPr>
            </w:pPr>
            <w:r>
              <w:rPr>
                <w:rFonts w:hint="eastAsia"/>
                <w:szCs w:val="21"/>
              </w:rPr>
              <w:t>无组织排放总计</w:t>
            </w:r>
          </w:p>
        </w:tc>
      </w:tr>
      <w:tr w14:paraId="558F168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645" w:type="pct"/>
            <w:gridSpan w:val="3"/>
            <w:vAlign w:val="center"/>
          </w:tcPr>
          <w:p w14:paraId="11DCF07D">
            <w:pPr>
              <w:adjustRightInd w:val="0"/>
              <w:snapToGrid w:val="0"/>
              <w:jc w:val="center"/>
              <w:rPr>
                <w:szCs w:val="21"/>
              </w:rPr>
            </w:pPr>
            <w:r>
              <w:rPr>
                <w:rFonts w:hint="eastAsia"/>
                <w:szCs w:val="21"/>
              </w:rPr>
              <w:t>无组织排放合计</w:t>
            </w:r>
          </w:p>
        </w:tc>
        <w:tc>
          <w:tcPr>
            <w:tcW w:w="1105" w:type="pct"/>
            <w:vAlign w:val="center"/>
          </w:tcPr>
          <w:p w14:paraId="1A12E4C9">
            <w:pPr>
              <w:adjustRightInd w:val="0"/>
              <w:snapToGrid w:val="0"/>
              <w:jc w:val="center"/>
              <w:rPr>
                <w:szCs w:val="21"/>
              </w:rPr>
            </w:pPr>
            <w:r>
              <w:rPr>
                <w:rFonts w:hint="eastAsia"/>
                <w:szCs w:val="21"/>
              </w:rPr>
              <w:t>颗粒物</w:t>
            </w:r>
          </w:p>
        </w:tc>
        <w:tc>
          <w:tcPr>
            <w:tcW w:w="2249" w:type="pct"/>
            <w:gridSpan w:val="3"/>
            <w:vAlign w:val="center"/>
          </w:tcPr>
          <w:p w14:paraId="305BD646">
            <w:pPr>
              <w:adjustRightInd w:val="0"/>
              <w:snapToGrid w:val="0"/>
              <w:jc w:val="center"/>
              <w:rPr>
                <w:szCs w:val="21"/>
              </w:rPr>
            </w:pPr>
            <w:r>
              <w:rPr>
                <w:rFonts w:hint="eastAsia"/>
                <w:szCs w:val="21"/>
              </w:rPr>
              <w:t>0.0</w:t>
            </w:r>
            <w:r>
              <w:rPr>
                <w:rFonts w:hint="eastAsia"/>
                <w:szCs w:val="21"/>
                <w:lang w:val="en-US" w:eastAsia="zh-CN"/>
              </w:rPr>
              <w:t>1t</w:t>
            </w:r>
            <w:r>
              <w:rPr>
                <w:szCs w:val="21"/>
              </w:rPr>
              <w:t>/a</w:t>
            </w:r>
          </w:p>
        </w:tc>
      </w:tr>
    </w:tbl>
    <w:p w14:paraId="26B33894">
      <w:pPr>
        <w:spacing w:line="240" w:lineRule="atLeast"/>
        <w:jc w:val="center"/>
        <w:rPr>
          <w:b/>
          <w:spacing w:val="4"/>
          <w:szCs w:val="21"/>
        </w:rPr>
      </w:pPr>
      <w:r>
        <w:rPr>
          <w:rFonts w:hint="eastAsia"/>
          <w:b/>
          <w:spacing w:val="4"/>
          <w:szCs w:val="21"/>
        </w:rPr>
        <w:t xml:space="preserve">表11 </w:t>
      </w:r>
      <w:r>
        <w:rPr>
          <w:b/>
          <w:spacing w:val="4"/>
          <w:szCs w:val="21"/>
        </w:rPr>
        <w:t xml:space="preserve">  </w:t>
      </w:r>
      <w:r>
        <w:rPr>
          <w:rFonts w:hint="eastAsia"/>
          <w:b/>
          <w:spacing w:val="4"/>
          <w:szCs w:val="21"/>
        </w:rPr>
        <w:t>项目大气污染物年排放量核算表</w:t>
      </w:r>
    </w:p>
    <w:tbl>
      <w:tblPr>
        <w:tblStyle w:val="47"/>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201"/>
        <w:gridCol w:w="3333"/>
        <w:gridCol w:w="3183"/>
      </w:tblGrid>
      <w:tr w14:paraId="15197B3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0" w:hRule="atLeast"/>
          <w:jc w:val="center"/>
        </w:trPr>
        <w:tc>
          <w:tcPr>
            <w:tcW w:w="1262" w:type="pct"/>
            <w:vAlign w:val="center"/>
          </w:tcPr>
          <w:p w14:paraId="4122A350">
            <w:pPr>
              <w:adjustRightInd w:val="0"/>
              <w:snapToGrid w:val="0"/>
              <w:jc w:val="center"/>
              <w:rPr>
                <w:szCs w:val="21"/>
              </w:rPr>
            </w:pPr>
            <w:bookmarkStart w:id="16" w:name="_Hlk528166835"/>
            <w:r>
              <w:rPr>
                <w:rFonts w:hint="eastAsia"/>
                <w:szCs w:val="21"/>
              </w:rPr>
              <w:t>序号</w:t>
            </w:r>
          </w:p>
        </w:tc>
        <w:tc>
          <w:tcPr>
            <w:tcW w:w="1911" w:type="pct"/>
            <w:vAlign w:val="center"/>
          </w:tcPr>
          <w:p w14:paraId="4E9930E6">
            <w:pPr>
              <w:adjustRightInd w:val="0"/>
              <w:snapToGrid w:val="0"/>
              <w:jc w:val="center"/>
              <w:rPr>
                <w:szCs w:val="21"/>
              </w:rPr>
            </w:pPr>
            <w:r>
              <w:rPr>
                <w:rFonts w:hint="eastAsia"/>
                <w:szCs w:val="21"/>
              </w:rPr>
              <w:t>污染物</w:t>
            </w:r>
          </w:p>
        </w:tc>
        <w:tc>
          <w:tcPr>
            <w:tcW w:w="1825" w:type="pct"/>
            <w:vAlign w:val="center"/>
          </w:tcPr>
          <w:p w14:paraId="7CE973F5">
            <w:pPr>
              <w:adjustRightInd w:val="0"/>
              <w:snapToGrid w:val="0"/>
              <w:jc w:val="center"/>
              <w:rPr>
                <w:szCs w:val="21"/>
              </w:rPr>
            </w:pPr>
            <w:r>
              <w:rPr>
                <w:rFonts w:hint="eastAsia"/>
                <w:szCs w:val="21"/>
              </w:rPr>
              <w:t>年排放量（t/a）</w:t>
            </w:r>
          </w:p>
        </w:tc>
      </w:tr>
      <w:bookmarkEnd w:id="16"/>
      <w:tr w14:paraId="3D2AD53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0" w:hRule="atLeast"/>
          <w:jc w:val="center"/>
        </w:trPr>
        <w:tc>
          <w:tcPr>
            <w:tcW w:w="1262" w:type="pct"/>
            <w:vAlign w:val="center"/>
          </w:tcPr>
          <w:p w14:paraId="6B52C72E">
            <w:pPr>
              <w:adjustRightInd w:val="0"/>
              <w:snapToGrid w:val="0"/>
              <w:jc w:val="center"/>
              <w:rPr>
                <w:szCs w:val="21"/>
              </w:rPr>
            </w:pPr>
            <w:r>
              <w:rPr>
                <w:rFonts w:hint="eastAsia"/>
                <w:szCs w:val="21"/>
              </w:rPr>
              <w:t>1</w:t>
            </w:r>
          </w:p>
        </w:tc>
        <w:tc>
          <w:tcPr>
            <w:tcW w:w="3333" w:type="dxa"/>
            <w:vAlign w:val="center"/>
          </w:tcPr>
          <w:p w14:paraId="0C4E9302">
            <w:pPr>
              <w:adjustRightInd w:val="0"/>
              <w:snapToGrid w:val="0"/>
              <w:jc w:val="center"/>
              <w:rPr>
                <w:szCs w:val="21"/>
              </w:rPr>
            </w:pPr>
            <w:r>
              <w:rPr>
                <w:rFonts w:hint="eastAsia"/>
                <w:sz w:val="21"/>
                <w:szCs w:val="21"/>
              </w:rPr>
              <w:t>颗粒物</w:t>
            </w:r>
          </w:p>
        </w:tc>
        <w:tc>
          <w:tcPr>
            <w:tcW w:w="3183" w:type="dxa"/>
            <w:vAlign w:val="center"/>
          </w:tcPr>
          <w:p w14:paraId="7B2FF9B7">
            <w:pPr>
              <w:jc w:val="center"/>
              <w:rPr>
                <w:szCs w:val="21"/>
              </w:rPr>
            </w:pPr>
            <w:r>
              <w:rPr>
                <w:rFonts w:hint="eastAsia"/>
                <w:bCs/>
                <w:color w:val="auto"/>
                <w:sz w:val="21"/>
                <w:szCs w:val="21"/>
                <w:lang w:val="en-US" w:eastAsia="zh-CN"/>
              </w:rPr>
              <w:t>2.7149</w:t>
            </w:r>
          </w:p>
        </w:tc>
      </w:tr>
      <w:tr w14:paraId="45AA975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0" w:hRule="atLeast"/>
          <w:jc w:val="center"/>
        </w:trPr>
        <w:tc>
          <w:tcPr>
            <w:tcW w:w="1262" w:type="pct"/>
            <w:vAlign w:val="center"/>
          </w:tcPr>
          <w:p w14:paraId="7DD2FB9C">
            <w:pPr>
              <w:adjustRightInd w:val="0"/>
              <w:snapToGrid w:val="0"/>
              <w:jc w:val="center"/>
              <w:rPr>
                <w:szCs w:val="21"/>
              </w:rPr>
            </w:pPr>
            <w:r>
              <w:rPr>
                <w:rFonts w:hint="eastAsia"/>
                <w:szCs w:val="21"/>
              </w:rPr>
              <w:t>2</w:t>
            </w:r>
          </w:p>
        </w:tc>
        <w:tc>
          <w:tcPr>
            <w:tcW w:w="3333" w:type="dxa"/>
            <w:vAlign w:val="center"/>
          </w:tcPr>
          <w:p w14:paraId="79FBF957">
            <w:pPr>
              <w:widowControl/>
              <w:jc w:val="center"/>
              <w:rPr>
                <w:kern w:val="0"/>
                <w:szCs w:val="21"/>
              </w:rPr>
            </w:pPr>
            <w:r>
              <w:rPr>
                <w:rFonts w:hint="eastAsia"/>
                <w:kern w:val="0"/>
                <w:sz w:val="21"/>
                <w:szCs w:val="21"/>
                <w:lang w:eastAsia="zh-CN"/>
              </w:rPr>
              <w:t>二氧化硫</w:t>
            </w:r>
          </w:p>
        </w:tc>
        <w:tc>
          <w:tcPr>
            <w:tcW w:w="3183" w:type="dxa"/>
            <w:vAlign w:val="center"/>
          </w:tcPr>
          <w:p w14:paraId="0A456431">
            <w:pPr>
              <w:jc w:val="center"/>
              <w:rPr>
                <w:szCs w:val="21"/>
              </w:rPr>
            </w:pPr>
            <w:r>
              <w:rPr>
                <w:rFonts w:hint="eastAsia"/>
                <w:bCs/>
                <w:color w:val="auto"/>
                <w:sz w:val="21"/>
                <w:szCs w:val="21"/>
                <w:lang w:val="en-US" w:eastAsia="zh-CN"/>
              </w:rPr>
              <w:t>0.0046</w:t>
            </w:r>
          </w:p>
        </w:tc>
      </w:tr>
      <w:tr w14:paraId="01D02A9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0" w:hRule="atLeast"/>
          <w:jc w:val="center"/>
        </w:trPr>
        <w:tc>
          <w:tcPr>
            <w:tcW w:w="1262" w:type="pct"/>
            <w:vAlign w:val="center"/>
          </w:tcPr>
          <w:p w14:paraId="41B1AC4D">
            <w:pPr>
              <w:adjustRightInd w:val="0"/>
              <w:snapToGrid w:val="0"/>
              <w:jc w:val="center"/>
              <w:rPr>
                <w:szCs w:val="21"/>
              </w:rPr>
            </w:pPr>
            <w:r>
              <w:rPr>
                <w:rFonts w:hint="eastAsia"/>
                <w:szCs w:val="21"/>
              </w:rPr>
              <w:t>3</w:t>
            </w:r>
          </w:p>
        </w:tc>
        <w:tc>
          <w:tcPr>
            <w:tcW w:w="3333" w:type="dxa"/>
            <w:vAlign w:val="center"/>
          </w:tcPr>
          <w:p w14:paraId="75E6D7D5">
            <w:pPr>
              <w:widowControl/>
              <w:jc w:val="center"/>
              <w:rPr>
                <w:kern w:val="0"/>
                <w:szCs w:val="21"/>
              </w:rPr>
            </w:pPr>
            <w:r>
              <w:rPr>
                <w:rFonts w:hint="eastAsia"/>
                <w:kern w:val="0"/>
                <w:sz w:val="21"/>
                <w:szCs w:val="21"/>
                <w:lang w:eastAsia="zh-CN"/>
              </w:rPr>
              <w:t>氮氧化物</w:t>
            </w:r>
          </w:p>
        </w:tc>
        <w:tc>
          <w:tcPr>
            <w:tcW w:w="3183" w:type="dxa"/>
            <w:vAlign w:val="center"/>
          </w:tcPr>
          <w:p w14:paraId="57FCC3E8">
            <w:pPr>
              <w:jc w:val="center"/>
              <w:rPr>
                <w:szCs w:val="21"/>
              </w:rPr>
            </w:pPr>
            <w:r>
              <w:rPr>
                <w:rFonts w:hint="eastAsia"/>
                <w:bCs/>
                <w:color w:val="auto"/>
                <w:sz w:val="21"/>
                <w:szCs w:val="21"/>
                <w:lang w:val="en-US" w:eastAsia="zh-CN"/>
              </w:rPr>
              <w:t>0.6388</w:t>
            </w:r>
          </w:p>
        </w:tc>
      </w:tr>
      <w:tr w14:paraId="03D309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0" w:hRule="atLeast"/>
          <w:jc w:val="center"/>
        </w:trPr>
        <w:tc>
          <w:tcPr>
            <w:tcW w:w="1262" w:type="pct"/>
            <w:vAlign w:val="center"/>
          </w:tcPr>
          <w:p w14:paraId="10194F54">
            <w:pPr>
              <w:adjustRightInd w:val="0"/>
              <w:snapToGrid w:val="0"/>
              <w:jc w:val="center"/>
              <w:rPr>
                <w:szCs w:val="21"/>
              </w:rPr>
            </w:pPr>
            <w:r>
              <w:rPr>
                <w:rFonts w:hint="eastAsia"/>
                <w:szCs w:val="21"/>
              </w:rPr>
              <w:t>4</w:t>
            </w:r>
          </w:p>
        </w:tc>
        <w:tc>
          <w:tcPr>
            <w:tcW w:w="3333" w:type="dxa"/>
            <w:vAlign w:val="center"/>
          </w:tcPr>
          <w:p w14:paraId="5356308E">
            <w:pPr>
              <w:widowControl/>
              <w:jc w:val="center"/>
              <w:rPr>
                <w:kern w:val="0"/>
                <w:szCs w:val="21"/>
              </w:rPr>
            </w:pPr>
            <w:r>
              <w:rPr>
                <w:rFonts w:hint="eastAsia"/>
                <w:kern w:val="0"/>
                <w:sz w:val="21"/>
                <w:szCs w:val="21"/>
              </w:rPr>
              <w:t>沥青烟</w:t>
            </w:r>
          </w:p>
        </w:tc>
        <w:tc>
          <w:tcPr>
            <w:tcW w:w="3183" w:type="dxa"/>
            <w:vAlign w:val="center"/>
          </w:tcPr>
          <w:p w14:paraId="442A32DC">
            <w:pPr>
              <w:jc w:val="center"/>
              <w:rPr>
                <w:rFonts w:hAnsi="宋体"/>
                <w:snapToGrid w:val="0"/>
                <w:szCs w:val="21"/>
              </w:rPr>
            </w:pPr>
            <w:r>
              <w:rPr>
                <w:rFonts w:hint="eastAsia"/>
                <w:color w:val="auto"/>
                <w:sz w:val="21"/>
                <w:szCs w:val="21"/>
                <w:lang w:val="en-US" w:eastAsia="zh-CN"/>
              </w:rPr>
              <w:t>0.011</w:t>
            </w:r>
          </w:p>
        </w:tc>
      </w:tr>
      <w:tr w14:paraId="22EDF2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0" w:hRule="atLeast"/>
          <w:jc w:val="center"/>
        </w:trPr>
        <w:tc>
          <w:tcPr>
            <w:tcW w:w="1262" w:type="pct"/>
            <w:vAlign w:val="center"/>
          </w:tcPr>
          <w:p w14:paraId="5B32BEB9">
            <w:pPr>
              <w:adjustRightInd w:val="0"/>
              <w:snapToGrid w:val="0"/>
              <w:jc w:val="center"/>
              <w:rPr>
                <w:szCs w:val="21"/>
              </w:rPr>
            </w:pPr>
            <w:r>
              <w:rPr>
                <w:rFonts w:hint="eastAsia"/>
                <w:szCs w:val="21"/>
              </w:rPr>
              <w:t>5</w:t>
            </w:r>
          </w:p>
        </w:tc>
        <w:tc>
          <w:tcPr>
            <w:tcW w:w="3333" w:type="dxa"/>
            <w:vAlign w:val="center"/>
          </w:tcPr>
          <w:p w14:paraId="0D7C0915">
            <w:pPr>
              <w:adjustRightInd w:val="0"/>
              <w:snapToGrid w:val="0"/>
              <w:jc w:val="center"/>
              <w:rPr>
                <w:szCs w:val="21"/>
              </w:rPr>
            </w:pPr>
            <w:r>
              <w:rPr>
                <w:rFonts w:hint="eastAsia"/>
                <w:kern w:val="0"/>
                <w:sz w:val="21"/>
                <w:szCs w:val="21"/>
                <w:lang w:eastAsia="zh-CN"/>
              </w:rPr>
              <w:t>苯并</w:t>
            </w:r>
            <w:r>
              <w:rPr>
                <w:rFonts w:hint="eastAsia"/>
                <w:kern w:val="0"/>
                <w:sz w:val="21"/>
                <w:szCs w:val="21"/>
                <w:lang w:val="en-US" w:eastAsia="zh-CN"/>
              </w:rPr>
              <w:t>[a]</w:t>
            </w:r>
            <w:r>
              <w:rPr>
                <w:rFonts w:hint="eastAsia"/>
                <w:kern w:val="0"/>
                <w:sz w:val="21"/>
                <w:szCs w:val="21"/>
                <w:lang w:eastAsia="zh-CN"/>
              </w:rPr>
              <w:t>芘</w:t>
            </w:r>
          </w:p>
        </w:tc>
        <w:tc>
          <w:tcPr>
            <w:tcW w:w="3183" w:type="dxa"/>
            <w:vAlign w:val="center"/>
          </w:tcPr>
          <w:p w14:paraId="24C5C8B5">
            <w:pPr>
              <w:jc w:val="center"/>
              <w:rPr>
                <w:rFonts w:hAnsi="宋体"/>
                <w:snapToGrid w:val="0"/>
                <w:szCs w:val="21"/>
              </w:rPr>
            </w:pPr>
            <w:r>
              <w:rPr>
                <w:rFonts w:hint="eastAsia"/>
                <w:color w:val="auto"/>
                <w:sz w:val="21"/>
                <w:szCs w:val="21"/>
                <w:lang w:val="en-US" w:eastAsia="zh-CN"/>
              </w:rPr>
              <w:t>0.00003</w:t>
            </w:r>
          </w:p>
        </w:tc>
      </w:tr>
      <w:tr w14:paraId="3D542A8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0" w:hRule="atLeast"/>
          <w:jc w:val="center"/>
        </w:trPr>
        <w:tc>
          <w:tcPr>
            <w:tcW w:w="1262" w:type="pct"/>
            <w:vAlign w:val="center"/>
          </w:tcPr>
          <w:p w14:paraId="0E01C090">
            <w:pPr>
              <w:adjustRightInd w:val="0"/>
              <w:snapToGrid w:val="0"/>
              <w:jc w:val="center"/>
              <w:rPr>
                <w:rFonts w:hint="eastAsia" w:eastAsia="宋体"/>
                <w:szCs w:val="21"/>
                <w:lang w:val="en-US" w:eastAsia="zh-CN"/>
              </w:rPr>
            </w:pPr>
            <w:r>
              <w:rPr>
                <w:rFonts w:hint="eastAsia"/>
                <w:szCs w:val="21"/>
                <w:lang w:val="en-US" w:eastAsia="zh-CN"/>
              </w:rPr>
              <w:t>6</w:t>
            </w:r>
          </w:p>
        </w:tc>
        <w:tc>
          <w:tcPr>
            <w:tcW w:w="3333" w:type="dxa"/>
            <w:vAlign w:val="center"/>
          </w:tcPr>
          <w:p w14:paraId="0B6B7F00">
            <w:pPr>
              <w:adjustRightInd w:val="0"/>
              <w:snapToGrid w:val="0"/>
              <w:jc w:val="center"/>
              <w:rPr>
                <w:rFonts w:hint="eastAsia"/>
                <w:kern w:val="0"/>
                <w:szCs w:val="21"/>
              </w:rPr>
            </w:pPr>
            <w:r>
              <w:rPr>
                <w:rFonts w:hint="eastAsia"/>
                <w:kern w:val="0"/>
                <w:sz w:val="21"/>
                <w:szCs w:val="21"/>
                <w:lang w:eastAsia="zh-CN"/>
              </w:rPr>
              <w:t>非甲烷总烃</w:t>
            </w:r>
          </w:p>
        </w:tc>
        <w:tc>
          <w:tcPr>
            <w:tcW w:w="3183" w:type="dxa"/>
            <w:vAlign w:val="center"/>
          </w:tcPr>
          <w:p w14:paraId="0EBA50C3">
            <w:pPr>
              <w:jc w:val="center"/>
              <w:rPr>
                <w:rFonts w:hint="eastAsia"/>
                <w:spacing w:val="6"/>
                <w:szCs w:val="21"/>
              </w:rPr>
            </w:pPr>
            <w:r>
              <w:rPr>
                <w:rFonts w:hint="eastAsia"/>
                <w:color w:val="auto"/>
                <w:sz w:val="21"/>
                <w:szCs w:val="21"/>
                <w:lang w:val="en-US" w:eastAsia="zh-CN"/>
              </w:rPr>
              <w:t>0.007</w:t>
            </w:r>
          </w:p>
        </w:tc>
      </w:tr>
    </w:tbl>
    <w:p w14:paraId="71E80DF8">
      <w:pPr>
        <w:spacing w:line="480" w:lineRule="exact"/>
        <w:ind w:firstLine="352" w:firstLineChars="147"/>
        <w:rPr>
          <w:sz w:val="24"/>
        </w:rPr>
      </w:pPr>
      <w:r>
        <w:rPr>
          <w:rFonts w:hint="eastAsia"/>
          <w:sz w:val="24"/>
        </w:rPr>
        <w:t>由上分析可知，项目营运期采取环评提出的措施后，对环境空气影响较小。</w:t>
      </w:r>
    </w:p>
    <w:p w14:paraId="1E34CDBE">
      <w:pPr>
        <w:tabs>
          <w:tab w:val="left" w:pos="510"/>
        </w:tabs>
        <w:bidi w:val="0"/>
        <w:jc w:val="left"/>
        <w:rPr>
          <w:rFonts w:hint="eastAsia"/>
          <w:lang w:val="en-US" w:eastAsia="zh-CN"/>
        </w:rPr>
        <w:sectPr>
          <w:pgSz w:w="11906" w:h="16838"/>
          <w:pgMar w:top="1531" w:right="1701" w:bottom="1531" w:left="1701" w:header="851" w:footer="850" w:gutter="0"/>
          <w:pgBorders>
            <w:top w:val="none" w:sz="0" w:space="0"/>
            <w:left w:val="none" w:sz="0" w:space="0"/>
            <w:bottom w:val="none" w:sz="0" w:space="0"/>
            <w:right w:val="none" w:sz="0" w:space="0"/>
          </w:pgBorders>
          <w:pgNumType w:fmt="decimal"/>
          <w:cols w:space="0" w:num="1"/>
          <w:rtlGutter w:val="0"/>
          <w:docGrid w:linePitch="312" w:charSpace="0"/>
        </w:sectPr>
      </w:pPr>
    </w:p>
    <w:p w14:paraId="27CA6E0B">
      <w:pPr>
        <w:pStyle w:val="41"/>
        <w:adjustRightInd w:val="0"/>
        <w:snapToGrid w:val="0"/>
        <w:spacing w:before="0" w:beforeAutospacing="0" w:after="0" w:afterAutospacing="0" w:line="480" w:lineRule="auto"/>
        <w:outlineLvl w:val="0"/>
        <w:rPr>
          <w:rFonts w:ascii="Times New Roman" w:hAnsi="Times New Roman" w:eastAsia="黑体"/>
          <w:snapToGrid w:val="0"/>
          <w:color w:val="auto"/>
          <w:sz w:val="32"/>
          <w:szCs w:val="32"/>
        </w:rPr>
      </w:pPr>
      <w:bookmarkStart w:id="17" w:name="_Toc4851"/>
      <w:r>
        <w:rPr>
          <w:sz w:val="21"/>
        </w:rPr>
        <w:pict>
          <v:group id="_x0000_s4327" o:spid="_x0000_s4327" o:spt="203" style="position:absolute;left:0pt;margin-left:47.95pt;margin-top:29.6pt;height:419.75pt;width:599.7pt;z-index:251669504;mso-width-relative:page;mso-height-relative:page;" coordorigin="3722,1243020" coordsize="11994,8395">
            <o:lock v:ext="edit" aspectratio="f"/>
            <v:rect id="_x0000_s4323" o:spid="_x0000_s4323" o:spt="1" style="position:absolute;left:9208;top:1245814;height:254;width:205;rotation:-1114112f;" filled="f" stroked="t" coordsize="21600,21600">
              <v:path/>
              <v:fill on="f" focussize="0,0"/>
              <v:stroke color="#FF0000" joinstyle="miter"/>
              <v:imagedata o:title=""/>
              <o:lock v:ext="edit" aspectratio="f"/>
            </v:rect>
            <v:shape id="_x0000_s4325" o:spid="_x0000_s4325" o:spt="12" type="#_x0000_t12" style="position:absolute;left:8261;top:1243973;height:219;width:323;" fillcolor="#FFFF00" filled="t" stroked="t" coordsize="21600,21600">
              <v:path/>
              <v:fill on="t" color2="#FFFFFF" focussize="0,0"/>
              <v:stroke color="#000000" joinstyle="miter"/>
              <v:imagedata o:title=""/>
              <o:lock v:ext="edit" aspectratio="f"/>
            </v:shape>
            <v:rect id="_x0000_s2172" o:spid="_x0000_s2172" o:spt="1" style="position:absolute;left:6381;top:1243600;height:4984;width:5732;" filled="f" stroked="t" coordsize="21600,21600">
              <v:path/>
              <v:fill on="f" focussize="0,0"/>
              <v:stroke weight="2pt" color="#00B0F0" joinstyle="miter" dashstyle="1 1"/>
              <v:imagedata o:title=""/>
              <o:lock v:ext="edit" aspectratio="f"/>
            </v:rect>
            <v:shape id="_x0000_s2169" o:spid="_x0000_s2169" o:spt="62" type="#_x0000_t62" style="position:absolute;left:6003;top:1245063;height:547;width:1870;" fillcolor="#FFC000" filled="t" stroked="t" coordsize="21600,21600" adj="36755,32025">
              <v:path/>
              <v:fill on="t" color2="#FFFFFF" opacity="13107f" focussize="0,0"/>
              <v:stroke color="#000000" joinstyle="miter"/>
              <v:imagedata o:title=""/>
              <o:lock v:ext="edit" aspectratio="f"/>
              <v:textbox>
                <w:txbxContent>
                  <w:p w14:paraId="647FD0DA">
                    <w:pPr>
                      <w:jc w:val="center"/>
                      <w:rPr>
                        <w:b/>
                        <w:sz w:val="24"/>
                      </w:rPr>
                    </w:pPr>
                    <w:r>
                      <w:rPr>
                        <w:rFonts w:hint="eastAsia"/>
                        <w:b/>
                        <w:sz w:val="24"/>
                      </w:rPr>
                      <w:t>项目所在地</w:t>
                    </w:r>
                  </w:p>
                </w:txbxContent>
              </v:textbox>
            </v:shape>
            <v:shape id="_x0000_s2173" o:spid="_x0000_s2173" o:spt="47" type="#_x0000_t47" style="position:absolute;left:3722;top:1243020;height:907;width:1814;" filled="f" stroked="t" coordsize="21600,21600" adj="32138,15670,22889,3801">
              <v:path arrowok="t"/>
              <v:fill on="f" focussize="0,0"/>
              <v:stroke color="#00B0F0" joinstyle="miter"/>
              <v:imagedata o:title=""/>
              <o:lock v:ext="edit" aspectratio="f"/>
              <o:callout minusx="t" minusy="t"/>
              <v:textbox>
                <w:txbxContent>
                  <w:p w14:paraId="105ACE06">
                    <w:pPr>
                      <w:jc w:val="center"/>
                      <w:rPr>
                        <w:rFonts w:hint="eastAsia"/>
                        <w:b/>
                        <w:color w:val="FFFF00"/>
                        <w:sz w:val="15"/>
                        <w:szCs w:val="15"/>
                      </w:rPr>
                    </w:pPr>
                    <w:r>
                      <w:rPr>
                        <w:b/>
                        <w:color w:val="FFFF00"/>
                        <w:sz w:val="15"/>
                        <w:szCs w:val="15"/>
                      </w:rPr>
                      <w:t>大气环境保护目标</w:t>
                    </w:r>
                    <w:r>
                      <w:rPr>
                        <w:rFonts w:hint="eastAsia"/>
                        <w:b/>
                        <w:color w:val="FFFF00"/>
                        <w:sz w:val="15"/>
                        <w:szCs w:val="15"/>
                      </w:rPr>
                      <w:t>：</w:t>
                    </w:r>
                  </w:p>
                  <w:p w14:paraId="250893CD">
                    <w:pPr>
                      <w:jc w:val="center"/>
                      <w:rPr>
                        <w:rFonts w:hint="default" w:eastAsia="宋体"/>
                        <w:b/>
                        <w:color w:val="FFFF00"/>
                        <w:sz w:val="15"/>
                        <w:szCs w:val="15"/>
                        <w:lang w:val="en-US" w:eastAsia="zh-CN"/>
                      </w:rPr>
                    </w:pPr>
                    <w:r>
                      <w:rPr>
                        <w:b/>
                        <w:color w:val="FFFF00"/>
                        <w:sz w:val="15"/>
                        <w:szCs w:val="15"/>
                      </w:rPr>
                      <w:t>厂界外扩</w:t>
                    </w:r>
                    <w:r>
                      <w:rPr>
                        <w:rFonts w:hint="eastAsia"/>
                        <w:b/>
                        <w:color w:val="FFFF00"/>
                        <w:sz w:val="15"/>
                        <w:szCs w:val="15"/>
                      </w:rPr>
                      <w:t>500m</w:t>
                    </w:r>
                    <w:r>
                      <w:rPr>
                        <w:rFonts w:hint="eastAsia"/>
                        <w:b/>
                        <w:color w:val="FFFF00"/>
                        <w:sz w:val="15"/>
                        <w:szCs w:val="15"/>
                        <w:lang w:val="en-US" w:eastAsia="zh-CN"/>
                      </w:rPr>
                      <w:t>环保目标为北侧和西北侧的居民区</w:t>
                    </w:r>
                  </w:p>
                </w:txbxContent>
              </v:textbox>
            </v:shape>
            <v:shape id="_x0000_s2174" o:spid="_x0000_s2174" o:spt="47" type="#_x0000_t47" style="position:absolute;left:4468;top:1247234;height:850;width:1814;" fillcolor="#FFFF00" filled="t" stroked="t" coordsize="21600,21600" adj="55488,-29731,22889,4050">
              <v:path arrowok="t"/>
              <v:fill on="t" color2="#FFFFFF" focussize="0,0"/>
              <v:stroke color="#C00000" joinstyle="miter"/>
              <v:imagedata o:title=""/>
              <o:lock v:ext="edit" aspectratio="f"/>
              <o:callout minusx="t"/>
              <v:textbox>
                <w:txbxContent>
                  <w:p w14:paraId="6C42AF64">
                    <w:pPr>
                      <w:jc w:val="center"/>
                      <w:rPr>
                        <w:rFonts w:hint="eastAsia"/>
                        <w:b/>
                        <w:bCs w:val="0"/>
                        <w:color w:val="00B050"/>
                        <w:sz w:val="18"/>
                        <w:szCs w:val="18"/>
                      </w:rPr>
                    </w:pPr>
                    <w:r>
                      <w:rPr>
                        <w:rFonts w:hint="eastAsia"/>
                        <w:b/>
                        <w:color w:val="00B050"/>
                        <w:sz w:val="18"/>
                        <w:szCs w:val="18"/>
                      </w:rPr>
                      <w:t>声</w:t>
                    </w:r>
                    <w:r>
                      <w:rPr>
                        <w:b/>
                        <w:color w:val="00B050"/>
                        <w:sz w:val="18"/>
                        <w:szCs w:val="18"/>
                      </w:rPr>
                      <w:t>环</w:t>
                    </w:r>
                    <w:r>
                      <w:rPr>
                        <w:b/>
                        <w:bCs w:val="0"/>
                        <w:color w:val="00B050"/>
                        <w:sz w:val="18"/>
                        <w:szCs w:val="18"/>
                      </w:rPr>
                      <w:t>境保护目标</w:t>
                    </w:r>
                    <w:r>
                      <w:rPr>
                        <w:rFonts w:hint="eastAsia"/>
                        <w:b/>
                        <w:bCs w:val="0"/>
                        <w:color w:val="00B050"/>
                        <w:sz w:val="18"/>
                        <w:szCs w:val="18"/>
                      </w:rPr>
                      <w:t>：</w:t>
                    </w:r>
                    <w:r>
                      <w:rPr>
                        <w:b/>
                        <w:bCs w:val="0"/>
                        <w:color w:val="00B050"/>
                        <w:sz w:val="18"/>
                        <w:szCs w:val="18"/>
                      </w:rPr>
                      <w:t>厂界外扩</w:t>
                    </w:r>
                    <w:r>
                      <w:rPr>
                        <w:rFonts w:hint="eastAsia"/>
                        <w:b/>
                        <w:bCs w:val="0"/>
                        <w:color w:val="00B050"/>
                        <w:sz w:val="18"/>
                        <w:szCs w:val="18"/>
                      </w:rPr>
                      <w:t>50m</w:t>
                    </w:r>
                  </w:p>
                  <w:p w14:paraId="49958A71">
                    <w:pPr>
                      <w:jc w:val="center"/>
                      <w:rPr>
                        <w:b/>
                        <w:bCs w:val="0"/>
                        <w:color w:val="00B050"/>
                        <w:sz w:val="18"/>
                        <w:szCs w:val="18"/>
                      </w:rPr>
                    </w:pPr>
                    <w:r>
                      <w:rPr>
                        <w:rFonts w:hint="eastAsia"/>
                        <w:b/>
                        <w:bCs w:val="0"/>
                        <w:color w:val="00B050"/>
                        <w:sz w:val="18"/>
                        <w:szCs w:val="18"/>
                      </w:rPr>
                      <w:t>无环保目标</w:t>
                    </w:r>
                  </w:p>
                </w:txbxContent>
              </v:textbox>
            </v:shape>
            <v:shape id="_x0000_s2743" o:spid="_x0000_s2743" o:spt="202" type="#_x0000_t202" style="position:absolute;left:14810;top:1249502;height:536;width:907;" filled="f" stroked="f" coordsize="21600,21600">
              <v:path/>
              <v:fill on="f" focussize="0,0"/>
              <v:stroke on="f"/>
              <v:imagedata o:title=""/>
              <o:lock v:ext="edit" aspectratio="f"/>
              <v:textbox>
                <w:txbxContent>
                  <w:p w14:paraId="3B2696F5">
                    <w:pPr>
                      <w:jc w:val="center"/>
                      <w:rPr>
                        <w:rFonts w:hint="eastAsia" w:eastAsia="宋体"/>
                        <w:sz w:val="15"/>
                        <w:szCs w:val="15"/>
                        <w:lang w:val="en-US" w:eastAsia="zh-CN"/>
                      </w:rPr>
                    </w:pPr>
                    <w:r>
                      <w:rPr>
                        <w:rFonts w:hint="eastAsia" w:ascii="宋体" w:hAnsi="宋体"/>
                        <w:b/>
                        <w:sz w:val="15"/>
                        <w:szCs w:val="15"/>
                        <w:highlight w:val="cyan"/>
                        <w:lang w:val="en-US" w:eastAsia="zh-CN"/>
                      </w:rPr>
                      <w:t>比例尺</w:t>
                    </w:r>
                  </w:p>
                </w:txbxContent>
              </v:textbox>
            </v:shape>
            <v:line id="_x0000_s3055" o:spid="_x0000_s3055" o:spt="20" style="position:absolute;left:8502;top:1244299;flip:x y;height:1572;width:681;" filled="f" stroked="t" coordsize="21600,21600">
              <v:path arrowok="t"/>
              <v:fill on="f" focussize="0,0"/>
              <v:stroke color="#000000" joinstyle="miter" endarrow="open"/>
              <v:imagedata o:title=""/>
              <o:lock v:ext="edit" aspectratio="f"/>
            </v:line>
            <v:shape id="_x0000_s3056" o:spid="_x0000_s3056" o:spt="202" type="#_x0000_t202" style="position:absolute;left:8550;top:1244234;height:707;width:2194;" filled="f" stroked="f" coordsize="21600,21600">
              <v:path/>
              <v:fill on="f" focussize="0,0"/>
              <v:stroke on="f"/>
              <v:imagedata o:title=""/>
              <o:lock v:ext="edit" aspectratio="f"/>
              <v:textbox>
                <w:txbxContent>
                  <w:p w14:paraId="0B8B071A">
                    <w:pPr>
                      <w:rPr>
                        <w:rFonts w:hint="default" w:eastAsia="宋体"/>
                        <w:b/>
                        <w:bCs/>
                        <w:sz w:val="18"/>
                        <w:szCs w:val="18"/>
                        <w:lang w:val="en-US" w:eastAsia="zh-CN"/>
                      </w:rPr>
                    </w:pPr>
                    <w:r>
                      <w:rPr>
                        <w:rFonts w:hint="eastAsia"/>
                        <w:b/>
                        <w:bCs/>
                        <w:sz w:val="18"/>
                        <w:szCs w:val="18"/>
                        <w:lang w:val="en-US" w:eastAsia="zh-CN"/>
                      </w:rPr>
                      <w:t>厂区北侧边界距离最近的居民区0.35km</w:t>
                    </w:r>
                  </w:p>
                </w:txbxContent>
              </v:textbox>
            </v:shape>
            <v:shape id="_x0000_s2177" o:spid="_x0000_s2177" o:spt="202" type="#_x0000_t202" style="position:absolute;left:5122;top:1250879;height:536;width:8259;" filled="f" stroked="f" coordsize="21600,21600">
              <v:path/>
              <v:fill on="f" focussize="0,0"/>
              <v:stroke on="f"/>
              <v:imagedata o:title=""/>
              <o:lock v:ext="edit" aspectratio="f"/>
              <v:textbox>
                <w:txbxContent>
                  <w:p w14:paraId="0BF987D2">
                    <w:pPr>
                      <w:jc w:val="center"/>
                      <w:rPr>
                        <w:sz w:val="28"/>
                        <w:szCs w:val="28"/>
                      </w:rPr>
                    </w:pPr>
                    <w:r>
                      <w:rPr>
                        <w:rFonts w:hint="eastAsia" w:ascii="宋体" w:hAnsi="宋体"/>
                        <w:b/>
                        <w:sz w:val="28"/>
                        <w:szCs w:val="28"/>
                        <w:highlight w:val="cyan"/>
                      </w:rPr>
                      <w:t>附图</w:t>
                    </w:r>
                    <w:r>
                      <w:rPr>
                        <w:b/>
                        <w:sz w:val="28"/>
                        <w:szCs w:val="28"/>
                        <w:highlight w:val="cyan"/>
                      </w:rPr>
                      <w:t>1</w:t>
                    </w:r>
                    <w:r>
                      <w:rPr>
                        <w:rFonts w:hint="eastAsia" w:ascii="宋体" w:hAnsi="宋体"/>
                        <w:b/>
                        <w:sz w:val="28"/>
                        <w:szCs w:val="28"/>
                        <w:highlight w:val="cyan"/>
                      </w:rPr>
                      <w:t xml:space="preserve">   </w:t>
                    </w:r>
                    <w:r>
                      <w:rPr>
                        <w:rFonts w:hint="eastAsia"/>
                        <w:sz w:val="28"/>
                        <w:szCs w:val="28"/>
                        <w:highlight w:val="cyan"/>
                      </w:rPr>
                      <w:t xml:space="preserve"> </w:t>
                    </w:r>
                    <w:r>
                      <w:rPr>
                        <w:rFonts w:hAnsi="宋体"/>
                        <w:b/>
                        <w:sz w:val="28"/>
                        <w:szCs w:val="28"/>
                        <w:highlight w:val="cyan"/>
                      </w:rPr>
                      <w:t>项目地理位置及环保目标分布图</w:t>
                    </w:r>
                  </w:p>
                </w:txbxContent>
              </v:textbox>
            </v:shape>
            <v:rect id="_x0000_s4324" o:spid="_x0000_s4324" o:spt="1" style="position:absolute;left:9101;top:1245684;height:500;width:418;rotation:-1114112f;" filled="f" stroked="t" coordsize="21600,21600">
              <v:path/>
              <v:fill on="f" focussize="0,0"/>
              <v:stroke color="#FF0000" joinstyle="miter" dashstyle="dash"/>
              <v:imagedata o:title=""/>
              <o:lock v:ext="edit" aspectratio="f"/>
            </v:rect>
            <v:shape id="_x0000_s4326" o:spid="_x0000_s4326" o:spt="12" type="#_x0000_t12" style="position:absolute;left:6634;top:1244734;height:219;width:323;" fillcolor="#FFFF00" filled="t" stroked="t" coordsize="21600,21600">
              <v:path/>
              <v:fill on="t" color2="#FFFFFF" focussize="0,0"/>
              <v:stroke color="#000000" joinstyle="miter"/>
              <v:imagedata o:title=""/>
              <o:lock v:ext="edit" aspectratio="f"/>
            </v:shape>
          </v:group>
        </w:pict>
      </w:r>
      <w:r>
        <w:drawing>
          <wp:anchor distT="0" distB="0" distL="114300" distR="114300" simplePos="0" relativeHeight="251662336" behindDoc="0" locked="0" layoutInCell="1" allowOverlap="1">
            <wp:simplePos x="0" y="0"/>
            <wp:positionH relativeFrom="column">
              <wp:posOffset>29210</wp:posOffset>
            </wp:positionH>
            <wp:positionV relativeFrom="paragraph">
              <wp:posOffset>213360</wp:posOffset>
            </wp:positionV>
            <wp:extent cx="625475" cy="735965"/>
            <wp:effectExtent l="0" t="0" r="3175" b="6985"/>
            <wp:wrapNone/>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44"/>
                    <a:stretch>
                      <a:fillRect/>
                    </a:stretch>
                  </pic:blipFill>
                  <pic:spPr>
                    <a:xfrm>
                      <a:off x="0" y="0"/>
                      <a:ext cx="625475" cy="735965"/>
                    </a:xfrm>
                    <a:prstGeom prst="rect">
                      <a:avLst/>
                    </a:prstGeom>
                    <a:noFill/>
                    <a:ln>
                      <a:noFill/>
                    </a:ln>
                  </pic:spPr>
                </pic:pic>
              </a:graphicData>
            </a:graphic>
          </wp:anchor>
        </w:drawing>
      </w:r>
      <w:r>
        <w:drawing>
          <wp:anchor distT="0" distB="0" distL="114300" distR="114300" simplePos="0" relativeHeight="251665408" behindDoc="1" locked="0" layoutInCell="1" allowOverlap="1">
            <wp:simplePos x="0" y="0"/>
            <wp:positionH relativeFrom="column">
              <wp:posOffset>14605</wp:posOffset>
            </wp:positionH>
            <wp:positionV relativeFrom="paragraph">
              <wp:posOffset>212090</wp:posOffset>
            </wp:positionV>
            <wp:extent cx="8522335" cy="4997450"/>
            <wp:effectExtent l="0" t="0" r="12065" b="12700"/>
            <wp:wrapNone/>
            <wp:docPr id="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pic:cNvPicPr>
                      <a:picLocks noChangeAspect="1"/>
                    </pic:cNvPicPr>
                  </pic:nvPicPr>
                  <pic:blipFill>
                    <a:blip r:embed="rId45"/>
                    <a:stretch>
                      <a:fillRect/>
                    </a:stretch>
                  </pic:blipFill>
                  <pic:spPr>
                    <a:xfrm>
                      <a:off x="0" y="0"/>
                      <a:ext cx="8522335" cy="4997450"/>
                    </a:xfrm>
                    <a:prstGeom prst="rect">
                      <a:avLst/>
                    </a:prstGeom>
                    <a:noFill/>
                    <a:ln>
                      <a:noFill/>
                    </a:ln>
                  </pic:spPr>
                </pic:pic>
              </a:graphicData>
            </a:graphic>
          </wp:anchor>
        </w:drawing>
      </w:r>
      <w:r>
        <w:rPr>
          <w:rFonts w:ascii="Times New Roman" w:hAnsi="Times New Roman" w:eastAsia="黑体"/>
          <w:snapToGrid w:val="0"/>
          <w:color w:val="auto"/>
          <w:sz w:val="32"/>
          <w:szCs w:val="32"/>
        </w:rPr>
        <w:t>附图</w:t>
      </w:r>
      <w:bookmarkEnd w:id="17"/>
    </w:p>
    <w:p w14:paraId="1383DDA2">
      <w:pPr>
        <w:rPr>
          <w:color w:val="auto"/>
        </w:rPr>
      </w:pPr>
    </w:p>
    <w:p w14:paraId="6A29D8E2">
      <w:pPr>
        <w:rPr>
          <w:color w:val="auto"/>
        </w:rPr>
      </w:pPr>
    </w:p>
    <w:p w14:paraId="29DF8839">
      <w:pPr>
        <w:rPr>
          <w:color w:val="auto"/>
        </w:rPr>
      </w:pPr>
    </w:p>
    <w:p w14:paraId="7B5DD0CE">
      <w:pPr>
        <w:rPr>
          <w:color w:val="auto"/>
        </w:rPr>
      </w:pPr>
    </w:p>
    <w:p w14:paraId="1CA3B8EE">
      <w:pPr>
        <w:rPr>
          <w:color w:val="auto"/>
        </w:rPr>
      </w:pPr>
    </w:p>
    <w:p w14:paraId="634668A0">
      <w:pPr>
        <w:rPr>
          <w:color w:val="auto"/>
        </w:rPr>
      </w:pPr>
    </w:p>
    <w:p w14:paraId="48028ECB">
      <w:pPr>
        <w:rPr>
          <w:color w:val="auto"/>
        </w:rPr>
      </w:pPr>
    </w:p>
    <w:p w14:paraId="521B27DC">
      <w:pPr>
        <w:rPr>
          <w:color w:val="auto"/>
        </w:rPr>
      </w:pPr>
    </w:p>
    <w:p w14:paraId="20395900">
      <w:pPr>
        <w:rPr>
          <w:color w:val="auto"/>
        </w:rPr>
      </w:pPr>
    </w:p>
    <w:p w14:paraId="72C59285">
      <w:pPr>
        <w:rPr>
          <w:color w:val="auto"/>
        </w:rPr>
      </w:pPr>
    </w:p>
    <w:p w14:paraId="1BC59D58">
      <w:pPr>
        <w:rPr>
          <w:color w:val="auto"/>
        </w:rPr>
      </w:pPr>
    </w:p>
    <w:p w14:paraId="1808B8EB">
      <w:pPr>
        <w:rPr>
          <w:color w:val="auto"/>
        </w:rPr>
      </w:pPr>
    </w:p>
    <w:p w14:paraId="5A0ECDC5">
      <w:pPr>
        <w:rPr>
          <w:color w:val="auto"/>
        </w:rPr>
      </w:pPr>
    </w:p>
    <w:p w14:paraId="7A896293">
      <w:pPr>
        <w:rPr>
          <w:color w:val="auto"/>
        </w:rPr>
      </w:pPr>
    </w:p>
    <w:p w14:paraId="3E166BCD">
      <w:pPr>
        <w:rPr>
          <w:color w:val="auto"/>
        </w:rPr>
      </w:pPr>
    </w:p>
    <w:p w14:paraId="0DF84C5C">
      <w:pPr>
        <w:rPr>
          <w:color w:val="auto"/>
        </w:rPr>
      </w:pPr>
    </w:p>
    <w:p w14:paraId="0254B624">
      <w:pPr>
        <w:rPr>
          <w:color w:val="auto"/>
        </w:rPr>
      </w:pPr>
    </w:p>
    <w:p w14:paraId="3F925C75">
      <w:pPr>
        <w:rPr>
          <w:color w:val="auto"/>
        </w:rPr>
      </w:pPr>
    </w:p>
    <w:p w14:paraId="69DB1660">
      <w:pPr>
        <w:rPr>
          <w:color w:val="auto"/>
        </w:rPr>
      </w:pPr>
    </w:p>
    <w:p w14:paraId="13F71CDD">
      <w:pPr>
        <w:rPr>
          <w:color w:val="auto"/>
        </w:rPr>
      </w:pPr>
    </w:p>
    <w:p w14:paraId="4738251C">
      <w:pPr>
        <w:rPr>
          <w:color w:val="auto"/>
        </w:rPr>
      </w:pPr>
    </w:p>
    <w:p w14:paraId="1FBFDE40">
      <w:pPr>
        <w:rPr>
          <w:color w:val="auto"/>
        </w:rPr>
      </w:pPr>
    </w:p>
    <w:p w14:paraId="278F68C2">
      <w:pPr>
        <w:rPr>
          <w:color w:val="auto"/>
        </w:rPr>
      </w:pPr>
    </w:p>
    <w:p w14:paraId="52802651">
      <w:pPr>
        <w:rPr>
          <w:color w:val="auto"/>
        </w:rPr>
      </w:pPr>
    </w:p>
    <w:p w14:paraId="76D523E0">
      <w:pPr>
        <w:rPr>
          <w:color w:val="auto"/>
        </w:rPr>
      </w:pPr>
    </w:p>
    <w:p w14:paraId="712FBF08">
      <w:pPr>
        <w:rPr>
          <w:color w:val="auto"/>
        </w:rPr>
      </w:pPr>
    </w:p>
    <w:p w14:paraId="7DA0F91B">
      <w:pPr>
        <w:rPr>
          <w:color w:val="auto"/>
        </w:rPr>
      </w:pPr>
    </w:p>
    <w:p w14:paraId="04805827">
      <w:pPr>
        <w:rPr>
          <w:color w:val="auto"/>
        </w:rPr>
      </w:pPr>
    </w:p>
    <w:p w14:paraId="36E6FBBA">
      <w:pPr>
        <w:rPr>
          <w:color w:val="auto"/>
        </w:rPr>
      </w:pPr>
    </w:p>
    <w:p w14:paraId="6B2B7BAE">
      <w:pPr>
        <w:rPr>
          <w:color w:val="auto"/>
        </w:rPr>
      </w:pPr>
    </w:p>
    <w:p w14:paraId="51E5CD32">
      <w:pPr>
        <w:rPr>
          <w:color w:val="auto"/>
        </w:rPr>
      </w:pPr>
    </w:p>
    <w:p w14:paraId="7B80B5B1">
      <w:pPr>
        <w:rPr>
          <w:color w:val="auto"/>
        </w:rPr>
      </w:pPr>
    </w:p>
    <w:p w14:paraId="5AAC044E">
      <w:pPr>
        <w:rPr>
          <w:color w:val="auto"/>
        </w:rPr>
      </w:pPr>
    </w:p>
    <w:p w14:paraId="504A1137">
      <w:pPr>
        <w:rPr>
          <w:color w:val="auto"/>
        </w:rPr>
        <w:sectPr>
          <w:footerReference r:id="rId11" w:type="default"/>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14:paraId="291BA35B">
      <w:pPr>
        <w:jc w:val="center"/>
        <w:rPr>
          <w:color w:val="auto"/>
        </w:rPr>
      </w:pPr>
      <w:r>
        <w:drawing>
          <wp:anchor distT="0" distB="0" distL="114300" distR="114300" simplePos="0" relativeHeight="251695104" behindDoc="0" locked="0" layoutInCell="1" allowOverlap="1">
            <wp:simplePos x="0" y="0"/>
            <wp:positionH relativeFrom="column">
              <wp:posOffset>54610</wp:posOffset>
            </wp:positionH>
            <wp:positionV relativeFrom="paragraph">
              <wp:posOffset>-274955</wp:posOffset>
            </wp:positionV>
            <wp:extent cx="625475" cy="735965"/>
            <wp:effectExtent l="0" t="0" r="3175" b="6985"/>
            <wp:wrapNone/>
            <wp:docPr id="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
                    <pic:cNvPicPr>
                      <a:picLocks noChangeAspect="1"/>
                    </pic:cNvPicPr>
                  </pic:nvPicPr>
                  <pic:blipFill>
                    <a:blip r:embed="rId44"/>
                    <a:stretch>
                      <a:fillRect/>
                    </a:stretch>
                  </pic:blipFill>
                  <pic:spPr>
                    <a:xfrm>
                      <a:off x="0" y="0"/>
                      <a:ext cx="625475" cy="735965"/>
                    </a:xfrm>
                    <a:prstGeom prst="rect">
                      <a:avLst/>
                    </a:prstGeom>
                    <a:noFill/>
                    <a:ln>
                      <a:noFill/>
                    </a:ln>
                  </pic:spPr>
                </pic:pic>
              </a:graphicData>
            </a:graphic>
          </wp:anchor>
        </w:drawing>
      </w:r>
    </w:p>
    <w:p w14:paraId="17C8391D">
      <w:pPr>
        <w:jc w:val="center"/>
        <w:rPr>
          <w:color w:val="auto"/>
        </w:rPr>
      </w:pPr>
    </w:p>
    <w:p w14:paraId="2A332CE0">
      <w:pPr>
        <w:jc w:val="center"/>
        <w:rPr>
          <w:color w:val="auto"/>
        </w:rPr>
      </w:pPr>
      <w:r>
        <w:rPr>
          <w:sz w:val="21"/>
        </w:rPr>
        <w:pict>
          <v:group id="_x0000_s4338" o:spid="_x0000_s4338" o:spt="203" style="position:absolute;left:0pt;margin-left:72.8pt;margin-top:0.35pt;height:429.4pt;width:650pt;z-index:251714560;mso-width-relative:page;mso-height-relative:page;" coordorigin="7331,735937" coordsize="13000,8588">
            <o:lock v:ext="edit" aspectratio="f"/>
            <v:shape id="_x0000_s3058" o:spid="_x0000_s3058" o:spt="202" type="#_x0000_t202" style="position:absolute;left:9611;top:737937;height:3041;width:3024;" filled="f" stroked="t" coordsize="21600,21600">
              <v:path/>
              <v:fill on="f" focussize="0,0"/>
              <v:stroke color="#000000" joinstyle="miter"/>
              <v:imagedata o:title=""/>
              <o:lock v:ext="edit" aspectratio="f"/>
              <v:textbox>
                <w:txbxContent>
                  <w:p w14:paraId="0CE61B10"/>
                </w:txbxContent>
              </v:textbox>
            </v:shape>
            <v:line id="_x0000_s3060" o:spid="_x0000_s3060" o:spt="20" style="position:absolute;left:9474;top:736273;flip:y;height:13;width:6413;" filled="f" stroked="t" coordsize="21600,21600">
              <v:path arrowok="t"/>
              <v:fill on="f" focussize="0,0"/>
              <v:stroke color="#000000"/>
              <v:imagedata o:title=""/>
              <o:lock v:ext="edit" aspectratio="f"/>
            </v:line>
            <v:shape id="_x0000_s3061" o:spid="_x0000_s3061" o:spt="202" type="#_x0000_t202" style="position:absolute;left:13438;top:741090;height:500;width:1158;" filled="f" stroked="f" coordsize="21600,21600">
              <v:path/>
              <v:fill on="f" focussize="0,0"/>
              <v:stroke on="f"/>
              <v:imagedata o:title=""/>
              <o:lock v:ext="edit" aspectratio="f"/>
              <v:textbox>
                <w:txbxContent>
                  <w:p w14:paraId="0286F3D9">
                    <w:pPr>
                      <w:jc w:val="center"/>
                      <w:rPr>
                        <w:rFonts w:hint="default" w:eastAsia="宋体"/>
                        <w:lang w:val="en-US" w:eastAsia="zh-CN"/>
                      </w:rPr>
                    </w:pPr>
                    <w:r>
                      <w:rPr>
                        <w:rFonts w:hint="eastAsia"/>
                        <w:lang w:val="en-US" w:eastAsia="zh-CN"/>
                      </w:rPr>
                      <w:t>厂区大门</w:t>
                    </w:r>
                  </w:p>
                </w:txbxContent>
              </v:textbox>
            </v:shape>
            <v:shape id="_x0000_s3062" o:spid="_x0000_s3062" o:spt="202" type="#_x0000_t202" style="position:absolute;left:12548;top:736525;height:504;width:1258;" fillcolor="#FFFFFF" filled="t" stroked="t" coordsize="21600,21600">
              <v:path/>
              <v:fill on="t" color2="#FFFFFF" focussize="0,0"/>
              <v:stroke color="#00B050" joinstyle="miter"/>
              <v:imagedata o:title=""/>
              <o:lock v:ext="edit" aspectratio="f"/>
              <v:textbox>
                <w:txbxContent>
                  <w:p w14:paraId="569B4190"/>
                </w:txbxContent>
              </v:textbox>
            </v:shape>
            <v:line id="_x0000_s3063" o:spid="_x0000_s3063" o:spt="20" style="position:absolute;left:9446;top:742290;flip:y;height:15;width:4362;" filled="f" stroked="t" coordsize="21600,21600">
              <v:path arrowok="t"/>
              <v:fill on="f" focussize="0,0"/>
              <v:stroke color="#000000"/>
              <v:imagedata o:title=""/>
              <o:lock v:ext="edit" aspectratio="f"/>
            </v:line>
            <v:line id="_x0000_s3064" o:spid="_x0000_s3064" o:spt="20" style="position:absolute;left:15869;top:736296;height:1081;width:13;" filled="f" stroked="t" coordsize="21600,21600">
              <v:path arrowok="t"/>
              <v:fill on="f" focussize="0,0"/>
              <v:stroke color="#000000"/>
              <v:imagedata o:title=""/>
              <o:lock v:ext="edit" aspectratio="f"/>
            </v:line>
            <v:line id="_x0000_s3065" o:spid="_x0000_s3065" o:spt="20" style="position:absolute;left:13822;top:737379;flip:x;height:3712;width:5;" filled="f" stroked="t" coordsize="21600,21600">
              <v:path arrowok="t"/>
              <v:fill on="f" focussize="0,0"/>
              <v:stroke color="#000000"/>
              <v:imagedata o:title=""/>
              <o:lock v:ext="edit" aspectratio="f"/>
            </v:line>
            <v:shape id="_x0000_s3067" o:spid="_x0000_s3067" o:spt="202" type="#_x0000_t202" style="position:absolute;left:13858;top:736580;height:202;width:169;" fillcolor="#FFFFFF" filled="t" stroked="t" coordsize="21600,21600">
              <v:path/>
              <v:fill on="t" color2="#FFFFFF" focussize="0,0"/>
              <v:stroke color="#00B050" joinstyle="miter"/>
              <v:imagedata o:title=""/>
              <o:lock v:ext="edit" aspectratio="f"/>
              <v:textbox>
                <w:txbxContent>
                  <w:p w14:paraId="24FEA191"/>
                </w:txbxContent>
              </v:textbox>
            </v:shape>
            <v:shape id="_x0000_s3068" o:spid="_x0000_s3068" o:spt="202" type="#_x0000_t202" style="position:absolute;left:12746;top:736639;height:500;width:1158;" filled="f" stroked="f" coordsize="21600,21600">
              <v:path/>
              <v:fill on="f" focussize="0,0"/>
              <v:stroke on="f"/>
              <v:imagedata o:title=""/>
              <o:lock v:ext="edit" aspectratio="f"/>
              <v:textbox>
                <w:txbxContent>
                  <w:p w14:paraId="6118E257">
                    <w:pPr>
                      <w:jc w:val="center"/>
                      <w:rPr>
                        <w:rFonts w:hint="default" w:eastAsia="宋体"/>
                        <w:lang w:val="en-US" w:eastAsia="zh-CN"/>
                      </w:rPr>
                    </w:pPr>
                    <w:r>
                      <w:rPr>
                        <w:rFonts w:hint="eastAsia"/>
                        <w:lang w:val="en-US" w:eastAsia="zh-CN"/>
                      </w:rPr>
                      <w:t>办公楼</w:t>
                    </w:r>
                  </w:p>
                </w:txbxContent>
              </v:textbox>
            </v:shape>
            <v:shape id="_x0000_s3070" o:spid="_x0000_s3070" o:spt="202" type="#_x0000_t202" style="position:absolute;left:13586;top:736259;height:658;width:1158;" filled="f" stroked="f" coordsize="21600,21600">
              <v:path/>
              <v:fill on="f" focussize="0,0"/>
              <v:stroke on="f"/>
              <v:imagedata o:title=""/>
              <o:lock v:ext="edit" aspectratio="f"/>
              <v:textbox>
                <w:txbxContent>
                  <w:p w14:paraId="77180126">
                    <w:pPr>
                      <w:keepNext w:val="0"/>
                      <w:keepLines w:val="0"/>
                      <w:pageBreakBefore w:val="0"/>
                      <w:widowControl w:val="0"/>
                      <w:kinsoku/>
                      <w:wordWrap/>
                      <w:overflowPunct/>
                      <w:topLinePunct w:val="0"/>
                      <w:bidi w:val="0"/>
                      <w:adjustRightInd/>
                      <w:snapToGrid/>
                      <w:spacing w:line="240" w:lineRule="exact"/>
                      <w:jc w:val="center"/>
                      <w:textAlignment w:val="auto"/>
                      <w:rPr>
                        <w:rFonts w:hint="default" w:eastAsia="宋体"/>
                        <w:sz w:val="15"/>
                        <w:szCs w:val="15"/>
                        <w:lang w:val="en-US" w:eastAsia="zh-CN"/>
                      </w:rPr>
                    </w:pPr>
                    <w:r>
                      <w:rPr>
                        <w:rFonts w:hint="eastAsia"/>
                        <w:sz w:val="15"/>
                        <w:szCs w:val="15"/>
                        <w:lang w:val="en-US" w:eastAsia="zh-CN"/>
                      </w:rPr>
                      <w:t>化粪池20m</w:t>
                    </w:r>
                    <w:r>
                      <w:rPr>
                        <w:rFonts w:hint="eastAsia"/>
                        <w:sz w:val="15"/>
                        <w:szCs w:val="15"/>
                        <w:vertAlign w:val="superscript"/>
                        <w:lang w:val="en-US" w:eastAsia="zh-CN"/>
                      </w:rPr>
                      <w:t>3</w:t>
                    </w:r>
                  </w:p>
                </w:txbxContent>
              </v:textbox>
            </v:shape>
            <v:shape id="_x0000_s3071" o:spid="_x0000_s3071" o:spt="202" type="#_x0000_t202" style="position:absolute;left:10006;top:736601;height:829;width:2086;" fillcolor="#FFFFFF" filled="t" stroked="t" coordsize="21600,21600">
              <v:path/>
              <v:fill on="t" color2="#FFFFFF" focussize="0,0"/>
              <v:stroke color="#00B050" joinstyle="miter"/>
              <v:imagedata o:title=""/>
              <o:lock v:ext="edit" aspectratio="f"/>
              <v:textbox>
                <w:txbxContent>
                  <w:p w14:paraId="7AFD3F45"/>
                </w:txbxContent>
              </v:textbox>
            </v:shape>
            <v:shape id="_x0000_s4096" o:spid="_x0000_s4096" o:spt="202" type="#_x0000_t202" style="position:absolute;left:10236;top:737503;height:500;width:2634;" filled="f" stroked="f" coordsize="21600,21600">
              <v:path/>
              <v:fill on="f" focussize="0,0"/>
              <v:stroke on="f"/>
              <v:imagedata o:title=""/>
              <o:lock v:ext="edit" aspectratio="f"/>
              <v:textbox>
                <w:txbxContent>
                  <w:p w14:paraId="6D6430B5">
                    <w:pPr>
                      <w:jc w:val="center"/>
                      <w:rPr>
                        <w:rFonts w:hint="default" w:eastAsia="宋体"/>
                        <w:lang w:val="en-US" w:eastAsia="zh-CN"/>
                      </w:rPr>
                    </w:pPr>
                    <w:r>
                      <w:rPr>
                        <w:rFonts w:hint="eastAsia"/>
                        <w:lang w:val="en-US" w:eastAsia="zh-CN"/>
                      </w:rPr>
                      <w:t>沥青混凝土生产线</w:t>
                    </w:r>
                  </w:p>
                </w:txbxContent>
              </v:textbox>
            </v:shape>
            <v:shape id="_x0000_s4097" o:spid="_x0000_s4097" o:spt="202" type="#_x0000_t202" style="position:absolute;left:10038;top:741518;height:500;width:2634;" filled="f" stroked="f" coordsize="21600,21600">
              <v:path/>
              <v:fill on="f" focussize="0,0"/>
              <v:stroke on="f"/>
              <v:imagedata o:title=""/>
              <o:lock v:ext="edit" aspectratio="f"/>
              <v:textbox>
                <w:txbxContent>
                  <w:p w14:paraId="741B3E24">
                    <w:pPr>
                      <w:jc w:val="center"/>
                      <w:rPr>
                        <w:rFonts w:hint="default" w:eastAsia="宋体"/>
                        <w:lang w:val="en-US" w:eastAsia="zh-CN"/>
                      </w:rPr>
                    </w:pPr>
                    <w:r>
                      <w:rPr>
                        <w:rFonts w:hint="eastAsia"/>
                        <w:lang w:val="en-US" w:eastAsia="zh-CN"/>
                      </w:rPr>
                      <w:t>混凝土生产线</w:t>
                    </w:r>
                  </w:p>
                </w:txbxContent>
              </v:textbox>
            </v:shape>
            <v:shape id="_x0000_s4098" o:spid="_x0000_s4098" o:spt="202" type="#_x0000_t202" style="position:absolute;left:10311;top:736823;height:403;width:1671;" filled="f" stroked="f" coordsize="21600,21600">
              <v:path/>
              <v:fill on="f" focussize="0,0"/>
              <v:stroke on="f"/>
              <v:imagedata o:title=""/>
              <o:lock v:ext="edit" aspectratio="f"/>
              <v:textbox>
                <w:txbxContent>
                  <w:p w14:paraId="467C2BB0">
                    <w:pPr>
                      <w:jc w:val="center"/>
                      <w:rPr>
                        <w:rFonts w:hint="default" w:eastAsia="宋体"/>
                        <w:sz w:val="15"/>
                        <w:szCs w:val="15"/>
                        <w:lang w:val="en-US" w:eastAsia="zh-CN"/>
                      </w:rPr>
                    </w:pPr>
                    <w:r>
                      <w:rPr>
                        <w:rFonts w:hint="eastAsia"/>
                        <w:sz w:val="15"/>
                        <w:szCs w:val="15"/>
                        <w:lang w:val="en-US" w:eastAsia="zh-CN"/>
                      </w:rPr>
                      <w:t>沥青混凝土搅拌机组</w:t>
                    </w:r>
                  </w:p>
                </w:txbxContent>
              </v:textbox>
            </v:shape>
            <v:shape id="_x0000_s4099" o:spid="_x0000_s4099" o:spt="202" type="#_x0000_t202" style="position:absolute;left:10775;top:741216;flip:x;height:375;width:2133;" fillcolor="#FFFFFF" filled="t" stroked="t" coordsize="21600,21600">
              <v:path/>
              <v:fill on="t" color2="#FFFFFF" focussize="0,0"/>
              <v:stroke color="#00B050" joinstyle="miter"/>
              <v:imagedata o:title=""/>
              <o:lock v:ext="edit" aspectratio="f"/>
              <v:textbox>
                <w:txbxContent>
                  <w:p w14:paraId="5E9687DD"/>
                </w:txbxContent>
              </v:textbox>
            </v:shape>
            <v:shape id="_x0000_s4102" o:spid="_x0000_s4102" o:spt="202" type="#_x0000_t202" style="position:absolute;left:11126;top:741239;height:598;width:1345;" filled="f" stroked="f" coordsize="21600,21600">
              <v:path/>
              <v:fill on="f" focussize="0,0"/>
              <v:stroke on="f"/>
              <v:imagedata o:title=""/>
              <o:lock v:ext="edit" aspectratio="f"/>
              <v:textbox>
                <w:txbxContent>
                  <w:p w14:paraId="79559E42">
                    <w:pPr>
                      <w:jc w:val="center"/>
                      <w:rPr>
                        <w:rFonts w:hint="default" w:eastAsia="宋体"/>
                        <w:sz w:val="15"/>
                        <w:szCs w:val="15"/>
                        <w:lang w:val="en-US" w:eastAsia="zh-CN"/>
                      </w:rPr>
                    </w:pPr>
                    <w:r>
                      <w:rPr>
                        <w:rFonts w:hint="eastAsia"/>
                        <w:sz w:val="15"/>
                        <w:szCs w:val="15"/>
                        <w:lang w:val="en-US" w:eastAsia="zh-CN"/>
                      </w:rPr>
                      <w:t>混凝土搅拌机组</w:t>
                    </w:r>
                  </w:p>
                </w:txbxContent>
              </v:textbox>
            </v:shape>
            <v:shape id="_x0000_s4181" o:spid="_x0000_s4181" o:spt="202" type="#_x0000_t202" style="position:absolute;left:13414;top:740660;height:353;width:294;" fillcolor="#FFFFFF" filled="t" stroked="t" coordsize="21600,21600">
              <v:path/>
              <v:fill on="t" color2="#FFFFFF" focussize="0,0"/>
              <v:stroke color="#000000" joinstyle="miter"/>
              <v:imagedata o:title=""/>
              <o:lock v:ext="edit" aspectratio="f"/>
              <v:textbox>
                <w:txbxContent>
                  <w:p w14:paraId="39C53F54"/>
                </w:txbxContent>
              </v:textbox>
            </v:shape>
            <v:shape id="_x0000_s4182" o:spid="_x0000_s4182" o:spt="202" type="#_x0000_t202" style="position:absolute;left:13290;top:740619;height:437;width:988;" filled="f" stroked="f" coordsize="21600,21600">
              <v:path/>
              <v:fill on="f" focussize="0,0"/>
              <v:stroke on="f"/>
              <v:imagedata o:title=""/>
              <o:lock v:ext="edit" aspectratio="f"/>
              <v:textbox>
                <w:txbxContent>
                  <w:p w14:paraId="723B7104">
                    <w:pPr>
                      <w:jc w:val="center"/>
                      <w:rPr>
                        <w:rFonts w:hint="default" w:eastAsia="宋体"/>
                        <w:sz w:val="15"/>
                        <w:szCs w:val="15"/>
                        <w:lang w:val="en-US" w:eastAsia="zh-CN"/>
                      </w:rPr>
                    </w:pPr>
                    <w:r>
                      <w:rPr>
                        <w:rFonts w:hint="eastAsia" w:eastAsia="宋体"/>
                        <w:sz w:val="15"/>
                        <w:szCs w:val="15"/>
                        <w:lang w:val="en-US" w:eastAsia="zh-CN"/>
                      </w:rPr>
                      <w:t>洗车平台</w:t>
                    </w:r>
                  </w:p>
                </w:txbxContent>
              </v:textbox>
            </v:shape>
            <v:shape id="_x0000_s4183" o:spid="_x0000_s4183" o:spt="202" type="#_x0000_t202" style="position:absolute;left:10125;top:744025;height:500;width:6047;" filled="f" stroked="f" coordsize="21600,21600">
              <v:path/>
              <v:fill on="f" focussize="0,0"/>
              <v:stroke on="f"/>
              <v:imagedata o:title=""/>
              <o:lock v:ext="edit" aspectratio="f"/>
              <v:textbox>
                <w:txbxContent>
                  <w:p w14:paraId="4071F772">
                    <w:pPr>
                      <w:jc w:val="center"/>
                      <w:rPr>
                        <w:rFonts w:hint="default" w:eastAsia="宋体"/>
                        <w:b/>
                        <w:bCs/>
                        <w:sz w:val="24"/>
                        <w:szCs w:val="24"/>
                        <w:lang w:val="en-US" w:eastAsia="zh-CN"/>
                      </w:rPr>
                    </w:pPr>
                    <w:r>
                      <w:rPr>
                        <w:rFonts w:hint="eastAsia"/>
                        <w:b/>
                        <w:bCs/>
                        <w:sz w:val="24"/>
                        <w:szCs w:val="24"/>
                        <w:lang w:val="en-US" w:eastAsia="zh-CN"/>
                      </w:rPr>
                      <w:t>附图2   项目平面布置示意图（1:500）</w:t>
                    </w:r>
                  </w:p>
                </w:txbxContent>
              </v:textbox>
            </v:shape>
            <v:shape id="_x0000_s2061" o:spid="_x0000_s2061" o:spt="202" type="#_x0000_t202" style="position:absolute;left:13400;top:739828;flip:x;height:793;width:291;" fillcolor="#FFFFFF" filled="t" stroked="t" coordsize="21600,21600">
              <v:path/>
              <v:fill on="t" color2="#FFFFFF" focussize="0,0"/>
              <v:stroke color="#000000" joinstyle="miter"/>
              <v:imagedata o:title=""/>
              <o:lock v:ext="edit" aspectratio="f"/>
              <v:textbox>
                <w:txbxContent>
                  <w:p w14:paraId="1A3C5059"/>
                </w:txbxContent>
              </v:textbox>
            </v:shape>
            <v:shape id="_x0000_s2062" o:spid="_x0000_s2062" o:spt="202" type="#_x0000_t202" style="position:absolute;left:12963;top:739831;height:757;width:1522;" filled="f" stroked="f" coordsize="21600,21600">
              <v:path/>
              <v:fill on="f" focussize="0,0"/>
              <v:stroke on="f"/>
              <v:imagedata o:title=""/>
              <o:lock v:ext="edit" aspectratio="f"/>
              <v:textbox>
                <w:txbxContent>
                  <w:p w14:paraId="079394CE">
                    <w:pPr>
                      <w:jc w:val="center"/>
                      <w:rPr>
                        <w:rFonts w:hint="eastAsia"/>
                        <w:sz w:val="15"/>
                        <w:szCs w:val="15"/>
                        <w:vertAlign w:val="superscript"/>
                        <w:lang w:val="en-US" w:eastAsia="zh-CN"/>
                      </w:rPr>
                    </w:pPr>
                    <w:r>
                      <w:rPr>
                        <w:rFonts w:hint="eastAsia"/>
                        <w:sz w:val="15"/>
                        <w:szCs w:val="15"/>
                        <w:lang w:val="en-US" w:eastAsia="zh-CN"/>
                      </w:rPr>
                      <w:t>沉淀池40m</w:t>
                    </w:r>
                    <w:r>
                      <w:rPr>
                        <w:rFonts w:hint="eastAsia"/>
                        <w:sz w:val="15"/>
                        <w:szCs w:val="15"/>
                        <w:vertAlign w:val="superscript"/>
                        <w:lang w:val="en-US" w:eastAsia="zh-CN"/>
                      </w:rPr>
                      <w:t>3</w:t>
                    </w:r>
                  </w:p>
                  <w:p w14:paraId="7779F561">
                    <w:pPr>
                      <w:jc w:val="center"/>
                      <w:rPr>
                        <w:rFonts w:hint="default"/>
                        <w:sz w:val="15"/>
                        <w:szCs w:val="15"/>
                        <w:vertAlign w:val="baseline"/>
                        <w:lang w:val="en-US" w:eastAsia="zh-CN"/>
                      </w:rPr>
                    </w:pPr>
                    <w:r>
                      <w:rPr>
                        <w:rFonts w:hint="eastAsia"/>
                        <w:sz w:val="15"/>
                        <w:szCs w:val="15"/>
                        <w:vertAlign w:val="baseline"/>
                        <w:lang w:val="en-US" w:eastAsia="zh-CN"/>
                      </w:rPr>
                      <w:t>（兼顾洗车平台配套循环水池）</w:t>
                    </w:r>
                  </w:p>
                </w:txbxContent>
              </v:textbox>
            </v:shape>
            <v:shape id="_x0000_s2072" o:spid="_x0000_s2072" o:spt="202" type="#_x0000_t202" style="position:absolute;left:10618;top:738930;height:596;width:969;" filled="f" stroked="f" coordsize="21600,21600">
              <v:path/>
              <v:fill on="f" focussize="0,0"/>
              <v:stroke on="f"/>
              <v:imagedata o:title=""/>
              <o:lock v:ext="edit" aspectratio="f"/>
              <v:textbox>
                <w:txbxContent>
                  <w:p w14:paraId="77E49056">
                    <w:pPr>
                      <w:jc w:val="center"/>
                      <w:rPr>
                        <w:rFonts w:hint="default" w:eastAsia="宋体"/>
                        <w:sz w:val="15"/>
                        <w:szCs w:val="15"/>
                        <w:lang w:val="en-US" w:eastAsia="zh-CN"/>
                      </w:rPr>
                    </w:pPr>
                    <w:r>
                      <w:rPr>
                        <w:rFonts w:hint="eastAsia"/>
                        <w:sz w:val="15"/>
                        <w:szCs w:val="15"/>
                        <w:lang w:val="en-US" w:eastAsia="zh-CN"/>
                      </w:rPr>
                      <w:t>储料库</w:t>
                    </w:r>
                  </w:p>
                </w:txbxContent>
              </v:textbox>
            </v:shape>
            <v:shape id="_x0000_s4189" o:spid="_x0000_s4189" o:spt="202" type="#_x0000_t202" style="position:absolute;left:7331;top:738465;height:626;width:1440;" filled="f" stroked="f" coordsize="21600,21600">
              <v:path/>
              <v:fill on="f" focussize="0,0"/>
              <v:stroke on="f"/>
              <v:imagedata o:title=""/>
              <o:lock v:ext="edit" aspectratio="f"/>
              <v:textbox>
                <w:txbxContent>
                  <w:p w14:paraId="1D769F17">
                    <w:pPr>
                      <w:jc w:val="center"/>
                      <w:rPr>
                        <w:rFonts w:hint="default" w:eastAsia="宋体"/>
                        <w:lang w:val="en-US" w:eastAsia="zh-CN"/>
                      </w:rPr>
                    </w:pPr>
                    <w:r>
                      <w:rPr>
                        <w:rFonts w:hint="eastAsia"/>
                        <w:lang w:val="en-US" w:eastAsia="zh-CN"/>
                      </w:rPr>
                      <w:t>空地</w:t>
                    </w:r>
                  </w:p>
                </w:txbxContent>
              </v:textbox>
            </v:shape>
            <v:shape id="_x0000_s4190" o:spid="_x0000_s4190" o:spt="202" type="#_x0000_t202" style="position:absolute;left:10341;top:735937;height:626;width:1440;" filled="f" stroked="f" coordsize="21600,21600">
              <v:path/>
              <v:fill on="f" focussize="0,0"/>
              <v:stroke on="f"/>
              <v:imagedata o:title=""/>
              <o:lock v:ext="edit" aspectratio="f"/>
              <v:textbox>
                <w:txbxContent>
                  <w:p w14:paraId="66670B56">
                    <w:pPr>
                      <w:jc w:val="center"/>
                      <w:rPr>
                        <w:rFonts w:hint="default" w:eastAsia="宋体"/>
                        <w:lang w:val="en-US" w:eastAsia="zh-CN"/>
                      </w:rPr>
                    </w:pPr>
                    <w:r>
                      <w:rPr>
                        <w:rFonts w:hint="eastAsia"/>
                        <w:lang w:val="en-US" w:eastAsia="zh-CN"/>
                      </w:rPr>
                      <w:t>围墙</w:t>
                    </w:r>
                  </w:p>
                </w:txbxContent>
              </v:textbox>
            </v:shape>
            <v:shape id="_x0000_s4191" o:spid="_x0000_s4191" o:spt="202" type="#_x0000_t202" style="position:absolute;left:10467;top:742367;height:626;width:1440;" filled="f" stroked="f" coordsize="21600,21600">
              <v:path/>
              <v:fill on="f" focussize="0,0"/>
              <v:stroke on="f"/>
              <v:imagedata o:title=""/>
              <o:lock v:ext="edit" aspectratio="f"/>
              <v:textbox>
                <w:txbxContent>
                  <w:p w14:paraId="094F17ED">
                    <w:pPr>
                      <w:jc w:val="center"/>
                      <w:rPr>
                        <w:rFonts w:hint="default" w:eastAsia="宋体"/>
                        <w:lang w:val="en-US" w:eastAsia="zh-CN"/>
                      </w:rPr>
                    </w:pPr>
                    <w:r>
                      <w:rPr>
                        <w:rFonts w:hint="eastAsia"/>
                        <w:lang w:val="en-US" w:eastAsia="zh-CN"/>
                      </w:rPr>
                      <w:t>围墙</w:t>
                    </w:r>
                  </w:p>
                </w:txbxContent>
              </v:textbox>
            </v:shape>
            <v:shape id="_x0000_s4192" o:spid="_x0000_s4192" o:spt="202" type="#_x0000_t202" style="position:absolute;left:18534;top:742347;height:233;width:639;" fillcolor="#FFFFFF" filled="t" stroked="t" coordsize="21600,21600">
              <v:path/>
              <v:fill on="t" color2="#FFFFFF" focussize="0,0"/>
              <v:stroke color="#00B050" joinstyle="miter"/>
              <v:imagedata o:title=""/>
              <o:lock v:ext="edit" aspectratio="f"/>
              <v:textbox>
                <w:txbxContent>
                  <w:p w14:paraId="0F8DC52D"/>
                </w:txbxContent>
              </v:textbox>
            </v:shape>
            <v:shape id="_x0000_s4193" o:spid="_x0000_s4193" o:spt="202" type="#_x0000_t202" style="position:absolute;left:18639;top:741968;height:396;width:1440;" filled="f" stroked="f" coordsize="21600,21600">
              <v:path/>
              <v:fill on="f" focussize="0,0"/>
              <v:stroke on="f"/>
              <v:imagedata o:title=""/>
              <o:lock v:ext="edit" aspectratio="f"/>
              <v:textbox>
                <w:txbxContent>
                  <w:p w14:paraId="0DBF9374">
                    <w:pPr>
                      <w:jc w:val="center"/>
                      <w:rPr>
                        <w:rFonts w:hint="default" w:eastAsia="宋体"/>
                        <w:lang w:val="en-US" w:eastAsia="zh-CN"/>
                      </w:rPr>
                    </w:pPr>
                    <w:r>
                      <w:rPr>
                        <w:rFonts w:hint="eastAsia"/>
                        <w:lang w:val="en-US" w:eastAsia="zh-CN"/>
                      </w:rPr>
                      <w:t>图例</w:t>
                    </w:r>
                  </w:p>
                </w:txbxContent>
              </v:textbox>
            </v:shape>
            <v:shape id="_x0000_s4194" o:spid="_x0000_s4194" o:spt="202" type="#_x0000_t202" style="position:absolute;left:18891;top:742273;height:396;width:1440;" filled="f" stroked="f" coordsize="21600,21600">
              <v:path/>
              <v:fill on="f" focussize="0,0"/>
              <v:stroke on="f"/>
              <v:imagedata o:title=""/>
              <o:lock v:ext="edit" aspectratio="f"/>
              <v:textbox>
                <w:txbxContent>
                  <w:p w14:paraId="4BF1B480">
                    <w:pPr>
                      <w:jc w:val="center"/>
                      <w:rPr>
                        <w:rFonts w:hint="default" w:eastAsia="宋体"/>
                        <w:lang w:val="en-US" w:eastAsia="zh-CN"/>
                      </w:rPr>
                    </w:pPr>
                    <w:r>
                      <w:rPr>
                        <w:rFonts w:hint="eastAsia"/>
                        <w:lang w:val="en-US" w:eastAsia="zh-CN"/>
                      </w:rPr>
                      <w:t>已建</w:t>
                    </w:r>
                  </w:p>
                </w:txbxContent>
              </v:textbox>
            </v:shape>
            <v:shape id="_x0000_s4196" o:spid="_x0000_s4196" o:spt="202" type="#_x0000_t202" style="position:absolute;left:18534;top:742735;height:233;width:639;" fillcolor="#FFFFFF" filled="t" stroked="t" coordsize="21600,21600">
              <v:path/>
              <v:fill on="t" color2="#FFFFFF" focussize="0,0"/>
              <v:stroke color="#000000" joinstyle="miter"/>
              <v:imagedata o:title=""/>
              <o:lock v:ext="edit" aspectratio="f"/>
              <v:textbox>
                <w:txbxContent>
                  <w:p w14:paraId="2C833504"/>
                </w:txbxContent>
              </v:textbox>
            </v:shape>
            <v:shape id="_x0000_s4195" o:spid="_x0000_s4195" o:spt="202" type="#_x0000_t202" style="position:absolute;left:18891;top:742661;height:396;width:1440;" filled="f" stroked="f" coordsize="21600,21600">
              <v:path/>
              <v:fill on="f" focussize="0,0"/>
              <v:stroke on="f"/>
              <v:imagedata o:title=""/>
              <o:lock v:ext="edit" aspectratio="f"/>
              <v:textbox>
                <w:txbxContent>
                  <w:p w14:paraId="7180BE86">
                    <w:pPr>
                      <w:jc w:val="center"/>
                      <w:rPr>
                        <w:rFonts w:hint="default" w:eastAsia="宋体"/>
                        <w:lang w:val="en-US" w:eastAsia="zh-CN"/>
                      </w:rPr>
                    </w:pPr>
                    <w:r>
                      <w:rPr>
                        <w:rFonts w:hint="eastAsia"/>
                        <w:lang w:val="en-US" w:eastAsia="zh-CN"/>
                      </w:rPr>
                      <w:t>新建</w:t>
                    </w:r>
                  </w:p>
                </w:txbxContent>
              </v:textbox>
            </v:shape>
            <v:shape id="_x0000_s4320" o:spid="_x0000_s4320" o:spt="202" type="#_x0000_t202" style="position:absolute;left:13077;top:741888;flip:x;height:259;width:280;" fillcolor="#FFFFFF" filled="t" stroked="t" coordsize="21600,21600">
              <v:path/>
              <v:fill on="t" color2="#FFFFFF" focussize="0,0"/>
              <v:stroke color="#000000" joinstyle="miter"/>
              <v:imagedata o:title=""/>
              <o:lock v:ext="edit" aspectratio="f"/>
              <v:textbox>
                <w:txbxContent>
                  <w:p w14:paraId="332E227A"/>
                </w:txbxContent>
              </v:textbox>
            </v:shape>
            <v:shape id="_x0000_s4321" o:spid="_x0000_s4321" o:spt="202" type="#_x0000_t202" style="position:absolute;left:11970;top:741811;height:677;width:1522;" filled="f" stroked="f" coordsize="21600,21600">
              <v:path/>
              <v:fill on="f" focussize="0,0"/>
              <v:stroke on="f"/>
              <v:imagedata o:title=""/>
              <o:lock v:ext="edit" aspectratio="f"/>
              <v:textbox>
                <w:txbxContent>
                  <w:p w14:paraId="067EAD04">
                    <w:pPr>
                      <w:jc w:val="center"/>
                      <w:rPr>
                        <w:rFonts w:hint="eastAsia"/>
                        <w:sz w:val="15"/>
                        <w:szCs w:val="15"/>
                        <w:vertAlign w:val="superscript"/>
                        <w:lang w:val="en-US" w:eastAsia="zh-CN"/>
                      </w:rPr>
                    </w:pPr>
                    <w:r>
                      <w:rPr>
                        <w:rFonts w:hint="eastAsia"/>
                        <w:sz w:val="15"/>
                        <w:szCs w:val="15"/>
                        <w:lang w:val="en-US" w:eastAsia="zh-CN"/>
                      </w:rPr>
                      <w:t>初期雨水池100m</w:t>
                    </w:r>
                    <w:r>
                      <w:rPr>
                        <w:rFonts w:hint="eastAsia"/>
                        <w:sz w:val="15"/>
                        <w:szCs w:val="15"/>
                        <w:vertAlign w:val="superscript"/>
                        <w:lang w:val="en-US" w:eastAsia="zh-CN"/>
                      </w:rPr>
                      <w:t>3</w:t>
                    </w:r>
                  </w:p>
                  <w:p w14:paraId="2EE334D9">
                    <w:pPr>
                      <w:jc w:val="center"/>
                      <w:rPr>
                        <w:rFonts w:hint="default"/>
                        <w:sz w:val="15"/>
                        <w:szCs w:val="15"/>
                        <w:vertAlign w:val="baseline"/>
                        <w:lang w:val="en-US" w:eastAsia="zh-CN"/>
                      </w:rPr>
                    </w:pPr>
                  </w:p>
                </w:txbxContent>
              </v:textbox>
            </v:shape>
            <v:line id="_x0000_s4328" o:spid="_x0000_s4328" o:spt="20" style="position:absolute;left:9467;top:736278;height:6023;width:15;" filled="f" stroked="t" coordsize="21600,21600">
              <v:path arrowok="t"/>
              <v:fill on="f" focussize="0,0"/>
              <v:stroke color="#000000"/>
              <v:imagedata o:title=""/>
              <o:lock v:ext="edit" aspectratio="f"/>
            </v:line>
            <v:line id="_x0000_s4329" o:spid="_x0000_s4329" o:spt="20" style="position:absolute;left:13842;top:741657;flip:x;height:634;width:5;" filled="f" stroked="t" coordsize="21600,21600">
              <v:path arrowok="t"/>
              <v:fill on="f" focussize="0,0"/>
              <v:stroke color="#000000"/>
              <v:imagedata o:title=""/>
              <o:lock v:ext="edit" aspectratio="f"/>
            </v:line>
            <v:shape id="_x0000_s4330" o:spid="_x0000_s4330" o:spt="202" type="#_x0000_t202" style="position:absolute;left:14386;top:736641;height:490;width:1456;" fillcolor="#FFFFFF" filled="t" stroked="t" coordsize="21600,21600">
              <v:path/>
              <v:fill on="t" color2="#FFFFFF" focussize="0,0"/>
              <v:stroke color="#00B050" joinstyle="miter"/>
              <v:imagedata o:title=""/>
              <o:lock v:ext="edit" aspectratio="f"/>
              <v:textbox>
                <w:txbxContent>
                  <w:p w14:paraId="30158710"/>
                </w:txbxContent>
              </v:textbox>
            </v:shape>
            <v:shape id="_x0000_s4331" o:spid="_x0000_s4331" o:spt="202" type="#_x0000_t202" style="position:absolute;left:14271;top:736683;height:403;width:1671;" filled="f" stroked="f" coordsize="21600,21600">
              <v:path/>
              <v:fill on="f" focussize="0,0"/>
              <v:stroke on="f"/>
              <v:imagedata o:title=""/>
              <o:lock v:ext="edit" aspectratio="f"/>
              <v:textbox>
                <w:txbxContent>
                  <w:p w14:paraId="04FE019C">
                    <w:pPr>
                      <w:jc w:val="center"/>
                      <w:rPr>
                        <w:rFonts w:hint="default" w:eastAsia="宋体"/>
                        <w:sz w:val="15"/>
                        <w:szCs w:val="15"/>
                        <w:lang w:val="en-US" w:eastAsia="zh-CN"/>
                      </w:rPr>
                    </w:pPr>
                    <w:r>
                      <w:rPr>
                        <w:rFonts w:hint="eastAsia"/>
                        <w:sz w:val="15"/>
                        <w:szCs w:val="15"/>
                        <w:lang w:val="en-US" w:eastAsia="zh-CN"/>
                      </w:rPr>
                      <w:t>水稳土搅拌机组</w:t>
                    </w:r>
                  </w:p>
                </w:txbxContent>
              </v:textbox>
            </v:shape>
            <v:shape id="_x0000_s4332" o:spid="_x0000_s4332" o:spt="202" type="#_x0000_t202" style="position:absolute;left:13555;top:741636;flip:x;height:275;width:283;" fillcolor="#FFFFFF" filled="t" stroked="t" coordsize="21600,21600">
              <v:path/>
              <v:fill on="t" color2="#FFFFFF" focussize="0,0"/>
              <v:stroke color="#000000" joinstyle="miter"/>
              <v:imagedata o:title=""/>
              <o:lock v:ext="edit" aspectratio="f"/>
              <v:textbox>
                <w:txbxContent>
                  <w:p w14:paraId="3229B89B"/>
                </w:txbxContent>
              </v:textbox>
            </v:shape>
            <v:shape id="_x0000_s4333" o:spid="_x0000_s4333" o:spt="202" type="#_x0000_t202" style="position:absolute;left:13330;top:741641;height:337;width:762;" filled="f" stroked="f" coordsize="21600,21600">
              <v:path/>
              <v:fill on="f" focussize="0,0"/>
              <v:stroke on="f"/>
              <v:imagedata o:title=""/>
              <o:lock v:ext="edit" aspectratio="f"/>
              <v:textbox>
                <w:txbxContent>
                  <w:p w14:paraId="080E1AFD">
                    <w:pPr>
                      <w:jc w:val="center"/>
                      <w:rPr>
                        <w:rFonts w:hint="default"/>
                        <w:sz w:val="15"/>
                        <w:szCs w:val="15"/>
                        <w:vertAlign w:val="baseline"/>
                        <w:lang w:val="en-US" w:eastAsia="zh-CN"/>
                      </w:rPr>
                    </w:pPr>
                    <w:r>
                      <w:rPr>
                        <w:rFonts w:hint="eastAsia"/>
                        <w:sz w:val="15"/>
                        <w:szCs w:val="15"/>
                        <w:lang w:val="en-US" w:eastAsia="zh-CN"/>
                      </w:rPr>
                      <w:t>门卫室</w:t>
                    </w:r>
                  </w:p>
                </w:txbxContent>
              </v:textbox>
            </v:shape>
            <v:line id="_x0000_s4334" o:spid="_x0000_s4334" o:spt="20" style="position:absolute;left:13794;top:737383;flip:y;height:3;width:2113;" filled="f" stroked="t" coordsize="21600,21600">
              <v:path arrowok="t"/>
              <v:fill on="f" focussize="0,0"/>
              <v:stroke color="#000000"/>
              <v:imagedata o:title=""/>
              <o:lock v:ext="edit" aspectratio="f"/>
            </v:line>
            <v:shape id="_x0000_s4335" o:spid="_x0000_s4335" o:spt="202" type="#_x0000_t202" style="position:absolute;left:10411;top:742955;height:626;width:1440;" filled="f" stroked="f" coordsize="21600,21600">
              <v:path/>
              <v:fill on="f" focussize="0,0"/>
              <v:stroke on="f"/>
              <v:imagedata o:title=""/>
              <o:lock v:ext="edit" aspectratio="f"/>
              <v:textbox>
                <w:txbxContent>
                  <w:p w14:paraId="286271C4">
                    <w:pPr>
                      <w:jc w:val="center"/>
                      <w:rPr>
                        <w:rFonts w:hint="default" w:eastAsia="宋体"/>
                        <w:lang w:val="en-US" w:eastAsia="zh-CN"/>
                      </w:rPr>
                    </w:pPr>
                    <w:r>
                      <w:rPr>
                        <w:rFonts w:hint="eastAsia"/>
                        <w:lang w:val="en-US" w:eastAsia="zh-CN"/>
                      </w:rPr>
                      <w:t>加油站</w:t>
                    </w:r>
                  </w:p>
                </w:txbxContent>
              </v:textbox>
            </v:shape>
            <v:shape id="_x0000_s4336" o:spid="_x0000_s4336" o:spt="202" type="#_x0000_t202" style="position:absolute;left:14011;top:742895;height:626;width:1440;" filled="f" stroked="f" coordsize="21600,21600">
              <v:path/>
              <v:fill on="f" focussize="0,0"/>
              <v:stroke on="f"/>
              <v:imagedata o:title=""/>
              <o:lock v:ext="edit" aspectratio="f"/>
              <v:textbox>
                <w:txbxContent>
                  <w:p w14:paraId="23C2738B">
                    <w:pPr>
                      <w:jc w:val="center"/>
                      <w:rPr>
                        <w:rFonts w:hint="default" w:eastAsia="宋体"/>
                        <w:lang w:val="en-US" w:eastAsia="zh-CN"/>
                      </w:rPr>
                    </w:pPr>
                    <w:r>
                      <w:rPr>
                        <w:rFonts w:hint="eastAsia"/>
                        <w:lang w:val="en-US" w:eastAsia="zh-CN"/>
                      </w:rPr>
                      <w:t>加气站</w:t>
                    </w:r>
                  </w:p>
                </w:txbxContent>
              </v:textbox>
            </v:shape>
            <v:shape id="_x0000_s4337" o:spid="_x0000_s4337" o:spt="202" type="#_x0000_t202" style="position:absolute;left:15501;top:738365;height:626;width:1440;" filled="f" stroked="f" coordsize="21600,21600">
              <v:path/>
              <v:fill on="f" focussize="0,0"/>
              <v:stroke on="f"/>
              <v:imagedata o:title=""/>
              <o:lock v:ext="edit" aspectratio="f"/>
              <v:textbox>
                <w:txbxContent>
                  <w:p w14:paraId="34B5D51D">
                    <w:pPr>
                      <w:jc w:val="center"/>
                      <w:rPr>
                        <w:rFonts w:hint="default" w:eastAsia="宋体"/>
                        <w:lang w:val="en-US" w:eastAsia="zh-CN"/>
                      </w:rPr>
                    </w:pPr>
                    <w:r>
                      <w:rPr>
                        <w:rFonts w:hint="eastAsia"/>
                        <w:lang w:val="en-US" w:eastAsia="zh-CN"/>
                      </w:rPr>
                      <w:t>空地</w:t>
                    </w:r>
                  </w:p>
                </w:txbxContent>
              </v:textbox>
            </v:shape>
          </v:group>
        </w:pict>
      </w:r>
    </w:p>
    <w:p w14:paraId="2EB4CA7C">
      <w:pPr>
        <w:jc w:val="center"/>
        <w:rPr>
          <w:color w:val="auto"/>
        </w:rPr>
      </w:pPr>
    </w:p>
    <w:p w14:paraId="7BAD81F6">
      <w:pPr>
        <w:jc w:val="center"/>
        <w:rPr>
          <w:color w:val="auto"/>
        </w:rPr>
      </w:pPr>
    </w:p>
    <w:p w14:paraId="49CCE43C">
      <w:pPr>
        <w:jc w:val="center"/>
        <w:rPr>
          <w:color w:val="auto"/>
        </w:rPr>
      </w:pPr>
    </w:p>
    <w:p w14:paraId="7E257B6D">
      <w:pPr>
        <w:jc w:val="center"/>
        <w:rPr>
          <w:color w:val="auto"/>
        </w:rPr>
      </w:pPr>
    </w:p>
    <w:p w14:paraId="16962831">
      <w:pPr>
        <w:jc w:val="center"/>
        <w:rPr>
          <w:color w:val="auto"/>
        </w:rPr>
      </w:pPr>
    </w:p>
    <w:p w14:paraId="763742FA">
      <w:pPr>
        <w:jc w:val="center"/>
        <w:rPr>
          <w:color w:val="auto"/>
        </w:rPr>
      </w:pPr>
    </w:p>
    <w:p w14:paraId="01FCEAE1">
      <w:pPr>
        <w:jc w:val="center"/>
        <w:rPr>
          <w:color w:val="auto"/>
        </w:rPr>
      </w:pPr>
    </w:p>
    <w:p w14:paraId="5C95510E">
      <w:pPr>
        <w:jc w:val="center"/>
        <w:rPr>
          <w:color w:val="auto"/>
        </w:rPr>
      </w:pPr>
    </w:p>
    <w:p w14:paraId="172785F4">
      <w:pPr>
        <w:jc w:val="center"/>
        <w:rPr>
          <w:color w:val="auto"/>
        </w:rPr>
      </w:pPr>
    </w:p>
    <w:p w14:paraId="3BA70F2A">
      <w:pPr>
        <w:jc w:val="center"/>
        <w:rPr>
          <w:color w:val="auto"/>
        </w:rPr>
      </w:pPr>
    </w:p>
    <w:p w14:paraId="64E97808">
      <w:pPr>
        <w:jc w:val="center"/>
        <w:rPr>
          <w:color w:val="auto"/>
        </w:rPr>
      </w:pPr>
    </w:p>
    <w:p w14:paraId="781A3201">
      <w:pPr>
        <w:jc w:val="center"/>
        <w:rPr>
          <w:color w:val="auto"/>
        </w:rPr>
      </w:pPr>
    </w:p>
    <w:p w14:paraId="16E364AD">
      <w:pPr>
        <w:jc w:val="center"/>
        <w:rPr>
          <w:color w:val="auto"/>
        </w:rPr>
      </w:pPr>
    </w:p>
    <w:p w14:paraId="61670A07">
      <w:pPr>
        <w:jc w:val="center"/>
        <w:rPr>
          <w:color w:val="auto"/>
        </w:rPr>
      </w:pPr>
    </w:p>
    <w:p w14:paraId="384FA832">
      <w:pPr>
        <w:jc w:val="center"/>
        <w:rPr>
          <w:color w:val="auto"/>
        </w:rPr>
      </w:pPr>
    </w:p>
    <w:p w14:paraId="5DA4F041">
      <w:pPr>
        <w:jc w:val="center"/>
        <w:rPr>
          <w:color w:val="auto"/>
        </w:rPr>
      </w:pPr>
    </w:p>
    <w:p w14:paraId="613E3186">
      <w:pPr>
        <w:jc w:val="center"/>
        <w:rPr>
          <w:color w:val="auto"/>
        </w:rPr>
      </w:pPr>
    </w:p>
    <w:p w14:paraId="66546527">
      <w:pPr>
        <w:jc w:val="center"/>
        <w:rPr>
          <w:color w:val="auto"/>
        </w:rPr>
      </w:pPr>
    </w:p>
    <w:p w14:paraId="756DF873">
      <w:pPr>
        <w:rPr>
          <w:color w:val="auto"/>
        </w:rPr>
      </w:pPr>
    </w:p>
    <w:p w14:paraId="48CCF7AA">
      <w:pPr>
        <w:rPr>
          <w:color w:val="auto"/>
        </w:rPr>
      </w:pPr>
    </w:p>
    <w:p w14:paraId="1BAE2269">
      <w:pPr>
        <w:rPr>
          <w:color w:val="auto"/>
        </w:rPr>
      </w:pPr>
    </w:p>
    <w:p w14:paraId="55FC2D4A">
      <w:pPr>
        <w:rPr>
          <w:color w:val="auto"/>
        </w:rPr>
      </w:pPr>
    </w:p>
    <w:p w14:paraId="4B08D587">
      <w:pPr>
        <w:rPr>
          <w:color w:val="auto"/>
        </w:rPr>
      </w:pPr>
    </w:p>
    <w:p w14:paraId="143E554E">
      <w:pPr>
        <w:rPr>
          <w:color w:val="auto"/>
        </w:rPr>
      </w:pPr>
    </w:p>
    <w:p w14:paraId="2119A40A">
      <w:pPr>
        <w:rPr>
          <w:color w:val="auto"/>
        </w:rPr>
      </w:pPr>
    </w:p>
    <w:p w14:paraId="6B09394C">
      <w:pPr>
        <w:rPr>
          <w:color w:val="auto"/>
        </w:rPr>
      </w:pPr>
    </w:p>
    <w:p w14:paraId="2460C95A">
      <w:pPr>
        <w:rPr>
          <w:color w:val="auto"/>
        </w:rPr>
      </w:pPr>
    </w:p>
    <w:p w14:paraId="3FE4EBA3">
      <w:pPr>
        <w:rPr>
          <w:color w:val="auto"/>
        </w:rPr>
      </w:pPr>
    </w:p>
    <w:p w14:paraId="201F5324">
      <w:pPr>
        <w:rPr>
          <w:color w:val="auto"/>
        </w:rPr>
      </w:pPr>
    </w:p>
    <w:p w14:paraId="6F90AAF0">
      <w:pPr>
        <w:rPr>
          <w:color w:val="auto"/>
        </w:rPr>
      </w:pPr>
    </w:p>
    <w:p w14:paraId="433C18E1">
      <w:pPr>
        <w:rPr>
          <w:color w:val="auto"/>
        </w:rPr>
      </w:pPr>
    </w:p>
    <w:p w14:paraId="6A3D06FF">
      <w:pPr>
        <w:rPr>
          <w:color w:val="auto"/>
        </w:rPr>
      </w:pPr>
    </w:p>
    <w:p w14:paraId="7EFD1CA5">
      <w:pPr>
        <w:rPr>
          <w:color w:val="auto"/>
        </w:rPr>
      </w:pPr>
    </w:p>
    <w:p w14:paraId="49D72F6F">
      <w:pPr>
        <w:rPr>
          <w:color w:val="auto"/>
        </w:rPr>
      </w:pPr>
      <w:r>
        <w:rPr>
          <w:sz w:val="21"/>
        </w:rPr>
        <w:pict>
          <v:shape id="_x0000_s4360" o:spid="_x0000_s4360" o:spt="202" type="#_x0000_t202" style="position:absolute;left:0pt;margin-left:591.7pt;margin-top:-27.95pt;height:24.9pt;width:47.05pt;z-index:251702272;mso-width-relative:page;mso-height-relative:page;" filled="f" stroked="f" coordsize="21600,21600">
            <v:path/>
            <v:fill on="f" focussize="0,0"/>
            <v:stroke on="f"/>
            <v:imagedata o:title=""/>
            <o:lock v:ext="edit" aspectratio="f"/>
            <v:textbox>
              <w:txbxContent>
                <w:p w14:paraId="56D70B07">
                  <w:pPr>
                    <w:jc w:val="center"/>
                    <w:rPr>
                      <w:rFonts w:hint="default" w:eastAsia="宋体"/>
                      <w:lang w:val="en-US" w:eastAsia="zh-CN"/>
                    </w:rPr>
                  </w:pPr>
                  <w:r>
                    <w:rPr>
                      <w:rFonts w:hint="eastAsia"/>
                      <w:lang w:val="en-US" w:eastAsia="zh-CN"/>
                    </w:rPr>
                    <w:t>DA005</w:t>
                  </w:r>
                </w:p>
              </w:txbxContent>
            </v:textbox>
          </v:shape>
        </w:pict>
      </w:r>
      <w:r>
        <w:rPr>
          <w:sz w:val="21"/>
        </w:rPr>
        <w:pict>
          <v:shape id="_x0000_s4359" o:spid="_x0000_s4359" o:spt="22" type="#_x0000_t22" style="position:absolute;left:0pt;margin-left:586.4pt;margin-top:-19.5pt;height:47.6pt;width:6.7pt;z-index:251701248;mso-width-relative:page;mso-height-relative:page;" fillcolor="#FFFFFF" filled="t" stroked="t" coordsize="21600,21600" adj="5400">
            <v:path/>
            <v:fill on="t" color2="#FFFFFF" focussize="0,0"/>
            <v:stroke color="#000000"/>
            <v:imagedata o:title=""/>
            <o:lock v:ext="edit" aspectratio="f"/>
          </v:shape>
        </w:pict>
      </w:r>
      <w:r>
        <w:rPr>
          <w:sz w:val="21"/>
        </w:rPr>
        <w:pict>
          <v:shape id="_x0000_s4356" o:spid="_x0000_s4356" o:spt="202" type="#_x0000_t202" style="position:absolute;left:0pt;margin-left:524.35pt;margin-top:-37.1pt;height:24.9pt;width:47.05pt;z-index:251700224;mso-width-relative:page;mso-height-relative:page;" filled="f" stroked="f" coordsize="21600,21600">
            <v:path/>
            <v:fill on="f" focussize="0,0"/>
            <v:stroke on="f"/>
            <v:imagedata o:title=""/>
            <o:lock v:ext="edit" aspectratio="f"/>
            <v:textbox>
              <w:txbxContent>
                <w:p w14:paraId="3006C2BF">
                  <w:pPr>
                    <w:jc w:val="center"/>
                    <w:rPr>
                      <w:rFonts w:hint="default" w:eastAsia="宋体"/>
                      <w:sz w:val="15"/>
                      <w:szCs w:val="15"/>
                      <w:lang w:val="en-US" w:eastAsia="zh-CN"/>
                    </w:rPr>
                  </w:pPr>
                  <w:r>
                    <w:rPr>
                      <w:rFonts w:hint="eastAsia"/>
                      <w:sz w:val="15"/>
                      <w:szCs w:val="15"/>
                      <w:lang w:val="en-US" w:eastAsia="zh-CN"/>
                    </w:rPr>
                    <w:t>DA010</w:t>
                  </w:r>
                </w:p>
              </w:txbxContent>
            </v:textbox>
          </v:shape>
        </w:pict>
      </w:r>
      <w:r>
        <w:rPr>
          <w:sz w:val="21"/>
        </w:rPr>
        <w:pict>
          <v:shape id="_x0000_s4354" o:spid="_x0000_s4354" o:spt="202" type="#_x0000_t202" style="position:absolute;left:0pt;margin-left:528.95pt;margin-top:-12.7pt;height:31.45pt;width:39.15pt;z-index:251698176;mso-width-relative:page;mso-height-relative:page;" filled="f" stroked="f" coordsize="21600,21600">
            <v:path/>
            <v:fill on="f" focussize="0,0"/>
            <v:stroke on="f"/>
            <v:imagedata o:title=""/>
            <o:lock v:ext="edit" aspectratio="f"/>
            <v:textbox>
              <w:txbxContent>
                <w:p w14:paraId="2854B2A9">
                  <w:pPr>
                    <w:jc w:val="center"/>
                    <w:rPr>
                      <w:rFonts w:hint="eastAsia"/>
                      <w:sz w:val="15"/>
                      <w:szCs w:val="15"/>
                      <w:lang w:val="en-US" w:eastAsia="zh-CN"/>
                    </w:rPr>
                  </w:pPr>
                  <w:r>
                    <w:rPr>
                      <w:rFonts w:hint="eastAsia"/>
                      <w:sz w:val="15"/>
                      <w:szCs w:val="15"/>
                      <w:lang w:val="en-US" w:eastAsia="zh-CN"/>
                    </w:rPr>
                    <w:t>水泥</w:t>
                  </w:r>
                </w:p>
                <w:p w14:paraId="68C8CE28">
                  <w:pPr>
                    <w:jc w:val="center"/>
                    <w:rPr>
                      <w:rFonts w:hint="default" w:eastAsia="宋体"/>
                      <w:sz w:val="15"/>
                      <w:szCs w:val="15"/>
                      <w:lang w:val="en-US" w:eastAsia="zh-CN"/>
                    </w:rPr>
                  </w:pPr>
                  <w:r>
                    <w:rPr>
                      <w:rFonts w:hint="eastAsia"/>
                      <w:sz w:val="15"/>
                      <w:szCs w:val="15"/>
                      <w:lang w:val="en-US" w:eastAsia="zh-CN"/>
                    </w:rPr>
                    <w:t>筒仓</w:t>
                  </w:r>
                </w:p>
              </w:txbxContent>
            </v:textbox>
          </v:shape>
        </w:pict>
      </w:r>
      <w:r>
        <w:rPr>
          <w:sz w:val="21"/>
        </w:rPr>
        <w:pict>
          <v:rect id="_x0000_s4353" o:spid="_x0000_s4353" o:spt="1" style="position:absolute;left:0pt;margin-left:537.5pt;margin-top:-25.5pt;height:54.75pt;width:22.6pt;z-index:251697152;mso-width-relative:page;mso-height-relative:page;" filled="f" stroked="t" coordsize="21600,21600">
            <v:path/>
            <v:fill on="f" focussize="0,0"/>
            <v:stroke color="#000000" joinstyle="miter"/>
            <v:imagedata o:title=""/>
            <o:lock v:ext="edit" aspectratio="f"/>
          </v:rect>
        </w:pict>
      </w:r>
      <w:r>
        <w:rPr>
          <w:sz w:val="21"/>
        </w:rPr>
        <w:pict>
          <v:shape id="_x0000_s4345" o:spid="_x0000_s4345" o:spt="202" type="#_x0000_t202" style="position:absolute;left:0pt;margin-left:312.85pt;margin-top:11.65pt;height:39.65pt;width:111.45pt;z-index:251720704;mso-width-relative:page;mso-height-relative:page;" filled="f" stroked="f" coordsize="21600,21600">
            <v:path/>
            <v:fill on="f" focussize="0,0"/>
            <v:stroke on="f"/>
            <v:imagedata o:title=""/>
            <o:lock v:ext="edit" aspectratio="f"/>
            <v:textbox>
              <w:txbxContent>
                <w:p w14:paraId="6CC47D46">
                  <w:pPr>
                    <w:jc w:val="center"/>
                    <w:rPr>
                      <w:rFonts w:hint="eastAsia"/>
                      <w:sz w:val="21"/>
                      <w:szCs w:val="21"/>
                      <w:lang w:val="en-US" w:eastAsia="zh-CN"/>
                    </w:rPr>
                  </w:pPr>
                  <w:r>
                    <w:rPr>
                      <w:rFonts w:hint="eastAsia"/>
                      <w:sz w:val="21"/>
                      <w:szCs w:val="21"/>
                      <w:lang w:val="en-US" w:eastAsia="zh-CN"/>
                    </w:rPr>
                    <w:t>办公楼</w:t>
                  </w:r>
                </w:p>
                <w:p w14:paraId="121E4CE2">
                  <w:pPr>
                    <w:jc w:val="center"/>
                    <w:rPr>
                      <w:rFonts w:hint="default"/>
                      <w:sz w:val="21"/>
                      <w:szCs w:val="21"/>
                      <w:lang w:val="en-US" w:eastAsia="zh-CN"/>
                    </w:rPr>
                  </w:pPr>
                  <w:r>
                    <w:rPr>
                      <w:rFonts w:hint="eastAsia"/>
                      <w:sz w:val="21"/>
                      <w:szCs w:val="21"/>
                      <w:lang w:val="en-US" w:eastAsia="zh-CN"/>
                    </w:rPr>
                    <w:t>（3层）</w:t>
                  </w:r>
                </w:p>
              </w:txbxContent>
            </v:textbox>
          </v:shape>
        </w:pict>
      </w:r>
      <w:r>
        <w:rPr>
          <w:sz w:val="21"/>
        </w:rPr>
        <w:pict>
          <v:rect id="_x0000_s4344" o:spid="_x0000_s4344" o:spt="1" style="position:absolute;left:0pt;margin-left:316pt;margin-top:-3pt;height:61.15pt;width:110pt;z-index:251719680;mso-width-relative:page;mso-height-relative:page;" fillcolor="#FFFFFF" filled="t" stroked="t" coordsize="21600,21600">
            <v:path/>
            <v:fill on="t" color2="#FFFFFF" focussize="0,0"/>
            <v:stroke color="#000000" joinstyle="miter"/>
            <v:imagedata o:title=""/>
            <o:lock v:ext="edit" aspectratio="f"/>
          </v:rect>
        </w:pict>
      </w:r>
      <w:r>
        <w:rPr>
          <w:sz w:val="21"/>
        </w:rPr>
        <w:pict>
          <v:shape id="_x0000_s2145" o:spid="_x0000_s2145" o:spt="202" type="#_x0000_t202" style="position:absolute;left:0pt;margin-left:102.85pt;margin-top:-8.2pt;height:29pt;width:55pt;z-index:251682816;mso-width-relative:page;mso-height-relative:page;" filled="f" stroked="f" coordsize="21600,21600">
            <v:path/>
            <v:fill on="f" focussize="0,0"/>
            <v:stroke on="f"/>
            <v:imagedata o:title=""/>
            <o:lock v:ext="edit" aspectratio="f"/>
            <v:textbox>
              <w:txbxContent>
                <w:p w14:paraId="543A56D3">
                  <w:pPr>
                    <w:jc w:val="center"/>
                    <w:rPr>
                      <w:rFonts w:hint="eastAsia"/>
                      <w:sz w:val="15"/>
                      <w:szCs w:val="15"/>
                      <w:lang w:val="en-US" w:eastAsia="zh-CN"/>
                    </w:rPr>
                  </w:pPr>
                  <w:r>
                    <w:rPr>
                      <w:rFonts w:hint="eastAsia"/>
                      <w:sz w:val="15"/>
                      <w:szCs w:val="15"/>
                      <w:lang w:val="en-US" w:eastAsia="zh-CN"/>
                    </w:rPr>
                    <w:t>冷凝器+</w:t>
                  </w:r>
                </w:p>
                <w:p w14:paraId="1C732C99">
                  <w:pPr>
                    <w:jc w:val="center"/>
                    <w:rPr>
                      <w:rFonts w:hint="default" w:eastAsia="宋体"/>
                      <w:sz w:val="15"/>
                      <w:szCs w:val="15"/>
                      <w:lang w:val="en-US" w:eastAsia="zh-CN"/>
                    </w:rPr>
                  </w:pPr>
                  <w:r>
                    <w:rPr>
                      <w:rFonts w:hint="eastAsia"/>
                      <w:sz w:val="15"/>
                      <w:szCs w:val="15"/>
                      <w:lang w:val="en-US" w:eastAsia="zh-CN"/>
                    </w:rPr>
                    <w:t>活性炭吸附</w:t>
                  </w:r>
                </w:p>
              </w:txbxContent>
            </v:textbox>
          </v:shape>
        </w:pict>
      </w:r>
      <w:r>
        <w:rPr>
          <w:sz w:val="21"/>
        </w:rPr>
        <w:pict>
          <v:rect id="_x0000_s2144" o:spid="_x0000_s2144" o:spt="1" style="position:absolute;left:0pt;margin-left:114.9pt;margin-top:2.2pt;height:14.65pt;width:29.85pt;z-index:251680768;mso-width-relative:page;mso-height-relative:page;" fillcolor="#FFFFFF" filled="t" stroked="t" coordsize="21600,21600">
            <v:path/>
            <v:fill on="t" color2="#FFFFFF" focussize="0,0"/>
            <v:stroke color="#000000" joinstyle="miter"/>
            <v:imagedata o:title=""/>
            <o:lock v:ext="edit" aspectratio="f"/>
          </v:rect>
        </w:pict>
      </w:r>
      <w:r>
        <w:rPr>
          <w:sz w:val="21"/>
        </w:rPr>
        <w:pict>
          <v:shape id="_x0000_s2142" o:spid="_x0000_s2142" o:spt="202" type="#_x0000_t202" style="position:absolute;left:0pt;margin-left:123.4pt;margin-top:-58.7pt;height:24.9pt;width:47.05pt;z-index:251681792;mso-width-relative:page;mso-height-relative:page;" filled="f" stroked="f" coordsize="21600,21600">
            <v:path/>
            <v:fill on="f" focussize="0,0"/>
            <v:stroke on="f"/>
            <v:imagedata o:title=""/>
            <o:lock v:ext="edit" aspectratio="f"/>
            <v:textbox>
              <w:txbxContent>
                <w:p w14:paraId="58D87871">
                  <w:pPr>
                    <w:jc w:val="center"/>
                    <w:rPr>
                      <w:rFonts w:hint="default" w:eastAsia="宋体"/>
                      <w:lang w:val="en-US" w:eastAsia="zh-CN"/>
                    </w:rPr>
                  </w:pPr>
                  <w:r>
                    <w:rPr>
                      <w:rFonts w:hint="eastAsia"/>
                      <w:lang w:val="en-US" w:eastAsia="zh-CN"/>
                    </w:rPr>
                    <w:t>DA003</w:t>
                  </w:r>
                </w:p>
              </w:txbxContent>
            </v:textbox>
          </v:shape>
        </w:pict>
      </w:r>
      <w:r>
        <w:rPr>
          <w:sz w:val="21"/>
        </w:rPr>
        <w:pict>
          <v:shape id="_x0000_s2143" o:spid="_x0000_s2143" o:spt="22" type="#_x0000_t22" style="position:absolute;left:0pt;margin-left:122.15pt;margin-top:-43.5pt;height:47.6pt;width:6.7pt;z-index:251679744;mso-width-relative:page;mso-height-relative:page;" fillcolor="#FFFFFF" filled="t" stroked="t" coordsize="21600,21600" adj="5400">
            <v:path/>
            <v:fill on="t" color2="#FFFFFF" focussize="0,0"/>
            <v:stroke color="#000000"/>
            <v:imagedata o:title=""/>
            <o:lock v:ext="edit" aspectratio="f"/>
          </v:shape>
        </w:pict>
      </w:r>
      <w:r>
        <w:rPr>
          <w:sz w:val="21"/>
        </w:rPr>
        <w:pict>
          <v:rect id="_x0000_s2164" o:spid="_x0000_s2164" o:spt="1" style="position:absolute;left:0pt;margin-left:1pt;margin-top:2.25pt;height:52.95pt;width:110pt;z-index:251708416;mso-width-relative:page;mso-height-relative:page;" fillcolor="#FFFFFF" filled="t" stroked="t" coordsize="21600,21600">
            <v:path/>
            <v:fill on="t" color2="#FFFFFF" focussize="0,0"/>
            <v:stroke color="#000000" joinstyle="miter"/>
            <v:imagedata o:title=""/>
            <o:lock v:ext="edit" aspectratio="f"/>
          </v:rect>
        </w:pict>
      </w:r>
      <w:r>
        <w:rPr>
          <w:sz w:val="21"/>
        </w:rPr>
        <w:pict>
          <v:shape id="_x0000_s2086" o:spid="_x0000_s2086" o:spt="202" type="#_x0000_t202" style="position:absolute;left:0pt;margin-left:123.5pt;margin-top:4.6pt;height:21.9pt;width:86.6pt;z-index:251715584;mso-width-relative:page;mso-height-relative:page;" filled="f" stroked="f" coordsize="21600,21600">
            <v:path/>
            <v:fill on="f" focussize="0,0"/>
            <v:stroke on="f"/>
            <v:imagedata o:title=""/>
            <o:lock v:ext="edit" aspectratio="f"/>
            <v:textbox>
              <w:txbxContent>
                <w:p w14:paraId="6AA6BAE4">
                  <w:pPr>
                    <w:jc w:val="center"/>
                    <w:rPr>
                      <w:rFonts w:hint="default" w:eastAsia="宋体"/>
                      <w:lang w:val="en-US" w:eastAsia="zh-CN"/>
                    </w:rPr>
                  </w:pPr>
                  <w:r>
                    <w:rPr>
                      <w:rFonts w:hint="eastAsia"/>
                      <w:lang w:val="en-US" w:eastAsia="zh-CN"/>
                    </w:rPr>
                    <w:t>沥青加热罐</w:t>
                  </w:r>
                </w:p>
              </w:txbxContent>
            </v:textbox>
          </v:shape>
        </w:pict>
      </w:r>
    </w:p>
    <w:p w14:paraId="004E54E3">
      <w:pPr>
        <w:rPr>
          <w:color w:val="auto"/>
        </w:rPr>
      </w:pPr>
      <w:r>
        <w:rPr>
          <w:sz w:val="21"/>
        </w:rPr>
        <w:pict>
          <v:rect id="_x0000_s4358" o:spid="_x0000_s4358" o:spt="1" style="position:absolute;left:0pt;margin-left:592.5pt;margin-top:2.25pt;height:18.85pt;width:14.7pt;z-index:251726848;mso-width-relative:page;mso-height-relative:page;" fillcolor="#FFFFFF" filled="t" stroked="t" coordsize="21600,21600">
            <v:path/>
            <v:fill on="t" color2="#FFFFFF" focussize="0,0"/>
            <v:stroke color="#000000" joinstyle="miter"/>
            <v:imagedata o:title=""/>
            <o:lock v:ext="edit" aspectratio="f"/>
          </v:rect>
        </w:pict>
      </w:r>
      <w:r>
        <w:rPr>
          <w:sz w:val="21"/>
        </w:rPr>
        <w:pict>
          <v:shape id="_x0000_s4357" o:spid="_x0000_s4357" o:spt="202" type="#_x0000_t202" style="position:absolute;left:0pt;margin-left:590.3pt;margin-top:8.75pt;height:31.45pt;width:53.85pt;z-index:251725824;mso-width-relative:page;mso-height-relative:page;" filled="f" stroked="f" coordsize="21600,21600">
            <v:path/>
            <v:fill on="f" focussize="0,0"/>
            <v:stroke on="f"/>
            <v:imagedata o:title=""/>
            <o:lock v:ext="edit" aspectratio="f"/>
            <v:textbox>
              <w:txbxContent>
                <w:p w14:paraId="1DD3CFD8">
                  <w:pPr>
                    <w:jc w:val="center"/>
                    <w:rPr>
                      <w:rFonts w:hint="default" w:eastAsia="宋体"/>
                      <w:sz w:val="15"/>
                      <w:szCs w:val="15"/>
                      <w:lang w:val="en-US" w:eastAsia="zh-CN"/>
                    </w:rPr>
                  </w:pPr>
                  <w:r>
                    <w:rPr>
                      <w:rFonts w:hint="eastAsia"/>
                      <w:sz w:val="15"/>
                      <w:szCs w:val="15"/>
                      <w:lang w:val="en-US" w:eastAsia="zh-CN"/>
                    </w:rPr>
                    <w:t>布袋除尘器</w:t>
                  </w:r>
                </w:p>
              </w:txbxContent>
            </v:textbox>
          </v:shape>
        </w:pict>
      </w:r>
      <w:r>
        <w:rPr>
          <w:sz w:val="21"/>
        </w:rPr>
        <w:pict>
          <v:rect id="_x0000_s4352" o:spid="_x0000_s4352" o:spt="1" style="position:absolute;left:0pt;margin-left:556.75pt;margin-top:8.95pt;height:22.95pt;width:30.5pt;z-index:251713536;mso-width-relative:page;mso-height-relative:page;" fillcolor="#FFFFFF" filled="t" stroked="t" coordsize="21600,21600">
            <v:path/>
            <v:fill on="t" color2="#FFFFFF" focussize="0,0"/>
            <v:stroke color="#000000" joinstyle="miter"/>
            <v:imagedata o:title=""/>
            <o:lock v:ext="edit" aspectratio="f"/>
          </v:rect>
        </w:pict>
      </w:r>
      <w:r>
        <w:rPr>
          <w:sz w:val="21"/>
        </w:rPr>
        <w:pict>
          <v:shape id="_x0000_s4350" o:spid="_x0000_s4350" o:spt="84" type="#_x0000_t84" style="position:absolute;left:0pt;margin-left:512.4pt;margin-top:10.45pt;height:20.8pt;width:26.35pt;z-index:251723776;mso-width-relative:page;mso-height-relative:page;" fillcolor="#FFFFFF" filled="t" stroked="t" coordsize="21600,21600" adj="2700">
            <v:path/>
            <v:fill on="t" color2="#FFFFFF" focussize="0,0"/>
            <v:stroke color="#000000" joinstyle="miter"/>
            <v:imagedata o:title=""/>
            <o:lock v:ext="edit" aspectratio="f"/>
          </v:shape>
        </w:pict>
      </w:r>
      <w:r>
        <w:rPr>
          <w:sz w:val="21"/>
        </w:rPr>
        <w:pict>
          <v:shape id="_x0000_s4351" o:spid="_x0000_s4351" o:spt="84" type="#_x0000_t84" style="position:absolute;left:0pt;margin-left:487.65pt;margin-top:10.45pt;height:20.8pt;width:26.35pt;z-index:251722752;mso-width-relative:page;mso-height-relative:page;" fillcolor="#FFFFFF" filled="t" stroked="t" coordsize="21600,21600" adj="2700">
            <v:path/>
            <v:fill on="t" color2="#FFFFFF" focussize="0,0"/>
            <v:stroke color="#000000" joinstyle="miter"/>
            <v:imagedata o:title=""/>
            <o:lock v:ext="edit" aspectratio="f"/>
          </v:shape>
        </w:pict>
      </w:r>
      <w:r>
        <w:rPr>
          <w:sz w:val="21"/>
        </w:rPr>
        <w:pict>
          <v:shape id="_x0000_s4348" o:spid="_x0000_s4348" o:spt="84" type="#_x0000_t84" style="position:absolute;left:0pt;margin-left:462.9pt;margin-top:10.45pt;height:20.8pt;width:26.35pt;z-index:251721728;mso-width-relative:page;mso-height-relative:page;" fillcolor="#FFFFFF" filled="t" stroked="t" coordsize="21600,21600" adj="2700">
            <v:path/>
            <v:fill on="t" color2="#FFFFFF" focussize="0,0"/>
            <v:stroke color="#000000" joinstyle="miter"/>
            <v:imagedata o:title=""/>
            <o:lock v:ext="edit" aspectratio="f"/>
          </v:shape>
        </w:pict>
      </w:r>
      <w:r>
        <w:rPr>
          <w:sz w:val="21"/>
        </w:rPr>
        <w:pict>
          <v:shape id="_x0000_s4347" o:spid="_x0000_s4347" o:spt="84" type="#_x0000_t84" style="position:absolute;left:0pt;margin-left:438.15pt;margin-top:10.45pt;height:20.8pt;width:26.35pt;z-index:251659264;mso-width-relative:page;mso-height-relative:page;" fillcolor="#FFFFFF" filled="t" stroked="t" coordsize="21600,21600" adj="2700">
            <v:path/>
            <v:fill on="t" color2="#FFFFFF" focussize="0,0"/>
            <v:stroke color="#000000" joinstyle="miter"/>
            <v:imagedata o:title=""/>
            <o:lock v:ext="edit" aspectratio="f"/>
          </v:shape>
        </w:pict>
      </w:r>
      <w:r>
        <w:rPr>
          <w:sz w:val="21"/>
        </w:rPr>
        <w:pict>
          <v:shape id="_x0000_s2141" o:spid="_x0000_s2141" o:spt="202" type="#_x0000_t202" style="position:absolute;left:0pt;margin-left:269pt;margin-top:5.55pt;height:37.65pt;width:55.55pt;z-index:251694080;mso-width-relative:page;mso-height-relative:page;" filled="f" stroked="f" coordsize="21600,21600">
            <v:path/>
            <v:fill on="f" focussize="0,0"/>
            <v:stroke on="f"/>
            <v:imagedata o:title=""/>
            <o:lock v:ext="edit" aspectratio="f"/>
            <v:textbox>
              <w:txbxContent>
                <w:p w14:paraId="32F60797">
                  <w:pPr>
                    <w:jc w:val="center"/>
                    <w:rPr>
                      <w:rFonts w:hint="eastAsia"/>
                      <w:lang w:val="en-US" w:eastAsia="zh-CN"/>
                    </w:rPr>
                  </w:pPr>
                  <w:r>
                    <w:rPr>
                      <w:rFonts w:hint="eastAsia"/>
                      <w:lang w:val="en-US" w:eastAsia="zh-CN"/>
                    </w:rPr>
                    <w:t>DA002</w:t>
                  </w:r>
                </w:p>
                <w:p w14:paraId="70A4A45F">
                  <w:pPr>
                    <w:jc w:val="both"/>
                    <w:rPr>
                      <w:rFonts w:hint="default"/>
                      <w:sz w:val="15"/>
                      <w:szCs w:val="15"/>
                      <w:lang w:val="en-US" w:eastAsia="zh-CN"/>
                    </w:rPr>
                  </w:pPr>
                  <w:r>
                    <w:rPr>
                      <w:rFonts w:hint="eastAsia"/>
                      <w:sz w:val="15"/>
                      <w:szCs w:val="15"/>
                      <w:lang w:val="en-US" w:eastAsia="zh-CN"/>
                    </w:rPr>
                    <w:t>布袋除尘器</w:t>
                  </w:r>
                </w:p>
              </w:txbxContent>
            </v:textbox>
          </v:shape>
        </w:pict>
      </w:r>
      <w:r>
        <w:rPr>
          <w:sz w:val="21"/>
        </w:rPr>
        <w:pict>
          <v:shape id="_x0000_s2166" o:spid="_x0000_s2166" o:spt="202" type="#_x0000_t202" style="position:absolute;left:0pt;margin-left:0.85pt;margin-top:3.35pt;height:31.45pt;width:111.45pt;z-index:251684864;mso-width-relative:page;mso-height-relative:page;" filled="f" stroked="f" coordsize="21600,21600">
            <v:path/>
            <v:fill on="f" focussize="0,0"/>
            <v:stroke on="f"/>
            <v:imagedata o:title=""/>
            <o:lock v:ext="edit" aspectratio="f"/>
            <v:textbox>
              <w:txbxContent>
                <w:p w14:paraId="478277DF">
                  <w:pPr>
                    <w:jc w:val="center"/>
                    <w:rPr>
                      <w:rFonts w:hint="default" w:eastAsia="宋体"/>
                      <w:sz w:val="21"/>
                      <w:szCs w:val="21"/>
                      <w:lang w:val="en-US" w:eastAsia="zh-CN"/>
                    </w:rPr>
                  </w:pPr>
                  <w:r>
                    <w:rPr>
                      <w:rFonts w:hint="eastAsia"/>
                      <w:sz w:val="21"/>
                      <w:szCs w:val="21"/>
                      <w:lang w:val="en-US" w:eastAsia="zh-CN"/>
                    </w:rPr>
                    <w:t>沥青混凝土搅拌机组</w:t>
                  </w:r>
                </w:p>
              </w:txbxContent>
            </v:textbox>
          </v:shape>
        </w:pict>
      </w:r>
    </w:p>
    <w:p w14:paraId="6FA0CBBA">
      <w:pPr>
        <w:rPr>
          <w:color w:val="auto"/>
        </w:rPr>
      </w:pPr>
      <w:r>
        <w:rPr>
          <w:sz w:val="21"/>
        </w:rPr>
        <w:pict>
          <v:shape id="_x0000_s4355" o:spid="_x0000_s4355" o:spt="8" type="#_x0000_t8" style="position:absolute;left:0pt;margin-left:537.55pt;margin-top:5.85pt;height:18.9pt;width:22.55pt;z-index:251699200;mso-width-relative:page;mso-height-relative:page;" fillcolor="#FFFFFF" filled="t" stroked="t" coordsize="21600,21600" adj="5400">
            <v:path/>
            <v:fill on="t" color2="#FFFFFF" focussize="0,0"/>
            <v:stroke color="#000000" joinstyle="miter"/>
            <v:imagedata o:title=""/>
            <o:lock v:ext="edit" aspectratio="f"/>
          </v:shape>
        </w:pict>
      </w:r>
      <w:r>
        <w:rPr>
          <w:sz w:val="21"/>
        </w:rPr>
        <w:pict>
          <v:shape id="_x0000_s4346" o:spid="_x0000_s4346" o:spt="202" type="#_x0000_t202" style="position:absolute;left:0pt;margin-left:428.2pt;margin-top:0.4pt;height:26.15pt;width:120.55pt;z-index:251724800;mso-width-relative:page;mso-height-relative:page;" filled="f" stroked="f" coordsize="21600,21600">
            <v:path/>
            <v:fill on="f" focussize="0,0"/>
            <v:stroke on="f"/>
            <v:imagedata o:title=""/>
            <o:lock v:ext="edit" aspectratio="f"/>
            <v:textbox>
              <w:txbxContent>
                <w:p w14:paraId="16F83B93">
                  <w:pPr>
                    <w:jc w:val="center"/>
                    <w:rPr>
                      <w:rFonts w:hint="default" w:eastAsia="宋体"/>
                      <w:lang w:val="en-US" w:eastAsia="zh-CN"/>
                    </w:rPr>
                  </w:pPr>
                  <w:r>
                    <w:rPr>
                      <w:rFonts w:hint="eastAsia"/>
                      <w:spacing w:val="-20"/>
                      <w:sz w:val="21"/>
                      <w:lang w:val="en-US" w:eastAsia="zh-CN"/>
                    </w:rPr>
                    <w:t xml:space="preserve">1#      2#      3#      4#      </w:t>
                  </w:r>
                </w:p>
              </w:txbxContent>
            </v:textbox>
          </v:shape>
        </w:pict>
      </w:r>
      <w:r>
        <w:rPr>
          <w:sz w:val="21"/>
        </w:rPr>
        <w:pict>
          <v:shape id="_x0000_s2186" o:spid="_x0000_s2186" o:spt="202" type="#_x0000_t202" style="position:absolute;left:0pt;margin-left:137.55pt;margin-top:8.75pt;height:24.9pt;width:47.05pt;z-index:251694080;mso-width-relative:page;mso-height-relative:page;" filled="f" stroked="f" coordsize="21600,21600">
            <v:path/>
            <v:fill on="f" focussize="0,0"/>
            <v:stroke on="f"/>
            <v:imagedata o:title=""/>
            <o:lock v:ext="edit" aspectratio="f"/>
            <v:textbox>
              <w:txbxContent>
                <w:p w14:paraId="3D963489">
                  <w:pPr>
                    <w:jc w:val="center"/>
                    <w:rPr>
                      <w:rFonts w:hint="default" w:eastAsia="宋体"/>
                      <w:lang w:val="en-US" w:eastAsia="zh-CN"/>
                    </w:rPr>
                  </w:pPr>
                  <w:r>
                    <w:rPr>
                      <w:rFonts w:hint="eastAsia"/>
                      <w:lang w:val="en-US" w:eastAsia="zh-CN"/>
                    </w:rPr>
                    <w:t>DA001</w:t>
                  </w:r>
                </w:p>
              </w:txbxContent>
            </v:textbox>
          </v:shape>
        </w:pict>
      </w:r>
      <w:r>
        <w:rPr>
          <w:sz w:val="21"/>
        </w:rPr>
        <w:pict>
          <v:shape id="_x0000_s2074" o:spid="_x0000_s2074" o:spt="22" type="#_x0000_t22" style="position:absolute;left:0pt;margin-left:267.75pt;margin-top:8.7pt;height:47.6pt;width:6.7pt;z-index:251686912;mso-width-relative:page;mso-height-relative:page;" fillcolor="#FFFFFF" filled="t" stroked="t" coordsize="21600,21600" adj="5400">
            <v:path/>
            <v:fill on="t" color2="#FFFFFF" focussize="0,0"/>
            <v:stroke color="#000000"/>
            <v:imagedata o:title=""/>
            <o:lock v:ext="edit" aspectratio="f"/>
          </v:shape>
        </w:pict>
      </w:r>
    </w:p>
    <w:p w14:paraId="213D4E59">
      <w:pPr>
        <w:rPr>
          <w:color w:val="auto"/>
        </w:rPr>
      </w:pPr>
      <w:r>
        <w:rPr>
          <w:sz w:val="21"/>
        </w:rPr>
        <w:pict>
          <v:shape id="_x0000_s4343" o:spid="_x0000_s4343" o:spt="202" type="#_x0000_t202" style="position:absolute;left:0pt;margin-left:518.35pt;margin-top:9.95pt;height:31.45pt;width:111.45pt;z-index:251718656;mso-width-relative:page;mso-height-relative:page;" filled="f" stroked="f" coordsize="21600,21600">
            <v:path/>
            <v:fill on="f" focussize="0,0"/>
            <v:stroke on="f"/>
            <v:imagedata o:title=""/>
            <o:lock v:ext="edit" aspectratio="f"/>
            <v:textbox>
              <w:txbxContent>
                <w:p w14:paraId="72E0CF7B">
                  <w:pPr>
                    <w:jc w:val="center"/>
                    <w:rPr>
                      <w:rFonts w:hint="default" w:eastAsia="宋体"/>
                      <w:sz w:val="21"/>
                      <w:szCs w:val="21"/>
                      <w:lang w:val="en-US" w:eastAsia="zh-CN"/>
                    </w:rPr>
                  </w:pPr>
                  <w:r>
                    <w:rPr>
                      <w:rFonts w:hint="eastAsia"/>
                      <w:sz w:val="21"/>
                      <w:szCs w:val="21"/>
                      <w:lang w:val="en-US" w:eastAsia="zh-CN"/>
                    </w:rPr>
                    <w:t>水稳土搅拌机组</w:t>
                  </w:r>
                </w:p>
              </w:txbxContent>
            </v:textbox>
          </v:shape>
        </w:pict>
      </w:r>
      <w:r>
        <w:rPr>
          <w:sz w:val="21"/>
        </w:rPr>
        <w:pict>
          <v:shape id="_x0000_s2185" o:spid="_x0000_s2185" o:spt="22" type="#_x0000_t22" style="position:absolute;left:0pt;margin-left:131.4pt;margin-top:6pt;height:47.6pt;width:6.7pt;z-index:251683840;mso-width-relative:page;mso-height-relative:page;" fillcolor="#FFFFFF" filled="t" stroked="t" coordsize="21600,21600" adj="5400">
            <v:path/>
            <v:fill on="t" color2="#FFFFFF" focussize="0,0"/>
            <v:stroke color="#000000"/>
            <v:imagedata o:title=""/>
            <o:lock v:ext="edit" aspectratio="f"/>
          </v:shape>
        </w:pict>
      </w:r>
    </w:p>
    <w:p w14:paraId="54DFD017">
      <w:pPr>
        <w:rPr>
          <w:color w:val="auto"/>
        </w:rPr>
      </w:pPr>
      <w:r>
        <w:rPr>
          <w:sz w:val="21"/>
        </w:rPr>
        <w:pict>
          <v:roundrect id="_x0000_s2160" o:spid="_x0000_s2160" o:spt="2" style="position:absolute;left:0pt;margin-left:89.4pt;margin-top:7pt;height:50.85pt;width:21.8pt;z-index:251710464;mso-width-relative:page;mso-height-relative:page;" filled="f" stroked="t" coordsize="21600,21600" arcsize="0.166666666666667">
            <v:path/>
            <v:fill on="f" focussize="0,0"/>
            <v:stroke color="#000000"/>
            <v:imagedata o:title=""/>
            <o:lock v:ext="edit" aspectratio="f"/>
          </v:roundrect>
        </w:pict>
      </w:r>
      <w:r>
        <w:rPr>
          <w:sz w:val="21"/>
        </w:rPr>
        <w:pict>
          <v:rect id="_x0000_s2187" o:spid="_x0000_s2187" o:spt="1" style="position:absolute;left:0pt;margin-left:34.8pt;margin-top:7.1pt;height:39.6pt;width:8.05pt;z-index:251674624;mso-width-relative:page;mso-height-relative:page;" fillcolor="#FFFFFF" filled="t" stroked="t" coordsize="21600,21600">
            <v:path/>
            <v:fill on="t" color2="#FFFFFF" focussize="0,0"/>
            <v:stroke color="#000000" joinstyle="miter"/>
            <v:imagedata o:title=""/>
            <o:lock v:ext="edit" aspectratio="f"/>
          </v:rect>
        </w:pict>
      </w:r>
      <w:r>
        <w:rPr>
          <w:sz w:val="21"/>
        </w:rPr>
        <w:pict>
          <v:shape id="_x0000_s2140" o:spid="_x0000_s2140" o:spt="202" type="#_x0000_t202" style="position:absolute;left:0pt;margin-left:208.65pt;margin-top:9pt;height:24.9pt;width:47.05pt;z-index:251687936;mso-width-relative:page;mso-height-relative:page;" filled="f" stroked="f" coordsize="21600,21600">
            <v:path/>
            <v:fill on="f" focussize="0,0"/>
            <v:stroke on="f"/>
            <v:imagedata o:title=""/>
            <o:lock v:ext="edit" aspectratio="f"/>
            <v:textbox>
              <w:txbxContent>
                <w:p w14:paraId="780C00F4">
                  <w:pPr>
                    <w:jc w:val="center"/>
                    <w:rPr>
                      <w:rFonts w:hint="default" w:eastAsia="宋体"/>
                      <w:lang w:val="en-US" w:eastAsia="zh-CN"/>
                    </w:rPr>
                  </w:pPr>
                  <w:r>
                    <w:rPr>
                      <w:rFonts w:hint="eastAsia"/>
                      <w:lang w:val="en-US" w:eastAsia="zh-CN"/>
                    </w:rPr>
                    <w:t>柴油罐</w:t>
                  </w:r>
                </w:p>
              </w:txbxContent>
            </v:textbox>
          </v:shape>
        </w:pict>
      </w:r>
    </w:p>
    <w:p w14:paraId="44D05CA0">
      <w:pPr>
        <w:rPr>
          <w:color w:val="auto"/>
        </w:rPr>
      </w:pPr>
      <w:r>
        <w:rPr>
          <w:sz w:val="21"/>
        </w:rPr>
        <w:pict>
          <v:shape id="_x0000_s2188" o:spid="_x0000_s2188" o:spt="202" type="#_x0000_t202" style="position:absolute;left:0pt;margin-left:4.5pt;margin-top:1.85pt;height:31.45pt;width:39.15pt;z-index:251675648;mso-width-relative:page;mso-height-relative:page;" filled="f" stroked="f" coordsize="21600,21600">
            <v:path/>
            <v:fill on="f" focussize="0,0"/>
            <v:stroke on="f"/>
            <v:imagedata o:title=""/>
            <o:lock v:ext="edit" aspectratio="f"/>
            <v:textbox>
              <w:txbxContent>
                <w:p w14:paraId="0E903105">
                  <w:pPr>
                    <w:jc w:val="center"/>
                    <w:rPr>
                      <w:rFonts w:hint="default" w:eastAsia="宋体"/>
                      <w:sz w:val="15"/>
                      <w:szCs w:val="15"/>
                      <w:lang w:val="en-US" w:eastAsia="zh-CN"/>
                    </w:rPr>
                  </w:pPr>
                  <w:r>
                    <w:rPr>
                      <w:rFonts w:hint="eastAsia"/>
                      <w:sz w:val="15"/>
                      <w:szCs w:val="15"/>
                      <w:lang w:val="en-US" w:eastAsia="zh-CN"/>
                    </w:rPr>
                    <w:t>螺旋输送机</w:t>
                  </w:r>
                </w:p>
              </w:txbxContent>
            </v:textbox>
          </v:shape>
        </w:pict>
      </w:r>
      <w:r>
        <w:rPr>
          <w:sz w:val="21"/>
        </w:rPr>
        <w:pict>
          <v:shape id="_x0000_s4296" o:spid="_x0000_s4296" o:spt="202" type="#_x0000_t202" style="position:absolute;left:0pt;margin-left:225.9pt;margin-top:8.3pt;height:24.9pt;width:47.05pt;z-index:251695104;mso-width-relative:page;mso-height-relative:page;" filled="f" stroked="f" coordsize="21600,21600">
            <v:path/>
            <v:fill on="f" focussize="0,0"/>
            <v:stroke on="f"/>
            <v:imagedata o:title=""/>
            <o:lock v:ext="edit" aspectratio="f"/>
            <v:textbox>
              <w:txbxContent>
                <w:p w14:paraId="58226CE5">
                  <w:pPr>
                    <w:jc w:val="center"/>
                    <w:rPr>
                      <w:rFonts w:hint="default" w:eastAsia="宋体"/>
                      <w:lang w:val="en-US" w:eastAsia="zh-CN"/>
                    </w:rPr>
                  </w:pPr>
                  <w:r>
                    <w:rPr>
                      <w:rFonts w:hint="eastAsia"/>
                      <w:lang w:val="en-US" w:eastAsia="zh-CN"/>
                    </w:rPr>
                    <w:t>围堰</w:t>
                  </w:r>
                </w:p>
              </w:txbxContent>
            </v:textbox>
          </v:shape>
        </w:pict>
      </w:r>
      <w:r>
        <w:rPr>
          <w:sz w:val="21"/>
        </w:rPr>
        <w:pict>
          <v:rect id="_x0000_s4295" o:spid="_x0000_s4295" o:spt="1" style="position:absolute;left:0pt;margin-left:211.4pt;margin-top:10.8pt;height:38.75pt;width:73pt;z-index:251692032;mso-width-relative:page;mso-height-relative:page;" filled="f" stroked="t" coordsize="21600,21600">
            <v:path/>
            <v:fill on="f" focussize="0,0"/>
            <v:stroke color="#000000" joinstyle="miter" dashstyle="1 1" endcap="square"/>
            <v:imagedata o:title=""/>
            <o:lock v:ext="edit" aspectratio="f"/>
          </v:rect>
        </w:pict>
      </w:r>
    </w:p>
    <w:p w14:paraId="65C518D3">
      <w:pPr>
        <w:jc w:val="center"/>
        <w:rPr>
          <w:color w:val="auto"/>
        </w:rPr>
      </w:pPr>
      <w:r>
        <w:rPr>
          <w:sz w:val="21"/>
        </w:rPr>
        <w:pict>
          <v:shape id="_x0000_s2184" o:spid="_x0000_s2184" o:spt="202" type="#_x0000_t202" style="position:absolute;left:0pt;margin-left:105.3pt;margin-top:0.1pt;height:31.45pt;width:53.85pt;z-index:251716608;mso-width-relative:page;mso-height-relative:page;" filled="f" stroked="f" coordsize="21600,21600">
            <v:path/>
            <v:fill on="f" focussize="0,0"/>
            <v:stroke on="f"/>
            <v:imagedata o:title=""/>
            <o:lock v:ext="edit" aspectratio="f"/>
            <v:textbox>
              <w:txbxContent>
                <w:p w14:paraId="17A9DB83">
                  <w:pPr>
                    <w:jc w:val="center"/>
                    <w:rPr>
                      <w:rFonts w:hint="default" w:eastAsia="宋体"/>
                      <w:sz w:val="15"/>
                      <w:szCs w:val="15"/>
                      <w:lang w:val="en-US" w:eastAsia="zh-CN"/>
                    </w:rPr>
                  </w:pPr>
                  <w:r>
                    <w:rPr>
                      <w:rFonts w:hint="eastAsia"/>
                      <w:sz w:val="15"/>
                      <w:szCs w:val="15"/>
                      <w:lang w:val="en-US" w:eastAsia="zh-CN"/>
                    </w:rPr>
                    <w:t>布袋除尘器</w:t>
                  </w:r>
                </w:p>
              </w:txbxContent>
            </v:textbox>
          </v:shape>
        </w:pict>
      </w:r>
      <w:r>
        <w:rPr>
          <w:sz w:val="21"/>
        </w:rPr>
        <w:pict>
          <v:rect id="_x0000_s2183" o:spid="_x0000_s2183" o:spt="1" style="position:absolute;left:0pt;margin-left:116.85pt;margin-top:1.75pt;height:18.85pt;width:19.75pt;z-index:251676672;mso-width-relative:page;mso-height-relative:page;" filled="f" stroked="t" coordsize="21600,21600">
            <v:path/>
            <v:fill on="f" focussize="0,0"/>
            <v:stroke color="#000000" joinstyle="miter"/>
            <v:imagedata o:title=""/>
            <o:lock v:ext="edit" aspectratio="f"/>
          </v:rect>
        </w:pict>
      </w:r>
      <w:r>
        <w:rPr>
          <w:sz w:val="21"/>
        </w:rPr>
        <w:pict>
          <v:shape id="_x0000_s2161" o:spid="_x0000_s2161" o:spt="202" type="#_x0000_t202" style="position:absolute;left:0pt;margin-left:75.3pt;margin-top:5pt;height:31.45pt;width:39.15pt;z-index:251711488;mso-width-relative:page;mso-height-relative:page;" filled="f" stroked="f" coordsize="21600,21600">
            <v:path/>
            <v:fill on="f" focussize="0,0"/>
            <v:stroke on="f"/>
            <v:imagedata o:title=""/>
            <o:lock v:ext="edit" aspectratio="f"/>
            <v:textbox>
              <w:txbxContent>
                <w:p w14:paraId="05CD3BEB">
                  <w:pPr>
                    <w:jc w:val="center"/>
                    <w:rPr>
                      <w:rFonts w:hint="default" w:eastAsia="宋体"/>
                      <w:sz w:val="15"/>
                      <w:szCs w:val="15"/>
                      <w:lang w:val="en-US" w:eastAsia="zh-CN"/>
                    </w:rPr>
                  </w:pPr>
                  <w:r>
                    <w:rPr>
                      <w:rFonts w:hint="eastAsia"/>
                      <w:sz w:val="15"/>
                      <w:szCs w:val="15"/>
                      <w:lang w:val="en-US" w:eastAsia="zh-CN"/>
                    </w:rPr>
                    <w:t>干燥筒</w:t>
                  </w:r>
                </w:p>
              </w:txbxContent>
            </v:textbox>
          </v:shape>
        </w:pict>
      </w:r>
      <w:r>
        <w:rPr>
          <w:sz w:val="21"/>
        </w:rPr>
        <w:pict>
          <v:shape id="_x0000_s2180" o:spid="_x0000_s2180" o:spt="202" type="#_x0000_t202" style="position:absolute;left:0pt;margin-left:0.1pt;margin-top:9pt;height:24.9pt;width:47.05pt;z-index:251678720;mso-width-relative:page;mso-height-relative:page;" filled="f" stroked="f" coordsize="21600,21600">
            <v:path/>
            <v:fill on="f" focussize="0,0"/>
            <v:stroke on="f"/>
            <v:imagedata o:title=""/>
            <o:lock v:ext="edit" aspectratio="f"/>
            <v:textbox>
              <w:txbxContent>
                <w:p w14:paraId="7869BCEC">
                  <w:pPr>
                    <w:jc w:val="center"/>
                    <w:rPr>
                      <w:rFonts w:hint="default" w:eastAsia="宋体"/>
                      <w:sz w:val="15"/>
                      <w:szCs w:val="15"/>
                      <w:lang w:val="en-US" w:eastAsia="zh-CN"/>
                    </w:rPr>
                  </w:pPr>
                  <w:r>
                    <w:rPr>
                      <w:rFonts w:hint="eastAsia"/>
                      <w:sz w:val="15"/>
                      <w:szCs w:val="15"/>
                      <w:lang w:val="en-US" w:eastAsia="zh-CN"/>
                    </w:rPr>
                    <w:t>DA006</w:t>
                  </w:r>
                </w:p>
              </w:txbxContent>
            </v:textbox>
          </v:shape>
        </w:pict>
      </w:r>
      <w:r>
        <w:rPr>
          <w:sz w:val="21"/>
        </w:rPr>
        <w:pict>
          <v:shape id="_x0000_s2115" o:spid="_x0000_s2115" o:spt="202" type="#_x0000_t202" style="position:absolute;left:0pt;margin-left:241.65pt;margin-top:8.05pt;height:48.7pt;width:47.05pt;z-index:251693056;mso-width-relative:page;mso-height-relative:page;" filled="f" stroked="f" coordsize="21600,21600">
            <v:path/>
            <v:fill on="f" focussize="0,0"/>
            <v:stroke on="f"/>
            <v:imagedata o:title=""/>
            <o:lock v:ext="edit" aspectratio="f"/>
            <v:textbox>
              <w:txbxContent>
                <w:p w14:paraId="7D354831">
                  <w:pPr>
                    <w:jc w:val="center"/>
                    <w:rPr>
                      <w:rFonts w:hint="eastAsia"/>
                      <w:lang w:val="en-US" w:eastAsia="zh-CN"/>
                    </w:rPr>
                  </w:pPr>
                  <w:r>
                    <w:rPr>
                      <w:rFonts w:hint="eastAsia"/>
                      <w:lang w:val="en-US" w:eastAsia="zh-CN"/>
                    </w:rPr>
                    <w:t>导热</w:t>
                  </w:r>
                </w:p>
                <w:p w14:paraId="4611BCD1">
                  <w:pPr>
                    <w:jc w:val="center"/>
                    <w:rPr>
                      <w:rFonts w:hint="default" w:eastAsia="宋体"/>
                      <w:lang w:val="en-US" w:eastAsia="zh-CN"/>
                    </w:rPr>
                  </w:pPr>
                  <w:r>
                    <w:rPr>
                      <w:rFonts w:hint="eastAsia"/>
                      <w:lang w:val="en-US" w:eastAsia="zh-CN"/>
                    </w:rPr>
                    <w:t>油炉</w:t>
                  </w:r>
                </w:p>
              </w:txbxContent>
            </v:textbox>
          </v:shape>
        </w:pict>
      </w:r>
      <w:r>
        <w:rPr>
          <w:sz w:val="21"/>
        </w:rPr>
        <w:pict>
          <v:shape id="_x0000_s2078" o:spid="_x0000_s2078" o:spt="202" type="#_x0000_t202" style="position:absolute;left:0pt;margin-left:216pt;margin-top:10.45pt;height:20.7pt;width:29.35pt;z-index:251691008;mso-width-relative:page;mso-height-relative:page;" filled="f" stroked="f" coordsize="21600,21600">
            <v:path/>
            <v:fill on="f" focussize="0,0"/>
            <v:stroke on="f"/>
            <v:imagedata o:title=""/>
            <o:lock v:ext="edit" aspectratio="f"/>
            <v:textbox>
              <w:txbxContent>
                <w:p w14:paraId="73214655">
                  <w:pPr>
                    <w:jc w:val="center"/>
                    <w:rPr>
                      <w:rFonts w:hint="default"/>
                      <w:lang w:val="en-US" w:eastAsia="zh-CN"/>
                    </w:rPr>
                  </w:pPr>
                  <w:r>
                    <w:rPr>
                      <w:rFonts w:hint="eastAsia"/>
                      <w:lang w:val="en-US" w:eastAsia="zh-CN"/>
                    </w:rPr>
                    <w:t>1#</w:t>
                  </w:r>
                </w:p>
              </w:txbxContent>
            </v:textbox>
          </v:shape>
        </w:pict>
      </w:r>
      <w:r>
        <w:rPr>
          <w:sz w:val="21"/>
        </w:rPr>
        <w:pict>
          <v:roundrect id="_x0000_s2077" o:spid="_x0000_s2077" o:spt="2" style="position:absolute;left:0pt;margin-left:225.8pt;margin-top:5.55pt;height:28.35pt;width:11.35pt;z-index:251689984;mso-width-relative:page;mso-height-relative:page;" filled="f" stroked="t" coordsize="21600,21600" arcsize="0.166666666666667">
            <v:path/>
            <v:fill on="f" focussize="0,0"/>
            <v:stroke color="#000000"/>
            <v:imagedata o:title=""/>
            <o:lock v:ext="edit" aspectratio="f"/>
          </v:roundrect>
        </w:pict>
      </w:r>
      <w:r>
        <w:rPr>
          <w:sz w:val="21"/>
        </w:rPr>
        <w:pict>
          <v:shape id="_x0000_s2114" o:spid="_x0000_s2114" o:spt="10" type="#_x0000_t10" style="position:absolute;left:0pt;margin-left:257.45pt;margin-top:11pt;height:16.5pt;width:19.5pt;z-index:251688960;mso-width-relative:page;mso-height-relative:page;" fillcolor="#FFFFFF" filled="t" stroked="t" coordsize="21600,21600" adj="6326">
            <v:path/>
            <v:fill on="t" color2="#FFFFFF" focussize="0,0"/>
            <v:stroke color="#000000" joinstyle="miter"/>
            <v:imagedata o:title=""/>
            <o:lock v:ext="edit" aspectratio="f"/>
          </v:shape>
        </w:pict>
      </w:r>
    </w:p>
    <w:p w14:paraId="57BA48A8">
      <w:pPr>
        <w:rPr>
          <w:color w:val="auto"/>
        </w:rPr>
      </w:pPr>
      <w:r>
        <w:rPr>
          <w:sz w:val="21"/>
        </w:rPr>
        <w:pict>
          <v:shape id="_x0000_s4341" o:spid="_x0000_s4341" o:spt="202" type="#_x0000_t202" style="position:absolute;left:0pt;margin-left:138.85pt;margin-top:0.1pt;height:18.25pt;width:71.3pt;z-index:251717632;mso-width-relative:page;mso-height-relative:page;" filled="f" stroked="f" coordsize="21600,21600">
            <v:path/>
            <v:fill on="f" focussize="0,0"/>
            <v:stroke on="f"/>
            <v:imagedata o:title=""/>
            <o:lock v:ext="edit" aspectratio="f"/>
            <v:textbox>
              <w:txbxContent>
                <w:p w14:paraId="49DBD707">
                  <w:pPr>
                    <w:jc w:val="center"/>
                    <w:rPr>
                      <w:rFonts w:hint="default" w:eastAsia="宋体"/>
                      <w:sz w:val="15"/>
                      <w:szCs w:val="15"/>
                      <w:lang w:val="en-US" w:eastAsia="zh-CN"/>
                    </w:rPr>
                  </w:pPr>
                  <w:r>
                    <w:rPr>
                      <w:rFonts w:hint="eastAsia"/>
                      <w:sz w:val="15"/>
                      <w:szCs w:val="15"/>
                      <w:lang w:val="en-US" w:eastAsia="zh-CN"/>
                    </w:rPr>
                    <w:t>沥青加热储存罐</w:t>
                  </w:r>
                </w:p>
              </w:txbxContent>
            </v:textbox>
          </v:shape>
        </w:pict>
      </w:r>
      <w:r>
        <w:rPr>
          <w:sz w:val="21"/>
        </w:rPr>
        <w:pict>
          <v:rect id="_x0000_s4297" o:spid="_x0000_s4297" o:spt="1" style="position:absolute;left:0pt;margin-left:126.55pt;margin-top:11.8pt;height:37.45pt;width:68.85pt;z-index:251685888;mso-width-relative:page;mso-height-relative:page;" filled="f" stroked="t" coordsize="21600,21600">
            <v:path/>
            <v:fill on="f" focussize="0,0"/>
            <v:stroke color="#000000" joinstyle="miter" dashstyle="1 1" endcap="square"/>
            <v:imagedata o:title=""/>
            <o:lock v:ext="edit" aspectratio="f"/>
          </v:rect>
        </w:pict>
      </w:r>
      <w:r>
        <w:rPr>
          <w:sz w:val="21"/>
        </w:rPr>
        <w:pict>
          <v:shape id="_x0000_s2182" o:spid="_x0000_s2182" o:spt="202" type="#_x0000_t202" style="position:absolute;left:0pt;margin-left:307.55pt;margin-top:1.15pt;height:24.9pt;width:47.05pt;z-index:251677696;mso-width-relative:page;mso-height-relative:page;" filled="f" stroked="f" coordsize="21600,21600">
            <v:path/>
            <v:fill on="f" focussize="0,0"/>
            <v:stroke on="f"/>
            <v:imagedata o:title=""/>
            <o:lock v:ext="edit" aspectratio="f"/>
            <v:textbox>
              <w:txbxContent>
                <w:p w14:paraId="7E440DC0">
                  <w:pPr>
                    <w:jc w:val="center"/>
                    <w:rPr>
                      <w:rFonts w:hint="default" w:eastAsia="宋体"/>
                      <w:sz w:val="15"/>
                      <w:szCs w:val="15"/>
                      <w:lang w:val="en-US" w:eastAsia="zh-CN"/>
                    </w:rPr>
                  </w:pPr>
                </w:p>
              </w:txbxContent>
            </v:textbox>
          </v:shape>
        </w:pict>
      </w:r>
    </w:p>
    <w:p w14:paraId="020F1097">
      <w:pPr>
        <w:rPr>
          <w:color w:val="auto"/>
        </w:rPr>
      </w:pPr>
      <w:r>
        <w:drawing>
          <wp:anchor distT="0" distB="0" distL="114300" distR="114300" simplePos="0" relativeHeight="251727872" behindDoc="0" locked="0" layoutInCell="1" allowOverlap="1">
            <wp:simplePos x="0" y="0"/>
            <wp:positionH relativeFrom="column">
              <wp:posOffset>8035290</wp:posOffset>
            </wp:positionH>
            <wp:positionV relativeFrom="paragraph">
              <wp:posOffset>84455</wp:posOffset>
            </wp:positionV>
            <wp:extent cx="625475" cy="735965"/>
            <wp:effectExtent l="0" t="0" r="3175" b="6985"/>
            <wp:wrapNone/>
            <wp:docPr id="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
                    <pic:cNvPicPr>
                      <a:picLocks noChangeAspect="1"/>
                    </pic:cNvPicPr>
                  </pic:nvPicPr>
                  <pic:blipFill>
                    <a:blip r:embed="rId44"/>
                    <a:stretch>
                      <a:fillRect/>
                    </a:stretch>
                  </pic:blipFill>
                  <pic:spPr>
                    <a:xfrm>
                      <a:off x="0" y="0"/>
                      <a:ext cx="625475" cy="735965"/>
                    </a:xfrm>
                    <a:prstGeom prst="rect">
                      <a:avLst/>
                    </a:prstGeom>
                    <a:noFill/>
                    <a:ln>
                      <a:noFill/>
                    </a:ln>
                  </pic:spPr>
                </pic:pic>
              </a:graphicData>
            </a:graphic>
          </wp:anchor>
        </w:drawing>
      </w:r>
      <w:r>
        <w:rPr>
          <w:sz w:val="21"/>
        </w:rPr>
        <w:pict>
          <v:group id="_x0000_s4361" o:spid="_x0000_s4361" o:spt="203" style="position:absolute;left:0pt;margin-left:6.75pt;margin-top:0.2pt;height:402.95pt;width:565.85pt;z-index:251712512;mso-width-relative:page;mso-height-relative:page;" coordorigin="8808,730126" coordsize="11317,8059">
            <o:lock v:ext="edit" aspectratio="f"/>
            <v:rect id="_x0000_s4303" o:spid="_x0000_s4303" o:spt="1" style="position:absolute;left:13081;top:730529;height:212;width:531;" fillcolor="#FFFFFF" filled="t" stroked="t" coordsize="21600,21600">
              <v:path/>
              <v:fill on="t" color2="#FFFFFF" focussize="0,0"/>
              <v:stroke color="#000000" joinstyle="miter"/>
              <v:imagedata o:title=""/>
              <o:lock v:ext="edit" aspectratio="f"/>
            </v:rect>
            <v:shape id="_x0000_s4298" o:spid="_x0000_s4298" o:spt="202" type="#_x0000_t202" style="position:absolute;left:11398;top:730813;height:498;width:941;" filled="f" stroked="f" coordsize="21600,21600">
              <v:path/>
              <v:fill on="f" focussize="0,0"/>
              <v:stroke on="f"/>
              <v:imagedata o:title=""/>
              <o:lock v:ext="edit" aspectratio="f"/>
              <v:textbox>
                <w:txbxContent>
                  <w:p w14:paraId="7E4CABF0">
                    <w:pPr>
                      <w:jc w:val="center"/>
                      <w:rPr>
                        <w:rFonts w:hint="default" w:eastAsia="宋体"/>
                        <w:lang w:val="en-US" w:eastAsia="zh-CN"/>
                      </w:rPr>
                    </w:pPr>
                    <w:r>
                      <w:rPr>
                        <w:rFonts w:hint="eastAsia"/>
                        <w:lang w:val="en-US" w:eastAsia="zh-CN"/>
                      </w:rPr>
                      <w:t>围堰</w:t>
                    </w:r>
                  </w:p>
                </w:txbxContent>
              </v:textbox>
            </v:shape>
            <v:shape id="_x0000_s4268" o:spid="_x0000_s4268" o:spt="202" type="#_x0000_t202" style="position:absolute;left:14873;top:737102;height:392;width:1444;" filled="f" stroked="f" coordsize="21600,21600">
              <v:path/>
              <v:fill on="f" focussize="0,0"/>
              <v:stroke on="f"/>
              <v:imagedata o:title=""/>
              <o:lock v:ext="edit" aspectratio="f"/>
              <v:textbox>
                <w:txbxContent>
                  <w:p w14:paraId="78C18002">
                    <w:pPr>
                      <w:jc w:val="center"/>
                      <w:rPr>
                        <w:rFonts w:hint="default" w:eastAsia="宋体"/>
                        <w:sz w:val="15"/>
                        <w:szCs w:val="15"/>
                        <w:lang w:val="en-US" w:eastAsia="zh-CN"/>
                      </w:rPr>
                    </w:pPr>
                    <w:r>
                      <w:rPr>
                        <w:rFonts w:hint="eastAsia"/>
                        <w:sz w:val="15"/>
                        <w:szCs w:val="15"/>
                        <w:lang w:val="en-US" w:eastAsia="zh-CN"/>
                      </w:rPr>
                      <w:t>危废贮存库10m</w:t>
                    </w:r>
                    <w:r>
                      <w:rPr>
                        <w:rFonts w:hint="eastAsia"/>
                        <w:sz w:val="15"/>
                        <w:szCs w:val="15"/>
                        <w:vertAlign w:val="superscript"/>
                        <w:lang w:val="en-US" w:eastAsia="zh-CN"/>
                      </w:rPr>
                      <w:t>2</w:t>
                    </w:r>
                  </w:p>
                </w:txbxContent>
              </v:textbox>
            </v:shape>
            <v:shape id="_x0000_s2218" o:spid="_x0000_s2218" o:spt="202" type="#_x0000_t202" style="position:absolute;left:11727;top:737539;height:646;width:8398;" filled="f" stroked="f" coordsize="21600,21600">
              <v:path/>
              <v:fill on="f" focussize="0,0"/>
              <v:stroke on="f"/>
              <v:imagedata o:title=""/>
              <o:lock v:ext="edit" aspectratio="f"/>
              <v:textbox>
                <w:txbxContent>
                  <w:p w14:paraId="32EBE368">
                    <w:pPr>
                      <w:rPr>
                        <w:rFonts w:hint="default" w:eastAsia="宋体"/>
                        <w:b/>
                        <w:bCs/>
                        <w:lang w:val="en-US" w:eastAsia="zh-CN"/>
                      </w:rPr>
                    </w:pPr>
                    <w:r>
                      <w:rPr>
                        <w:rFonts w:hint="eastAsia"/>
                        <w:b/>
                        <w:bCs/>
                        <w:lang w:val="en-US" w:eastAsia="zh-CN"/>
                      </w:rPr>
                      <w:t>附图2（续1）    项目沥青混凝土生产线、储料库、水稳土生产线平面布置示意图（1:300）</w:t>
                    </w:r>
                  </w:p>
                </w:txbxContent>
              </v:textbox>
            </v:shape>
            <v:rect id="_x0000_s2168" o:spid="_x0000_s2168" o:spt="1" style="position:absolute;left:9478;top:730126;height:1095;width:452;" filled="f" stroked="t" coordsize="21600,21600">
              <v:path/>
              <v:fill on="f" focussize="0,0"/>
              <v:stroke color="#000000" joinstyle="miter"/>
              <v:imagedata o:title=""/>
              <o:lock v:ext="edit" aspectratio="f"/>
            </v:rect>
            <v:rect id="_x0000_s2167" o:spid="_x0000_s2167" o:spt="1" style="position:absolute;left:8978;top:730126;height:1095;width:452;" filled="f" stroked="t" coordsize="21600,21600">
              <v:path/>
              <v:fill on="f" focussize="0,0"/>
              <v:stroke color="#000000" joinstyle="miter"/>
              <v:imagedata o:title=""/>
              <o:lock v:ext="edit" aspectratio="f"/>
            </v:rect>
            <v:rect id="_x0000_s2157" o:spid="_x0000_s2157" o:spt="1" style="position:absolute;left:10590;top:731336;height:255;width:574;" fillcolor="#FFFFFF" filled="t" stroked="t" coordsize="21600,21600">
              <v:path/>
              <v:fill on="t" color2="#FFFFFF" focussize="0,0"/>
              <v:stroke color="#000000" joinstyle="miter"/>
              <v:imagedata o:title=""/>
              <o:lock v:ext="edit" aspectratio="f"/>
            </v:rect>
            <v:shape id="_x0000_s2170" o:spid="_x0000_s2170" o:spt="8" type="#_x0000_t8" style="position:absolute;left:8980;top:731235;height:378;width:451;" fillcolor="#FFFFFF" filled="t" stroked="t" coordsize="21600,21600" adj="5400">
              <v:path/>
              <v:fill on="t" color2="#FFFFFF" focussize="0,0"/>
              <v:stroke color="#000000" joinstyle="miter"/>
              <v:imagedata o:title=""/>
              <o:lock v:ext="edit" aspectratio="f"/>
            </v:shape>
            <v:shape id="_x0000_s2149" o:spid="_x0000_s2149" o:spt="84" type="#_x0000_t84" style="position:absolute;left:11690;top:731233;height:416;width:586;" fillcolor="#FFFFFF" filled="t" stroked="t" coordsize="21600,21600" adj="2700">
              <v:path/>
              <v:fill on="t" color2="#FFFFFF" focussize="0,0"/>
              <v:stroke color="#000000" joinstyle="miter"/>
              <v:imagedata o:title=""/>
              <o:lock v:ext="edit" aspectratio="f"/>
            </v:shape>
            <v:shape id="_x0000_s4267" o:spid="_x0000_s4267" o:spt="202" type="#_x0000_t202" style="position:absolute;left:15061;top:736805;height:215;width:241;" fillcolor="#FFFFFF" filled="t" stroked="t" coordsize="21600,21600">
              <v:path/>
              <v:fill on="t" color2="#FFFFFF" focussize="0,0"/>
              <v:stroke color="#000000" joinstyle="miter"/>
              <v:imagedata o:title=""/>
              <o:lock v:ext="edit" aspectratio="f"/>
              <v:textbox>
                <w:txbxContent>
                  <w:p w14:paraId="397F55BD"/>
                </w:txbxContent>
              </v:textbox>
            </v:shape>
            <v:shape id="_x0000_s2197" o:spid="_x0000_s2197" o:spt="202" type="#_x0000_t202" style="position:absolute;left:11689;top:735320;height:629;width:1283;" filled="f" stroked="f" coordsize="21600,21600">
              <v:path/>
              <v:fill on="f" focussize="0,0"/>
              <v:stroke on="f"/>
              <v:imagedata o:title=""/>
              <o:lock v:ext="edit" aspectratio="f"/>
              <v:textbox>
                <w:txbxContent>
                  <w:p w14:paraId="18F60F88">
                    <w:pPr>
                      <w:jc w:val="center"/>
                      <w:rPr>
                        <w:rFonts w:hint="default" w:eastAsia="宋体"/>
                        <w:sz w:val="21"/>
                        <w:szCs w:val="21"/>
                        <w:lang w:val="en-US" w:eastAsia="zh-CN"/>
                      </w:rPr>
                    </w:pPr>
                    <w:r>
                      <w:rPr>
                        <w:rFonts w:hint="eastAsia"/>
                        <w:sz w:val="21"/>
                        <w:szCs w:val="21"/>
                        <w:lang w:val="en-US" w:eastAsia="zh-CN"/>
                      </w:rPr>
                      <w:t>储料库5000m</w:t>
                    </w:r>
                    <w:r>
                      <w:rPr>
                        <w:rFonts w:hint="eastAsia"/>
                        <w:sz w:val="21"/>
                        <w:szCs w:val="21"/>
                        <w:vertAlign w:val="superscript"/>
                        <w:lang w:val="en-US" w:eastAsia="zh-CN"/>
                      </w:rPr>
                      <w:t>2</w:t>
                    </w:r>
                  </w:p>
                </w:txbxContent>
              </v:textbox>
            </v:shape>
            <v:shape id="_x0000_s2153" o:spid="_x0000_s2153" o:spt="84" type="#_x0000_t84" style="position:absolute;left:12276;top:731232;height:416;width:586;" fillcolor="#FFFFFF" filled="t" stroked="t" coordsize="21600,21600" adj="2700">
              <v:path/>
              <v:fill on="t" color2="#FFFFFF" focussize="0,0"/>
              <v:stroke color="#000000" joinstyle="miter"/>
              <v:imagedata o:title=""/>
              <o:lock v:ext="edit" aspectratio="f"/>
            </v:shape>
            <v:rect id="_x0000_s2194" o:spid="_x0000_s2194" o:spt="1" style="position:absolute;left:9367;top:732055;height:4993;width:5932;" filled="f" stroked="t" coordsize="21600,21600">
              <v:path/>
              <v:fill on="f" focussize="0,0"/>
              <v:stroke color="#000000" joinstyle="miter"/>
              <v:imagedata o:title=""/>
              <o:lock v:ext="edit" aspectratio="f"/>
            </v:rect>
            <v:shape id="_x0000_s2178" o:spid="_x0000_s2178" o:spt="202" type="#_x0000_t202" style="position:absolute;left:8808;top:730370;height:629;width:783;" filled="f" stroked="f" coordsize="21600,21600">
              <v:path/>
              <v:fill on="f" focussize="0,0"/>
              <v:stroke on="f"/>
              <v:imagedata o:title=""/>
              <o:lock v:ext="edit" aspectratio="f"/>
              <v:textbox>
                <w:txbxContent>
                  <w:p w14:paraId="61D70835">
                    <w:pPr>
                      <w:jc w:val="center"/>
                      <w:rPr>
                        <w:rFonts w:hint="default" w:eastAsia="宋体"/>
                        <w:sz w:val="15"/>
                        <w:szCs w:val="15"/>
                        <w:lang w:val="en-US" w:eastAsia="zh-CN"/>
                      </w:rPr>
                    </w:pPr>
                    <w:r>
                      <w:rPr>
                        <w:rFonts w:hint="eastAsia"/>
                        <w:sz w:val="15"/>
                        <w:szCs w:val="15"/>
                        <w:lang w:val="en-US" w:eastAsia="zh-CN"/>
                      </w:rPr>
                      <w:t>1#矿粉筒仓</w:t>
                    </w:r>
                  </w:p>
                </w:txbxContent>
              </v:textbox>
            </v:shape>
            <v:shape id="_x0000_s2148" o:spid="_x0000_s2148" o:spt="84" type="#_x0000_t84" style="position:absolute;left:11105;top:731244;height:416;width:586;" fillcolor="#FFFFFF" filled="t" stroked="t" coordsize="21600,21600" adj="2700">
              <v:path/>
              <v:fill on="t" color2="#FFFFFF" focussize="0,0"/>
              <v:stroke color="#000000" joinstyle="miter"/>
              <v:imagedata o:title=""/>
              <o:lock v:ext="edit" aspectratio="f"/>
            </v:shape>
            <v:shape id="_x0000_s2154" o:spid="_x0000_s2154" o:spt="84" type="#_x0000_t84" style="position:absolute;left:12861;top:731221;height:416;width:586;" fillcolor="#FFFFFF" filled="t" stroked="t" coordsize="21600,21600" adj="2700">
              <v:path/>
              <v:fill on="t" color2="#FFFFFF" focussize="0,0"/>
              <v:stroke color="#000000" joinstyle="miter"/>
              <v:imagedata o:title=""/>
              <o:lock v:ext="edit" aspectratio="f"/>
            </v:shape>
            <v:shape id="_x0000_s2155" o:spid="_x0000_s2155" o:spt="202" type="#_x0000_t202" style="position:absolute;left:11411;top:731566;height:438;width:1732;" filled="f" stroked="f" coordsize="21600,21600">
              <v:path/>
              <v:fill on="f" focussize="0,0"/>
              <v:stroke on="f"/>
              <v:imagedata o:title=""/>
              <o:lock v:ext="edit" aspectratio="f"/>
              <v:textbox>
                <w:txbxContent>
                  <w:p w14:paraId="5443C48A">
                    <w:pPr>
                      <w:jc w:val="center"/>
                      <w:rPr>
                        <w:rFonts w:hint="default" w:eastAsia="宋体"/>
                        <w:lang w:val="en-US" w:eastAsia="zh-CN"/>
                      </w:rPr>
                    </w:pPr>
                    <w:r>
                      <w:rPr>
                        <w:rFonts w:hint="eastAsia"/>
                        <w:lang w:val="en-US" w:eastAsia="zh-CN"/>
                      </w:rPr>
                      <w:t>骨料仓</w:t>
                    </w:r>
                  </w:p>
                </w:txbxContent>
              </v:textbox>
            </v:shape>
            <v:shape id="_x0000_s2156" o:spid="_x0000_s2156" o:spt="202" type="#_x0000_t202" style="position:absolute;left:11012;top:731246;height:523;width:2530;" filled="f" stroked="f" coordsize="21600,21600">
              <v:path/>
              <v:fill on="f" focussize="0,0"/>
              <v:stroke on="f"/>
              <v:imagedata o:title=""/>
              <o:lock v:ext="edit" aspectratio="f"/>
              <v:textbox>
                <w:txbxContent>
                  <w:p w14:paraId="1EE64C8A">
                    <w:pPr>
                      <w:jc w:val="center"/>
                      <w:rPr>
                        <w:rFonts w:hint="default" w:eastAsia="宋体"/>
                        <w:lang w:val="en-US" w:eastAsia="zh-CN"/>
                      </w:rPr>
                    </w:pPr>
                    <w:r>
                      <w:rPr>
                        <w:rFonts w:hint="eastAsia"/>
                        <w:spacing w:val="-20"/>
                        <w:sz w:val="21"/>
                        <w:lang w:val="en-US" w:eastAsia="zh-CN"/>
                      </w:rPr>
                      <w:t xml:space="preserve">1#      2#      3#      4#      </w:t>
                    </w:r>
                  </w:p>
                </w:txbxContent>
              </v:textbox>
            </v:shape>
            <v:rect id="_x0000_s2158" o:spid="_x0000_s2158" o:spt="1" style="position:absolute;left:10629;top:730302;height:1059;width:120;" fillcolor="#FFFFFF" filled="t" stroked="t" coordsize="21600,21600">
              <v:path/>
              <v:fill on="t" color2="#FFFFFF" focussize="0,0"/>
              <v:stroke color="#000000" joinstyle="miter"/>
              <v:imagedata o:title=""/>
              <o:lock v:ext="edit" aspectratio="f"/>
            </v:rect>
            <v:shape id="_x0000_s2179" o:spid="_x0000_s2179" o:spt="202" type="#_x0000_t202" style="position:absolute;left:9307;top:730382;height:629;width:783;" filled="f" stroked="f" coordsize="21600,21600">
              <v:path/>
              <v:fill on="f" focussize="0,0"/>
              <v:stroke on="f"/>
              <v:imagedata o:title=""/>
              <o:lock v:ext="edit" aspectratio="f"/>
              <v:textbox>
                <w:txbxContent>
                  <w:p w14:paraId="33345A39">
                    <w:pPr>
                      <w:jc w:val="center"/>
                      <w:rPr>
                        <w:rFonts w:hint="default" w:eastAsia="宋体"/>
                        <w:sz w:val="15"/>
                        <w:szCs w:val="15"/>
                        <w:lang w:val="en-US" w:eastAsia="zh-CN"/>
                      </w:rPr>
                    </w:pPr>
                    <w:r>
                      <w:rPr>
                        <w:rFonts w:hint="eastAsia"/>
                        <w:sz w:val="15"/>
                        <w:szCs w:val="15"/>
                        <w:lang w:val="en-US" w:eastAsia="zh-CN"/>
                      </w:rPr>
                      <w:t>2#矿粉筒仓</w:t>
                    </w:r>
                  </w:p>
                </w:txbxContent>
              </v:textbox>
            </v:shape>
            <v:shape id="_x0000_s2171" o:spid="_x0000_s2171" o:spt="8" type="#_x0000_t8" style="position:absolute;left:9479;top:731235;height:378;width:451;" fillcolor="#FFFFFF" filled="t" stroked="t" coordsize="21600,21600" adj="5400">
              <v:path/>
              <v:fill on="t" color2="#FFFFFF" focussize="0,0"/>
              <v:stroke color="#000000" joinstyle="miter"/>
              <v:imagedata o:title=""/>
              <o:lock v:ext="edit" aspectratio="f"/>
            </v:shape>
            <v:shape id="_x0000_s2092" o:spid="_x0000_s2092" o:spt="202" type="#_x0000_t202" style="position:absolute;left:11390;top:730255;height:523;width:1334;" filled="f" stroked="f" coordsize="21600,21600">
              <v:path/>
              <v:fill on="f" focussize="0,0"/>
              <v:stroke on="f"/>
              <v:imagedata o:title=""/>
              <o:lock v:ext="edit" aspectratio="f"/>
              <v:textbox>
                <w:txbxContent>
                  <w:p w14:paraId="0AA69A38">
                    <w:pPr>
                      <w:jc w:val="center"/>
                      <w:rPr>
                        <w:rFonts w:hint="default" w:eastAsia="宋体"/>
                        <w:lang w:val="en-US" w:eastAsia="zh-CN"/>
                      </w:rPr>
                    </w:pPr>
                    <w:r>
                      <w:rPr>
                        <w:rFonts w:hint="eastAsia"/>
                        <w:spacing w:val="-20"/>
                        <w:sz w:val="21"/>
                        <w:lang w:val="en-US" w:eastAsia="zh-CN"/>
                      </w:rPr>
                      <w:t xml:space="preserve">1#  2#  3#  </w:t>
                    </w:r>
                  </w:p>
                </w:txbxContent>
              </v:textbox>
            </v:shape>
            <v:roundrect id="_x0000_s2130" o:spid="_x0000_s2130" o:spt="2" style="position:absolute;left:11327;top:730213;height:567;width:227;" filled="f" stroked="t" coordsize="21600,21600" arcsize="0.166666666666667">
              <v:path/>
              <v:fill on="f" focussize="0,0"/>
              <v:stroke color="#000000"/>
              <v:imagedata o:title=""/>
              <o:lock v:ext="edit" aspectratio="f"/>
            </v:roundrect>
            <v:roundrect id="_x0000_s2120" o:spid="_x0000_s2120" o:spt="2" style="position:absolute;left:11632;top:730213;height:567;width:227;" filled="f" stroked="t" coordsize="21600,21600" arcsize="0.166666666666667">
              <v:path/>
              <v:fill on="f" focussize="0,0"/>
              <v:stroke color="#000000"/>
              <v:imagedata o:title=""/>
              <o:lock v:ext="edit" aspectratio="f"/>
            </v:roundrect>
            <v:roundrect id="_x0000_s2136" o:spid="_x0000_s2136" o:spt="2" style="position:absolute;left:11962;top:730213;height:567;width:227;" filled="f" stroked="t" coordsize="21600,21600" arcsize="0.166666666666667">
              <v:path/>
              <v:fill on="f" focussize="0,0"/>
              <v:stroke color="#000000"/>
              <v:imagedata o:title=""/>
              <o:lock v:ext="edit" aspectratio="f"/>
            </v:roundrect>
            <v:roundrect id="_x0000_s2134" o:spid="_x0000_s2134" o:spt="2" style="position:absolute;left:12267;top:730213;height:567;width:227;" filled="f" stroked="t" coordsize="21600,21600" arcsize="0.166666666666667">
              <v:path/>
              <v:fill on="f" focussize="0,0"/>
              <v:stroke color="#000000"/>
              <v:imagedata o:title=""/>
              <o:lock v:ext="edit" aspectratio="f"/>
            </v:roundrect>
            <v:shape id="_x0000_s4340" o:spid="_x0000_s4340" o:spt="202" type="#_x0000_t202" style="position:absolute;left:10820;top:730239;height:580;width:1100;" filled="f" stroked="f" coordsize="21600,21600">
              <v:path/>
              <v:fill on="f" focussize="0,0"/>
              <v:stroke on="f"/>
              <v:imagedata o:title=""/>
              <o:lock v:ext="edit" aspectratio="f"/>
              <v:textbox>
                <w:txbxContent>
                  <w:p w14:paraId="705F288A">
                    <w:pPr>
                      <w:jc w:val="center"/>
                      <w:rPr>
                        <w:rFonts w:hint="default" w:eastAsia="宋体"/>
                        <w:sz w:val="15"/>
                        <w:szCs w:val="15"/>
                        <w:lang w:val="en-US" w:eastAsia="zh-CN"/>
                      </w:rPr>
                    </w:pPr>
                    <w:r>
                      <w:rPr>
                        <w:rFonts w:hint="eastAsia"/>
                        <w:sz w:val="15"/>
                        <w:szCs w:val="15"/>
                        <w:lang w:val="en-US" w:eastAsia="zh-CN"/>
                      </w:rPr>
                      <w:t>1#柴油罐</w:t>
                    </w:r>
                  </w:p>
                </w:txbxContent>
              </v:textbox>
            </v:shape>
            <v:shape id="_x0000_s4305" o:spid="_x0000_s4305" o:spt="202" type="#_x0000_t202" style="position:absolute;left:12924;top:730512;height:504;width:1343;" filled="f" stroked="f" coordsize="21600,21600">
              <v:path/>
              <v:fill on="f" focussize="0,0"/>
              <v:stroke on="f"/>
              <v:imagedata o:title=""/>
              <o:lock v:ext="edit" aspectratio="f"/>
              <v:textbox>
                <w:txbxContent>
                  <w:p w14:paraId="454F2175">
                    <w:pPr>
                      <w:rPr>
                        <w:rFonts w:hint="default"/>
                        <w:sz w:val="13"/>
                        <w:szCs w:val="13"/>
                        <w:vertAlign w:val="superscript"/>
                        <w:lang w:val="en-US" w:eastAsia="zh-CN"/>
                      </w:rPr>
                    </w:pPr>
                    <w:r>
                      <w:rPr>
                        <w:rFonts w:hint="eastAsia"/>
                        <w:sz w:val="13"/>
                        <w:szCs w:val="13"/>
                        <w:lang w:val="en-US" w:eastAsia="zh-CN"/>
                      </w:rPr>
                      <w:t>事故应急池50m</w:t>
                    </w:r>
                    <w:r>
                      <w:rPr>
                        <w:rFonts w:hint="eastAsia"/>
                        <w:sz w:val="13"/>
                        <w:szCs w:val="13"/>
                        <w:vertAlign w:val="superscript"/>
                        <w:lang w:val="en-US" w:eastAsia="zh-CN"/>
                      </w:rPr>
                      <w:t>3</w:t>
                    </w:r>
                  </w:p>
                </w:txbxContent>
              </v:textbox>
            </v:shape>
            <v:shape id="_x0000_s2159" o:spid="_x0000_s2159" o:spt="202" type="#_x0000_t202" style="position:absolute;left:10066;top:730544;height:629;width:783;" filled="f" stroked="f" coordsize="21600,21600">
              <v:path/>
              <v:fill on="f" focussize="0,0"/>
              <v:stroke on="f"/>
              <v:imagedata o:title=""/>
              <o:lock v:ext="edit" aspectratio="f"/>
              <v:textbox>
                <w:txbxContent>
                  <w:p w14:paraId="41166928">
                    <w:pPr>
                      <w:jc w:val="center"/>
                      <w:rPr>
                        <w:rFonts w:hint="default" w:eastAsia="宋体"/>
                        <w:sz w:val="15"/>
                        <w:szCs w:val="15"/>
                        <w:lang w:val="en-US" w:eastAsia="zh-CN"/>
                      </w:rPr>
                    </w:pPr>
                    <w:r>
                      <w:rPr>
                        <w:rFonts w:hint="eastAsia"/>
                        <w:sz w:val="15"/>
                        <w:szCs w:val="15"/>
                        <w:lang w:val="en-US" w:eastAsia="zh-CN"/>
                      </w:rPr>
                      <w:t>皮带输送机</w:t>
                    </w:r>
                  </w:p>
                </w:txbxContent>
              </v:textbox>
            </v:shape>
          </v:group>
        </w:pict>
      </w:r>
    </w:p>
    <w:p w14:paraId="3D48B995">
      <w:pPr>
        <w:rPr>
          <w:color w:val="auto"/>
        </w:rPr>
      </w:pPr>
    </w:p>
    <w:p w14:paraId="37113780">
      <w:pPr>
        <w:rPr>
          <w:color w:val="auto"/>
        </w:rPr>
      </w:pPr>
    </w:p>
    <w:p w14:paraId="727F013C">
      <w:pPr>
        <w:rPr>
          <w:color w:val="auto"/>
        </w:rPr>
      </w:pPr>
    </w:p>
    <w:p w14:paraId="724F0E19">
      <w:pPr>
        <w:rPr>
          <w:color w:val="auto"/>
        </w:rPr>
      </w:pPr>
    </w:p>
    <w:p w14:paraId="37EE144C">
      <w:pPr>
        <w:rPr>
          <w:color w:val="auto"/>
        </w:rPr>
      </w:pPr>
    </w:p>
    <w:p w14:paraId="260AE78E">
      <w:pPr>
        <w:rPr>
          <w:color w:val="auto"/>
        </w:rPr>
      </w:pPr>
    </w:p>
    <w:p w14:paraId="7F13BCD3">
      <w:pPr>
        <w:rPr>
          <w:color w:val="auto"/>
        </w:rPr>
      </w:pPr>
    </w:p>
    <w:p w14:paraId="566CAA9F">
      <w:pPr>
        <w:rPr>
          <w:color w:val="auto"/>
        </w:rPr>
      </w:pPr>
    </w:p>
    <w:p w14:paraId="3389F361">
      <w:pPr>
        <w:rPr>
          <w:color w:val="auto"/>
        </w:rPr>
      </w:pPr>
    </w:p>
    <w:p w14:paraId="40A064B9">
      <w:pPr>
        <w:rPr>
          <w:color w:val="auto"/>
        </w:rPr>
      </w:pPr>
    </w:p>
    <w:p w14:paraId="6A5115EF">
      <w:pPr>
        <w:rPr>
          <w:color w:val="auto"/>
        </w:rPr>
      </w:pPr>
    </w:p>
    <w:p w14:paraId="55BE680C">
      <w:pPr>
        <w:rPr>
          <w:color w:val="auto"/>
        </w:rPr>
      </w:pPr>
    </w:p>
    <w:p w14:paraId="44702780">
      <w:pPr>
        <w:rPr>
          <w:color w:val="auto"/>
        </w:rPr>
      </w:pPr>
      <w:r>
        <w:rPr>
          <w:sz w:val="21"/>
        </w:rPr>
        <w:pict>
          <v:rect id="_x0000_s2276" o:spid="_x0000_s2276" o:spt="1" style="position:absolute;left:0pt;margin-left:407.5pt;margin-top:6.95pt;height:41.55pt;width:41.35pt;z-index:251670528;mso-width-relative:page;mso-height-relative:page;" filled="f" stroked="t" coordsize="21600,21600">
            <v:path/>
            <v:fill on="f" focussize="0,0"/>
            <v:stroke color="#000000" joinstyle="miter"/>
            <v:imagedata o:title=""/>
            <o:lock v:ext="edit" aspectratio="f"/>
          </v:rect>
        </w:pict>
      </w:r>
      <w:r>
        <w:rPr>
          <w:sz w:val="21"/>
        </w:rPr>
        <w:pict>
          <v:shape id="_x0000_s2277" o:spid="_x0000_s2277" o:spt="202" type="#_x0000_t202" style="position:absolute;left:0pt;margin-left:363.9pt;margin-top:8.1pt;height:58.25pt;width:127.7pt;z-index:251673600;mso-width-relative:page;mso-height-relative:page;" filled="f" stroked="f" coordsize="21600,21600">
            <v:path/>
            <v:fill on="f" focussize="0,0"/>
            <v:stroke on="f"/>
            <v:imagedata o:title=""/>
            <o:lock v:ext="edit" aspectratio="f"/>
            <v:textbox>
              <w:txbxContent>
                <w:p w14:paraId="7312550D">
                  <w:pPr>
                    <w:jc w:val="center"/>
                    <w:rPr>
                      <w:rFonts w:hint="default"/>
                      <w:sz w:val="21"/>
                      <w:szCs w:val="21"/>
                      <w:lang w:val="en-US" w:eastAsia="zh-CN"/>
                    </w:rPr>
                  </w:pPr>
                  <w:r>
                    <w:rPr>
                      <w:rFonts w:hint="eastAsia"/>
                      <w:sz w:val="21"/>
                      <w:szCs w:val="21"/>
                      <w:lang w:val="en-US" w:eastAsia="zh-CN"/>
                    </w:rPr>
                    <w:t>沉淀池40m</w:t>
                  </w:r>
                  <w:r>
                    <w:rPr>
                      <w:rFonts w:hint="eastAsia"/>
                      <w:sz w:val="21"/>
                      <w:szCs w:val="21"/>
                      <w:vertAlign w:val="superscript"/>
                      <w:lang w:val="en-US" w:eastAsia="zh-CN"/>
                    </w:rPr>
                    <w:t>3</w:t>
                  </w:r>
                </w:p>
                <w:p w14:paraId="5FC75229">
                  <w:pPr>
                    <w:jc w:val="center"/>
                    <w:rPr>
                      <w:rFonts w:hint="default"/>
                      <w:sz w:val="21"/>
                      <w:szCs w:val="21"/>
                      <w:lang w:val="en-US" w:eastAsia="zh-CN"/>
                    </w:rPr>
                  </w:pPr>
                  <w:r>
                    <w:rPr>
                      <w:rFonts w:hint="eastAsia"/>
                      <w:sz w:val="21"/>
                      <w:szCs w:val="21"/>
                      <w:lang w:val="en-US" w:eastAsia="zh-CN"/>
                    </w:rPr>
                    <w:t>（兼顾洗车平台配套循环水池）</w:t>
                  </w:r>
                </w:p>
              </w:txbxContent>
            </v:textbox>
          </v:shape>
        </w:pict>
      </w:r>
    </w:p>
    <w:p w14:paraId="31BEF5CB">
      <w:pPr>
        <w:rPr>
          <w:color w:val="auto"/>
        </w:rPr>
      </w:pPr>
    </w:p>
    <w:p w14:paraId="3F8DDCBB">
      <w:pPr>
        <w:rPr>
          <w:color w:val="auto"/>
        </w:rPr>
      </w:pPr>
    </w:p>
    <w:p w14:paraId="41BDE172">
      <w:pPr>
        <w:rPr>
          <w:color w:val="auto"/>
        </w:rPr>
      </w:pPr>
    </w:p>
    <w:p w14:paraId="0CEB4B1D">
      <w:pPr>
        <w:rPr>
          <w:color w:val="auto"/>
        </w:rPr>
      </w:pPr>
      <w:r>
        <w:rPr>
          <w:sz w:val="21"/>
        </w:rPr>
        <w:pict>
          <v:rect id="_x0000_s2278" o:spid="_x0000_s2278" o:spt="1" style="position:absolute;left:0pt;margin-left:407.2pt;margin-top:1.25pt;height:26.85pt;width:41.35pt;z-index:251671552;mso-width-relative:page;mso-height-relative:page;" fillcolor="#000000" filled="t" stroked="t" coordsize="21600,21600">
            <v:path/>
            <v:fill type="pattern" on="t" color2="#FFFFFF" o:title="小网格" focussize="0,0" r:id="rId46"/>
            <v:stroke color="#000000" joinstyle="miter"/>
            <v:imagedata o:title=""/>
            <o:lock v:ext="edit" aspectratio="f"/>
          </v:rect>
        </w:pict>
      </w:r>
    </w:p>
    <w:p w14:paraId="68AC5A9E">
      <w:pPr>
        <w:rPr>
          <w:color w:val="auto"/>
        </w:rPr>
      </w:pPr>
      <w:r>
        <w:rPr>
          <w:sz w:val="21"/>
        </w:rPr>
        <w:pict>
          <v:shape id="_x0000_s2279" o:spid="_x0000_s2279" o:spt="202" type="#_x0000_t202" style="position:absolute;left:0pt;margin-left:392.2pt;margin-top:10.7pt;height:24.65pt;width:75.8pt;z-index:251672576;mso-width-relative:page;mso-height-relative:page;" filled="f" stroked="f" coordsize="21600,21600">
            <v:path/>
            <v:fill on="f" focussize="0,0"/>
            <v:stroke on="f"/>
            <v:imagedata o:title=""/>
            <o:lock v:ext="edit" aspectratio="f"/>
            <v:textbox>
              <w:txbxContent>
                <w:p w14:paraId="70AF8D04">
                  <w:pPr>
                    <w:jc w:val="center"/>
                    <w:rPr>
                      <w:rFonts w:hint="default" w:eastAsia="宋体"/>
                      <w:sz w:val="21"/>
                      <w:szCs w:val="21"/>
                      <w:lang w:val="en-US" w:eastAsia="zh-CN"/>
                    </w:rPr>
                  </w:pPr>
                  <w:r>
                    <w:rPr>
                      <w:rFonts w:hint="eastAsia"/>
                      <w:sz w:val="21"/>
                      <w:szCs w:val="21"/>
                      <w:lang w:val="en-US" w:eastAsia="zh-CN"/>
                    </w:rPr>
                    <w:t>洗车平台</w:t>
                  </w:r>
                </w:p>
              </w:txbxContent>
            </v:textbox>
          </v:shape>
        </w:pict>
      </w:r>
    </w:p>
    <w:p w14:paraId="36E6C670">
      <w:pPr>
        <w:rPr>
          <w:color w:val="auto"/>
        </w:rPr>
      </w:pPr>
    </w:p>
    <w:p w14:paraId="0C1C9384">
      <w:pPr>
        <w:rPr>
          <w:color w:val="auto"/>
        </w:rPr>
      </w:pPr>
    </w:p>
    <w:p w14:paraId="429BF7B4">
      <w:pPr>
        <w:rPr>
          <w:color w:val="auto"/>
        </w:rPr>
      </w:pPr>
    </w:p>
    <w:p w14:paraId="236F27A6">
      <w:pPr>
        <w:rPr>
          <w:color w:val="auto"/>
        </w:rPr>
      </w:pPr>
    </w:p>
    <w:p w14:paraId="07098239">
      <w:pPr>
        <w:rPr>
          <w:color w:val="auto"/>
        </w:rPr>
      </w:pPr>
    </w:p>
    <w:p w14:paraId="2D0ADA1F">
      <w:pPr>
        <w:rPr>
          <w:color w:val="auto"/>
        </w:rPr>
      </w:pPr>
    </w:p>
    <w:p w14:paraId="3CE7977F">
      <w:pPr>
        <w:rPr>
          <w:color w:val="auto"/>
        </w:rPr>
      </w:pPr>
    </w:p>
    <w:p w14:paraId="675959CA">
      <w:pPr>
        <w:rPr>
          <w:color w:val="auto"/>
        </w:rPr>
      </w:pPr>
    </w:p>
    <w:p w14:paraId="1FE1C5D4">
      <w:pPr>
        <w:rPr>
          <w:color w:val="auto"/>
        </w:rPr>
      </w:pPr>
    </w:p>
    <w:p w14:paraId="3FC2CD73">
      <w:pPr>
        <w:rPr>
          <w:color w:val="auto"/>
        </w:rPr>
      </w:pPr>
      <w:r>
        <w:rPr>
          <w:sz w:val="21"/>
        </w:rPr>
        <w:pict>
          <v:rect id="_x0000_s2219" o:spid="_x0000_s2219" o:spt="1" style="position:absolute;left:0pt;margin-left:217.4pt;margin-top:-33.2pt;height:168.45pt;width:264.6pt;z-index:251667456;mso-width-relative:page;mso-height-relative:page;" filled="f" stroked="t" coordsize="21600,21600">
            <v:path/>
            <v:fill on="f" focussize="0,0"/>
            <v:stroke color="#000000" joinstyle="miter"/>
            <v:imagedata o:title=""/>
            <o:lock v:ext="edit" aspectratio="f"/>
          </v:rect>
        </w:pict>
      </w:r>
      <w:r>
        <w:drawing>
          <wp:anchor distT="0" distB="0" distL="114300" distR="114300" simplePos="0" relativeHeight="251700224" behindDoc="0" locked="0" layoutInCell="1" allowOverlap="1">
            <wp:simplePos x="0" y="0"/>
            <wp:positionH relativeFrom="column">
              <wp:posOffset>168275</wp:posOffset>
            </wp:positionH>
            <wp:positionV relativeFrom="paragraph">
              <wp:posOffset>-80010</wp:posOffset>
            </wp:positionV>
            <wp:extent cx="625475" cy="735965"/>
            <wp:effectExtent l="0" t="0" r="3175" b="6985"/>
            <wp:wrapNone/>
            <wp:docPr id="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
                    <pic:cNvPicPr>
                      <a:picLocks noChangeAspect="1"/>
                    </pic:cNvPicPr>
                  </pic:nvPicPr>
                  <pic:blipFill>
                    <a:blip r:embed="rId44"/>
                    <a:stretch>
                      <a:fillRect/>
                    </a:stretch>
                  </pic:blipFill>
                  <pic:spPr>
                    <a:xfrm>
                      <a:off x="0" y="0"/>
                      <a:ext cx="625475" cy="735965"/>
                    </a:xfrm>
                    <a:prstGeom prst="rect">
                      <a:avLst/>
                    </a:prstGeom>
                    <a:noFill/>
                    <a:ln>
                      <a:noFill/>
                    </a:ln>
                  </pic:spPr>
                </pic:pic>
              </a:graphicData>
            </a:graphic>
          </wp:anchor>
        </w:drawing>
      </w:r>
    </w:p>
    <w:p w14:paraId="081B9844">
      <w:pPr>
        <w:rPr>
          <w:color w:val="auto"/>
        </w:rPr>
      </w:pPr>
    </w:p>
    <w:p w14:paraId="1106E963">
      <w:pPr>
        <w:rPr>
          <w:color w:val="auto"/>
        </w:rPr>
      </w:pPr>
    </w:p>
    <w:p w14:paraId="60A3D9F3">
      <w:pPr>
        <w:rPr>
          <w:color w:val="auto"/>
        </w:rPr>
      </w:pPr>
      <w:r>
        <w:rPr>
          <w:sz w:val="21"/>
        </w:rPr>
        <w:pict>
          <v:group id="_x0000_s4364" o:spid="_x0000_s4364" o:spt="203" style="position:absolute;left:0pt;margin-left:151.1pt;margin-top:8.3pt;height:427.2pt;width:546.9pt;z-index:251728896;mso-width-relative:page;mso-height-relative:page;" coordorigin="8897,760716" coordsize="10938,8544">
            <o:lock v:ext="edit" aspectratio="f"/>
            <v:shape id="_x0000_s2224" o:spid="_x0000_s2224" o:spt="202" type="#_x0000_t202" style="position:absolute;left:12268;top:760716;height:629;width:1283;" filled="f" stroked="f" coordsize="21600,21600">
              <v:path/>
              <v:fill on="f" focussize="0,0"/>
              <v:stroke on="f"/>
              <v:imagedata o:title=""/>
              <o:lock v:ext="edit" aspectratio="f"/>
              <v:textbox>
                <w:txbxContent>
                  <w:p w14:paraId="2BF280E9">
                    <w:pPr>
                      <w:jc w:val="center"/>
                      <w:rPr>
                        <w:rFonts w:hint="default" w:eastAsia="宋体"/>
                        <w:sz w:val="21"/>
                        <w:szCs w:val="21"/>
                        <w:lang w:val="en-US" w:eastAsia="zh-CN"/>
                      </w:rPr>
                    </w:pPr>
                    <w:r>
                      <w:rPr>
                        <w:rFonts w:hint="eastAsia"/>
                        <w:sz w:val="21"/>
                        <w:szCs w:val="21"/>
                        <w:lang w:val="en-US" w:eastAsia="zh-CN"/>
                      </w:rPr>
                      <w:t>储料库</w:t>
                    </w:r>
                  </w:p>
                </w:txbxContent>
              </v:textbox>
            </v:shape>
            <v:shape id="_x0000_s2249" o:spid="_x0000_s2249" o:spt="202" type="#_x0000_t202" style="position:absolute;left:8897;top:768614;height:646;width:7183;" filled="f" stroked="f" coordsize="21600,21600">
              <v:path/>
              <v:fill on="f" focussize="0,0"/>
              <v:stroke on="f"/>
              <v:imagedata o:title=""/>
              <o:lock v:ext="edit" aspectratio="f"/>
              <v:textbox>
                <w:txbxContent>
                  <w:p w14:paraId="31E7A4F3">
                    <w:pPr>
                      <w:jc w:val="center"/>
                      <w:rPr>
                        <w:rFonts w:hint="default" w:eastAsia="宋体"/>
                        <w:b/>
                        <w:bCs/>
                        <w:lang w:val="en-US" w:eastAsia="zh-CN"/>
                      </w:rPr>
                    </w:pPr>
                    <w:r>
                      <w:rPr>
                        <w:rFonts w:hint="eastAsia"/>
                        <w:b/>
                        <w:bCs/>
                        <w:lang w:val="en-US" w:eastAsia="zh-CN"/>
                      </w:rPr>
                      <w:t>附图2（续2）    项目混凝土生产线平面布置示意图（1:300）</w:t>
                    </w:r>
                  </w:p>
                </w:txbxContent>
              </v:textbox>
            </v:shape>
            <v:rect id="_x0000_s2250" o:spid="_x0000_s2250" o:spt="1" style="position:absolute;left:8920;top:764146;height:468;width:1635;" filled="f" stroked="t" coordsize="21600,21600">
              <v:path/>
              <v:fill on="f" focussize="0,0"/>
              <v:stroke color="#000000" joinstyle="miter"/>
              <v:imagedata o:title=""/>
              <o:lock v:ext="edit" aspectratio="f"/>
            </v:rect>
            <v:shape id="_x0000_s2253" o:spid="_x0000_s2253" o:spt="202" type="#_x0000_t202" style="position:absolute;left:12692;top:763221;height:498;width:941;" filled="f" stroked="f" coordsize="21600,21600">
              <v:path/>
              <v:fill on="f" focussize="0,0"/>
              <v:stroke on="f"/>
              <v:imagedata o:title=""/>
              <o:lock v:ext="edit" aspectratio="f"/>
              <v:textbox>
                <w:txbxContent>
                  <w:p w14:paraId="03D44351">
                    <w:pPr>
                      <w:jc w:val="center"/>
                      <w:rPr>
                        <w:rFonts w:hint="default" w:eastAsia="宋体"/>
                        <w:sz w:val="15"/>
                        <w:szCs w:val="15"/>
                        <w:lang w:val="en-US" w:eastAsia="zh-CN"/>
                      </w:rPr>
                    </w:pPr>
                  </w:p>
                </w:txbxContent>
              </v:textbox>
            </v:shape>
            <v:shape id="_x0000_s2258" o:spid="_x0000_s2258" o:spt="8" type="#_x0000_t8" style="position:absolute;left:12924;top:764634;height:378;width:451;" fillcolor="#FFFFFF" filled="t" stroked="t" coordsize="21600,21600" adj="5400">
              <v:path/>
              <v:fill on="t" color2="#FFFFFF" focussize="0,0"/>
              <v:stroke color="#000000" joinstyle="miter"/>
              <v:imagedata o:title=""/>
              <o:lock v:ext="edit" aspectratio="f"/>
            </v:shape>
            <v:shape id="_x0000_s2251" o:spid="_x0000_s2251" o:spt="202" type="#_x0000_t202" style="position:absolute;left:9180;top:764189;height:629;width:1240;" filled="f" stroked="f" coordsize="21600,21600">
              <v:path/>
              <v:fill on="f" focussize="0,0"/>
              <v:stroke on="f"/>
              <v:imagedata o:title=""/>
              <o:lock v:ext="edit" aspectratio="f"/>
              <v:textbox>
                <w:txbxContent>
                  <w:p w14:paraId="64F8C006">
                    <w:pPr>
                      <w:jc w:val="center"/>
                      <w:rPr>
                        <w:rFonts w:hint="default" w:eastAsia="宋体"/>
                        <w:sz w:val="21"/>
                        <w:szCs w:val="21"/>
                        <w:lang w:val="en-US" w:eastAsia="zh-CN"/>
                      </w:rPr>
                    </w:pPr>
                    <w:r>
                      <w:rPr>
                        <w:rFonts w:hint="eastAsia"/>
                        <w:sz w:val="21"/>
                        <w:szCs w:val="21"/>
                        <w:lang w:val="en-US" w:eastAsia="zh-CN"/>
                      </w:rPr>
                      <w:t>料仓</w:t>
                    </w:r>
                  </w:p>
                </w:txbxContent>
              </v:textbox>
            </v:shape>
            <v:rect id="_x0000_s2254" o:spid="_x0000_s2254" o:spt="1" style="position:absolute;left:12923;top:763525;height:1095;width:452;" filled="f" stroked="t" coordsize="21600,21600">
              <v:path/>
              <v:fill on="f" focussize="0,0"/>
              <v:stroke color="#000000" joinstyle="miter"/>
              <v:imagedata o:title=""/>
              <o:lock v:ext="edit" aspectratio="f"/>
            </v:rect>
            <v:rect id="_x0000_s2255" o:spid="_x0000_s2255" o:spt="1" style="position:absolute;left:12423;top:763525;height:1095;width:452;" filled="f" stroked="t" coordsize="21600,21600">
              <v:path/>
              <v:fill on="f" focussize="0,0"/>
              <v:stroke color="#000000" joinstyle="miter"/>
              <v:imagedata o:title=""/>
              <o:lock v:ext="edit" aspectratio="f"/>
            </v:rect>
            <v:shape id="_x0000_s2259" o:spid="_x0000_s2259" o:spt="8" type="#_x0000_t8" style="position:absolute;left:12425;top:764634;height:378;width:451;" fillcolor="#FFFFFF" filled="t" stroked="t" coordsize="21600,21600" adj="5400">
              <v:path/>
              <v:fill on="t" color2="#FFFFFF" focussize="0,0"/>
              <v:stroke color="#000000" joinstyle="miter"/>
              <v:imagedata o:title=""/>
              <o:lock v:ext="edit" aspectratio="f"/>
            </v:shape>
            <v:shape id="_x0000_s2256" o:spid="_x0000_s2256" o:spt="202" type="#_x0000_t202" style="position:absolute;left:12752;top:763781;height:629;width:783;" filled="f" stroked="f" coordsize="21600,21600">
              <v:path/>
              <v:fill on="f" focussize="0,0"/>
              <v:stroke on="f"/>
              <v:imagedata o:title=""/>
              <o:lock v:ext="edit" aspectratio="f"/>
              <v:textbox>
                <w:txbxContent>
                  <w:p w14:paraId="4A14F66E">
                    <w:pPr>
                      <w:jc w:val="center"/>
                      <w:rPr>
                        <w:rFonts w:hint="default" w:eastAsia="宋体"/>
                        <w:sz w:val="15"/>
                        <w:szCs w:val="15"/>
                        <w:lang w:val="en-US" w:eastAsia="zh-CN"/>
                      </w:rPr>
                    </w:pPr>
                    <w:r>
                      <w:rPr>
                        <w:rFonts w:hint="eastAsia"/>
                        <w:sz w:val="15"/>
                        <w:szCs w:val="15"/>
                        <w:lang w:val="en-US" w:eastAsia="zh-CN"/>
                      </w:rPr>
                      <w:t>2#水泥筒仓</w:t>
                    </w:r>
                  </w:p>
                </w:txbxContent>
              </v:textbox>
            </v:shape>
            <v:rect id="_x0000_s2268" o:spid="_x0000_s2268" o:spt="1" style="position:absolute;left:13537;top:764005;height:906;width:1493;" filled="f" stroked="t" coordsize="21600,21600">
              <v:path/>
              <v:fill on="f" focussize="0,0"/>
              <v:stroke color="#000000" joinstyle="miter"/>
              <v:imagedata o:title=""/>
              <o:lock v:ext="edit" aspectratio="f"/>
            </v:rect>
            <v:shape id="_x0000_s2273" o:spid="_x0000_s2273" o:spt="202" type="#_x0000_t202" style="position:absolute;left:13456;top:763362;height:629;width:1977;" filled="f" stroked="f" coordsize="21600,21600">
              <v:path/>
              <v:fill on="f" focussize="0,0"/>
              <v:stroke on="f"/>
              <v:imagedata o:title=""/>
              <o:lock v:ext="edit" aspectratio="f"/>
              <v:textbox>
                <w:txbxContent>
                  <w:p w14:paraId="220D68BB">
                    <w:pPr>
                      <w:jc w:val="center"/>
                      <w:rPr>
                        <w:rFonts w:hint="default" w:eastAsia="宋体"/>
                        <w:sz w:val="15"/>
                        <w:szCs w:val="15"/>
                        <w:lang w:val="en-US" w:eastAsia="zh-CN"/>
                      </w:rPr>
                    </w:pPr>
                    <w:r>
                      <w:rPr>
                        <w:rFonts w:hint="eastAsia"/>
                        <w:sz w:val="15"/>
                        <w:szCs w:val="15"/>
                        <w:lang w:val="en-US" w:eastAsia="zh-CN"/>
                      </w:rPr>
                      <w:t>布袋除尘器</w:t>
                    </w:r>
                  </w:p>
                </w:txbxContent>
              </v:textbox>
            </v:shape>
            <v:shape id="_x0000_s2257" o:spid="_x0000_s2257" o:spt="202" type="#_x0000_t202" style="position:absolute;left:12253;top:763769;height:629;width:783;" filled="f" stroked="f" coordsize="21600,21600">
              <v:path/>
              <v:fill on="f" focussize="0,0"/>
              <v:stroke on="f"/>
              <v:imagedata o:title=""/>
              <o:lock v:ext="edit" aspectratio="f"/>
              <v:textbox>
                <w:txbxContent>
                  <w:p w14:paraId="5F6B06F2">
                    <w:pPr>
                      <w:jc w:val="center"/>
                      <w:rPr>
                        <w:rFonts w:hint="default" w:eastAsia="宋体"/>
                        <w:sz w:val="15"/>
                        <w:szCs w:val="15"/>
                        <w:lang w:val="en-US" w:eastAsia="zh-CN"/>
                      </w:rPr>
                    </w:pPr>
                    <w:r>
                      <w:rPr>
                        <w:rFonts w:hint="eastAsia"/>
                        <w:sz w:val="15"/>
                        <w:szCs w:val="15"/>
                        <w:lang w:val="en-US" w:eastAsia="zh-CN"/>
                      </w:rPr>
                      <w:t>1#水泥筒仓</w:t>
                    </w:r>
                  </w:p>
                </w:txbxContent>
              </v:textbox>
            </v:shape>
            <v:shape id="_x0000_s2252" o:spid="_x0000_s2252" o:spt="202" type="#_x0000_t202" style="position:absolute;left:12180;top:763218;height:498;width:941;" filled="f" stroked="f" coordsize="21600,21600">
              <v:path/>
              <v:fill on="f" focussize="0,0"/>
              <v:stroke on="f"/>
              <v:imagedata o:title=""/>
              <o:lock v:ext="edit" aspectratio="f"/>
              <v:textbox>
                <w:txbxContent>
                  <w:p w14:paraId="0EDD6EDE">
                    <w:pPr>
                      <w:jc w:val="center"/>
                      <w:rPr>
                        <w:rFonts w:hint="default" w:eastAsia="宋体"/>
                        <w:sz w:val="15"/>
                        <w:szCs w:val="15"/>
                        <w:lang w:val="en-US" w:eastAsia="zh-CN"/>
                      </w:rPr>
                    </w:pPr>
                    <w:r>
                      <w:rPr>
                        <w:rFonts w:hint="eastAsia"/>
                        <w:sz w:val="15"/>
                        <w:szCs w:val="15"/>
                        <w:lang w:val="en-US" w:eastAsia="zh-CN"/>
                      </w:rPr>
                      <w:t>DA007</w:t>
                    </w:r>
                  </w:p>
                </w:txbxContent>
              </v:textbox>
            </v:shape>
            <v:shape id="_x0000_s2269" o:spid="_x0000_s2269" o:spt="202" type="#_x0000_t202" style="position:absolute;left:13697;top:764131;height:734;width:1095;" filled="f" stroked="f" coordsize="21600,21600">
              <v:path/>
              <v:fill on="f" focussize="0,0"/>
              <v:stroke on="f"/>
              <v:imagedata o:title=""/>
              <o:lock v:ext="edit" aspectratio="f"/>
              <v:textbox>
                <w:txbxContent>
                  <w:p w14:paraId="46AA5206">
                    <w:pPr>
                      <w:jc w:val="center"/>
                      <w:rPr>
                        <w:rFonts w:hint="default" w:eastAsia="宋体"/>
                        <w:sz w:val="15"/>
                        <w:szCs w:val="15"/>
                        <w:lang w:val="en-US" w:eastAsia="zh-CN"/>
                      </w:rPr>
                    </w:pPr>
                    <w:r>
                      <w:rPr>
                        <w:rFonts w:hint="eastAsia"/>
                        <w:sz w:val="15"/>
                        <w:szCs w:val="15"/>
                        <w:lang w:val="en-US" w:eastAsia="zh-CN"/>
                      </w:rPr>
                      <w:t>混凝土搅拌机组</w:t>
                    </w:r>
                  </w:p>
                </w:txbxContent>
              </v:textbox>
            </v:shape>
            <v:rect id="_x0000_s2271" o:spid="_x0000_s2271" o:spt="1" style="position:absolute;left:14009;top:763244;height:654;width:660;" filled="f" stroked="t" coordsize="21600,21600">
              <v:path/>
              <v:fill on="f" focussize="0,0"/>
              <v:stroke color="#000000" joinstyle="miter"/>
              <v:imagedata o:title=""/>
              <o:lock v:ext="edit" aspectratio="f"/>
            </v:rect>
            <v:shape id="_x0000_s2275" o:spid="_x0000_s2275" o:spt="22" type="#_x0000_t22" style="position:absolute;left:14696;top:762915;height:952;width:134;" fillcolor="#FFFFFF" filled="t" stroked="t" coordsize="21600,21600" adj="5400">
              <v:path/>
              <v:fill on="t" color2="#FFFFFF" focussize="0,0"/>
              <v:stroke color="#000000"/>
              <v:imagedata o:title=""/>
              <o:lock v:ext="edit" aspectratio="f"/>
            </v:shape>
            <v:shape id="_x0000_s2274" o:spid="_x0000_s2274" o:spt="202" type="#_x0000_t202" style="position:absolute;left:14480;top:762653;height:498;width:941;" filled="f" stroked="f" coordsize="21600,21600">
              <v:path/>
              <v:fill on="f" focussize="0,0"/>
              <v:stroke on="f"/>
              <v:imagedata o:title=""/>
              <o:lock v:ext="edit" aspectratio="f"/>
              <v:textbox>
                <w:txbxContent>
                  <w:p w14:paraId="07BEE356">
                    <w:pPr>
                      <w:jc w:val="center"/>
                      <w:rPr>
                        <w:rFonts w:hint="default" w:eastAsia="宋体"/>
                        <w:lang w:val="en-US" w:eastAsia="zh-CN"/>
                      </w:rPr>
                    </w:pPr>
                    <w:r>
                      <w:rPr>
                        <w:rFonts w:hint="eastAsia"/>
                        <w:lang w:val="en-US" w:eastAsia="zh-CN"/>
                      </w:rPr>
                      <w:t>DA004</w:t>
                    </w:r>
                  </w:p>
                </w:txbxContent>
              </v:textbox>
            </v:shape>
            <v:shape id="_x0000_s4264" o:spid="_x0000_s4264" o:spt="202" type="#_x0000_t202" style="position:absolute;left:14791;top:762055;height:629;width:1283;" filled="f" stroked="f" coordsize="21600,21600">
              <v:path/>
              <v:fill on="f" focussize="0,0"/>
              <v:stroke on="f"/>
              <v:imagedata o:title=""/>
              <o:lock v:ext="edit" aspectratio="f"/>
              <v:textbox>
                <w:txbxContent>
                  <w:p w14:paraId="6BACAE13">
                    <w:pPr>
                      <w:jc w:val="center"/>
                      <w:rPr>
                        <w:rFonts w:hint="default" w:eastAsia="宋体"/>
                        <w:sz w:val="15"/>
                        <w:szCs w:val="15"/>
                        <w:lang w:val="en-US" w:eastAsia="zh-CN"/>
                      </w:rPr>
                    </w:pPr>
                    <w:r>
                      <w:rPr>
                        <w:rFonts w:hint="eastAsia"/>
                        <w:sz w:val="15"/>
                        <w:szCs w:val="15"/>
                        <w:lang w:val="en-US" w:eastAsia="zh-CN"/>
                      </w:rPr>
                      <w:t>危废贮存库10m</w:t>
                    </w:r>
                    <w:r>
                      <w:rPr>
                        <w:rFonts w:hint="eastAsia"/>
                        <w:sz w:val="15"/>
                        <w:szCs w:val="15"/>
                        <w:vertAlign w:val="superscript"/>
                        <w:lang w:val="en-US" w:eastAsia="zh-CN"/>
                      </w:rPr>
                      <w:t>2</w:t>
                    </w:r>
                  </w:p>
                </w:txbxContent>
              </v:textbox>
            </v:shape>
            <v:rect id="_x0000_s4265" o:spid="_x0000_s4265" o:spt="1" style="position:absolute;left:15185;top:762275;height:242;width:319;" filled="f" stroked="t" coordsize="21600,21600">
              <v:path/>
              <v:fill on="f" focussize="0,0"/>
              <v:stroke color="#000000" joinstyle="miter"/>
              <v:imagedata o:title=""/>
              <o:lock v:ext="edit" aspectratio="f"/>
            </v:rect>
            <v:rect id="_x0000_s4308" o:spid="_x0000_s4308" o:spt="1" style="position:absolute;left:17923;top:764685;height:834;width:936;" filled="f" stroked="t" coordsize="21600,21600">
              <v:path/>
              <v:fill on="f" focussize="0,0"/>
              <v:stroke color="#000000" joinstyle="miter"/>
              <v:imagedata o:title=""/>
              <o:lock v:ext="edit" aspectratio="f"/>
            </v:rect>
            <v:shape id="_x0000_s4309" o:spid="_x0000_s4309" o:spt="202" type="#_x0000_t202" style="position:absolute;left:17281;top:764800;height:1165;width:2554;" filled="f" stroked="f" coordsize="21600,21600">
              <v:path/>
              <v:fill on="f" focussize="0,0"/>
              <v:stroke on="f"/>
              <v:imagedata o:title=""/>
              <o:lock v:ext="edit" aspectratio="f"/>
              <v:textbox>
                <w:txbxContent>
                  <w:p w14:paraId="00FE6E8B">
                    <w:pPr>
                      <w:jc w:val="center"/>
                      <w:rPr>
                        <w:rFonts w:hint="default"/>
                        <w:sz w:val="21"/>
                        <w:szCs w:val="21"/>
                        <w:lang w:val="en-US" w:eastAsia="zh-CN"/>
                      </w:rPr>
                    </w:pPr>
                    <w:r>
                      <w:rPr>
                        <w:rFonts w:hint="eastAsia"/>
                        <w:sz w:val="21"/>
                        <w:szCs w:val="21"/>
                        <w:lang w:val="en-US" w:eastAsia="zh-CN"/>
                      </w:rPr>
                      <w:t>初期雨水池100m</w:t>
                    </w:r>
                    <w:r>
                      <w:rPr>
                        <w:rFonts w:hint="eastAsia"/>
                        <w:sz w:val="21"/>
                        <w:szCs w:val="21"/>
                        <w:vertAlign w:val="superscript"/>
                        <w:lang w:val="en-US" w:eastAsia="zh-CN"/>
                      </w:rPr>
                      <w:t>3</w:t>
                    </w:r>
                  </w:p>
                </w:txbxContent>
              </v:textbox>
            </v:shape>
            <v:shape id="_x0000_s4312" o:spid="_x0000_s4312" o:spt="8" type="#_x0000_t8" style="position:absolute;left:12065;top:765575;height:378;width:451;" fillcolor="#FFFFFF" filled="t" stroked="t" coordsize="21600,21600" adj="5400">
              <v:path/>
              <v:fill on="t" color2="#FFFFFF" focussize="0,0"/>
              <v:stroke color="#000000" joinstyle="miter"/>
              <v:imagedata o:title=""/>
              <o:lock v:ext="edit" aspectratio="f"/>
            </v:shape>
            <v:rect id="_x0000_s4310" o:spid="_x0000_s4310" o:spt="1" style="position:absolute;left:12064;top:764466;height:1095;width:452;" filled="f" stroked="t" coordsize="21600,21600">
              <v:path/>
              <v:fill on="f" focussize="0,0"/>
              <v:stroke color="#000000" joinstyle="miter"/>
              <v:imagedata o:title=""/>
              <o:lock v:ext="edit" aspectratio="f"/>
            </v:rect>
            <v:shape id="_x0000_s4311" o:spid="_x0000_s4311" o:spt="202" type="#_x0000_t202" style="position:absolute;left:11893;top:764722;height:629;width:783;" filled="f" stroked="f" coordsize="21600,21600">
              <v:path/>
              <v:fill on="f" focussize="0,0"/>
              <v:stroke on="f"/>
              <v:imagedata o:title=""/>
              <o:lock v:ext="edit" aspectratio="f"/>
              <v:textbox>
                <w:txbxContent>
                  <w:p w14:paraId="4362FEB3">
                    <w:pPr>
                      <w:jc w:val="center"/>
                      <w:rPr>
                        <w:rFonts w:hint="default" w:eastAsia="宋体"/>
                        <w:sz w:val="15"/>
                        <w:szCs w:val="15"/>
                        <w:lang w:val="en-US" w:eastAsia="zh-CN"/>
                      </w:rPr>
                    </w:pPr>
                    <w:r>
                      <w:rPr>
                        <w:rFonts w:hint="eastAsia"/>
                        <w:sz w:val="15"/>
                        <w:szCs w:val="15"/>
                        <w:lang w:val="en-US" w:eastAsia="zh-CN"/>
                      </w:rPr>
                      <w:t>粉煤灰筒仓</w:t>
                    </w:r>
                  </w:p>
                </w:txbxContent>
              </v:textbox>
            </v:shape>
            <v:shape id="_x0000_s4313" o:spid="_x0000_s4313" o:spt="202" type="#_x0000_t202" style="position:absolute;left:11839;top:764172;height:498;width:941;" filled="f" stroked="f" coordsize="21600,21600">
              <v:path/>
              <v:fill on="f" focussize="0,0"/>
              <v:stroke on="f"/>
              <v:imagedata o:title=""/>
              <o:lock v:ext="edit" aspectratio="f"/>
              <v:textbox>
                <w:txbxContent>
                  <w:p w14:paraId="471C7E20">
                    <w:pPr>
                      <w:jc w:val="center"/>
                      <w:rPr>
                        <w:rFonts w:hint="default" w:eastAsia="宋体"/>
                        <w:sz w:val="15"/>
                        <w:szCs w:val="15"/>
                        <w:lang w:val="en-US" w:eastAsia="zh-CN"/>
                      </w:rPr>
                    </w:pPr>
                    <w:r>
                      <w:rPr>
                        <w:rFonts w:hint="eastAsia"/>
                        <w:sz w:val="15"/>
                        <w:szCs w:val="15"/>
                        <w:lang w:val="en-US" w:eastAsia="zh-CN"/>
                      </w:rPr>
                      <w:t>DA008</w:t>
                    </w:r>
                  </w:p>
                </w:txbxContent>
              </v:textbox>
            </v:shape>
            <v:shape id="_x0000_s4316" o:spid="_x0000_s4316" o:spt="8" type="#_x0000_t8" style="position:absolute;left:13325;top:765439;height:378;width:451;" fillcolor="#FFFFFF" filled="t" stroked="t" coordsize="21600,21600" adj="5400">
              <v:path/>
              <v:fill on="t" color2="#FFFFFF" focussize="0,0"/>
              <v:stroke color="#000000" joinstyle="miter"/>
              <v:imagedata o:title=""/>
              <o:lock v:ext="edit" aspectratio="f"/>
            </v:shape>
            <v:shape id="_x0000_s4315" o:spid="_x0000_s4315" o:spt="202" type="#_x0000_t202" style="position:absolute;left:13153;top:764574;height:629;width:783;" filled="f" stroked="f" coordsize="21600,21600">
              <v:path/>
              <v:fill on="f" focussize="0,0"/>
              <v:stroke on="f"/>
              <v:imagedata o:title=""/>
              <o:lock v:ext="edit" aspectratio="f"/>
              <v:textbox>
                <w:txbxContent>
                  <w:p w14:paraId="21C499EB">
                    <w:pPr>
                      <w:jc w:val="center"/>
                      <w:rPr>
                        <w:rFonts w:hint="eastAsia"/>
                        <w:sz w:val="15"/>
                        <w:szCs w:val="15"/>
                        <w:lang w:val="en-US" w:eastAsia="zh-CN"/>
                      </w:rPr>
                    </w:pPr>
                    <w:r>
                      <w:rPr>
                        <w:rFonts w:hint="eastAsia"/>
                        <w:sz w:val="15"/>
                        <w:szCs w:val="15"/>
                        <w:lang w:val="en-US" w:eastAsia="zh-CN"/>
                      </w:rPr>
                      <w:t>矿粉</w:t>
                    </w:r>
                  </w:p>
                  <w:p w14:paraId="34C163FE">
                    <w:pPr>
                      <w:jc w:val="center"/>
                      <w:rPr>
                        <w:rFonts w:hint="default" w:eastAsia="宋体"/>
                        <w:sz w:val="15"/>
                        <w:szCs w:val="15"/>
                        <w:lang w:val="en-US" w:eastAsia="zh-CN"/>
                      </w:rPr>
                    </w:pPr>
                    <w:r>
                      <w:rPr>
                        <w:rFonts w:hint="eastAsia"/>
                        <w:sz w:val="15"/>
                        <w:szCs w:val="15"/>
                        <w:lang w:val="en-US" w:eastAsia="zh-CN"/>
                      </w:rPr>
                      <w:t>筒仓</w:t>
                    </w:r>
                  </w:p>
                </w:txbxContent>
              </v:textbox>
            </v:shape>
            <v:shape id="_x0000_s4314" o:spid="_x0000_s4314" o:spt="202" type="#_x0000_t202" style="position:absolute;left:13080;top:764023;height:498;width:941;" filled="f" stroked="f" coordsize="21600,21600">
              <v:path/>
              <v:fill on="f" focussize="0,0"/>
              <v:stroke on="f"/>
              <v:imagedata o:title=""/>
              <o:lock v:ext="edit" aspectratio="f"/>
              <v:textbox>
                <w:txbxContent>
                  <w:p w14:paraId="1EA5F04C">
                    <w:pPr>
                      <w:jc w:val="center"/>
                      <w:rPr>
                        <w:rFonts w:hint="default" w:eastAsia="宋体"/>
                        <w:sz w:val="15"/>
                        <w:szCs w:val="15"/>
                        <w:lang w:val="en-US" w:eastAsia="zh-CN"/>
                      </w:rPr>
                    </w:pPr>
                    <w:r>
                      <w:rPr>
                        <w:rFonts w:hint="eastAsia"/>
                        <w:sz w:val="15"/>
                        <w:szCs w:val="15"/>
                        <w:lang w:val="en-US" w:eastAsia="zh-CN"/>
                      </w:rPr>
                      <w:t>DA009</w:t>
                    </w:r>
                  </w:p>
                </w:txbxContent>
              </v:textbox>
            </v:shape>
            <v:rect id="_x0000_s4317" o:spid="_x0000_s4317" o:spt="1" style="position:absolute;left:13319;top:764343;height:1095;width:452;" filled="f" stroked="t" coordsize="21600,21600">
              <v:path/>
              <v:fill on="f" focussize="0,0"/>
              <v:stroke color="#000000" joinstyle="miter"/>
              <v:imagedata o:title=""/>
              <o:lock v:ext="edit" aspectratio="f"/>
            </v:rect>
            <v:rect id="_x0000_s4362" o:spid="_x0000_s4362" o:spt="1" style="position:absolute;left:10562;top:764266;height:158;width:1855;" filled="f" stroked="t" coordsize="21600,21600">
              <v:path/>
              <v:fill on="f" focussize="0,0"/>
              <v:stroke color="#000000" joinstyle="miter"/>
              <v:imagedata o:title=""/>
              <o:lock v:ext="edit" aspectratio="f"/>
            </v:rect>
            <v:shape id="_x0000_s4363" o:spid="_x0000_s4363" o:spt="202" type="#_x0000_t202" style="position:absolute;left:10582;top:764151;height:629;width:1401;" filled="f" stroked="f" coordsize="21600,21600">
              <v:path/>
              <v:fill on="f" focussize="0,0"/>
              <v:stroke on="f"/>
              <v:imagedata o:title=""/>
              <o:lock v:ext="edit" aspectratio="f"/>
              <v:textbox>
                <w:txbxContent>
                  <w:p w14:paraId="1D4BEEDF">
                    <w:pPr>
                      <w:jc w:val="center"/>
                      <w:rPr>
                        <w:rFonts w:hint="default" w:eastAsia="宋体"/>
                        <w:sz w:val="21"/>
                        <w:szCs w:val="21"/>
                        <w:lang w:val="en-US" w:eastAsia="zh-CN"/>
                      </w:rPr>
                    </w:pPr>
                    <w:r>
                      <w:rPr>
                        <w:rFonts w:hint="eastAsia"/>
                        <w:sz w:val="21"/>
                        <w:szCs w:val="21"/>
                        <w:lang w:val="en-US" w:eastAsia="zh-CN"/>
                      </w:rPr>
                      <w:t>封闭式皮带</w:t>
                    </w:r>
                  </w:p>
                </w:txbxContent>
              </v:textbox>
            </v:shape>
          </v:group>
        </w:pict>
      </w:r>
    </w:p>
    <w:p w14:paraId="7E4D0439">
      <w:pPr>
        <w:rPr>
          <w:color w:val="auto"/>
        </w:rPr>
      </w:pPr>
    </w:p>
    <w:p w14:paraId="497A0A24">
      <w:pPr>
        <w:rPr>
          <w:color w:val="auto"/>
        </w:rPr>
      </w:pPr>
    </w:p>
    <w:p w14:paraId="6456EA50">
      <w:pPr>
        <w:rPr>
          <w:color w:val="auto"/>
        </w:rPr>
      </w:pPr>
    </w:p>
    <w:p w14:paraId="1130BF75">
      <w:pPr>
        <w:rPr>
          <w:color w:val="auto"/>
        </w:rPr>
      </w:pPr>
    </w:p>
    <w:p w14:paraId="2EB728E0">
      <w:pPr>
        <w:rPr>
          <w:color w:val="auto"/>
        </w:rPr>
      </w:pPr>
    </w:p>
    <w:p w14:paraId="4506D9F6">
      <w:pPr>
        <w:rPr>
          <w:color w:val="auto"/>
        </w:rPr>
      </w:pPr>
    </w:p>
    <w:p w14:paraId="4E851E12">
      <w:pPr>
        <w:rPr>
          <w:color w:val="auto"/>
        </w:rPr>
      </w:pPr>
    </w:p>
    <w:p w14:paraId="7EB4C74A">
      <w:pPr>
        <w:jc w:val="center"/>
        <w:rPr>
          <w:color w:val="auto"/>
        </w:rPr>
      </w:pPr>
    </w:p>
    <w:p w14:paraId="2F97A8AD">
      <w:pPr>
        <w:jc w:val="cente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14:paraId="0A140154">
      <w:pPr>
        <w:jc w:val="center"/>
        <w:rPr>
          <w:color w:val="auto"/>
        </w:rPr>
      </w:pPr>
    </w:p>
    <w:p w14:paraId="09852F94">
      <w:pPr>
        <w:jc w:val="center"/>
      </w:pPr>
      <w:r>
        <w:rPr>
          <w:sz w:val="21"/>
        </w:rPr>
        <w:pict>
          <v:rect id="_x0000_s2229" o:spid="_x0000_s2229" o:spt="1" style="position:absolute;left:0pt;margin-left:144.2pt;margin-top:255.85pt;height:2.85pt;width:2.85pt;z-index:251706368;mso-width-relative:page;mso-height-relative:page;" filled="f" stroked="t" coordsize="21600,21600">
            <v:path/>
            <v:fill on="f" focussize="0,0"/>
            <v:stroke color="#FF0000" joinstyle="miter"/>
            <v:imagedata o:title=""/>
            <o:lock v:ext="edit" aspectratio="f"/>
          </v:rect>
        </w:pict>
      </w:r>
      <w:r>
        <w:rPr>
          <w:sz w:val="21"/>
        </w:rPr>
        <w:pict>
          <v:shape id="_x0000_s2228" o:spid="_x0000_s2228" o:spt="61" type="#_x0000_t61" style="position:absolute;left:0pt;margin-left:-0.25pt;margin-top:201.75pt;height:24.55pt;width:57.95pt;z-index:251705344;mso-width-relative:page;mso-height-relative:page;" fillcolor="#FFFFFF" filled="t" stroked="t" coordsize="21600,21600" adj="53692,48083">
            <v:path/>
            <v:fill on="t" color2="#FFFFFF" focussize="0,0"/>
            <v:stroke color="#000000" joinstyle="miter"/>
            <v:imagedata o:title=""/>
            <o:lock v:ext="edit" aspectratio="f"/>
            <v:textbox>
              <w:txbxContent>
                <w:p w14:paraId="3CE8911A">
                  <w:pPr>
                    <w:rPr>
                      <w:rFonts w:hint="default" w:eastAsia="宋体"/>
                      <w:lang w:val="en-US" w:eastAsia="zh-CN"/>
                    </w:rPr>
                  </w:pPr>
                  <w:r>
                    <w:rPr>
                      <w:rFonts w:hint="eastAsia"/>
                      <w:lang w:val="en-US" w:eastAsia="zh-CN"/>
                    </w:rPr>
                    <w:t>项目位置</w:t>
                  </w:r>
                </w:p>
              </w:txbxContent>
            </v:textbox>
          </v:shape>
        </w:pict>
      </w:r>
      <w:r>
        <w:drawing>
          <wp:anchor distT="0" distB="0" distL="114300" distR="114300" simplePos="0" relativeHeight="251696128" behindDoc="1" locked="0" layoutInCell="1" allowOverlap="1">
            <wp:simplePos x="0" y="0"/>
            <wp:positionH relativeFrom="column">
              <wp:posOffset>203200</wp:posOffset>
            </wp:positionH>
            <wp:positionV relativeFrom="paragraph">
              <wp:posOffset>62230</wp:posOffset>
            </wp:positionV>
            <wp:extent cx="5272405" cy="6911975"/>
            <wp:effectExtent l="0" t="0" r="4445" b="3175"/>
            <wp:wrapNone/>
            <wp:docPr id="1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5"/>
                    <pic:cNvPicPr>
                      <a:picLocks noChangeAspect="1"/>
                    </pic:cNvPicPr>
                  </pic:nvPicPr>
                  <pic:blipFill>
                    <a:blip r:embed="rId47"/>
                    <a:stretch>
                      <a:fillRect/>
                    </a:stretch>
                  </pic:blipFill>
                  <pic:spPr>
                    <a:xfrm>
                      <a:off x="0" y="0"/>
                      <a:ext cx="5272405" cy="6911975"/>
                    </a:xfrm>
                    <a:prstGeom prst="rect">
                      <a:avLst/>
                    </a:prstGeom>
                    <a:noFill/>
                    <a:ln>
                      <a:noFill/>
                    </a:ln>
                  </pic:spPr>
                </pic:pic>
              </a:graphicData>
            </a:graphic>
          </wp:anchor>
        </w:drawing>
      </w:r>
      <w:r>
        <w:rPr>
          <w:sz w:val="21"/>
        </w:rPr>
        <w:pict>
          <v:shape id="_x0000_s2132" o:spid="_x0000_s2132" o:spt="202" type="#_x0000_t202" style="position:absolute;left:0pt;margin-left:54.15pt;margin-top:602.35pt;height:36.75pt;width:341.95pt;z-index:251703296;mso-width-relative:page;mso-height-relative:page;" filled="f" stroked="f" coordsize="21600,21600">
            <v:path/>
            <v:fill on="f" focussize="0,0"/>
            <v:stroke on="f"/>
            <v:imagedata o:title=""/>
            <o:lock v:ext="edit" aspectratio="f"/>
            <v:textbox>
              <w:txbxContent>
                <w:p w14:paraId="52B5C522">
                  <w:pPr>
                    <w:jc w:val="center"/>
                    <w:rPr>
                      <w:b/>
                      <w:sz w:val="24"/>
                      <w:szCs w:val="24"/>
                    </w:rPr>
                  </w:pPr>
                  <w:r>
                    <w:rPr>
                      <w:b/>
                      <w:sz w:val="24"/>
                      <w:szCs w:val="24"/>
                    </w:rPr>
                    <w:t>附图</w:t>
                  </w:r>
                  <w:r>
                    <w:rPr>
                      <w:rFonts w:hint="eastAsia"/>
                      <w:b/>
                      <w:sz w:val="24"/>
                      <w:szCs w:val="24"/>
                    </w:rPr>
                    <w:t xml:space="preserve">3    </w:t>
                  </w:r>
                  <w:r>
                    <w:rPr>
                      <w:rFonts w:hint="eastAsia"/>
                      <w:b/>
                      <w:sz w:val="24"/>
                      <w:szCs w:val="24"/>
                      <w:lang w:eastAsia="zh-CN"/>
                    </w:rPr>
                    <w:t>天镇县</w:t>
                  </w:r>
                  <w:r>
                    <w:rPr>
                      <w:rFonts w:hint="eastAsia"/>
                      <w:b/>
                      <w:sz w:val="24"/>
                      <w:szCs w:val="24"/>
                    </w:rPr>
                    <w:t>国土空间总体规划图</w:t>
                  </w:r>
                  <w:r>
                    <w:rPr>
                      <w:rFonts w:hint="eastAsia"/>
                      <w:b/>
                      <w:bCs/>
                      <w:sz w:val="24"/>
                      <w:szCs w:val="24"/>
                      <w:lang w:val="en-US" w:eastAsia="zh-CN"/>
                    </w:rPr>
                    <w:t>（2021-2035年）</w:t>
                  </w:r>
                </w:p>
              </w:txbxContent>
            </v:textbox>
          </v:shape>
        </w:pict>
      </w:r>
    </w:p>
    <w:p w14:paraId="2AE26ADC">
      <w:pPr>
        <w:jc w:val="center"/>
        <w:sectPr>
          <w:pgSz w:w="11906" w:h="16838"/>
          <w:pgMar w:top="1701" w:right="1531" w:bottom="1701" w:left="1531" w:header="851" w:footer="850" w:gutter="0"/>
          <w:pgBorders>
            <w:top w:val="none" w:sz="0" w:space="0"/>
            <w:left w:val="none" w:sz="0" w:space="0"/>
            <w:bottom w:val="none" w:sz="0" w:space="0"/>
            <w:right w:val="none" w:sz="0" w:space="0"/>
          </w:pgBorders>
          <w:pgNumType w:fmt="decimal"/>
          <w:cols w:space="0" w:num="1"/>
          <w:rtlGutter w:val="0"/>
          <w:docGrid w:linePitch="312" w:charSpace="0"/>
        </w:sectPr>
      </w:pPr>
    </w:p>
    <w:p w14:paraId="246C4D8F">
      <w:pPr>
        <w:rPr>
          <w:color w:val="auto"/>
        </w:rPr>
      </w:pPr>
      <w:r>
        <w:rPr>
          <w:sz w:val="21"/>
        </w:rPr>
        <w:pict>
          <v:group id="_x0000_s4307" o:spid="_x0000_s4307" o:spt="203" style="position:absolute;left:0pt;margin-left:22pt;margin-top:1.8pt;height:444.1pt;width:602.7pt;z-index:251701248;mso-width-relative:page;mso-height-relative:page;" coordorigin="4542,1315027" coordsize="12054,8882">
            <o:lock v:ext="edit" aspectratio="f"/>
            <v:shape id="_x0000_s2232" o:spid="_x0000_s2232" o:spt="75" type="#_x0000_t75" style="position:absolute;left:4542;top:1315079;height:8831;width:12055;" filled="f" o:preferrelative="t" stroked="f" coordsize="21600,21600">
              <v:path/>
              <v:fill on="f" focussize="0,0"/>
              <v:stroke on="f"/>
              <v:imagedata r:id="rId48" o:title=""/>
              <o:lock v:ext="edit" aspectratio="t"/>
            </v:shape>
            <v:shape id="_x0000_s2231" o:spid="_x0000_s2231" o:spt="202" type="#_x0000_t202" style="position:absolute;left:6071;top:1315027;height:790;width:1325;" filled="f" stroked="f" coordsize="21600,21600">
              <v:path/>
              <v:fill on="f" focussize="0,0"/>
              <v:stroke on="f"/>
              <v:imagedata o:title=""/>
              <o:lock v:ext="edit" aspectratio="f"/>
              <v:textbox>
                <w:txbxContent>
                  <w:p w14:paraId="3111C610">
                    <w:pPr>
                      <w:rPr>
                        <w:b/>
                        <w:sz w:val="36"/>
                        <w:szCs w:val="36"/>
                      </w:rPr>
                    </w:pPr>
                    <w:r>
                      <w:rPr>
                        <w:b/>
                        <w:sz w:val="36"/>
                        <w:szCs w:val="36"/>
                      </w:rPr>
                      <w:t>附图</w:t>
                    </w:r>
                    <w:r>
                      <w:rPr>
                        <w:rFonts w:hint="eastAsia"/>
                        <w:b/>
                        <w:sz w:val="36"/>
                        <w:szCs w:val="36"/>
                      </w:rPr>
                      <w:t>4</w:t>
                    </w:r>
                  </w:p>
                </w:txbxContent>
              </v:textbox>
            </v:shape>
            <v:rect id="_x0000_s2234" o:spid="_x0000_s2234" o:spt="1" style="position:absolute;left:11428;top:1317544;height:28;width:28;" filled="f" stroked="t" coordsize="21600,21600">
              <v:path/>
              <v:fill on="f" focussize="0,0"/>
              <v:stroke color="#FF0000" joinstyle="miter"/>
              <v:imagedata o:title=""/>
              <o:lock v:ext="edit" aspectratio="f"/>
            </v:rect>
            <v:shape id="_x0000_s2235" o:spid="_x0000_s2235" o:spt="61" type="#_x0000_t61" style="position:absolute;left:9548;top:1315603;height:416;width:1339;" fillcolor="#FFFFFF" filled="t" stroked="t" coordsize="21600,21600" adj="30472,100160">
              <v:path/>
              <v:fill on="t" color2="#FFFFFF" focussize="0,0"/>
              <v:stroke color="#000000" joinstyle="miter"/>
              <v:imagedata o:title=""/>
              <o:lock v:ext="edit" aspectratio="f"/>
              <v:textbox>
                <w:txbxContent>
                  <w:p w14:paraId="269B4FEF">
                    <w:pPr>
                      <w:jc w:val="center"/>
                    </w:pPr>
                    <w:r>
                      <w:t>项目位置</w:t>
                    </w:r>
                  </w:p>
                </w:txbxContent>
              </v:textbox>
            </v:shape>
          </v:group>
        </w:pict>
      </w:r>
    </w:p>
    <w:p w14:paraId="52D92320">
      <w:pPr>
        <w:rPr>
          <w:color w:val="auto"/>
        </w:rPr>
      </w:pPr>
    </w:p>
    <w:p w14:paraId="089E34D8">
      <w:pPr>
        <w:rPr>
          <w:color w:val="auto"/>
        </w:rPr>
      </w:pPr>
    </w:p>
    <w:p w14:paraId="768117B9">
      <w:pPr>
        <w:rPr>
          <w:color w:val="auto"/>
        </w:rPr>
      </w:pPr>
    </w:p>
    <w:p w14:paraId="32DB8DF8">
      <w:pPr>
        <w:rPr>
          <w:color w:val="auto"/>
        </w:rPr>
      </w:pPr>
    </w:p>
    <w:p w14:paraId="237A0E0C">
      <w:pPr>
        <w:rPr>
          <w:color w:val="auto"/>
        </w:rPr>
      </w:pPr>
    </w:p>
    <w:p w14:paraId="4DC28EE7">
      <w:pPr>
        <w:rPr>
          <w:color w:val="auto"/>
        </w:rPr>
      </w:pPr>
    </w:p>
    <w:p w14:paraId="444B7E3C">
      <w:pPr>
        <w:rPr>
          <w:color w:val="auto"/>
        </w:rPr>
      </w:pPr>
    </w:p>
    <w:p w14:paraId="0BAA4D18">
      <w:pPr>
        <w:rPr>
          <w:color w:val="auto"/>
        </w:rPr>
      </w:pPr>
    </w:p>
    <w:p w14:paraId="03DE761A">
      <w:pPr>
        <w:rPr>
          <w:color w:val="auto"/>
        </w:rPr>
      </w:pPr>
    </w:p>
    <w:p w14:paraId="28565C02">
      <w:pPr>
        <w:rPr>
          <w:color w:val="auto"/>
        </w:rPr>
      </w:pPr>
    </w:p>
    <w:p w14:paraId="7618D55A">
      <w:pPr>
        <w:rPr>
          <w:color w:val="auto"/>
        </w:rPr>
      </w:pPr>
    </w:p>
    <w:p w14:paraId="62FEB5F7">
      <w:pPr>
        <w:rPr>
          <w:color w:val="auto"/>
        </w:rPr>
      </w:pPr>
    </w:p>
    <w:p w14:paraId="17E55F22">
      <w:pPr>
        <w:rPr>
          <w:color w:val="auto"/>
        </w:rPr>
      </w:pPr>
    </w:p>
    <w:p w14:paraId="53C907AE">
      <w:pPr>
        <w:rPr>
          <w:color w:val="auto"/>
        </w:rPr>
      </w:pPr>
    </w:p>
    <w:p w14:paraId="4D774173">
      <w:pPr>
        <w:rPr>
          <w:color w:val="auto"/>
        </w:rPr>
      </w:pPr>
    </w:p>
    <w:p w14:paraId="12ADD6C2">
      <w:pPr>
        <w:rPr>
          <w:color w:val="auto"/>
        </w:rPr>
      </w:pPr>
    </w:p>
    <w:p w14:paraId="60FE9D5C">
      <w:pPr>
        <w:rPr>
          <w:color w:val="auto"/>
        </w:rPr>
      </w:pPr>
    </w:p>
    <w:p w14:paraId="61D6D773">
      <w:pPr>
        <w:rPr>
          <w:color w:val="auto"/>
        </w:rPr>
      </w:pPr>
    </w:p>
    <w:p w14:paraId="57987A79">
      <w:pPr>
        <w:rPr>
          <w:color w:val="auto"/>
        </w:rPr>
      </w:pPr>
    </w:p>
    <w:p w14:paraId="4A5DD84E">
      <w:pPr>
        <w:rPr>
          <w:color w:val="auto"/>
        </w:rPr>
      </w:pPr>
    </w:p>
    <w:p w14:paraId="31CD0665">
      <w:pPr>
        <w:rPr>
          <w:color w:val="auto"/>
        </w:rPr>
      </w:pPr>
    </w:p>
    <w:p w14:paraId="6DD9B26C">
      <w:pPr>
        <w:rPr>
          <w:color w:val="auto"/>
        </w:rPr>
      </w:pPr>
    </w:p>
    <w:p w14:paraId="3EF3C934">
      <w:pPr>
        <w:rPr>
          <w:color w:val="auto"/>
        </w:rPr>
      </w:pPr>
    </w:p>
    <w:p w14:paraId="62DE27E1">
      <w:pPr>
        <w:rPr>
          <w:color w:val="auto"/>
        </w:rPr>
      </w:pPr>
    </w:p>
    <w:p w14:paraId="57E2D953">
      <w:pPr>
        <w:rPr>
          <w:color w:val="auto"/>
        </w:rPr>
      </w:pPr>
    </w:p>
    <w:p w14:paraId="65D81119">
      <w:pPr>
        <w:rPr>
          <w:color w:val="auto"/>
        </w:rPr>
      </w:pPr>
    </w:p>
    <w:p w14:paraId="0320B1AE">
      <w:pPr>
        <w:rPr>
          <w:color w:val="auto"/>
        </w:rPr>
      </w:pPr>
    </w:p>
    <w:p w14:paraId="552E4049">
      <w:pPr>
        <w:rPr>
          <w:color w:val="auto"/>
        </w:rPr>
      </w:pPr>
    </w:p>
    <w:p w14:paraId="64F9B520">
      <w:pPr>
        <w:rPr>
          <w:color w:val="auto"/>
        </w:rPr>
      </w:pPr>
    </w:p>
    <w:p w14:paraId="55344BE8">
      <w:pPr>
        <w:rPr>
          <w:color w:val="auto"/>
        </w:rPr>
      </w:pPr>
    </w:p>
    <w:p w14:paraId="33E7D4DC">
      <w:pPr>
        <w:rPr>
          <w:color w:val="auto"/>
        </w:rPr>
      </w:pPr>
    </w:p>
    <w:p w14:paraId="64BDF9F4">
      <w:pPr>
        <w:rPr>
          <w:color w:val="auto"/>
        </w:rPr>
      </w:pPr>
    </w:p>
    <w:p w14:paraId="141BB9A5">
      <w:pPr>
        <w:rPr>
          <w:color w:val="auto"/>
        </w:rPr>
      </w:pPr>
    </w:p>
    <w:p w14:paraId="070B7DF3">
      <w:pPr>
        <w:jc w:val="center"/>
        <w:rPr>
          <w:color w:val="auto"/>
        </w:rPr>
      </w:pPr>
    </w:p>
    <w:p w14:paraId="62F2AD3F">
      <w:pPr>
        <w:jc w:val="center"/>
        <w:rPr>
          <w:color w:val="auto"/>
        </w:rPr>
      </w:pPr>
    </w:p>
    <w:p w14:paraId="5E9C854E">
      <w:pPr>
        <w:jc w:val="center"/>
        <w:rPr>
          <w:color w:val="auto"/>
        </w:rPr>
      </w:pPr>
      <w:r>
        <w:rPr>
          <w:sz w:val="21"/>
        </w:rPr>
        <w:pict>
          <v:group id="_x0000_s4412" o:spid="_x0000_s4412" o:spt="203" style="position:absolute;left:0pt;margin-left:72.8pt;margin-top:24.45pt;height:452.15pt;width:630.55pt;z-index:251728896;mso-width-relative:page;mso-height-relative:page;" coordorigin="8590,801814" coordsize="12611,9043">
            <o:lock v:ext="edit" aspectratio="f"/>
            <v:shape id="_x0000_s2058" o:spid="_x0000_s2058" o:spt="202" type="#_x0000_t202" style="position:absolute;left:8993;top:810225;height:633;width:9868;" filled="f" stroked="f" coordsize="21600,21600">
              <v:path/>
              <v:fill on="f" focussize="0,0"/>
              <v:stroke on="f"/>
              <v:imagedata o:title=""/>
              <o:lock v:ext="edit" aspectratio="f"/>
              <v:textbox>
                <w:txbxContent>
                  <w:p w14:paraId="2B817555">
                    <w:pPr>
                      <w:jc w:val="center"/>
                      <w:rPr>
                        <w:rFonts w:hint="default" w:eastAsia="宋体"/>
                        <w:b/>
                        <w:bCs/>
                        <w:sz w:val="24"/>
                        <w:szCs w:val="24"/>
                        <w:lang w:val="en-US" w:eastAsia="zh-CN"/>
                      </w:rPr>
                    </w:pPr>
                    <w:r>
                      <w:rPr>
                        <w:rFonts w:hint="eastAsia"/>
                        <w:b/>
                        <w:bCs/>
                        <w:sz w:val="24"/>
                        <w:szCs w:val="24"/>
                        <w:lang w:val="en-US" w:eastAsia="zh-CN"/>
                      </w:rPr>
                      <w:t xml:space="preserve">附图5   </w:t>
                    </w:r>
                    <w:r>
                      <w:rPr>
                        <w:rFonts w:hint="eastAsia" w:ascii="Times New Roman" w:hAnsi="Times New Roman" w:eastAsia="宋体" w:cs="Times New Roman"/>
                        <w:b/>
                        <w:bCs/>
                        <w:sz w:val="24"/>
                        <w:szCs w:val="24"/>
                        <w:lang w:val="en-US" w:eastAsia="zh-CN"/>
                      </w:rPr>
                      <w:t xml:space="preserve"> </w:t>
                    </w:r>
                    <w:r>
                      <w:rPr>
                        <w:rFonts w:hint="eastAsia" w:cs="Times New Roman"/>
                        <w:b/>
                        <w:bCs/>
                        <w:sz w:val="24"/>
                        <w:szCs w:val="24"/>
                        <w:lang w:val="en-US" w:eastAsia="zh-CN"/>
                      </w:rPr>
                      <w:t>项目防渗分区示意图（1:500）</w:t>
                    </w:r>
                  </w:p>
                </w:txbxContent>
              </v:textbox>
            </v:shape>
            <v:rect id="_x0000_s2206" o:spid="_x0000_s2206" o:spt="1" style="position:absolute;left:19122;top:809079;height:195;width:338;" fillcolor="#C3D69B" filled="t" stroked="t" coordsize="21600,21600">
              <v:path/>
              <v:fill on="t" color2="#FFFFFF" focussize="0,0"/>
              <v:stroke color="#000000" joinstyle="miter"/>
              <v:imagedata o:title=""/>
              <o:lock v:ext="edit" aspectratio="f"/>
            </v:rect>
            <v:shape id="_x0000_s2207" o:spid="_x0000_s2207" o:spt="202" type="#_x0000_t202" style="position:absolute;left:19589;top:808970;height:499;width:1613;" filled="f" stroked="f" coordsize="21600,21600">
              <v:path/>
              <v:fill on="f" focussize="0,0"/>
              <v:stroke on="f"/>
              <v:imagedata o:title=""/>
              <o:lock v:ext="edit" aspectratio="f"/>
              <v:textbox>
                <w:txbxContent>
                  <w:p w14:paraId="43833F87">
                    <w:pPr>
                      <w:jc w:val="center"/>
                      <w:rPr>
                        <w:rFonts w:hint="default" w:eastAsia="宋体"/>
                        <w:lang w:val="en-US" w:eastAsia="zh-CN"/>
                      </w:rPr>
                    </w:pPr>
                    <w:r>
                      <w:rPr>
                        <w:rFonts w:hint="eastAsia"/>
                        <w:lang w:val="en-US" w:eastAsia="zh-CN"/>
                      </w:rPr>
                      <w:t>一般防渗区</w:t>
                    </w:r>
                  </w:p>
                </w:txbxContent>
              </v:textbox>
            </v:shape>
            <v:rect id="_x0000_s2209" o:spid="_x0000_s2209" o:spt="1" style="position:absolute;left:19122;top:809563;height:195;width:338;" fillcolor="#984807" filled="t" stroked="t" coordsize="21600,21600">
              <v:path/>
              <v:fill on="t" color2="#FFFFFF" opacity="32768f" focussize="0,0"/>
              <v:stroke color="#000000" joinstyle="miter"/>
              <v:imagedata o:title=""/>
              <o:lock v:ext="edit" aspectratio="f"/>
            </v:rect>
            <v:shape id="_x0000_s2208" o:spid="_x0000_s2208" o:spt="202" type="#_x0000_t202" style="position:absolute;left:19589;top:809454;height:499;width:1613;" filled="f" stroked="f" coordsize="21600,21600">
              <v:path/>
              <v:fill on="f" focussize="0,0"/>
              <v:stroke on="f"/>
              <v:imagedata o:title=""/>
              <o:lock v:ext="edit" aspectratio="f"/>
              <v:textbox>
                <w:txbxContent>
                  <w:p w14:paraId="34F20A79">
                    <w:pPr>
                      <w:jc w:val="center"/>
                      <w:rPr>
                        <w:rFonts w:hint="default" w:eastAsia="宋体"/>
                        <w:lang w:val="en-US" w:eastAsia="zh-CN"/>
                      </w:rPr>
                    </w:pPr>
                    <w:r>
                      <w:rPr>
                        <w:rFonts w:hint="eastAsia"/>
                        <w:lang w:val="en-US" w:eastAsia="zh-CN"/>
                      </w:rPr>
                      <w:t>重点防渗区</w:t>
                    </w:r>
                  </w:p>
                </w:txbxContent>
              </v:textbox>
            </v:shape>
            <v:rect id="_x0000_s2211" o:spid="_x0000_s2211" o:spt="1" style="position:absolute;left:19122;top:808627;height:195;width:338;" fillcolor="#B7DEE8" filled="t" stroked="t" coordsize="21600,21600">
              <v:path/>
              <v:fill on="t" color2="#FFFFFF" opacity="13107f" focussize="0,0"/>
              <v:stroke color="#000000" joinstyle="miter"/>
              <v:imagedata o:title=""/>
              <o:lock v:ext="edit" aspectratio="f"/>
            </v:rect>
            <v:shape id="_x0000_s2210" o:spid="_x0000_s2210" o:spt="202" type="#_x0000_t202" style="position:absolute;left:19589;top:808518;height:499;width:1613;" filled="f" stroked="f" coordsize="21600,21600">
              <v:path/>
              <v:fill on="f" focussize="0,0"/>
              <v:stroke on="f"/>
              <v:imagedata o:title=""/>
              <o:lock v:ext="edit" aspectratio="f"/>
              <v:textbox>
                <w:txbxContent>
                  <w:p w14:paraId="0A4B4258">
                    <w:pPr>
                      <w:jc w:val="center"/>
                      <w:rPr>
                        <w:rFonts w:hint="default" w:eastAsia="宋体"/>
                        <w:lang w:val="en-US" w:eastAsia="zh-CN"/>
                      </w:rPr>
                    </w:pPr>
                    <w:r>
                      <w:rPr>
                        <w:rFonts w:hint="eastAsia"/>
                        <w:lang w:val="en-US" w:eastAsia="zh-CN"/>
                      </w:rPr>
                      <w:t>简单防渗区</w:t>
                    </w:r>
                  </w:p>
                </w:txbxContent>
              </v:textbox>
            </v:shape>
            <v:shape id="_x0000_s4366" o:spid="_x0000_s4366" o:spt="202" type="#_x0000_t202" style="position:absolute;left:10870;top:803814;height:3041;width:3024;" filled="f" stroked="t" coordsize="21600,21600">
              <v:path/>
              <v:fill on="f" focussize="0,0"/>
              <v:stroke color="#000000" joinstyle="miter"/>
              <v:imagedata o:title=""/>
              <o:lock v:ext="edit" aspectratio="f"/>
              <v:textbox>
                <w:txbxContent>
                  <w:p w14:paraId="2686E6C7"/>
                </w:txbxContent>
              </v:textbox>
            </v:shape>
            <v:line id="_x0000_s4367" o:spid="_x0000_s4367" o:spt="20" style="position:absolute;left:10733;top:802150;flip:y;height:13;width:6413;" filled="f" stroked="t" coordsize="21600,21600">
              <v:path arrowok="t"/>
              <v:fill on="f" focussize="0,0"/>
              <v:stroke color="#000000"/>
              <v:imagedata o:title=""/>
              <o:lock v:ext="edit" aspectratio="f"/>
            </v:line>
            <v:shape id="_x0000_s4368" o:spid="_x0000_s4368" o:spt="202" type="#_x0000_t202" style="position:absolute;left:14697;top:806967;height:500;width:1158;" filled="f" stroked="f" coordsize="21600,21600">
              <v:path/>
              <v:fill on="f" focussize="0,0"/>
              <v:stroke on="f"/>
              <v:imagedata o:title=""/>
              <o:lock v:ext="edit" aspectratio="f"/>
              <v:textbox>
                <w:txbxContent>
                  <w:p w14:paraId="2AF7EA70">
                    <w:pPr>
                      <w:jc w:val="center"/>
                      <w:rPr>
                        <w:rFonts w:hint="default" w:eastAsia="宋体"/>
                        <w:lang w:val="en-US" w:eastAsia="zh-CN"/>
                      </w:rPr>
                    </w:pPr>
                    <w:r>
                      <w:rPr>
                        <w:rFonts w:hint="eastAsia"/>
                        <w:lang w:val="en-US" w:eastAsia="zh-CN"/>
                      </w:rPr>
                      <w:t>厂区大门</w:t>
                    </w:r>
                  </w:p>
                </w:txbxContent>
              </v:textbox>
            </v:shape>
            <v:shape id="_x0000_s4369" o:spid="_x0000_s4369" o:spt="202" type="#_x0000_t202" style="position:absolute;left:13807;top:802402;height:504;width:1258;" fillcolor="#FFFFFF" filled="t" stroked="t" coordsize="21600,21600">
              <v:path/>
              <v:fill on="t" color2="#FFFFFF" focussize="0,0"/>
              <v:stroke color="#00B050" joinstyle="miter"/>
              <v:imagedata o:title=""/>
              <o:lock v:ext="edit" aspectratio="f"/>
              <v:textbox>
                <w:txbxContent>
                  <w:p w14:paraId="4DEF9269"/>
                </w:txbxContent>
              </v:textbox>
            </v:shape>
            <v:line id="_x0000_s4370" o:spid="_x0000_s4370" o:spt="20" style="position:absolute;left:10705;top:808167;flip:y;height:15;width:4362;" filled="f" stroked="t" coordsize="21600,21600">
              <v:path arrowok="t"/>
              <v:fill on="f" focussize="0,0"/>
              <v:stroke color="#000000"/>
              <v:imagedata o:title=""/>
              <o:lock v:ext="edit" aspectratio="f"/>
            </v:line>
            <v:line id="_x0000_s4371" o:spid="_x0000_s4371" o:spt="20" style="position:absolute;left:17128;top:802173;height:1081;width:13;" filled="f" stroked="t" coordsize="21600,21600">
              <v:path arrowok="t"/>
              <v:fill on="f" focussize="0,0"/>
              <v:stroke color="#000000"/>
              <v:imagedata o:title=""/>
              <o:lock v:ext="edit" aspectratio="f"/>
            </v:line>
            <v:line id="_x0000_s4372" o:spid="_x0000_s4372" o:spt="20" style="position:absolute;left:15081;top:803256;flip:x;height:3712;width:5;" filled="f" stroked="t" coordsize="21600,21600">
              <v:path arrowok="t"/>
              <v:fill on="f" focussize="0,0"/>
              <v:stroke color="#000000"/>
              <v:imagedata o:title=""/>
              <o:lock v:ext="edit" aspectratio="f"/>
            </v:line>
            <v:shape id="_x0000_s4373" o:spid="_x0000_s4373" o:spt="202" type="#_x0000_t202" style="position:absolute;left:15117;top:802457;height:202;width:169;" fillcolor="#FFFFFF" filled="t" stroked="t" coordsize="21600,21600">
              <v:path/>
              <v:fill on="t" color2="#FFFFFF" focussize="0,0"/>
              <v:stroke color="#00B050" joinstyle="miter"/>
              <v:imagedata o:title=""/>
              <o:lock v:ext="edit" aspectratio="f"/>
              <v:textbox>
                <w:txbxContent>
                  <w:p w14:paraId="70E2D44F"/>
                </w:txbxContent>
              </v:textbox>
            </v:shape>
            <v:shape id="_x0000_s4374" o:spid="_x0000_s4374" o:spt="202" type="#_x0000_t202" style="position:absolute;left:14005;top:802516;height:500;width:1158;" filled="f" stroked="f" coordsize="21600,21600">
              <v:path/>
              <v:fill on="f" focussize="0,0"/>
              <v:stroke on="f"/>
              <v:imagedata o:title=""/>
              <o:lock v:ext="edit" aspectratio="f"/>
              <v:textbox>
                <w:txbxContent>
                  <w:p w14:paraId="7C7EAE53">
                    <w:pPr>
                      <w:jc w:val="center"/>
                      <w:rPr>
                        <w:rFonts w:hint="default" w:eastAsia="宋体"/>
                        <w:lang w:val="en-US" w:eastAsia="zh-CN"/>
                      </w:rPr>
                    </w:pPr>
                    <w:r>
                      <w:rPr>
                        <w:rFonts w:hint="eastAsia"/>
                        <w:lang w:val="en-US" w:eastAsia="zh-CN"/>
                      </w:rPr>
                      <w:t>办公楼</w:t>
                    </w:r>
                  </w:p>
                </w:txbxContent>
              </v:textbox>
            </v:shape>
            <v:shape id="_x0000_s4375" o:spid="_x0000_s4375" o:spt="202" type="#_x0000_t202" style="position:absolute;left:14845;top:802136;height:658;width:1158;" filled="f" stroked="f" coordsize="21600,21600">
              <v:path/>
              <v:fill on="f" focussize="0,0"/>
              <v:stroke on="f"/>
              <v:imagedata o:title=""/>
              <o:lock v:ext="edit" aspectratio="f"/>
              <v:textbox>
                <w:txbxContent>
                  <w:p w14:paraId="42BD4EB7">
                    <w:pPr>
                      <w:keepNext w:val="0"/>
                      <w:keepLines w:val="0"/>
                      <w:pageBreakBefore w:val="0"/>
                      <w:widowControl w:val="0"/>
                      <w:kinsoku/>
                      <w:wordWrap/>
                      <w:overflowPunct/>
                      <w:topLinePunct w:val="0"/>
                      <w:bidi w:val="0"/>
                      <w:adjustRightInd/>
                      <w:snapToGrid/>
                      <w:spacing w:line="240" w:lineRule="exact"/>
                      <w:jc w:val="center"/>
                      <w:textAlignment w:val="auto"/>
                      <w:rPr>
                        <w:rFonts w:hint="default" w:eastAsia="宋体"/>
                        <w:sz w:val="15"/>
                        <w:szCs w:val="15"/>
                        <w:lang w:val="en-US" w:eastAsia="zh-CN"/>
                      </w:rPr>
                    </w:pPr>
                    <w:r>
                      <w:rPr>
                        <w:rFonts w:hint="eastAsia"/>
                        <w:sz w:val="15"/>
                        <w:szCs w:val="15"/>
                        <w:lang w:val="en-US" w:eastAsia="zh-CN"/>
                      </w:rPr>
                      <w:t>化粪池20m</w:t>
                    </w:r>
                    <w:r>
                      <w:rPr>
                        <w:rFonts w:hint="eastAsia"/>
                        <w:sz w:val="15"/>
                        <w:szCs w:val="15"/>
                        <w:vertAlign w:val="superscript"/>
                        <w:lang w:val="en-US" w:eastAsia="zh-CN"/>
                      </w:rPr>
                      <w:t>3</w:t>
                    </w:r>
                  </w:p>
                </w:txbxContent>
              </v:textbox>
            </v:shape>
            <v:shape id="_x0000_s4376" o:spid="_x0000_s4376" o:spt="202" type="#_x0000_t202" style="position:absolute;left:11265;top:802478;height:829;width:2086;" fillcolor="#FFFFFF" filled="t" stroked="t" coordsize="21600,21600">
              <v:path/>
              <v:fill on="t" color2="#FFFFFF" focussize="0,0"/>
              <v:stroke color="#00B050" joinstyle="miter"/>
              <v:imagedata o:title=""/>
              <o:lock v:ext="edit" aspectratio="f"/>
              <v:textbox>
                <w:txbxContent>
                  <w:p w14:paraId="14081D99"/>
                </w:txbxContent>
              </v:textbox>
            </v:shape>
            <v:shape id="_x0000_s4377" o:spid="_x0000_s4377" o:spt="202" type="#_x0000_t202" style="position:absolute;left:11495;top:803380;height:500;width:2634;" filled="f" stroked="f" coordsize="21600,21600">
              <v:path/>
              <v:fill on="f" focussize="0,0"/>
              <v:stroke on="f"/>
              <v:imagedata o:title=""/>
              <o:lock v:ext="edit" aspectratio="f"/>
              <v:textbox>
                <w:txbxContent>
                  <w:p w14:paraId="7BB46FC4">
                    <w:pPr>
                      <w:jc w:val="center"/>
                      <w:rPr>
                        <w:rFonts w:hint="default" w:eastAsia="宋体"/>
                        <w:lang w:val="en-US" w:eastAsia="zh-CN"/>
                      </w:rPr>
                    </w:pPr>
                    <w:r>
                      <w:rPr>
                        <w:rFonts w:hint="eastAsia"/>
                        <w:lang w:val="en-US" w:eastAsia="zh-CN"/>
                      </w:rPr>
                      <w:t>沥青混凝土生产线</w:t>
                    </w:r>
                  </w:p>
                </w:txbxContent>
              </v:textbox>
            </v:shape>
            <v:shape id="_x0000_s4378" o:spid="_x0000_s4378" o:spt="202" type="#_x0000_t202" style="position:absolute;left:11297;top:807395;height:500;width:2634;" filled="f" stroked="f" coordsize="21600,21600">
              <v:path/>
              <v:fill on="f" focussize="0,0"/>
              <v:stroke on="f"/>
              <v:imagedata o:title=""/>
              <o:lock v:ext="edit" aspectratio="f"/>
              <v:textbox>
                <w:txbxContent>
                  <w:p w14:paraId="68FB8518">
                    <w:pPr>
                      <w:jc w:val="center"/>
                      <w:rPr>
                        <w:rFonts w:hint="default" w:eastAsia="宋体"/>
                        <w:lang w:val="en-US" w:eastAsia="zh-CN"/>
                      </w:rPr>
                    </w:pPr>
                    <w:r>
                      <w:rPr>
                        <w:rFonts w:hint="eastAsia"/>
                        <w:lang w:val="en-US" w:eastAsia="zh-CN"/>
                      </w:rPr>
                      <w:t>混凝土生产线</w:t>
                    </w:r>
                  </w:p>
                </w:txbxContent>
              </v:textbox>
            </v:shape>
            <v:shape id="_x0000_s4379" o:spid="_x0000_s4379" o:spt="202" type="#_x0000_t202" style="position:absolute;left:11370;top:802579;height:403;width:1671;" filled="f" stroked="f" coordsize="21600,21600">
              <v:path/>
              <v:fill on="f" focussize="0,0"/>
              <v:stroke on="f"/>
              <v:imagedata o:title=""/>
              <o:lock v:ext="edit" aspectratio="f"/>
              <v:textbox>
                <w:txbxContent>
                  <w:p w14:paraId="4B536DA5">
                    <w:pPr>
                      <w:jc w:val="center"/>
                      <w:rPr>
                        <w:rFonts w:hint="default" w:eastAsia="宋体"/>
                        <w:sz w:val="15"/>
                        <w:szCs w:val="15"/>
                        <w:lang w:val="en-US" w:eastAsia="zh-CN"/>
                      </w:rPr>
                    </w:pPr>
                    <w:r>
                      <w:rPr>
                        <w:rFonts w:hint="eastAsia"/>
                        <w:sz w:val="15"/>
                        <w:szCs w:val="15"/>
                        <w:lang w:val="en-US" w:eastAsia="zh-CN"/>
                      </w:rPr>
                      <w:t>沥青混凝土搅拌机组</w:t>
                    </w:r>
                  </w:p>
                </w:txbxContent>
              </v:textbox>
            </v:shape>
            <v:shape id="_x0000_s4380" o:spid="_x0000_s4380" o:spt="202" type="#_x0000_t202" style="position:absolute;left:12034;top:807093;flip:x;height:375;width:2133;" fillcolor="#FFFFFF" filled="t" stroked="t" coordsize="21600,21600">
              <v:path/>
              <v:fill on="t" color2="#FFFFFF" focussize="0,0"/>
              <v:stroke color="#00B050" joinstyle="miter"/>
              <v:imagedata o:title=""/>
              <o:lock v:ext="edit" aspectratio="f"/>
              <v:textbox>
                <w:txbxContent>
                  <w:p w14:paraId="1DA2CD8A"/>
                </w:txbxContent>
              </v:textbox>
            </v:shape>
            <v:shape id="_x0000_s4381" o:spid="_x0000_s4381" o:spt="202" type="#_x0000_t202" style="position:absolute;left:12385;top:807116;height:598;width:1345;" filled="f" stroked="f" coordsize="21600,21600">
              <v:path/>
              <v:fill on="f" focussize="0,0"/>
              <v:stroke on="f"/>
              <v:imagedata o:title=""/>
              <o:lock v:ext="edit" aspectratio="f"/>
              <v:textbox>
                <w:txbxContent>
                  <w:p w14:paraId="368E3E22">
                    <w:pPr>
                      <w:jc w:val="center"/>
                      <w:rPr>
                        <w:rFonts w:hint="default" w:eastAsia="宋体"/>
                        <w:sz w:val="15"/>
                        <w:szCs w:val="15"/>
                        <w:lang w:val="en-US" w:eastAsia="zh-CN"/>
                      </w:rPr>
                    </w:pPr>
                    <w:r>
                      <w:rPr>
                        <w:rFonts w:hint="eastAsia"/>
                        <w:sz w:val="15"/>
                        <w:szCs w:val="15"/>
                        <w:lang w:val="en-US" w:eastAsia="zh-CN"/>
                      </w:rPr>
                      <w:t>混凝土搅拌机组</w:t>
                    </w:r>
                  </w:p>
                </w:txbxContent>
              </v:textbox>
            </v:shape>
            <v:shape id="_x0000_s4382" o:spid="_x0000_s4382" o:spt="202" type="#_x0000_t202" style="position:absolute;left:14673;top:806537;height:353;width:294;" fillcolor="#C3D69B" filled="t" stroked="t" coordsize="21600,21600">
              <v:path/>
              <v:fill on="t" color2="#FFFFFF" focussize="0,0"/>
              <v:stroke color="#000000" joinstyle="miter"/>
              <v:imagedata o:title=""/>
              <o:lock v:ext="edit" aspectratio="f"/>
              <v:textbox>
                <w:txbxContent>
                  <w:p w14:paraId="6552A3C3"/>
                </w:txbxContent>
              </v:textbox>
            </v:shape>
            <v:shape id="_x0000_s4383" o:spid="_x0000_s4383" o:spt="202" type="#_x0000_t202" style="position:absolute;left:14342;top:806510;height:331;width:988;" filled="f" stroked="f" coordsize="21600,21600">
              <v:path/>
              <v:fill on="f" focussize="0,0"/>
              <v:stroke on="f"/>
              <v:imagedata o:title=""/>
              <o:lock v:ext="edit" aspectratio="f"/>
              <v:textbox>
                <w:txbxContent>
                  <w:p w14:paraId="481A916F">
                    <w:pPr>
                      <w:jc w:val="center"/>
                      <w:rPr>
                        <w:rFonts w:hint="default" w:eastAsia="宋体"/>
                        <w:sz w:val="15"/>
                        <w:szCs w:val="15"/>
                        <w:lang w:val="en-US" w:eastAsia="zh-CN"/>
                      </w:rPr>
                    </w:pPr>
                    <w:r>
                      <w:rPr>
                        <w:rFonts w:hint="eastAsia" w:eastAsia="宋体"/>
                        <w:sz w:val="15"/>
                        <w:szCs w:val="15"/>
                        <w:lang w:val="en-US" w:eastAsia="zh-CN"/>
                      </w:rPr>
                      <w:t>洗车平台</w:t>
                    </w:r>
                  </w:p>
                </w:txbxContent>
              </v:textbox>
            </v:shape>
            <v:shape id="_x0000_s4385" o:spid="_x0000_s4385" o:spt="202" type="#_x0000_t202" style="position:absolute;left:14659;top:805705;flip:x;height:793;width:291;" fillcolor="#C3D69B" filled="t" stroked="t" coordsize="21600,21600">
              <v:path/>
              <v:fill on="t" color2="#FFFFFF" focussize="0,0"/>
              <v:stroke color="#000000" joinstyle="miter"/>
              <v:imagedata o:title=""/>
              <o:lock v:ext="edit" aspectratio="f"/>
              <v:textbox>
                <w:txbxContent>
                  <w:p w14:paraId="3B6B1F6E"/>
                </w:txbxContent>
              </v:textbox>
            </v:shape>
            <v:shape id="_x0000_s4386" o:spid="_x0000_s4386" o:spt="202" type="#_x0000_t202" style="position:absolute;left:14413;top:805962;height:358;width:852;" filled="f" stroked="f" coordsize="21600,21600">
              <v:path/>
              <v:fill on="f" focussize="0,0"/>
              <v:stroke on="f"/>
              <v:imagedata o:title=""/>
              <o:lock v:ext="edit" aspectratio="f"/>
              <v:textbox>
                <w:txbxContent>
                  <w:p w14:paraId="4518A4C8">
                    <w:pPr>
                      <w:jc w:val="center"/>
                      <w:rPr>
                        <w:rFonts w:hint="default"/>
                        <w:sz w:val="15"/>
                        <w:szCs w:val="15"/>
                        <w:vertAlign w:val="superscript"/>
                        <w:lang w:val="en-US" w:eastAsia="zh-CN"/>
                      </w:rPr>
                    </w:pPr>
                    <w:r>
                      <w:rPr>
                        <w:rFonts w:hint="eastAsia"/>
                        <w:sz w:val="15"/>
                        <w:szCs w:val="15"/>
                        <w:lang w:val="en-US" w:eastAsia="zh-CN"/>
                      </w:rPr>
                      <w:t>沉淀池</w:t>
                    </w:r>
                  </w:p>
                </w:txbxContent>
              </v:textbox>
            </v:shape>
            <v:shape id="_x0000_s4387" o:spid="_x0000_s4387" o:spt="202" type="#_x0000_t202" style="position:absolute;left:11877;top:804807;height:596;width:969;" filled="f" stroked="f" coordsize="21600,21600">
              <v:path/>
              <v:fill on="f" focussize="0,0"/>
              <v:stroke on="f"/>
              <v:imagedata o:title=""/>
              <o:lock v:ext="edit" aspectratio="f"/>
              <v:textbox>
                <w:txbxContent>
                  <w:p w14:paraId="7B08C99A">
                    <w:pPr>
                      <w:jc w:val="center"/>
                      <w:rPr>
                        <w:rFonts w:hint="default" w:eastAsia="宋体"/>
                        <w:sz w:val="15"/>
                        <w:szCs w:val="15"/>
                        <w:lang w:val="en-US" w:eastAsia="zh-CN"/>
                      </w:rPr>
                    </w:pPr>
                    <w:r>
                      <w:rPr>
                        <w:rFonts w:hint="eastAsia"/>
                        <w:sz w:val="15"/>
                        <w:szCs w:val="15"/>
                        <w:lang w:val="en-US" w:eastAsia="zh-CN"/>
                      </w:rPr>
                      <w:t>储料库</w:t>
                    </w:r>
                  </w:p>
                </w:txbxContent>
              </v:textbox>
            </v:shape>
            <v:shape id="_x0000_s4388" o:spid="_x0000_s4388" o:spt="202" type="#_x0000_t202" style="position:absolute;left:8590;top:804342;height:626;width:1440;" filled="f" stroked="f" coordsize="21600,21600">
              <v:path/>
              <v:fill on="f" focussize="0,0"/>
              <v:stroke on="f"/>
              <v:imagedata o:title=""/>
              <o:lock v:ext="edit" aspectratio="f"/>
              <v:textbox>
                <w:txbxContent>
                  <w:p w14:paraId="05958A57">
                    <w:pPr>
                      <w:jc w:val="center"/>
                      <w:rPr>
                        <w:rFonts w:hint="default" w:eastAsia="宋体"/>
                        <w:lang w:val="en-US" w:eastAsia="zh-CN"/>
                      </w:rPr>
                    </w:pPr>
                    <w:r>
                      <w:rPr>
                        <w:rFonts w:hint="eastAsia"/>
                        <w:lang w:val="en-US" w:eastAsia="zh-CN"/>
                      </w:rPr>
                      <w:t>空地</w:t>
                    </w:r>
                  </w:p>
                </w:txbxContent>
              </v:textbox>
            </v:shape>
            <v:shape id="_x0000_s4389" o:spid="_x0000_s4389" o:spt="202" type="#_x0000_t202" style="position:absolute;left:11600;top:801814;height:626;width:1440;" filled="f" stroked="f" coordsize="21600,21600">
              <v:path/>
              <v:fill on="f" focussize="0,0"/>
              <v:stroke on="f"/>
              <v:imagedata o:title=""/>
              <o:lock v:ext="edit" aspectratio="f"/>
              <v:textbox>
                <w:txbxContent>
                  <w:p w14:paraId="3620464B">
                    <w:pPr>
                      <w:jc w:val="center"/>
                      <w:rPr>
                        <w:rFonts w:hint="default" w:eastAsia="宋体"/>
                        <w:lang w:val="en-US" w:eastAsia="zh-CN"/>
                      </w:rPr>
                    </w:pPr>
                    <w:r>
                      <w:rPr>
                        <w:rFonts w:hint="eastAsia"/>
                        <w:lang w:val="en-US" w:eastAsia="zh-CN"/>
                      </w:rPr>
                      <w:t>围墙</w:t>
                    </w:r>
                  </w:p>
                </w:txbxContent>
              </v:textbox>
            </v:shape>
            <v:shape id="_x0000_s4390" o:spid="_x0000_s4390" o:spt="202" type="#_x0000_t202" style="position:absolute;left:11726;top:808244;height:626;width:1440;" filled="f" stroked="f" coordsize="21600,21600">
              <v:path/>
              <v:fill on="f" focussize="0,0"/>
              <v:stroke on="f"/>
              <v:imagedata o:title=""/>
              <o:lock v:ext="edit" aspectratio="f"/>
              <v:textbox>
                <w:txbxContent>
                  <w:p w14:paraId="3431CADF">
                    <w:pPr>
                      <w:jc w:val="center"/>
                      <w:rPr>
                        <w:rFonts w:hint="default" w:eastAsia="宋体"/>
                        <w:lang w:val="en-US" w:eastAsia="zh-CN"/>
                      </w:rPr>
                    </w:pPr>
                    <w:r>
                      <w:rPr>
                        <w:rFonts w:hint="eastAsia"/>
                        <w:lang w:val="en-US" w:eastAsia="zh-CN"/>
                      </w:rPr>
                      <w:t>围墙</w:t>
                    </w:r>
                  </w:p>
                </w:txbxContent>
              </v:textbox>
            </v:shape>
            <v:shape id="_x0000_s4392" o:spid="_x0000_s4392" o:spt="202" type="#_x0000_t202" style="position:absolute;left:19189;top:808077;height:396;width:1440;" filled="f" stroked="f" coordsize="21600,21600">
              <v:path/>
              <v:fill on="f" focussize="0,0"/>
              <v:stroke on="f"/>
              <v:imagedata o:title=""/>
              <o:lock v:ext="edit" aspectratio="f"/>
              <v:textbox>
                <w:txbxContent>
                  <w:p w14:paraId="5ECC38DB">
                    <w:pPr>
                      <w:jc w:val="center"/>
                      <w:rPr>
                        <w:rFonts w:hint="default" w:eastAsia="宋体"/>
                        <w:lang w:val="en-US" w:eastAsia="zh-CN"/>
                      </w:rPr>
                    </w:pPr>
                    <w:r>
                      <w:rPr>
                        <w:rFonts w:hint="eastAsia"/>
                        <w:lang w:val="en-US" w:eastAsia="zh-CN"/>
                      </w:rPr>
                      <w:t>图例</w:t>
                    </w:r>
                  </w:p>
                </w:txbxContent>
              </v:textbox>
            </v:shape>
            <v:shape id="_x0000_s4396" o:spid="_x0000_s4396" o:spt="202" type="#_x0000_t202" style="position:absolute;left:14336;top:807765;flip:x;height:259;width:280;" fillcolor="#C3D69B" filled="t" stroked="t" coordsize="21600,21600">
              <v:path/>
              <v:fill on="t" color2="#FFFFFF" focussize="0,0"/>
              <v:stroke color="#000000" joinstyle="miter"/>
              <v:imagedata o:title=""/>
              <o:lock v:ext="edit" aspectratio="f"/>
              <v:textbox>
                <w:txbxContent>
                  <w:p w14:paraId="58BBA544"/>
                </w:txbxContent>
              </v:textbox>
            </v:shape>
            <v:shape id="_x0000_s4397" o:spid="_x0000_s4397" o:spt="202" type="#_x0000_t202" style="position:absolute;left:13817;top:807762;height:350;width:1222;" filled="f" stroked="f" coordsize="21600,21600">
              <v:path/>
              <v:fill on="f" focussize="0,0"/>
              <v:stroke on="f"/>
              <v:imagedata o:title=""/>
              <o:lock v:ext="edit" aspectratio="f"/>
              <v:textbox>
                <w:txbxContent>
                  <w:p w14:paraId="13CCE8B1">
                    <w:pPr>
                      <w:jc w:val="center"/>
                      <w:rPr>
                        <w:rFonts w:hint="eastAsia"/>
                        <w:sz w:val="15"/>
                        <w:szCs w:val="15"/>
                        <w:vertAlign w:val="superscript"/>
                        <w:lang w:val="en-US" w:eastAsia="zh-CN"/>
                      </w:rPr>
                    </w:pPr>
                    <w:r>
                      <w:rPr>
                        <w:rFonts w:hint="eastAsia"/>
                        <w:sz w:val="15"/>
                        <w:szCs w:val="15"/>
                        <w:lang w:val="en-US" w:eastAsia="zh-CN"/>
                      </w:rPr>
                      <w:t>初期雨水池</w:t>
                    </w:r>
                  </w:p>
                  <w:p w14:paraId="4FF7DD45">
                    <w:pPr>
                      <w:jc w:val="center"/>
                      <w:rPr>
                        <w:rFonts w:hint="default"/>
                        <w:sz w:val="15"/>
                        <w:szCs w:val="15"/>
                        <w:vertAlign w:val="baseline"/>
                        <w:lang w:val="en-US" w:eastAsia="zh-CN"/>
                      </w:rPr>
                    </w:pPr>
                  </w:p>
                </w:txbxContent>
              </v:textbox>
            </v:shape>
            <v:line id="_x0000_s4398" o:spid="_x0000_s4398" o:spt="20" style="position:absolute;left:10726;top:802155;height:6023;width:15;" filled="f" stroked="t" coordsize="21600,21600">
              <v:path arrowok="t"/>
              <v:fill on="f" focussize="0,0"/>
              <v:stroke color="#000000"/>
              <v:imagedata o:title=""/>
              <o:lock v:ext="edit" aspectratio="f"/>
            </v:line>
            <v:line id="_x0000_s4399" o:spid="_x0000_s4399" o:spt="20" style="position:absolute;left:15101;top:807534;flip:x;height:634;width:5;" filled="f" stroked="t" coordsize="21600,21600">
              <v:path arrowok="t"/>
              <v:fill on="f" focussize="0,0"/>
              <v:stroke color="#000000"/>
              <v:imagedata o:title=""/>
              <o:lock v:ext="edit" aspectratio="f"/>
            </v:line>
            <v:shape id="_x0000_s4400" o:spid="_x0000_s4400" o:spt="202" type="#_x0000_t202" style="position:absolute;left:15645;top:802518;height:490;width:1456;" fillcolor="#FFFFFF" filled="t" stroked="t" coordsize="21600,21600">
              <v:path/>
              <v:fill on="t" color2="#FFFFFF" focussize="0,0"/>
              <v:stroke color="#00B050" joinstyle="miter"/>
              <v:imagedata o:title=""/>
              <o:lock v:ext="edit" aspectratio="f"/>
              <v:textbox>
                <w:txbxContent>
                  <w:p w14:paraId="6E44CD17"/>
                </w:txbxContent>
              </v:textbox>
            </v:shape>
            <v:shape id="_x0000_s4401" o:spid="_x0000_s4401" o:spt="202" type="#_x0000_t202" style="position:absolute;left:15530;top:802560;height:403;width:1671;" filled="f" stroked="f" coordsize="21600,21600">
              <v:path/>
              <v:fill on="f" focussize="0,0"/>
              <v:stroke on="f"/>
              <v:imagedata o:title=""/>
              <o:lock v:ext="edit" aspectratio="f"/>
              <v:textbox>
                <w:txbxContent>
                  <w:p w14:paraId="185922C3">
                    <w:pPr>
                      <w:jc w:val="center"/>
                      <w:rPr>
                        <w:rFonts w:hint="default" w:eastAsia="宋体"/>
                        <w:sz w:val="15"/>
                        <w:szCs w:val="15"/>
                        <w:lang w:val="en-US" w:eastAsia="zh-CN"/>
                      </w:rPr>
                    </w:pPr>
                    <w:r>
                      <w:rPr>
                        <w:rFonts w:hint="eastAsia"/>
                        <w:sz w:val="15"/>
                        <w:szCs w:val="15"/>
                        <w:lang w:val="en-US" w:eastAsia="zh-CN"/>
                      </w:rPr>
                      <w:t>水稳土搅拌机组</w:t>
                    </w:r>
                  </w:p>
                </w:txbxContent>
              </v:textbox>
            </v:shape>
            <v:shape id="_x0000_s4402" o:spid="_x0000_s4402" o:spt="202" type="#_x0000_t202" style="position:absolute;left:14814;top:807513;flip:x;height:275;width:283;" fillcolor="#FFFFFF" filled="t" stroked="t" coordsize="21600,21600">
              <v:path/>
              <v:fill on="t" color2="#FFFFFF" focussize="0,0"/>
              <v:stroke color="#000000" joinstyle="miter"/>
              <v:imagedata o:title=""/>
              <o:lock v:ext="edit" aspectratio="f"/>
              <v:textbox>
                <w:txbxContent>
                  <w:p w14:paraId="0B52DD6E"/>
                </w:txbxContent>
              </v:textbox>
            </v:shape>
            <v:shape id="_x0000_s4403" o:spid="_x0000_s4403" o:spt="202" type="#_x0000_t202" style="position:absolute;left:14589;top:807518;height:337;width:762;" filled="f" stroked="f" coordsize="21600,21600">
              <v:path/>
              <v:fill on="f" focussize="0,0"/>
              <v:stroke on="f"/>
              <v:imagedata o:title=""/>
              <o:lock v:ext="edit" aspectratio="f"/>
              <v:textbox>
                <w:txbxContent>
                  <w:p w14:paraId="5A8552AD">
                    <w:pPr>
                      <w:jc w:val="center"/>
                      <w:rPr>
                        <w:rFonts w:hint="default"/>
                        <w:sz w:val="15"/>
                        <w:szCs w:val="15"/>
                        <w:vertAlign w:val="baseline"/>
                        <w:lang w:val="en-US" w:eastAsia="zh-CN"/>
                      </w:rPr>
                    </w:pPr>
                    <w:r>
                      <w:rPr>
                        <w:rFonts w:hint="eastAsia"/>
                        <w:sz w:val="15"/>
                        <w:szCs w:val="15"/>
                        <w:lang w:val="en-US" w:eastAsia="zh-CN"/>
                      </w:rPr>
                      <w:t>门卫室</w:t>
                    </w:r>
                  </w:p>
                </w:txbxContent>
              </v:textbox>
            </v:shape>
            <v:line id="_x0000_s4404" o:spid="_x0000_s4404" o:spt="20" style="position:absolute;left:15053;top:803260;flip:y;height:3;width:2113;" filled="f" stroked="t" coordsize="21600,21600">
              <v:path arrowok="t"/>
              <v:fill on="f" focussize="0,0"/>
              <v:stroke color="#000000"/>
              <v:imagedata o:title=""/>
              <o:lock v:ext="edit" aspectratio="f"/>
            </v:line>
            <v:shape id="_x0000_s4405" o:spid="_x0000_s4405" o:spt="202" type="#_x0000_t202" style="position:absolute;left:11670;top:808832;height:626;width:1440;" filled="f" stroked="f" coordsize="21600,21600">
              <v:path/>
              <v:fill on="f" focussize="0,0"/>
              <v:stroke on="f"/>
              <v:imagedata o:title=""/>
              <o:lock v:ext="edit" aspectratio="f"/>
              <v:textbox>
                <w:txbxContent>
                  <w:p w14:paraId="4D2076BE">
                    <w:pPr>
                      <w:jc w:val="center"/>
                      <w:rPr>
                        <w:rFonts w:hint="default" w:eastAsia="宋体"/>
                        <w:lang w:val="en-US" w:eastAsia="zh-CN"/>
                      </w:rPr>
                    </w:pPr>
                    <w:r>
                      <w:rPr>
                        <w:rFonts w:hint="eastAsia"/>
                        <w:lang w:val="en-US" w:eastAsia="zh-CN"/>
                      </w:rPr>
                      <w:t>加油站</w:t>
                    </w:r>
                  </w:p>
                </w:txbxContent>
              </v:textbox>
            </v:shape>
            <v:shape id="_x0000_s4406" o:spid="_x0000_s4406" o:spt="202" type="#_x0000_t202" style="position:absolute;left:15270;top:808772;height:626;width:1440;" filled="f" stroked="f" coordsize="21600,21600">
              <v:path/>
              <v:fill on="f" focussize="0,0"/>
              <v:stroke on="f"/>
              <v:imagedata o:title=""/>
              <o:lock v:ext="edit" aspectratio="f"/>
              <v:textbox>
                <w:txbxContent>
                  <w:p w14:paraId="76C0F5DC">
                    <w:pPr>
                      <w:jc w:val="center"/>
                      <w:rPr>
                        <w:rFonts w:hint="default" w:eastAsia="宋体"/>
                        <w:lang w:val="en-US" w:eastAsia="zh-CN"/>
                      </w:rPr>
                    </w:pPr>
                    <w:r>
                      <w:rPr>
                        <w:rFonts w:hint="eastAsia"/>
                        <w:lang w:val="en-US" w:eastAsia="zh-CN"/>
                      </w:rPr>
                      <w:t>加气站</w:t>
                    </w:r>
                  </w:p>
                </w:txbxContent>
              </v:textbox>
            </v:shape>
            <v:shape id="_x0000_s4407" o:spid="_x0000_s4407" o:spt="202" type="#_x0000_t202" style="position:absolute;left:16760;top:804242;height:626;width:1440;" filled="f" stroked="f" coordsize="21600,21600">
              <v:path/>
              <v:fill on="f" focussize="0,0"/>
              <v:stroke on="f"/>
              <v:imagedata o:title=""/>
              <o:lock v:ext="edit" aspectratio="f"/>
              <v:textbox>
                <w:txbxContent>
                  <w:p w14:paraId="6830D8FE">
                    <w:pPr>
                      <w:jc w:val="center"/>
                      <w:rPr>
                        <w:rFonts w:hint="default" w:eastAsia="宋体"/>
                        <w:lang w:val="en-US" w:eastAsia="zh-CN"/>
                      </w:rPr>
                    </w:pPr>
                    <w:r>
                      <w:rPr>
                        <w:rFonts w:hint="eastAsia"/>
                        <w:lang w:val="en-US" w:eastAsia="zh-CN"/>
                      </w:rPr>
                      <w:t>空地</w:t>
                    </w:r>
                  </w:p>
                </w:txbxContent>
              </v:textbox>
            </v:shape>
            <v:rect id="_x0000_s4408" o:spid="_x0000_s4408" o:spt="1" style="position:absolute;left:13572;top:806618;height:195;width:338;" fillcolor="#984807" filled="t" stroked="t" coordsize="21600,21600">
              <v:path/>
              <v:fill on="t" color2="#FFFFFF" opacity="32768f" focussize="0,0"/>
              <v:stroke color="#000000" joinstyle="miter"/>
              <v:imagedata o:title=""/>
              <o:lock v:ext="edit" aspectratio="f"/>
            </v:rect>
            <v:shape id="_x0000_s4409" o:spid="_x0000_s4409" o:spt="202" type="#_x0000_t202" style="position:absolute;left:13036;top:806332;height:437;width:1084;" filled="f" stroked="f" coordsize="21600,21600">
              <v:path/>
              <v:fill on="f" focussize="0,0"/>
              <v:stroke on="f"/>
              <v:imagedata o:title=""/>
              <o:lock v:ext="edit" aspectratio="f"/>
              <v:textbox>
                <w:txbxContent>
                  <w:p w14:paraId="229F68A0">
                    <w:pPr>
                      <w:jc w:val="center"/>
                      <w:rPr>
                        <w:rFonts w:hint="default" w:eastAsia="宋体"/>
                        <w:sz w:val="15"/>
                        <w:szCs w:val="15"/>
                        <w:lang w:val="en-US" w:eastAsia="zh-CN"/>
                      </w:rPr>
                    </w:pPr>
                    <w:r>
                      <w:rPr>
                        <w:rFonts w:hint="eastAsia"/>
                        <w:sz w:val="15"/>
                        <w:szCs w:val="15"/>
                        <w:lang w:val="en-US" w:eastAsia="zh-CN"/>
                      </w:rPr>
                      <w:t>危废贮存库</w:t>
                    </w:r>
                  </w:p>
                </w:txbxContent>
              </v:textbox>
            </v:shape>
            <v:rect id="_x0000_s4410" o:spid="_x0000_s4410" o:spt="1" style="position:absolute;left:12329;top:802953;height:195;width:338;" fillcolor="#984807" filled="t" stroked="t" coordsize="21600,21600">
              <v:path/>
              <v:fill on="t" color2="#FFFFFF" opacity="32768f" focussize="0,0"/>
              <v:stroke color="#000000" joinstyle="miter"/>
              <v:imagedata o:title=""/>
              <o:lock v:ext="edit" aspectratio="f"/>
            </v:rect>
            <v:shape id="_x0000_s4411" o:spid="_x0000_s4411" o:spt="202" type="#_x0000_t202" style="position:absolute;left:12108;top:802864;height:403;width:869;" filled="f" stroked="f" coordsize="21600,21600">
              <v:path/>
              <v:fill on="f" focussize="0,0"/>
              <v:stroke on="f"/>
              <v:imagedata o:title=""/>
              <o:lock v:ext="edit" aspectratio="f"/>
              <v:textbox>
                <w:txbxContent>
                  <w:p w14:paraId="7B053562">
                    <w:pPr>
                      <w:jc w:val="center"/>
                      <w:rPr>
                        <w:rFonts w:hint="default" w:eastAsia="宋体"/>
                        <w:sz w:val="15"/>
                        <w:szCs w:val="15"/>
                        <w:lang w:val="en-US" w:eastAsia="zh-CN"/>
                      </w:rPr>
                    </w:pPr>
                    <w:r>
                      <w:rPr>
                        <w:rFonts w:hint="eastAsia"/>
                        <w:sz w:val="15"/>
                        <w:szCs w:val="15"/>
                        <w:lang w:val="en-US" w:eastAsia="zh-CN"/>
                      </w:rPr>
                      <w:t>储罐区</w:t>
                    </w:r>
                  </w:p>
                </w:txbxContent>
              </v:textbox>
            </v:shape>
          </v:group>
        </w:pict>
      </w:r>
    </w:p>
    <w:p w14:paraId="5A334090">
      <w:pPr>
        <w:jc w:val="center"/>
        <w:rPr>
          <w:rFonts w:hint="eastAsia"/>
          <w:color w:val="auto"/>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14:paraId="103725C9">
      <w:pPr>
        <w:pStyle w:val="41"/>
        <w:adjustRightInd w:val="0"/>
        <w:snapToGrid w:val="0"/>
        <w:spacing w:before="0" w:beforeAutospacing="0" w:after="0" w:afterAutospacing="0" w:line="440" w:lineRule="exact"/>
        <w:outlineLvl w:val="0"/>
        <w:rPr>
          <w:rFonts w:ascii="Times New Roman" w:hAnsi="Times New Roman" w:eastAsia="黑体"/>
          <w:color w:val="auto"/>
          <w:sz w:val="32"/>
          <w:szCs w:val="32"/>
        </w:rPr>
      </w:pPr>
      <w:bookmarkStart w:id="18" w:name="_Toc5952"/>
      <w:r>
        <w:rPr>
          <w:rFonts w:ascii="Times New Roman" w:hAnsi="Times New Roman" w:eastAsia="黑体"/>
          <w:color w:val="auto"/>
          <w:sz w:val="32"/>
          <w:szCs w:val="32"/>
        </w:rPr>
        <w:t>附件</w:t>
      </w:r>
      <w:bookmarkEnd w:id="18"/>
    </w:p>
    <w:p w14:paraId="3A6F666D">
      <w:pPr>
        <w:pStyle w:val="41"/>
        <w:adjustRightInd w:val="0"/>
        <w:snapToGrid w:val="0"/>
        <w:spacing w:before="0" w:beforeAutospacing="0" w:after="0" w:afterAutospacing="0" w:line="440" w:lineRule="exact"/>
        <w:outlineLvl w:val="0"/>
        <w:rPr>
          <w:rFonts w:ascii="Times New Roman" w:hAnsi="Times New Roman" w:eastAsia="黑体"/>
          <w:color w:val="auto"/>
          <w:sz w:val="32"/>
          <w:szCs w:val="32"/>
        </w:rPr>
      </w:pPr>
      <w:r>
        <w:rPr>
          <w:rFonts w:hint="eastAsia" w:ascii="Times New Roman" w:hAnsi="Times New Roman" w:eastAsia="黑体"/>
          <w:color w:val="auto"/>
          <w:sz w:val="32"/>
          <w:szCs w:val="32"/>
          <w:lang w:eastAsia="zh-CN"/>
        </w:rPr>
        <w:drawing>
          <wp:anchor distT="0" distB="0" distL="114300" distR="114300" simplePos="0" relativeHeight="251728896" behindDoc="0" locked="0" layoutInCell="1" allowOverlap="1">
            <wp:simplePos x="0" y="0"/>
            <wp:positionH relativeFrom="column">
              <wp:posOffset>-133350</wp:posOffset>
            </wp:positionH>
            <wp:positionV relativeFrom="paragraph">
              <wp:posOffset>67945</wp:posOffset>
            </wp:positionV>
            <wp:extent cx="5829935" cy="8381365"/>
            <wp:effectExtent l="0" t="0" r="18415" b="635"/>
            <wp:wrapNone/>
            <wp:docPr id="38" name="图片 38" descr="委托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委托书"/>
                    <pic:cNvPicPr>
                      <a:picLocks noChangeAspect="1"/>
                    </pic:cNvPicPr>
                  </pic:nvPicPr>
                  <pic:blipFill>
                    <a:blip r:embed="rId49"/>
                    <a:stretch>
                      <a:fillRect/>
                    </a:stretch>
                  </pic:blipFill>
                  <pic:spPr>
                    <a:xfrm>
                      <a:off x="0" y="0"/>
                      <a:ext cx="5829935" cy="8381365"/>
                    </a:xfrm>
                    <a:prstGeom prst="rect">
                      <a:avLst/>
                    </a:prstGeom>
                  </pic:spPr>
                </pic:pic>
              </a:graphicData>
            </a:graphic>
          </wp:anchor>
        </w:drawing>
      </w:r>
    </w:p>
    <w:p w14:paraId="5706149B">
      <w:pPr>
        <w:pStyle w:val="41"/>
        <w:adjustRightInd w:val="0"/>
        <w:snapToGrid w:val="0"/>
        <w:spacing w:before="0" w:beforeAutospacing="0" w:after="0" w:afterAutospacing="0" w:line="440" w:lineRule="exact"/>
        <w:outlineLvl w:val="0"/>
        <w:rPr>
          <w:rFonts w:hint="eastAsia" w:ascii="Times New Roman" w:hAnsi="Times New Roman" w:eastAsia="黑体"/>
          <w:color w:val="auto"/>
          <w:sz w:val="32"/>
          <w:szCs w:val="32"/>
          <w:lang w:eastAsia="zh-CN"/>
        </w:rPr>
      </w:pPr>
    </w:p>
    <w:p w14:paraId="24C3D312">
      <w:pPr>
        <w:pStyle w:val="41"/>
        <w:adjustRightInd w:val="0"/>
        <w:snapToGrid w:val="0"/>
        <w:spacing w:before="0" w:beforeAutospacing="0" w:after="0" w:afterAutospacing="0" w:line="440" w:lineRule="exact"/>
        <w:outlineLvl w:val="0"/>
        <w:rPr>
          <w:rFonts w:hint="eastAsia" w:ascii="Times New Roman" w:hAnsi="Times New Roman" w:eastAsia="黑体"/>
          <w:color w:val="auto"/>
          <w:sz w:val="32"/>
          <w:szCs w:val="32"/>
          <w:lang w:eastAsia="zh-CN"/>
        </w:rPr>
      </w:pPr>
    </w:p>
    <w:p w14:paraId="64893D72">
      <w:pPr>
        <w:pStyle w:val="41"/>
        <w:adjustRightInd w:val="0"/>
        <w:snapToGrid w:val="0"/>
        <w:spacing w:before="0" w:beforeAutospacing="0" w:after="0" w:afterAutospacing="0" w:line="440" w:lineRule="exact"/>
        <w:outlineLvl w:val="0"/>
        <w:rPr>
          <w:rFonts w:ascii="Times New Roman" w:hAnsi="Times New Roman" w:eastAsia="黑体"/>
          <w:color w:val="auto"/>
          <w:sz w:val="32"/>
          <w:szCs w:val="32"/>
        </w:rPr>
      </w:pPr>
    </w:p>
    <w:p w14:paraId="769595B2">
      <w:pPr>
        <w:tabs>
          <w:tab w:val="left" w:pos="6092"/>
        </w:tabs>
        <w:bidi w:val="0"/>
        <w:jc w:val="left"/>
        <w:rPr>
          <w:rFonts w:hint="eastAsia"/>
          <w:color w:val="auto"/>
          <w:lang w:val="en-US" w:eastAsia="zh-CN"/>
        </w:rPr>
      </w:pPr>
    </w:p>
    <w:p w14:paraId="54FF6284">
      <w:pPr>
        <w:bidi w:val="0"/>
        <w:rPr>
          <w:rFonts w:hint="eastAsia" w:ascii="Times New Roman" w:hAnsi="Times New Roman" w:eastAsia="宋体" w:cs="Times New Roman"/>
          <w:kern w:val="2"/>
          <w:sz w:val="21"/>
          <w:szCs w:val="24"/>
          <w:lang w:val="en-US" w:eastAsia="zh-CN" w:bidi="ar-SA"/>
        </w:rPr>
      </w:pPr>
    </w:p>
    <w:p w14:paraId="0BEF8AEA">
      <w:pPr>
        <w:bidi w:val="0"/>
        <w:rPr>
          <w:rFonts w:hint="eastAsia"/>
          <w:lang w:val="en-US" w:eastAsia="zh-CN"/>
        </w:rPr>
      </w:pPr>
    </w:p>
    <w:p w14:paraId="3945FA92">
      <w:pPr>
        <w:bidi w:val="0"/>
        <w:rPr>
          <w:rFonts w:hint="eastAsia"/>
          <w:lang w:val="en-US" w:eastAsia="zh-CN"/>
        </w:rPr>
      </w:pPr>
    </w:p>
    <w:p w14:paraId="47F4178C">
      <w:pPr>
        <w:bidi w:val="0"/>
        <w:rPr>
          <w:rFonts w:hint="eastAsia"/>
          <w:lang w:val="en-US" w:eastAsia="zh-CN"/>
        </w:rPr>
      </w:pPr>
    </w:p>
    <w:p w14:paraId="3BC27FDF">
      <w:pPr>
        <w:bidi w:val="0"/>
        <w:rPr>
          <w:rFonts w:hint="eastAsia"/>
          <w:lang w:val="en-US" w:eastAsia="zh-CN"/>
        </w:rPr>
      </w:pPr>
    </w:p>
    <w:p w14:paraId="5FE5D162">
      <w:pPr>
        <w:bidi w:val="0"/>
        <w:rPr>
          <w:rFonts w:hint="eastAsia"/>
          <w:lang w:val="en-US" w:eastAsia="zh-CN"/>
        </w:rPr>
      </w:pPr>
    </w:p>
    <w:p w14:paraId="3727FB19">
      <w:pPr>
        <w:bidi w:val="0"/>
        <w:rPr>
          <w:rFonts w:hint="eastAsia"/>
          <w:lang w:val="en-US" w:eastAsia="zh-CN"/>
        </w:rPr>
      </w:pPr>
    </w:p>
    <w:p w14:paraId="41BE25AF">
      <w:pPr>
        <w:bidi w:val="0"/>
        <w:rPr>
          <w:rFonts w:hint="eastAsia"/>
          <w:lang w:val="en-US" w:eastAsia="zh-CN"/>
        </w:rPr>
      </w:pPr>
    </w:p>
    <w:p w14:paraId="386D557B">
      <w:pPr>
        <w:bidi w:val="0"/>
        <w:rPr>
          <w:rFonts w:hint="eastAsia"/>
          <w:lang w:val="en-US" w:eastAsia="zh-CN"/>
        </w:rPr>
      </w:pPr>
    </w:p>
    <w:p w14:paraId="68D7E296">
      <w:pPr>
        <w:bidi w:val="0"/>
        <w:rPr>
          <w:rFonts w:hint="eastAsia"/>
          <w:lang w:val="en-US" w:eastAsia="zh-CN"/>
        </w:rPr>
      </w:pPr>
    </w:p>
    <w:p w14:paraId="0074749D">
      <w:pPr>
        <w:bidi w:val="0"/>
        <w:rPr>
          <w:rFonts w:hint="eastAsia"/>
          <w:lang w:val="en-US" w:eastAsia="zh-CN"/>
        </w:rPr>
      </w:pPr>
    </w:p>
    <w:p w14:paraId="4FCA72ED">
      <w:pPr>
        <w:bidi w:val="0"/>
        <w:rPr>
          <w:rFonts w:hint="eastAsia"/>
          <w:lang w:val="en-US" w:eastAsia="zh-CN"/>
        </w:rPr>
      </w:pPr>
    </w:p>
    <w:p w14:paraId="3D4FB983">
      <w:pPr>
        <w:bidi w:val="0"/>
        <w:rPr>
          <w:rFonts w:hint="eastAsia"/>
          <w:lang w:val="en-US" w:eastAsia="zh-CN"/>
        </w:rPr>
      </w:pPr>
    </w:p>
    <w:p w14:paraId="579421C3">
      <w:pPr>
        <w:bidi w:val="0"/>
        <w:rPr>
          <w:rFonts w:hint="eastAsia"/>
          <w:lang w:val="en-US" w:eastAsia="zh-CN"/>
        </w:rPr>
      </w:pPr>
    </w:p>
    <w:p w14:paraId="2B70B04A">
      <w:pPr>
        <w:bidi w:val="0"/>
        <w:rPr>
          <w:rFonts w:hint="eastAsia"/>
          <w:lang w:val="en-US" w:eastAsia="zh-CN"/>
        </w:rPr>
      </w:pPr>
    </w:p>
    <w:p w14:paraId="6E6A65E5">
      <w:pPr>
        <w:bidi w:val="0"/>
        <w:rPr>
          <w:rFonts w:hint="eastAsia"/>
          <w:lang w:val="en-US" w:eastAsia="zh-CN"/>
        </w:rPr>
      </w:pPr>
    </w:p>
    <w:p w14:paraId="41C8D2F9">
      <w:pPr>
        <w:bidi w:val="0"/>
        <w:rPr>
          <w:rFonts w:hint="eastAsia"/>
          <w:lang w:val="en-US" w:eastAsia="zh-CN"/>
        </w:rPr>
      </w:pPr>
    </w:p>
    <w:p w14:paraId="3A66CA54">
      <w:pPr>
        <w:bidi w:val="0"/>
        <w:rPr>
          <w:rFonts w:hint="eastAsia"/>
          <w:lang w:val="en-US" w:eastAsia="zh-CN"/>
        </w:rPr>
      </w:pPr>
    </w:p>
    <w:p w14:paraId="60718CFD">
      <w:pPr>
        <w:bidi w:val="0"/>
        <w:rPr>
          <w:rFonts w:hint="eastAsia"/>
          <w:lang w:val="en-US" w:eastAsia="zh-CN"/>
        </w:rPr>
      </w:pPr>
    </w:p>
    <w:p w14:paraId="0C625840">
      <w:pPr>
        <w:bidi w:val="0"/>
        <w:rPr>
          <w:rFonts w:hint="eastAsia"/>
          <w:lang w:val="en-US" w:eastAsia="zh-CN"/>
        </w:rPr>
      </w:pPr>
    </w:p>
    <w:p w14:paraId="397AE5A8">
      <w:pPr>
        <w:bidi w:val="0"/>
        <w:rPr>
          <w:rFonts w:hint="eastAsia"/>
          <w:lang w:val="en-US" w:eastAsia="zh-CN"/>
        </w:rPr>
      </w:pPr>
    </w:p>
    <w:p w14:paraId="39CBF166">
      <w:pPr>
        <w:bidi w:val="0"/>
        <w:rPr>
          <w:rFonts w:hint="eastAsia"/>
          <w:lang w:val="en-US" w:eastAsia="zh-CN"/>
        </w:rPr>
      </w:pPr>
    </w:p>
    <w:p w14:paraId="1A1E0E18">
      <w:pPr>
        <w:bidi w:val="0"/>
        <w:rPr>
          <w:rFonts w:hint="eastAsia"/>
          <w:lang w:val="en-US" w:eastAsia="zh-CN"/>
        </w:rPr>
      </w:pPr>
    </w:p>
    <w:p w14:paraId="5DD8C967">
      <w:pPr>
        <w:bidi w:val="0"/>
        <w:rPr>
          <w:rFonts w:hint="eastAsia"/>
          <w:lang w:val="en-US" w:eastAsia="zh-CN"/>
        </w:rPr>
      </w:pPr>
    </w:p>
    <w:p w14:paraId="1A4990CD">
      <w:pPr>
        <w:bidi w:val="0"/>
        <w:rPr>
          <w:rFonts w:hint="eastAsia"/>
          <w:lang w:val="en-US" w:eastAsia="zh-CN"/>
        </w:rPr>
      </w:pPr>
    </w:p>
    <w:p w14:paraId="4E5DBB3B">
      <w:pPr>
        <w:bidi w:val="0"/>
        <w:rPr>
          <w:rFonts w:hint="eastAsia"/>
          <w:lang w:val="en-US" w:eastAsia="zh-CN"/>
        </w:rPr>
      </w:pPr>
    </w:p>
    <w:p w14:paraId="635AD4E0">
      <w:pPr>
        <w:bidi w:val="0"/>
        <w:rPr>
          <w:rFonts w:hint="eastAsia"/>
          <w:lang w:val="en-US" w:eastAsia="zh-CN"/>
        </w:rPr>
      </w:pPr>
    </w:p>
    <w:p w14:paraId="00C6F3B4">
      <w:pPr>
        <w:bidi w:val="0"/>
        <w:rPr>
          <w:rFonts w:hint="eastAsia"/>
          <w:lang w:val="en-US" w:eastAsia="zh-CN"/>
        </w:rPr>
      </w:pPr>
    </w:p>
    <w:p w14:paraId="0FFFC2D5">
      <w:pPr>
        <w:bidi w:val="0"/>
        <w:rPr>
          <w:rFonts w:hint="eastAsia"/>
          <w:lang w:val="en-US" w:eastAsia="zh-CN"/>
        </w:rPr>
      </w:pPr>
    </w:p>
    <w:p w14:paraId="438A466E">
      <w:pPr>
        <w:bidi w:val="0"/>
        <w:rPr>
          <w:rFonts w:hint="eastAsia"/>
          <w:lang w:val="en-US" w:eastAsia="zh-CN"/>
        </w:rPr>
      </w:pPr>
    </w:p>
    <w:p w14:paraId="176A9F2F">
      <w:pPr>
        <w:bidi w:val="0"/>
        <w:rPr>
          <w:rFonts w:hint="eastAsia"/>
          <w:lang w:val="en-US" w:eastAsia="zh-CN"/>
        </w:rPr>
      </w:pPr>
    </w:p>
    <w:p w14:paraId="542E784A">
      <w:pPr>
        <w:bidi w:val="0"/>
        <w:rPr>
          <w:rFonts w:hint="eastAsia"/>
          <w:lang w:val="en-US" w:eastAsia="zh-CN"/>
        </w:rPr>
      </w:pPr>
    </w:p>
    <w:p w14:paraId="2BDE503E">
      <w:pPr>
        <w:bidi w:val="0"/>
        <w:rPr>
          <w:rFonts w:hint="eastAsia"/>
          <w:lang w:val="en-US" w:eastAsia="zh-CN"/>
        </w:rPr>
      </w:pPr>
    </w:p>
    <w:p w14:paraId="2C37B483">
      <w:pPr>
        <w:bidi w:val="0"/>
        <w:rPr>
          <w:rFonts w:hint="eastAsia"/>
          <w:lang w:val="en-US" w:eastAsia="zh-CN"/>
        </w:rPr>
      </w:pPr>
    </w:p>
    <w:p w14:paraId="1B203BE4">
      <w:pPr>
        <w:bidi w:val="0"/>
        <w:ind w:firstLine="500" w:firstLineChars="0"/>
        <w:jc w:val="left"/>
        <w:rPr>
          <w:rFonts w:hint="eastAsia"/>
          <w:lang w:val="en-US" w:eastAsia="zh-CN"/>
        </w:rPr>
      </w:pPr>
    </w:p>
    <w:p w14:paraId="7116B7F7">
      <w:pPr>
        <w:bidi w:val="0"/>
        <w:jc w:val="left"/>
        <w:rPr>
          <w:rFonts w:hint="eastAsia"/>
          <w:lang w:val="en-US" w:eastAsia="zh-CN"/>
        </w:rPr>
      </w:pPr>
    </w:p>
    <w:p w14:paraId="7AC30DD6">
      <w:pPr>
        <w:bidi w:val="0"/>
        <w:jc w:val="left"/>
        <w:rPr>
          <w:rFonts w:hint="eastAsia"/>
          <w:lang w:val="en-US" w:eastAsia="zh-CN"/>
        </w:rPr>
      </w:pPr>
      <w:r>
        <w:drawing>
          <wp:anchor distT="0" distB="0" distL="114300" distR="114300" simplePos="0" relativeHeight="251666432" behindDoc="1" locked="0" layoutInCell="1" allowOverlap="1">
            <wp:simplePos x="0" y="0"/>
            <wp:positionH relativeFrom="column">
              <wp:posOffset>-1948815</wp:posOffset>
            </wp:positionH>
            <wp:positionV relativeFrom="paragraph">
              <wp:posOffset>1296670</wp:posOffset>
            </wp:positionV>
            <wp:extent cx="9429750" cy="6205855"/>
            <wp:effectExtent l="0" t="0" r="4445" b="0"/>
            <wp:wrapNone/>
            <wp:docPr id="1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
                    <pic:cNvPicPr>
                      <a:picLocks noChangeAspect="1"/>
                    </pic:cNvPicPr>
                  </pic:nvPicPr>
                  <pic:blipFill>
                    <a:blip r:embed="rId50"/>
                    <a:stretch>
                      <a:fillRect/>
                    </a:stretch>
                  </pic:blipFill>
                  <pic:spPr>
                    <a:xfrm rot="16200000">
                      <a:off x="0" y="0"/>
                      <a:ext cx="9429750" cy="6205855"/>
                    </a:xfrm>
                    <a:prstGeom prst="rect">
                      <a:avLst/>
                    </a:prstGeom>
                    <a:noFill/>
                    <a:ln>
                      <a:noFill/>
                    </a:ln>
                  </pic:spPr>
                </pic:pic>
              </a:graphicData>
            </a:graphic>
          </wp:anchor>
        </w:drawing>
      </w:r>
    </w:p>
    <w:p w14:paraId="24C0A1B5">
      <w:pPr>
        <w:bidi w:val="0"/>
        <w:jc w:val="left"/>
        <w:rPr>
          <w:rFonts w:hint="eastAsia"/>
          <w:lang w:val="en-US" w:eastAsia="zh-CN"/>
        </w:rPr>
      </w:pPr>
    </w:p>
    <w:p w14:paraId="186B495F">
      <w:pPr>
        <w:bidi w:val="0"/>
        <w:jc w:val="left"/>
        <w:rPr>
          <w:rFonts w:hint="eastAsia"/>
          <w:lang w:val="en-US" w:eastAsia="zh-CN"/>
        </w:rPr>
      </w:pPr>
    </w:p>
    <w:p w14:paraId="3C3CA28B">
      <w:pPr>
        <w:bidi w:val="0"/>
        <w:jc w:val="left"/>
        <w:rPr>
          <w:rFonts w:hint="eastAsia"/>
          <w:lang w:val="en-US" w:eastAsia="zh-CN"/>
        </w:rPr>
      </w:pPr>
    </w:p>
    <w:p w14:paraId="6FB7A4F1">
      <w:pPr>
        <w:bidi w:val="0"/>
        <w:jc w:val="left"/>
        <w:rPr>
          <w:rFonts w:hint="eastAsia"/>
          <w:lang w:val="en-US" w:eastAsia="zh-CN"/>
        </w:rPr>
      </w:pPr>
    </w:p>
    <w:p w14:paraId="53FE3DA7">
      <w:pPr>
        <w:bidi w:val="0"/>
        <w:jc w:val="left"/>
        <w:rPr>
          <w:rFonts w:hint="eastAsia"/>
          <w:lang w:val="en-US" w:eastAsia="zh-CN"/>
        </w:rPr>
      </w:pPr>
    </w:p>
    <w:p w14:paraId="54CF0D32">
      <w:pPr>
        <w:bidi w:val="0"/>
        <w:jc w:val="left"/>
        <w:rPr>
          <w:rFonts w:hint="eastAsia"/>
          <w:lang w:val="en-US" w:eastAsia="zh-CN"/>
        </w:rPr>
      </w:pPr>
    </w:p>
    <w:p w14:paraId="2913EC2D">
      <w:pPr>
        <w:bidi w:val="0"/>
        <w:jc w:val="left"/>
        <w:rPr>
          <w:rFonts w:hint="eastAsia"/>
          <w:lang w:val="en-US" w:eastAsia="zh-CN"/>
        </w:rPr>
      </w:pPr>
    </w:p>
    <w:p w14:paraId="50B4AC73">
      <w:pPr>
        <w:bidi w:val="0"/>
        <w:jc w:val="left"/>
        <w:rPr>
          <w:rFonts w:hint="eastAsia"/>
          <w:lang w:val="en-US" w:eastAsia="zh-CN"/>
        </w:rPr>
      </w:pPr>
    </w:p>
    <w:p w14:paraId="260DB88B">
      <w:pPr>
        <w:bidi w:val="0"/>
        <w:jc w:val="left"/>
        <w:rPr>
          <w:rFonts w:hint="eastAsia"/>
          <w:lang w:val="en-US" w:eastAsia="zh-CN"/>
        </w:rPr>
      </w:pPr>
    </w:p>
    <w:p w14:paraId="0564EAE4">
      <w:pPr>
        <w:bidi w:val="0"/>
        <w:jc w:val="left"/>
        <w:rPr>
          <w:rFonts w:hint="eastAsia"/>
          <w:lang w:val="en-US" w:eastAsia="zh-CN"/>
        </w:rPr>
      </w:pPr>
    </w:p>
    <w:p w14:paraId="1013222C">
      <w:pPr>
        <w:bidi w:val="0"/>
        <w:jc w:val="left"/>
        <w:rPr>
          <w:rFonts w:hint="eastAsia"/>
          <w:lang w:val="en-US" w:eastAsia="zh-CN"/>
        </w:rPr>
      </w:pPr>
    </w:p>
    <w:p w14:paraId="0AD4B274">
      <w:pPr>
        <w:bidi w:val="0"/>
        <w:jc w:val="left"/>
        <w:rPr>
          <w:rFonts w:hint="eastAsia"/>
          <w:lang w:val="en-US" w:eastAsia="zh-CN"/>
        </w:rPr>
      </w:pPr>
    </w:p>
    <w:p w14:paraId="2459B027">
      <w:pPr>
        <w:bidi w:val="0"/>
        <w:jc w:val="left"/>
        <w:rPr>
          <w:rFonts w:hint="eastAsia"/>
          <w:lang w:val="en-US" w:eastAsia="zh-CN"/>
        </w:rPr>
      </w:pPr>
    </w:p>
    <w:p w14:paraId="1D900C81">
      <w:pPr>
        <w:bidi w:val="0"/>
        <w:jc w:val="left"/>
        <w:rPr>
          <w:rFonts w:hint="eastAsia"/>
          <w:lang w:val="en-US" w:eastAsia="zh-CN"/>
        </w:rPr>
      </w:pPr>
    </w:p>
    <w:p w14:paraId="4E271B24">
      <w:pPr>
        <w:bidi w:val="0"/>
        <w:jc w:val="left"/>
        <w:rPr>
          <w:rFonts w:hint="eastAsia"/>
          <w:lang w:val="en-US" w:eastAsia="zh-CN"/>
        </w:rPr>
      </w:pPr>
    </w:p>
    <w:p w14:paraId="27BB46AA">
      <w:pPr>
        <w:bidi w:val="0"/>
        <w:jc w:val="left"/>
        <w:rPr>
          <w:rFonts w:hint="eastAsia"/>
          <w:lang w:val="en-US" w:eastAsia="zh-CN"/>
        </w:rPr>
      </w:pPr>
    </w:p>
    <w:p w14:paraId="2F903652">
      <w:pPr>
        <w:bidi w:val="0"/>
        <w:jc w:val="left"/>
        <w:rPr>
          <w:rFonts w:hint="eastAsia"/>
          <w:lang w:val="en-US" w:eastAsia="zh-CN"/>
        </w:rPr>
      </w:pPr>
    </w:p>
    <w:p w14:paraId="66C69BE7">
      <w:pPr>
        <w:bidi w:val="0"/>
        <w:jc w:val="left"/>
        <w:rPr>
          <w:rFonts w:hint="eastAsia"/>
          <w:lang w:val="en-US" w:eastAsia="zh-CN"/>
        </w:rPr>
      </w:pPr>
    </w:p>
    <w:p w14:paraId="402C1105">
      <w:pPr>
        <w:bidi w:val="0"/>
        <w:jc w:val="left"/>
        <w:rPr>
          <w:rFonts w:hint="eastAsia"/>
          <w:lang w:val="en-US" w:eastAsia="zh-CN"/>
        </w:rPr>
      </w:pPr>
    </w:p>
    <w:p w14:paraId="640CFBB7">
      <w:pPr>
        <w:bidi w:val="0"/>
        <w:jc w:val="left"/>
        <w:rPr>
          <w:rFonts w:hint="eastAsia"/>
          <w:lang w:val="en-US" w:eastAsia="zh-CN"/>
        </w:rPr>
      </w:pPr>
    </w:p>
    <w:p w14:paraId="5DA02BE6">
      <w:pPr>
        <w:bidi w:val="0"/>
        <w:jc w:val="left"/>
        <w:rPr>
          <w:rFonts w:hint="eastAsia"/>
          <w:lang w:val="en-US" w:eastAsia="zh-CN"/>
        </w:rPr>
      </w:pPr>
    </w:p>
    <w:p w14:paraId="3EAA7E81">
      <w:pPr>
        <w:bidi w:val="0"/>
        <w:jc w:val="left"/>
        <w:rPr>
          <w:rFonts w:hint="eastAsia"/>
          <w:lang w:val="en-US" w:eastAsia="zh-CN"/>
        </w:rPr>
      </w:pPr>
    </w:p>
    <w:p w14:paraId="5325EFB0">
      <w:pPr>
        <w:bidi w:val="0"/>
        <w:jc w:val="left"/>
        <w:rPr>
          <w:rFonts w:hint="eastAsia"/>
          <w:lang w:val="en-US" w:eastAsia="zh-CN"/>
        </w:rPr>
      </w:pPr>
    </w:p>
    <w:p w14:paraId="7C10E458">
      <w:pPr>
        <w:bidi w:val="0"/>
        <w:jc w:val="left"/>
        <w:rPr>
          <w:rFonts w:hint="eastAsia"/>
          <w:lang w:val="en-US" w:eastAsia="zh-CN"/>
        </w:rPr>
      </w:pPr>
    </w:p>
    <w:p w14:paraId="2DF85D4F">
      <w:pPr>
        <w:bidi w:val="0"/>
        <w:jc w:val="left"/>
        <w:rPr>
          <w:rFonts w:hint="eastAsia"/>
          <w:lang w:val="en-US" w:eastAsia="zh-CN"/>
        </w:rPr>
      </w:pPr>
    </w:p>
    <w:p w14:paraId="08A85D09">
      <w:pPr>
        <w:bidi w:val="0"/>
        <w:jc w:val="left"/>
        <w:rPr>
          <w:rFonts w:hint="eastAsia"/>
          <w:lang w:val="en-US" w:eastAsia="zh-CN"/>
        </w:rPr>
      </w:pPr>
    </w:p>
    <w:p w14:paraId="34ABE9BA">
      <w:pPr>
        <w:bidi w:val="0"/>
        <w:jc w:val="left"/>
        <w:rPr>
          <w:rFonts w:hint="eastAsia"/>
          <w:lang w:val="en-US" w:eastAsia="zh-CN"/>
        </w:rPr>
      </w:pPr>
    </w:p>
    <w:p w14:paraId="58ECE5A7">
      <w:pPr>
        <w:bidi w:val="0"/>
        <w:jc w:val="left"/>
        <w:rPr>
          <w:rFonts w:hint="eastAsia"/>
          <w:lang w:val="en-US" w:eastAsia="zh-CN"/>
        </w:rPr>
      </w:pPr>
    </w:p>
    <w:p w14:paraId="39016733">
      <w:pPr>
        <w:bidi w:val="0"/>
        <w:jc w:val="left"/>
        <w:rPr>
          <w:rFonts w:hint="eastAsia"/>
          <w:lang w:val="en-US" w:eastAsia="zh-CN"/>
        </w:rPr>
      </w:pPr>
    </w:p>
    <w:p w14:paraId="6469D9F7">
      <w:pPr>
        <w:bidi w:val="0"/>
        <w:jc w:val="left"/>
        <w:rPr>
          <w:rFonts w:hint="eastAsia"/>
          <w:lang w:val="en-US" w:eastAsia="zh-CN"/>
        </w:rPr>
      </w:pPr>
    </w:p>
    <w:p w14:paraId="33AC05FA">
      <w:pPr>
        <w:bidi w:val="0"/>
        <w:jc w:val="left"/>
        <w:rPr>
          <w:rFonts w:hint="eastAsia"/>
          <w:lang w:val="en-US" w:eastAsia="zh-CN"/>
        </w:rPr>
      </w:pPr>
    </w:p>
    <w:p w14:paraId="62FE0C61">
      <w:pPr>
        <w:bidi w:val="0"/>
        <w:jc w:val="left"/>
        <w:rPr>
          <w:rFonts w:hint="eastAsia"/>
          <w:lang w:val="en-US" w:eastAsia="zh-CN"/>
        </w:rPr>
      </w:pPr>
    </w:p>
    <w:p w14:paraId="49D6BD7B">
      <w:pPr>
        <w:bidi w:val="0"/>
        <w:jc w:val="left"/>
        <w:rPr>
          <w:rFonts w:hint="eastAsia"/>
          <w:lang w:val="en-US" w:eastAsia="zh-CN"/>
        </w:rPr>
      </w:pPr>
    </w:p>
    <w:p w14:paraId="7481E86A">
      <w:pPr>
        <w:bidi w:val="0"/>
        <w:jc w:val="left"/>
        <w:rPr>
          <w:rFonts w:hint="eastAsia"/>
          <w:lang w:val="en-US" w:eastAsia="zh-CN"/>
        </w:rPr>
      </w:pPr>
    </w:p>
    <w:p w14:paraId="7BE8A92B">
      <w:pPr>
        <w:bidi w:val="0"/>
        <w:jc w:val="left"/>
        <w:rPr>
          <w:rFonts w:hint="eastAsia"/>
          <w:lang w:val="en-US" w:eastAsia="zh-CN"/>
        </w:rPr>
      </w:pPr>
    </w:p>
    <w:p w14:paraId="047725DB">
      <w:pPr>
        <w:bidi w:val="0"/>
        <w:jc w:val="left"/>
        <w:rPr>
          <w:rFonts w:hint="eastAsia"/>
          <w:lang w:val="en-US" w:eastAsia="zh-CN"/>
        </w:rPr>
      </w:pPr>
    </w:p>
    <w:p w14:paraId="3B104F65">
      <w:pPr>
        <w:bidi w:val="0"/>
        <w:jc w:val="left"/>
        <w:rPr>
          <w:rFonts w:hint="eastAsia"/>
          <w:lang w:val="en-US" w:eastAsia="zh-CN"/>
        </w:rPr>
      </w:pPr>
    </w:p>
    <w:p w14:paraId="2BDB74A4">
      <w:pPr>
        <w:bidi w:val="0"/>
        <w:jc w:val="left"/>
        <w:rPr>
          <w:rFonts w:hint="eastAsia"/>
          <w:lang w:val="en-US" w:eastAsia="zh-CN"/>
        </w:rPr>
      </w:pPr>
    </w:p>
    <w:p w14:paraId="30E3677C">
      <w:pPr>
        <w:bidi w:val="0"/>
        <w:jc w:val="left"/>
        <w:rPr>
          <w:rFonts w:hint="eastAsia"/>
          <w:lang w:val="en-US" w:eastAsia="zh-CN"/>
        </w:rPr>
      </w:pPr>
    </w:p>
    <w:p w14:paraId="2FBF5C65">
      <w:pPr>
        <w:bidi w:val="0"/>
        <w:jc w:val="left"/>
        <w:rPr>
          <w:rFonts w:hint="eastAsia"/>
          <w:lang w:val="en-US" w:eastAsia="zh-CN"/>
        </w:rPr>
      </w:pPr>
    </w:p>
    <w:p w14:paraId="6BACEE27">
      <w:pPr>
        <w:bidi w:val="0"/>
        <w:jc w:val="left"/>
        <w:rPr>
          <w:rFonts w:hint="eastAsia"/>
          <w:lang w:val="en-US" w:eastAsia="zh-CN"/>
        </w:rPr>
      </w:pPr>
    </w:p>
    <w:p w14:paraId="74528624">
      <w:pPr>
        <w:bidi w:val="0"/>
        <w:jc w:val="left"/>
        <w:rPr>
          <w:rFonts w:hint="eastAsia"/>
          <w:lang w:val="en-US" w:eastAsia="zh-CN"/>
        </w:rPr>
      </w:pPr>
    </w:p>
    <w:p w14:paraId="5549DED0">
      <w:pPr>
        <w:bidi w:val="0"/>
        <w:jc w:val="left"/>
        <w:rPr>
          <w:rFonts w:hint="eastAsia"/>
          <w:lang w:val="en-US" w:eastAsia="zh-CN"/>
        </w:rPr>
      </w:pPr>
    </w:p>
    <w:p w14:paraId="307C7631">
      <w:pPr>
        <w:bidi w:val="0"/>
        <w:jc w:val="left"/>
        <w:rPr>
          <w:rFonts w:hint="eastAsia"/>
          <w:lang w:val="en-US" w:eastAsia="zh-CN"/>
        </w:rPr>
      </w:pPr>
      <w:r>
        <w:drawing>
          <wp:anchor distT="0" distB="0" distL="114300" distR="114300" simplePos="0" relativeHeight="251665408" behindDoc="1" locked="0" layoutInCell="1" allowOverlap="1">
            <wp:simplePos x="0" y="0"/>
            <wp:positionH relativeFrom="column">
              <wp:posOffset>-9525</wp:posOffset>
            </wp:positionH>
            <wp:positionV relativeFrom="paragraph">
              <wp:posOffset>66675</wp:posOffset>
            </wp:positionV>
            <wp:extent cx="5925185" cy="8742680"/>
            <wp:effectExtent l="0" t="0" r="18415" b="1270"/>
            <wp:wrapNone/>
            <wp:docPr id="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pic:cNvPicPr>
                      <a:picLocks noChangeAspect="1"/>
                    </pic:cNvPicPr>
                  </pic:nvPicPr>
                  <pic:blipFill>
                    <a:blip r:embed="rId51"/>
                    <a:stretch>
                      <a:fillRect/>
                    </a:stretch>
                  </pic:blipFill>
                  <pic:spPr>
                    <a:xfrm>
                      <a:off x="0" y="0"/>
                      <a:ext cx="5925185" cy="8742680"/>
                    </a:xfrm>
                    <a:prstGeom prst="rect">
                      <a:avLst/>
                    </a:prstGeom>
                    <a:noFill/>
                    <a:ln>
                      <a:noFill/>
                    </a:ln>
                  </pic:spPr>
                </pic:pic>
              </a:graphicData>
            </a:graphic>
          </wp:anchor>
        </w:drawing>
      </w:r>
    </w:p>
    <w:p w14:paraId="7B6FBF61">
      <w:pPr>
        <w:bidi w:val="0"/>
        <w:jc w:val="left"/>
        <w:rPr>
          <w:rFonts w:hint="eastAsia"/>
          <w:lang w:val="en-US" w:eastAsia="zh-CN"/>
        </w:rPr>
      </w:pPr>
    </w:p>
    <w:p w14:paraId="50D8FBCA">
      <w:pPr>
        <w:bidi w:val="0"/>
        <w:jc w:val="left"/>
        <w:rPr>
          <w:rFonts w:hint="eastAsia"/>
          <w:lang w:val="en-US" w:eastAsia="zh-CN"/>
        </w:rPr>
      </w:pPr>
    </w:p>
    <w:p w14:paraId="72FEC9A8">
      <w:pPr>
        <w:bidi w:val="0"/>
        <w:jc w:val="left"/>
        <w:rPr>
          <w:rFonts w:hint="eastAsia"/>
          <w:lang w:val="en-US" w:eastAsia="zh-CN"/>
        </w:rPr>
      </w:pPr>
    </w:p>
    <w:p w14:paraId="6B39DB0F">
      <w:pPr>
        <w:bidi w:val="0"/>
        <w:jc w:val="left"/>
        <w:rPr>
          <w:rFonts w:hint="eastAsia"/>
          <w:lang w:val="en-US" w:eastAsia="zh-CN"/>
        </w:rPr>
      </w:pPr>
    </w:p>
    <w:p w14:paraId="25F51301">
      <w:pPr>
        <w:bidi w:val="0"/>
        <w:jc w:val="left"/>
        <w:rPr>
          <w:rFonts w:hint="eastAsia"/>
          <w:lang w:val="en-US" w:eastAsia="zh-CN"/>
        </w:rPr>
      </w:pPr>
    </w:p>
    <w:p w14:paraId="550A0A41">
      <w:pPr>
        <w:bidi w:val="0"/>
        <w:jc w:val="left"/>
        <w:rPr>
          <w:rFonts w:hint="eastAsia"/>
          <w:lang w:val="en-US" w:eastAsia="zh-CN"/>
        </w:rPr>
      </w:pPr>
    </w:p>
    <w:p w14:paraId="1585215B">
      <w:pPr>
        <w:bidi w:val="0"/>
        <w:jc w:val="left"/>
        <w:rPr>
          <w:rFonts w:hint="eastAsia"/>
          <w:lang w:val="en-US" w:eastAsia="zh-CN"/>
        </w:rPr>
      </w:pPr>
    </w:p>
    <w:p w14:paraId="1BAB3103">
      <w:pPr>
        <w:bidi w:val="0"/>
        <w:jc w:val="left"/>
        <w:rPr>
          <w:rFonts w:hint="eastAsia"/>
          <w:lang w:val="en-US" w:eastAsia="zh-CN"/>
        </w:rPr>
      </w:pPr>
    </w:p>
    <w:p w14:paraId="3C245588">
      <w:pPr>
        <w:bidi w:val="0"/>
        <w:jc w:val="left"/>
        <w:rPr>
          <w:rFonts w:hint="eastAsia"/>
          <w:lang w:val="en-US" w:eastAsia="zh-CN"/>
        </w:rPr>
      </w:pPr>
    </w:p>
    <w:p w14:paraId="494BFF65">
      <w:pPr>
        <w:bidi w:val="0"/>
        <w:jc w:val="left"/>
        <w:rPr>
          <w:rFonts w:hint="eastAsia"/>
          <w:lang w:val="en-US" w:eastAsia="zh-CN"/>
        </w:rPr>
      </w:pPr>
    </w:p>
    <w:p w14:paraId="2989485E">
      <w:pPr>
        <w:bidi w:val="0"/>
        <w:jc w:val="left"/>
        <w:rPr>
          <w:rFonts w:hint="eastAsia"/>
          <w:lang w:val="en-US" w:eastAsia="zh-CN"/>
        </w:rPr>
      </w:pPr>
    </w:p>
    <w:p w14:paraId="66A2BC6C">
      <w:pPr>
        <w:bidi w:val="0"/>
        <w:jc w:val="left"/>
        <w:rPr>
          <w:rFonts w:hint="eastAsia"/>
          <w:lang w:val="en-US" w:eastAsia="zh-CN"/>
        </w:rPr>
      </w:pPr>
    </w:p>
    <w:p w14:paraId="71986B6B">
      <w:pPr>
        <w:bidi w:val="0"/>
        <w:jc w:val="left"/>
        <w:rPr>
          <w:rFonts w:hint="eastAsia"/>
          <w:lang w:val="en-US" w:eastAsia="zh-CN"/>
        </w:rPr>
      </w:pPr>
    </w:p>
    <w:p w14:paraId="5BBDCD06">
      <w:pPr>
        <w:bidi w:val="0"/>
        <w:jc w:val="left"/>
        <w:rPr>
          <w:rFonts w:hint="eastAsia"/>
          <w:lang w:val="en-US" w:eastAsia="zh-CN"/>
        </w:rPr>
      </w:pPr>
    </w:p>
    <w:p w14:paraId="48455A1A">
      <w:pPr>
        <w:bidi w:val="0"/>
        <w:jc w:val="left"/>
        <w:rPr>
          <w:rFonts w:hint="eastAsia"/>
          <w:lang w:val="en-US" w:eastAsia="zh-CN"/>
        </w:rPr>
      </w:pPr>
    </w:p>
    <w:p w14:paraId="7C29F043">
      <w:pPr>
        <w:bidi w:val="0"/>
        <w:jc w:val="left"/>
        <w:rPr>
          <w:rFonts w:hint="eastAsia"/>
          <w:lang w:val="en-US" w:eastAsia="zh-CN"/>
        </w:rPr>
      </w:pPr>
    </w:p>
    <w:p w14:paraId="79840E7C">
      <w:pPr>
        <w:bidi w:val="0"/>
        <w:jc w:val="left"/>
        <w:rPr>
          <w:rFonts w:hint="eastAsia"/>
          <w:lang w:val="en-US" w:eastAsia="zh-CN"/>
        </w:rPr>
      </w:pPr>
    </w:p>
    <w:p w14:paraId="58D87114">
      <w:pPr>
        <w:bidi w:val="0"/>
        <w:jc w:val="left"/>
        <w:rPr>
          <w:rFonts w:hint="eastAsia"/>
          <w:lang w:val="en-US" w:eastAsia="zh-CN"/>
        </w:rPr>
      </w:pPr>
    </w:p>
    <w:p w14:paraId="7E1D9568">
      <w:pPr>
        <w:bidi w:val="0"/>
        <w:jc w:val="left"/>
        <w:rPr>
          <w:rFonts w:hint="eastAsia"/>
          <w:lang w:val="en-US" w:eastAsia="zh-CN"/>
        </w:rPr>
      </w:pPr>
    </w:p>
    <w:p w14:paraId="00D87544">
      <w:pPr>
        <w:bidi w:val="0"/>
        <w:jc w:val="left"/>
        <w:rPr>
          <w:rFonts w:hint="eastAsia"/>
          <w:lang w:val="en-US" w:eastAsia="zh-CN"/>
        </w:rPr>
      </w:pPr>
    </w:p>
    <w:p w14:paraId="1005CA9A">
      <w:pPr>
        <w:bidi w:val="0"/>
        <w:jc w:val="left"/>
        <w:rPr>
          <w:rFonts w:hint="eastAsia"/>
          <w:lang w:val="en-US" w:eastAsia="zh-CN"/>
        </w:rPr>
      </w:pPr>
    </w:p>
    <w:p w14:paraId="5D77DB4A">
      <w:pPr>
        <w:bidi w:val="0"/>
        <w:jc w:val="left"/>
        <w:rPr>
          <w:rFonts w:hint="eastAsia"/>
          <w:lang w:val="en-US" w:eastAsia="zh-CN"/>
        </w:rPr>
      </w:pPr>
    </w:p>
    <w:p w14:paraId="5A0D5185">
      <w:pPr>
        <w:bidi w:val="0"/>
        <w:jc w:val="left"/>
        <w:rPr>
          <w:rFonts w:hint="eastAsia"/>
          <w:lang w:val="en-US" w:eastAsia="zh-CN"/>
        </w:rPr>
      </w:pPr>
    </w:p>
    <w:p w14:paraId="128B020C">
      <w:pPr>
        <w:bidi w:val="0"/>
        <w:jc w:val="left"/>
        <w:rPr>
          <w:rFonts w:hint="eastAsia"/>
          <w:lang w:val="en-US" w:eastAsia="zh-CN"/>
        </w:rPr>
      </w:pPr>
    </w:p>
    <w:p w14:paraId="50123BA2">
      <w:pPr>
        <w:bidi w:val="0"/>
        <w:jc w:val="left"/>
        <w:rPr>
          <w:rFonts w:hint="eastAsia"/>
          <w:lang w:val="en-US" w:eastAsia="zh-CN"/>
        </w:rPr>
      </w:pPr>
    </w:p>
    <w:p w14:paraId="086778B0">
      <w:pPr>
        <w:bidi w:val="0"/>
        <w:jc w:val="left"/>
        <w:rPr>
          <w:rFonts w:hint="eastAsia"/>
          <w:lang w:val="en-US" w:eastAsia="zh-CN"/>
        </w:rPr>
      </w:pPr>
    </w:p>
    <w:p w14:paraId="01734D44">
      <w:pPr>
        <w:bidi w:val="0"/>
        <w:jc w:val="left"/>
        <w:rPr>
          <w:rFonts w:hint="eastAsia"/>
          <w:lang w:val="en-US" w:eastAsia="zh-CN"/>
        </w:rPr>
      </w:pPr>
    </w:p>
    <w:p w14:paraId="228A4CC5">
      <w:pPr>
        <w:bidi w:val="0"/>
        <w:jc w:val="left"/>
        <w:rPr>
          <w:rFonts w:hint="eastAsia"/>
          <w:lang w:val="en-US" w:eastAsia="zh-CN"/>
        </w:rPr>
      </w:pPr>
    </w:p>
    <w:p w14:paraId="5F1D64A3">
      <w:pPr>
        <w:bidi w:val="0"/>
        <w:jc w:val="left"/>
        <w:rPr>
          <w:rFonts w:hint="eastAsia"/>
          <w:lang w:val="en-US" w:eastAsia="zh-CN"/>
        </w:rPr>
      </w:pPr>
    </w:p>
    <w:p w14:paraId="3916CB41">
      <w:pPr>
        <w:bidi w:val="0"/>
        <w:jc w:val="left"/>
        <w:rPr>
          <w:rFonts w:hint="eastAsia"/>
          <w:lang w:val="en-US" w:eastAsia="zh-CN"/>
        </w:rPr>
      </w:pPr>
    </w:p>
    <w:p w14:paraId="636F41B5">
      <w:pPr>
        <w:bidi w:val="0"/>
        <w:jc w:val="left"/>
        <w:rPr>
          <w:rFonts w:hint="eastAsia"/>
          <w:lang w:val="en-US" w:eastAsia="zh-CN"/>
        </w:rPr>
      </w:pPr>
    </w:p>
    <w:p w14:paraId="56C3C951">
      <w:pPr>
        <w:bidi w:val="0"/>
        <w:jc w:val="left"/>
        <w:rPr>
          <w:rFonts w:hint="eastAsia"/>
          <w:lang w:val="en-US" w:eastAsia="zh-CN"/>
        </w:rPr>
      </w:pPr>
    </w:p>
    <w:p w14:paraId="2FD50741">
      <w:pPr>
        <w:bidi w:val="0"/>
        <w:jc w:val="left"/>
        <w:rPr>
          <w:rFonts w:hint="eastAsia"/>
          <w:lang w:val="en-US" w:eastAsia="zh-CN"/>
        </w:rPr>
      </w:pPr>
    </w:p>
    <w:p w14:paraId="14FAB7EB">
      <w:pPr>
        <w:bidi w:val="0"/>
        <w:jc w:val="left"/>
        <w:rPr>
          <w:rFonts w:hint="eastAsia"/>
          <w:lang w:val="en-US" w:eastAsia="zh-CN"/>
        </w:rPr>
      </w:pPr>
    </w:p>
    <w:p w14:paraId="1F90B9A2">
      <w:pPr>
        <w:bidi w:val="0"/>
        <w:jc w:val="left"/>
        <w:rPr>
          <w:rFonts w:hint="eastAsia"/>
          <w:lang w:val="en-US" w:eastAsia="zh-CN"/>
        </w:rPr>
      </w:pPr>
    </w:p>
    <w:p w14:paraId="1EA757DC">
      <w:pPr>
        <w:bidi w:val="0"/>
        <w:jc w:val="left"/>
        <w:rPr>
          <w:rFonts w:hint="eastAsia"/>
          <w:lang w:val="en-US" w:eastAsia="zh-CN"/>
        </w:rPr>
      </w:pPr>
    </w:p>
    <w:p w14:paraId="596A9B99">
      <w:pPr>
        <w:bidi w:val="0"/>
        <w:jc w:val="left"/>
        <w:rPr>
          <w:rFonts w:hint="eastAsia"/>
          <w:lang w:val="en-US" w:eastAsia="zh-CN"/>
        </w:rPr>
      </w:pPr>
    </w:p>
    <w:p w14:paraId="386F394B">
      <w:pPr>
        <w:bidi w:val="0"/>
        <w:jc w:val="left"/>
      </w:pPr>
    </w:p>
    <w:p w14:paraId="385E45A3">
      <w:pPr>
        <w:bidi w:val="0"/>
        <w:jc w:val="left"/>
      </w:pPr>
    </w:p>
    <w:p w14:paraId="6994E97D">
      <w:pPr>
        <w:bidi w:val="0"/>
        <w:jc w:val="left"/>
      </w:pPr>
    </w:p>
    <w:p w14:paraId="769453A8">
      <w:pPr>
        <w:bidi w:val="0"/>
        <w:jc w:val="left"/>
      </w:pPr>
    </w:p>
    <w:p w14:paraId="6F03BF26">
      <w:pPr>
        <w:bidi w:val="0"/>
        <w:jc w:val="left"/>
      </w:pPr>
    </w:p>
    <w:p w14:paraId="5AC934EF">
      <w:pPr>
        <w:bidi w:val="0"/>
        <w:jc w:val="left"/>
      </w:pPr>
    </w:p>
    <w:p w14:paraId="190AB5D4">
      <w:pPr>
        <w:rPr>
          <w:rFonts w:hint="eastAsia"/>
          <w:b/>
          <w:bCs/>
          <w:lang w:eastAsia="zh-CN"/>
        </w:rPr>
      </w:pPr>
      <w:r>
        <w:rPr>
          <w:rFonts w:hint="eastAsia"/>
          <w:b/>
          <w:bCs/>
          <w:lang w:eastAsia="zh-CN"/>
        </w:rPr>
        <w:br w:type="page"/>
      </w:r>
    </w:p>
    <w:p w14:paraId="323C5D9B">
      <w:pPr>
        <w:rPr>
          <w:rFonts w:hint="eastAsia"/>
          <w:b/>
          <w:bCs/>
          <w:lang w:eastAsia="zh-CN"/>
        </w:rPr>
      </w:pPr>
      <w:r>
        <w:drawing>
          <wp:inline distT="0" distB="0" distL="114300" distR="114300">
            <wp:extent cx="5868035" cy="8159115"/>
            <wp:effectExtent l="0" t="0" r="18415" b="13335"/>
            <wp:docPr id="32" name="图片 3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1"/>
                    <pic:cNvPicPr>
                      <a:picLocks noChangeAspect="1"/>
                    </pic:cNvPicPr>
                  </pic:nvPicPr>
                  <pic:blipFill>
                    <a:blip r:embed="rId52"/>
                    <a:stretch>
                      <a:fillRect/>
                    </a:stretch>
                  </pic:blipFill>
                  <pic:spPr>
                    <a:xfrm>
                      <a:off x="0" y="0"/>
                      <a:ext cx="5868035" cy="8159115"/>
                    </a:xfrm>
                    <a:prstGeom prst="rect">
                      <a:avLst/>
                    </a:prstGeom>
                  </pic:spPr>
                </pic:pic>
              </a:graphicData>
            </a:graphic>
          </wp:inline>
        </w:drawing>
      </w:r>
      <w:r>
        <w:drawing>
          <wp:inline distT="0" distB="0" distL="114300" distR="114300">
            <wp:extent cx="5749290" cy="8544560"/>
            <wp:effectExtent l="0" t="0" r="3810" b="8890"/>
            <wp:docPr id="31" name="图片 3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2"/>
                    <pic:cNvPicPr>
                      <a:picLocks noChangeAspect="1"/>
                    </pic:cNvPicPr>
                  </pic:nvPicPr>
                  <pic:blipFill>
                    <a:blip r:embed="rId53"/>
                    <a:stretch>
                      <a:fillRect/>
                    </a:stretch>
                  </pic:blipFill>
                  <pic:spPr>
                    <a:xfrm>
                      <a:off x="0" y="0"/>
                      <a:ext cx="5749290" cy="8544560"/>
                    </a:xfrm>
                    <a:prstGeom prst="rect">
                      <a:avLst/>
                    </a:prstGeom>
                  </pic:spPr>
                </pic:pic>
              </a:graphicData>
            </a:graphic>
          </wp:inline>
        </w:drawing>
      </w:r>
      <w:r>
        <w:drawing>
          <wp:inline distT="0" distB="0" distL="114300" distR="114300">
            <wp:extent cx="6005195" cy="8260080"/>
            <wp:effectExtent l="0" t="0" r="14605" b="7620"/>
            <wp:docPr id="30" name="图片 3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3"/>
                    <pic:cNvPicPr>
                      <a:picLocks noChangeAspect="1"/>
                    </pic:cNvPicPr>
                  </pic:nvPicPr>
                  <pic:blipFill>
                    <a:blip r:embed="rId54"/>
                    <a:stretch>
                      <a:fillRect/>
                    </a:stretch>
                  </pic:blipFill>
                  <pic:spPr>
                    <a:xfrm>
                      <a:off x="0" y="0"/>
                      <a:ext cx="6005195" cy="8260080"/>
                    </a:xfrm>
                    <a:prstGeom prst="rect">
                      <a:avLst/>
                    </a:prstGeom>
                  </pic:spPr>
                </pic:pic>
              </a:graphicData>
            </a:graphic>
          </wp:inline>
        </w:drawing>
      </w:r>
      <w:r>
        <w:drawing>
          <wp:inline distT="0" distB="0" distL="114300" distR="114300">
            <wp:extent cx="6151245" cy="8461375"/>
            <wp:effectExtent l="0" t="0" r="1905" b="15875"/>
            <wp:docPr id="29" name="图片 2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4"/>
                    <pic:cNvPicPr>
                      <a:picLocks noChangeAspect="1"/>
                    </pic:cNvPicPr>
                  </pic:nvPicPr>
                  <pic:blipFill>
                    <a:blip r:embed="rId55"/>
                    <a:stretch>
                      <a:fillRect/>
                    </a:stretch>
                  </pic:blipFill>
                  <pic:spPr>
                    <a:xfrm>
                      <a:off x="0" y="0"/>
                      <a:ext cx="6151245" cy="8461375"/>
                    </a:xfrm>
                    <a:prstGeom prst="rect">
                      <a:avLst/>
                    </a:prstGeom>
                  </pic:spPr>
                </pic:pic>
              </a:graphicData>
            </a:graphic>
          </wp:inline>
        </w:drawing>
      </w:r>
      <w:r>
        <w:drawing>
          <wp:inline distT="0" distB="0" distL="114300" distR="114300">
            <wp:extent cx="5996305" cy="8206740"/>
            <wp:effectExtent l="0" t="0" r="4445" b="3810"/>
            <wp:docPr id="28" name="图片 2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5"/>
                    <pic:cNvPicPr>
                      <a:picLocks noChangeAspect="1"/>
                    </pic:cNvPicPr>
                  </pic:nvPicPr>
                  <pic:blipFill>
                    <a:blip r:embed="rId56"/>
                    <a:stretch>
                      <a:fillRect/>
                    </a:stretch>
                  </pic:blipFill>
                  <pic:spPr>
                    <a:xfrm>
                      <a:off x="0" y="0"/>
                      <a:ext cx="5996305" cy="8206740"/>
                    </a:xfrm>
                    <a:prstGeom prst="rect">
                      <a:avLst/>
                    </a:prstGeom>
                  </pic:spPr>
                </pic:pic>
              </a:graphicData>
            </a:graphic>
          </wp:inline>
        </w:drawing>
      </w:r>
      <w:r>
        <w:drawing>
          <wp:inline distT="0" distB="0" distL="114300" distR="114300">
            <wp:extent cx="5871845" cy="8137525"/>
            <wp:effectExtent l="0" t="0" r="14605" b="15875"/>
            <wp:docPr id="27" name="图片 2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6"/>
                    <pic:cNvPicPr>
                      <a:picLocks noChangeAspect="1"/>
                    </pic:cNvPicPr>
                  </pic:nvPicPr>
                  <pic:blipFill>
                    <a:blip r:embed="rId57"/>
                    <a:stretch>
                      <a:fillRect/>
                    </a:stretch>
                  </pic:blipFill>
                  <pic:spPr>
                    <a:xfrm>
                      <a:off x="0" y="0"/>
                      <a:ext cx="5871845" cy="8137525"/>
                    </a:xfrm>
                    <a:prstGeom prst="rect">
                      <a:avLst/>
                    </a:prstGeom>
                  </pic:spPr>
                </pic:pic>
              </a:graphicData>
            </a:graphic>
          </wp:inline>
        </w:drawing>
      </w:r>
      <w:r>
        <w:drawing>
          <wp:inline distT="0" distB="0" distL="114300" distR="114300">
            <wp:extent cx="5861050" cy="8059420"/>
            <wp:effectExtent l="0" t="0" r="6350" b="17780"/>
            <wp:docPr id="26" name="图片 26"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7"/>
                    <pic:cNvPicPr>
                      <a:picLocks noChangeAspect="1"/>
                    </pic:cNvPicPr>
                  </pic:nvPicPr>
                  <pic:blipFill>
                    <a:blip r:embed="rId58"/>
                    <a:stretch>
                      <a:fillRect/>
                    </a:stretch>
                  </pic:blipFill>
                  <pic:spPr>
                    <a:xfrm>
                      <a:off x="0" y="0"/>
                      <a:ext cx="5861050" cy="8059420"/>
                    </a:xfrm>
                    <a:prstGeom prst="rect">
                      <a:avLst/>
                    </a:prstGeom>
                  </pic:spPr>
                </pic:pic>
              </a:graphicData>
            </a:graphic>
          </wp:inline>
        </w:drawing>
      </w:r>
      <w:r>
        <w:drawing>
          <wp:inline distT="0" distB="0" distL="114300" distR="114300">
            <wp:extent cx="5690870" cy="8573770"/>
            <wp:effectExtent l="0" t="0" r="5080" b="17780"/>
            <wp:docPr id="33" name="图片 33"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8"/>
                    <pic:cNvPicPr>
                      <a:picLocks noChangeAspect="1"/>
                    </pic:cNvPicPr>
                  </pic:nvPicPr>
                  <pic:blipFill>
                    <a:blip r:embed="rId59"/>
                    <a:stretch>
                      <a:fillRect/>
                    </a:stretch>
                  </pic:blipFill>
                  <pic:spPr>
                    <a:xfrm>
                      <a:off x="0" y="0"/>
                      <a:ext cx="5690870" cy="8573770"/>
                    </a:xfrm>
                    <a:prstGeom prst="rect">
                      <a:avLst/>
                    </a:prstGeom>
                  </pic:spPr>
                </pic:pic>
              </a:graphicData>
            </a:graphic>
          </wp:inline>
        </w:drawing>
      </w:r>
      <w:r>
        <w:drawing>
          <wp:inline distT="0" distB="0" distL="114300" distR="114300">
            <wp:extent cx="6059170" cy="8314055"/>
            <wp:effectExtent l="0" t="0" r="17780" b="1079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60"/>
                    <a:stretch>
                      <a:fillRect/>
                    </a:stretch>
                  </pic:blipFill>
                  <pic:spPr>
                    <a:xfrm>
                      <a:off x="0" y="0"/>
                      <a:ext cx="6059170" cy="8314055"/>
                    </a:xfrm>
                    <a:prstGeom prst="rect">
                      <a:avLst/>
                    </a:prstGeom>
                    <a:noFill/>
                    <a:ln>
                      <a:noFill/>
                    </a:ln>
                  </pic:spPr>
                </pic:pic>
              </a:graphicData>
            </a:graphic>
          </wp:inline>
        </w:drawing>
      </w:r>
      <w:r>
        <w:drawing>
          <wp:inline distT="0" distB="0" distL="114300" distR="114300">
            <wp:extent cx="6216650" cy="8443595"/>
            <wp:effectExtent l="0" t="0" r="12700" b="1460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61"/>
                    <a:stretch>
                      <a:fillRect/>
                    </a:stretch>
                  </pic:blipFill>
                  <pic:spPr>
                    <a:xfrm>
                      <a:off x="0" y="0"/>
                      <a:ext cx="6216650" cy="8443595"/>
                    </a:xfrm>
                    <a:prstGeom prst="rect">
                      <a:avLst/>
                    </a:prstGeom>
                    <a:noFill/>
                    <a:ln>
                      <a:noFill/>
                    </a:ln>
                  </pic:spPr>
                </pic:pic>
              </a:graphicData>
            </a:graphic>
          </wp:inline>
        </w:drawing>
      </w:r>
      <w:r>
        <w:drawing>
          <wp:inline distT="0" distB="0" distL="114300" distR="114300">
            <wp:extent cx="5911215" cy="7898765"/>
            <wp:effectExtent l="0" t="0" r="13335" b="6985"/>
            <wp:docPr id="1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7"/>
                    <pic:cNvPicPr>
                      <a:picLocks noChangeAspect="1"/>
                    </pic:cNvPicPr>
                  </pic:nvPicPr>
                  <pic:blipFill>
                    <a:blip r:embed="rId62"/>
                    <a:stretch>
                      <a:fillRect/>
                    </a:stretch>
                  </pic:blipFill>
                  <pic:spPr>
                    <a:xfrm>
                      <a:off x="0" y="0"/>
                      <a:ext cx="5911215" cy="7898765"/>
                    </a:xfrm>
                    <a:prstGeom prst="rect">
                      <a:avLst/>
                    </a:prstGeom>
                    <a:noFill/>
                    <a:ln>
                      <a:noFill/>
                    </a:ln>
                  </pic:spPr>
                </pic:pic>
              </a:graphicData>
            </a:graphic>
          </wp:inline>
        </w:drawing>
      </w:r>
      <w:r>
        <w:drawing>
          <wp:inline distT="0" distB="0" distL="114300" distR="114300">
            <wp:extent cx="6106795" cy="8807450"/>
            <wp:effectExtent l="0" t="0" r="8255" b="12700"/>
            <wp:docPr id="2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8"/>
                    <pic:cNvPicPr>
                      <a:picLocks noChangeAspect="1"/>
                    </pic:cNvPicPr>
                  </pic:nvPicPr>
                  <pic:blipFill>
                    <a:blip r:embed="rId63"/>
                    <a:stretch>
                      <a:fillRect/>
                    </a:stretch>
                  </pic:blipFill>
                  <pic:spPr>
                    <a:xfrm>
                      <a:off x="0" y="0"/>
                      <a:ext cx="6106795" cy="8807450"/>
                    </a:xfrm>
                    <a:prstGeom prst="rect">
                      <a:avLst/>
                    </a:prstGeom>
                    <a:noFill/>
                    <a:ln>
                      <a:noFill/>
                    </a:ln>
                  </pic:spPr>
                </pic:pic>
              </a:graphicData>
            </a:graphic>
          </wp:inline>
        </w:drawing>
      </w:r>
      <w:r>
        <w:drawing>
          <wp:inline distT="0" distB="0" distL="114300" distR="114300">
            <wp:extent cx="6177280" cy="8375650"/>
            <wp:effectExtent l="0" t="0" r="13970" b="6350"/>
            <wp:docPr id="2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9"/>
                    <pic:cNvPicPr>
                      <a:picLocks noChangeAspect="1"/>
                    </pic:cNvPicPr>
                  </pic:nvPicPr>
                  <pic:blipFill>
                    <a:blip r:embed="rId64"/>
                    <a:stretch>
                      <a:fillRect/>
                    </a:stretch>
                  </pic:blipFill>
                  <pic:spPr>
                    <a:xfrm>
                      <a:off x="0" y="0"/>
                      <a:ext cx="6177280" cy="8375650"/>
                    </a:xfrm>
                    <a:prstGeom prst="rect">
                      <a:avLst/>
                    </a:prstGeom>
                    <a:noFill/>
                    <a:ln>
                      <a:noFill/>
                    </a:ln>
                  </pic:spPr>
                </pic:pic>
              </a:graphicData>
            </a:graphic>
          </wp:inline>
        </w:drawing>
      </w:r>
      <w:r>
        <w:drawing>
          <wp:inline distT="0" distB="0" distL="114300" distR="114300">
            <wp:extent cx="5903595" cy="8209915"/>
            <wp:effectExtent l="0" t="0" r="1905" b="635"/>
            <wp:docPr id="2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0"/>
                    <pic:cNvPicPr>
                      <a:picLocks noChangeAspect="1"/>
                    </pic:cNvPicPr>
                  </pic:nvPicPr>
                  <pic:blipFill>
                    <a:blip r:embed="rId65"/>
                    <a:stretch>
                      <a:fillRect/>
                    </a:stretch>
                  </pic:blipFill>
                  <pic:spPr>
                    <a:xfrm>
                      <a:off x="0" y="0"/>
                      <a:ext cx="5903595" cy="8209915"/>
                    </a:xfrm>
                    <a:prstGeom prst="rect">
                      <a:avLst/>
                    </a:prstGeom>
                    <a:noFill/>
                    <a:ln>
                      <a:noFill/>
                    </a:ln>
                  </pic:spPr>
                </pic:pic>
              </a:graphicData>
            </a:graphic>
          </wp:inline>
        </w:drawing>
      </w:r>
      <w:r>
        <w:drawing>
          <wp:inline distT="0" distB="0" distL="114300" distR="114300">
            <wp:extent cx="6264910" cy="8602345"/>
            <wp:effectExtent l="0" t="0" r="2540" b="8255"/>
            <wp:docPr id="2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1"/>
                    <pic:cNvPicPr>
                      <a:picLocks noChangeAspect="1"/>
                    </pic:cNvPicPr>
                  </pic:nvPicPr>
                  <pic:blipFill>
                    <a:blip r:embed="rId66"/>
                    <a:stretch>
                      <a:fillRect/>
                    </a:stretch>
                  </pic:blipFill>
                  <pic:spPr>
                    <a:xfrm>
                      <a:off x="0" y="0"/>
                      <a:ext cx="6264910" cy="8602345"/>
                    </a:xfrm>
                    <a:prstGeom prst="rect">
                      <a:avLst/>
                    </a:prstGeom>
                    <a:noFill/>
                    <a:ln>
                      <a:noFill/>
                    </a:ln>
                  </pic:spPr>
                </pic:pic>
              </a:graphicData>
            </a:graphic>
          </wp:inline>
        </w:drawing>
      </w:r>
      <w:r>
        <w:drawing>
          <wp:inline distT="0" distB="0" distL="114300" distR="114300">
            <wp:extent cx="6145530" cy="8540750"/>
            <wp:effectExtent l="0" t="0" r="7620" b="12700"/>
            <wp:docPr id="2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2"/>
                    <pic:cNvPicPr>
                      <a:picLocks noChangeAspect="1"/>
                    </pic:cNvPicPr>
                  </pic:nvPicPr>
                  <pic:blipFill>
                    <a:blip r:embed="rId67"/>
                    <a:stretch>
                      <a:fillRect/>
                    </a:stretch>
                  </pic:blipFill>
                  <pic:spPr>
                    <a:xfrm>
                      <a:off x="0" y="0"/>
                      <a:ext cx="6145530" cy="8540750"/>
                    </a:xfrm>
                    <a:prstGeom prst="rect">
                      <a:avLst/>
                    </a:prstGeom>
                    <a:noFill/>
                    <a:ln>
                      <a:noFill/>
                    </a:ln>
                  </pic:spPr>
                </pic:pic>
              </a:graphicData>
            </a:graphic>
          </wp:inline>
        </w:drawing>
      </w:r>
      <w:r>
        <w:drawing>
          <wp:inline distT="0" distB="0" distL="114300" distR="114300">
            <wp:extent cx="6097905" cy="8793480"/>
            <wp:effectExtent l="0" t="0" r="17145" b="7620"/>
            <wp:docPr id="2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3"/>
                    <pic:cNvPicPr>
                      <a:picLocks noChangeAspect="1"/>
                    </pic:cNvPicPr>
                  </pic:nvPicPr>
                  <pic:blipFill>
                    <a:blip r:embed="rId68"/>
                    <a:stretch>
                      <a:fillRect/>
                    </a:stretch>
                  </pic:blipFill>
                  <pic:spPr>
                    <a:xfrm>
                      <a:off x="0" y="0"/>
                      <a:ext cx="6097905" cy="8793480"/>
                    </a:xfrm>
                    <a:prstGeom prst="rect">
                      <a:avLst/>
                    </a:prstGeom>
                    <a:noFill/>
                    <a:ln>
                      <a:noFill/>
                    </a:ln>
                  </pic:spPr>
                </pic:pic>
              </a:graphicData>
            </a:graphic>
          </wp:inline>
        </w:drawing>
      </w:r>
      <w:r>
        <w:rPr>
          <w:rFonts w:hint="eastAsia"/>
          <w:b/>
          <w:bCs/>
          <w:lang w:eastAsia="zh-CN"/>
        </w:rPr>
        <w:br w:type="page"/>
      </w:r>
    </w:p>
    <w:p w14:paraId="58BEEA48">
      <w:pPr>
        <w:bidi w:val="0"/>
        <w:jc w:val="left"/>
        <w:rPr>
          <w:rFonts w:hint="eastAsia"/>
          <w:b/>
          <w:bCs/>
          <w:lang w:val="en-US" w:eastAsia="zh-CN"/>
        </w:rPr>
      </w:pPr>
      <w:r>
        <w:rPr>
          <w:rFonts w:hint="eastAsia"/>
          <w:b/>
          <w:bCs/>
          <w:lang w:eastAsia="zh-CN"/>
        </w:rPr>
        <w:t>行政处罚决定书</w:t>
      </w:r>
      <w:r>
        <w:drawing>
          <wp:inline distT="0" distB="0" distL="114300" distR="114300">
            <wp:extent cx="5389880" cy="8326120"/>
            <wp:effectExtent l="0" t="0" r="1270" b="1778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69"/>
                    <a:stretch>
                      <a:fillRect/>
                    </a:stretch>
                  </pic:blipFill>
                  <pic:spPr>
                    <a:xfrm>
                      <a:off x="0" y="0"/>
                      <a:ext cx="5389880" cy="8326120"/>
                    </a:xfrm>
                    <a:prstGeom prst="rect">
                      <a:avLst/>
                    </a:prstGeom>
                    <a:noFill/>
                    <a:ln>
                      <a:noFill/>
                    </a:ln>
                  </pic:spPr>
                </pic:pic>
              </a:graphicData>
            </a:graphic>
          </wp:inline>
        </w:drawing>
      </w:r>
      <w:r>
        <w:drawing>
          <wp:inline distT="0" distB="0" distL="114300" distR="114300">
            <wp:extent cx="5497195" cy="8433435"/>
            <wp:effectExtent l="0" t="0" r="8255" b="571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70"/>
                    <a:stretch>
                      <a:fillRect/>
                    </a:stretch>
                  </pic:blipFill>
                  <pic:spPr>
                    <a:xfrm>
                      <a:off x="0" y="0"/>
                      <a:ext cx="5497195" cy="8433435"/>
                    </a:xfrm>
                    <a:prstGeom prst="rect">
                      <a:avLst/>
                    </a:prstGeom>
                    <a:noFill/>
                    <a:ln>
                      <a:noFill/>
                    </a:ln>
                  </pic:spPr>
                </pic:pic>
              </a:graphicData>
            </a:graphic>
          </wp:inline>
        </w:drawing>
      </w:r>
    </w:p>
    <w:p w14:paraId="05263FA7">
      <w:pPr>
        <w:bidi w:val="0"/>
        <w:jc w:val="left"/>
        <w:rPr>
          <w:rFonts w:hint="eastAsia"/>
          <w:b/>
          <w:bCs/>
          <w:lang w:val="en-US" w:eastAsia="zh-CN"/>
        </w:rPr>
      </w:pPr>
    </w:p>
    <w:p w14:paraId="1A6504DF">
      <w:pPr>
        <w:bidi w:val="0"/>
        <w:jc w:val="left"/>
        <w:rPr>
          <w:rFonts w:hint="eastAsia"/>
          <w:b/>
          <w:bCs/>
          <w:lang w:val="en-US" w:eastAsia="zh-CN"/>
        </w:rPr>
      </w:pPr>
      <w:r>
        <w:rPr>
          <w:rFonts w:hint="eastAsia"/>
          <w:b/>
          <w:bCs/>
          <w:lang w:val="en-US" w:eastAsia="zh-CN"/>
        </w:rPr>
        <w:t>罚款缴纳凭证</w:t>
      </w:r>
      <w:r>
        <w:rPr>
          <w:rFonts w:hint="eastAsia"/>
          <w:b/>
          <w:bCs/>
          <w:lang w:val="en-US" w:eastAsia="zh-CN"/>
        </w:rPr>
        <w:drawing>
          <wp:inline distT="0" distB="0" distL="114300" distR="114300">
            <wp:extent cx="5271135" cy="7452360"/>
            <wp:effectExtent l="0" t="0" r="5715" b="15240"/>
            <wp:docPr id="2" name="图片 2" descr="微信图片_20250604102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微信图片_20250604102607"/>
                    <pic:cNvPicPr>
                      <a:picLocks noChangeAspect="1"/>
                    </pic:cNvPicPr>
                  </pic:nvPicPr>
                  <pic:blipFill>
                    <a:blip r:embed="rId71"/>
                    <a:stretch>
                      <a:fillRect/>
                    </a:stretch>
                  </pic:blipFill>
                  <pic:spPr>
                    <a:xfrm>
                      <a:off x="0" y="0"/>
                      <a:ext cx="5271135" cy="7452360"/>
                    </a:xfrm>
                    <a:prstGeom prst="rect">
                      <a:avLst/>
                    </a:prstGeom>
                  </pic:spPr>
                </pic:pic>
              </a:graphicData>
            </a:graphic>
          </wp:inline>
        </w:drawing>
      </w:r>
    </w:p>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AFF" w:usb1="C0007841" w:usb2="00000009" w:usb3="00000000" w:csb0="400001FF" w:csb1="FFFF0000"/>
  </w:font>
  <w:font w:name="宋体">
    <w:panose1 w:val="02010600030101010101"/>
    <w:charset w:val="80"/>
    <w:family w:val="roma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Arial Unicode MS">
    <w:altName w:val="宋体"/>
    <w:panose1 w:val="020B0604020202020204"/>
    <w:charset w:val="86"/>
    <w:family w:val="swiss"/>
    <w:pitch w:val="default"/>
    <w:sig w:usb0="00000000" w:usb1="00000000" w:usb2="0000003F" w:usb3="00000000" w:csb0="603F01FF" w:csb1="FFFF0000"/>
  </w:font>
  <w:font w:name="Tahoma">
    <w:panose1 w:val="020B0604030504040204"/>
    <w:charset w:val="00"/>
    <w:family w:val="swiss"/>
    <w:pitch w:val="default"/>
    <w:sig w:usb0="E1002EFF" w:usb1="C000605B" w:usb2="00000029" w:usb3="00000000" w:csb0="200101FF" w:csb1="20280000"/>
  </w:font>
  <w:font w:name="仿宋_GB2312)">
    <w:altName w:val="宋体"/>
    <w:panose1 w:val="00000000000000000000"/>
    <w:charset w:val="86"/>
    <w:family w:val="roman"/>
    <w:pitch w:val="default"/>
    <w:sig w:usb0="00000000" w:usb1="00000000" w:usb2="00000000" w:usb3="00000000" w:csb0="00000000" w:csb1="00000000"/>
  </w:font>
  <w:font w:name="Arial Narrow">
    <w:altName w:val="Arial"/>
    <w:panose1 w:val="020B0606020202030204"/>
    <w:charset w:val="00"/>
    <w:family w:val="swiss"/>
    <w:pitch w:val="default"/>
    <w:sig w:usb0="00000000" w:usb1="00000000" w:usb2="00000000" w:usb3="00000000" w:csb0="2000009F" w:csb1="DFD70000"/>
  </w:font>
  <w:font w:name="华文中宋">
    <w:altName w:val="宋体"/>
    <w:panose1 w:val="02010600040101010101"/>
    <w:charset w:val="86"/>
    <w:family w:val="auto"/>
    <w:pitch w:val="default"/>
    <w:sig w:usb0="00000000" w:usb1="00000000" w:usb2="00000000" w:usb3="00000000" w:csb0="0004009F" w:csb1="DFD70000"/>
  </w:font>
  <w:font w:name="隶书">
    <w:altName w:val="微软雅黑"/>
    <w:panose1 w:val="02010509060101010101"/>
    <w:charset w:val="86"/>
    <w:family w:val="modern"/>
    <w:pitch w:val="default"/>
    <w:sig w:usb0="00000000" w:usb1="00000000" w:usb2="00000000" w:usb3="00000000" w:csb0="00040000" w:csb1="00000000"/>
  </w:font>
  <w:font w:name="微软雅黑">
    <w:panose1 w:val="020B0503020204020204"/>
    <w:charset w:val="86"/>
    <w:family w:val="auto"/>
    <w:pitch w:val="default"/>
    <w:sig w:usb0="80000287" w:usb1="280F3C52" w:usb2="00000016" w:usb3="00000000" w:csb0="0004001F" w:csb1="00000000"/>
  </w:font>
  <w:font w:name="Tms Rmn">
    <w:altName w:val="Segoe Print"/>
    <w:panose1 w:val="02020603040505020304"/>
    <w:charset w:val="00"/>
    <w:family w:val="roma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Verdana">
    <w:panose1 w:val="020B0604030504040204"/>
    <w:charset w:val="00"/>
    <w:family w:val="swiss"/>
    <w:pitch w:val="default"/>
    <w:sig w:usb0="A10006FF" w:usb1="4000205B" w:usb2="00000010" w:usb3="00000000" w:csb0="2000019F" w:csb1="00000000"/>
  </w:font>
  <w:font w:name="方正小标宋_GBK">
    <w:altName w:val="微软雅黑"/>
    <w:panose1 w:val="00000000000000000000"/>
    <w:charset w:val="86"/>
    <w:family w:val="script"/>
    <w:pitch w:val="default"/>
    <w:sig w:usb0="00000000" w:usb1="00000000" w:usb2="00082016" w:usb3="00000000" w:csb0="00040001" w:csb1="00000000"/>
  </w:font>
  <w:font w:name="Wingdings 2">
    <w:altName w:val="Wingdings"/>
    <w:panose1 w:val="05020102010507070707"/>
    <w:charset w:val="02"/>
    <w:family w:val="roman"/>
    <w:pitch w:val="default"/>
    <w:sig w:usb0="00000000" w:usb1="00000000" w:usb2="00000000" w:usb3="00000000" w:csb0="80000000" w:csb1="00000000"/>
  </w:font>
  <w:font w:name="Cambria Math">
    <w:panose1 w:val="02040503050406030204"/>
    <w:charset w:val="00"/>
    <w:family w:val="auto"/>
    <w:pitch w:val="default"/>
    <w:sig w:usb0="E00002FF" w:usb1="420024FF" w:usb2="00000000" w:usb3="00000000" w:csb0="2000019F" w:csb1="00000000"/>
  </w:font>
  <w:font w:name="新宋体">
    <w:panose1 w:val="02010609030101010101"/>
    <w:charset w:val="86"/>
    <w:family w:val="modern"/>
    <w:pitch w:val="default"/>
    <w:sig w:usb0="00000003" w:usb1="288F0000" w:usb2="00000006" w:usb3="00000000" w:csb0="00040001" w:csb1="00000000"/>
  </w:font>
  <w:font w:name="等线">
    <w:altName w:val="微软雅黑"/>
    <w:panose1 w:val="00000000000000000000"/>
    <w:charset w:val="86"/>
    <w:family w:val="auto"/>
    <w:pitch w:val="default"/>
    <w:sig w:usb0="00000000" w:usb1="00000000" w:usb2="00000016" w:usb3="00000000" w:csb0="0004000F" w:csb1="00000000"/>
  </w:font>
  <w:font w:name="Kingsoft UE">
    <w:panose1 w:val="02000100010000000000"/>
    <w:charset w:val="00"/>
    <w:family w:val="auto"/>
    <w:pitch w:val="default"/>
    <w:sig w:usb0="00000001" w:usb1="00004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D0A282">
    <w:pPr>
      <w:pStyle w:val="30"/>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6E3200">
    <w:pPr>
      <w:pStyle w:val="30"/>
      <w:ind w:right="360" w:firstLine="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4970B6">
    <w:pPr>
      <w:pStyle w:val="30"/>
      <w:ind w:right="360" w:firstLine="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DB57F4">
    <w:pPr>
      <w:pStyle w:val="30"/>
      <w:ind w:right="360" w:firstLine="360"/>
      <w:jc w:val="center"/>
    </w:pPr>
    <w:r>
      <w:rPr>
        <w:sz w:val="18"/>
      </w:rPr>
      <w:pict>
        <v:shape id="_x0000_s3085" o:spid="_x0000_s3085" o:spt="202" type="#_x0000_t202" style="position:absolute;left:0pt;margin-top:0pt;height:144pt;width:144pt;mso-position-horizontal:outside;mso-position-horizontal-relative:margin;mso-wrap-style:none;z-index:251663360;mso-width-relative:page;mso-height-relative:page;" filled="f" stroked="f" coordsize="21600,21600">
          <v:path/>
          <v:fill on="f" focussize="0,0"/>
          <v:stroke on="f"/>
          <v:imagedata o:title=""/>
          <o:lock v:ext="edit" aspectratio="f"/>
          <v:textbox inset="0mm,0mm,0mm,0mm" style="mso-fit-shape-to-text:t;">
            <w:txbxContent>
              <w:p w14:paraId="1C9232BF">
                <w:pPr>
                  <w:pStyle w:val="30"/>
                  <w:rPr>
                    <w:rStyle w:val="51"/>
                    <w:rFonts w:ascii="宋体" w:hAnsi="宋体"/>
                    <w:sz w:val="28"/>
                    <w:szCs w:val="28"/>
                  </w:rPr>
                </w:pPr>
                <w:r>
                  <w:rPr>
                    <w:rStyle w:val="51"/>
                    <w:rFonts w:hint="eastAsia" w:ascii="宋体" w:hAnsi="宋体"/>
                    <w:sz w:val="28"/>
                    <w:szCs w:val="28"/>
                  </w:rPr>
                  <w:t>—</w:t>
                </w:r>
                <w:r>
                  <w:rPr>
                    <w:rStyle w:val="51"/>
                    <w:rFonts w:hint="eastAsia" w:ascii="宋体" w:hAnsi="宋体"/>
                    <w:sz w:val="20"/>
                  </w:rPr>
                  <w:t xml:space="preserve">  </w:t>
                </w:r>
                <w:r>
                  <w:rPr>
                    <w:rStyle w:val="51"/>
                    <w:rFonts w:ascii="宋体" w:hAnsi="宋体"/>
                    <w:sz w:val="26"/>
                    <w:szCs w:val="26"/>
                  </w:rPr>
                  <w:fldChar w:fldCharType="begin"/>
                </w:r>
                <w:r>
                  <w:rPr>
                    <w:rStyle w:val="51"/>
                    <w:rFonts w:ascii="宋体" w:hAnsi="宋体"/>
                    <w:sz w:val="26"/>
                    <w:szCs w:val="26"/>
                  </w:rPr>
                  <w:instrText xml:space="preserve">PAGE  </w:instrText>
                </w:r>
                <w:r>
                  <w:rPr>
                    <w:rStyle w:val="51"/>
                    <w:rFonts w:ascii="宋体" w:hAnsi="宋体"/>
                    <w:sz w:val="26"/>
                    <w:szCs w:val="26"/>
                  </w:rPr>
                  <w:fldChar w:fldCharType="separate"/>
                </w:r>
                <w:r>
                  <w:rPr>
                    <w:rStyle w:val="51"/>
                    <w:rFonts w:ascii="宋体" w:hAnsi="宋体"/>
                    <w:sz w:val="26"/>
                    <w:szCs w:val="26"/>
                  </w:rPr>
                  <w:t>14</w:t>
                </w:r>
                <w:r>
                  <w:rPr>
                    <w:rStyle w:val="51"/>
                    <w:rFonts w:ascii="宋体" w:hAnsi="宋体"/>
                    <w:sz w:val="26"/>
                    <w:szCs w:val="26"/>
                  </w:rPr>
                  <w:fldChar w:fldCharType="end"/>
                </w:r>
                <w:r>
                  <w:rPr>
                    <w:rStyle w:val="51"/>
                    <w:rFonts w:hint="eastAsia" w:ascii="宋体" w:hAnsi="宋体"/>
                    <w:sz w:val="20"/>
                  </w:rPr>
                  <w:t xml:space="preserve">  </w:t>
                </w:r>
                <w:r>
                  <w:rPr>
                    <w:rStyle w:val="51"/>
                    <w:rFonts w:hint="eastAsia" w:ascii="宋体" w:hAnsi="宋体"/>
                    <w:sz w:val="28"/>
                    <w:szCs w:val="28"/>
                  </w:rPr>
                  <w:t>—</w:t>
                </w:r>
              </w:p>
            </w:txbxContent>
          </v:textbox>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E52B23">
    <w:pPr>
      <w:pStyle w:val="30"/>
      <w:ind w:right="360" w:firstLine="360"/>
      <w:jc w:val="center"/>
    </w:pPr>
    <w:r>
      <w:rPr>
        <w:sz w:val="18"/>
      </w:rPr>
      <w:pict>
        <v:shape id="_x0000_s3078" o:spid="_x0000_s3078" o:spt="202" type="#_x0000_t202" style="position:absolute;left:0pt;margin-top:0pt;height:144pt;width:144pt;mso-position-horizontal:outside;mso-position-horizontal-relative:margin;mso-wrap-style:none;z-index:251659264;mso-width-relative:page;mso-height-relative:page;" filled="f" stroked="f" coordsize="21600,21600">
          <v:path/>
          <v:fill on="f" focussize="0,0"/>
          <v:stroke on="f"/>
          <v:imagedata o:title=""/>
          <o:lock v:ext="edit" aspectratio="f"/>
          <v:textbox inset="0mm,0mm,0mm,0mm" style="mso-fit-shape-to-text:t;">
            <w:txbxContent>
              <w:p w14:paraId="586C7183">
                <w:pPr>
                  <w:pStyle w:val="30"/>
                  <w:rPr>
                    <w:rStyle w:val="51"/>
                    <w:rFonts w:ascii="宋体" w:hAnsi="宋体"/>
                    <w:sz w:val="28"/>
                    <w:szCs w:val="28"/>
                  </w:rPr>
                </w:pPr>
                <w:r>
                  <w:rPr>
                    <w:rStyle w:val="51"/>
                    <w:rFonts w:hint="eastAsia" w:ascii="宋体" w:hAnsi="宋体"/>
                    <w:sz w:val="28"/>
                    <w:szCs w:val="28"/>
                  </w:rPr>
                  <w:t>—</w:t>
                </w:r>
                <w:r>
                  <w:rPr>
                    <w:rStyle w:val="51"/>
                    <w:rFonts w:hint="eastAsia" w:ascii="宋体" w:hAnsi="宋体"/>
                    <w:sz w:val="20"/>
                  </w:rPr>
                  <w:t xml:space="preserve">  </w:t>
                </w:r>
                <w:r>
                  <w:rPr>
                    <w:rStyle w:val="51"/>
                    <w:rFonts w:ascii="宋体" w:hAnsi="宋体"/>
                    <w:sz w:val="26"/>
                    <w:szCs w:val="26"/>
                  </w:rPr>
                  <w:fldChar w:fldCharType="begin"/>
                </w:r>
                <w:r>
                  <w:rPr>
                    <w:rStyle w:val="51"/>
                    <w:rFonts w:ascii="宋体" w:hAnsi="宋体"/>
                    <w:sz w:val="26"/>
                    <w:szCs w:val="26"/>
                  </w:rPr>
                  <w:instrText xml:space="preserve">PAGE  </w:instrText>
                </w:r>
                <w:r>
                  <w:rPr>
                    <w:rStyle w:val="51"/>
                    <w:rFonts w:ascii="宋体" w:hAnsi="宋体"/>
                    <w:sz w:val="26"/>
                    <w:szCs w:val="26"/>
                  </w:rPr>
                  <w:fldChar w:fldCharType="separate"/>
                </w:r>
                <w:r>
                  <w:rPr>
                    <w:rStyle w:val="51"/>
                    <w:rFonts w:ascii="宋体" w:hAnsi="宋体"/>
                    <w:sz w:val="26"/>
                    <w:szCs w:val="26"/>
                  </w:rPr>
                  <w:t>49</w:t>
                </w:r>
                <w:r>
                  <w:rPr>
                    <w:rStyle w:val="51"/>
                    <w:rFonts w:ascii="宋体" w:hAnsi="宋体"/>
                    <w:sz w:val="26"/>
                    <w:szCs w:val="26"/>
                  </w:rPr>
                  <w:fldChar w:fldCharType="end"/>
                </w:r>
                <w:r>
                  <w:rPr>
                    <w:rStyle w:val="51"/>
                    <w:rFonts w:hint="eastAsia" w:ascii="宋体" w:hAnsi="宋体"/>
                    <w:sz w:val="20"/>
                  </w:rPr>
                  <w:t xml:space="preserve">  </w:t>
                </w:r>
                <w:r>
                  <w:rPr>
                    <w:rStyle w:val="51"/>
                    <w:rFonts w:hint="eastAsia" w:ascii="宋体" w:hAnsi="宋体"/>
                    <w:sz w:val="28"/>
                    <w:szCs w:val="28"/>
                  </w:rPr>
                  <w:t>—</w:t>
                </w:r>
              </w:p>
            </w:txbxContent>
          </v:textbox>
        </v:shape>
      </w:pic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DD6D16">
    <w:pPr>
      <w:pStyle w:val="30"/>
      <w:jc w:val="cen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EEBC8B">
    <w:pPr>
      <w:pStyle w:val="30"/>
      <w:jc w:val="center"/>
    </w:pPr>
    <w:r>
      <w:rPr>
        <w:sz w:val="18"/>
      </w:rPr>
      <w:pict>
        <v:shape id="_x0000_s3088" o:spid="_x0000_s3088" o:spt="202" type="#_x0000_t202" style="position:absolute;left:0pt;margin-top:0pt;height:144pt;width:144pt;mso-position-horizontal:center;mso-position-horizontal-relative:margin;mso-wrap-style:none;z-index:251669504;mso-width-relative:page;mso-height-relative:page;" filled="f" stroked="f" coordsize="21600,21600">
          <v:path/>
          <v:fill on="f" focussize="0,0"/>
          <v:stroke on="f" joinstyle="miter"/>
          <v:imagedata o:title=""/>
          <o:lock v:ext="edit" aspectratio="f"/>
          <v:textbox inset="0mm,0mm,0mm,0mm" style="mso-fit-shape-to-text:t;">
            <w:txbxContent>
              <w:p w14:paraId="50CFB693">
                <w:pPr>
                  <w:pStyle w:val="30"/>
                </w:pPr>
                <w:r>
                  <w:fldChar w:fldCharType="begin"/>
                </w:r>
                <w:r>
                  <w:instrText xml:space="preserve"> PAGE  \* MERGEFORMAT </w:instrText>
                </w:r>
                <w:r>
                  <w:fldChar w:fldCharType="separate"/>
                </w:r>
                <w:r>
                  <w:t>73</w:t>
                </w:r>
                <w:r>
                  <w:fldChar w:fldCharType="end"/>
                </w:r>
              </w:p>
            </w:txbxContent>
          </v:textbox>
        </v:shape>
      </w:pict>
    </w:r>
    <w:r>
      <w:rPr>
        <w:sz w:val="18"/>
      </w:rPr>
      <w:pict>
        <v:shape id="_x0000_s3083" o:spid="_x0000_s3083" o:spt="202" type="#_x0000_t202" style="position:absolute;left:0pt;margin-top:0pt;height:144pt;width:144pt;mso-position-horizontal:center;mso-position-horizontal-relative:margin;mso-wrap-style:none;z-index:251661312;mso-width-relative:page;mso-height-relative:page;" filled="f" stroked="f" coordsize="21600,21600">
          <v:path/>
          <v:fill on="f" focussize="0,0"/>
          <v:stroke on="f"/>
          <v:imagedata o:title=""/>
          <o:lock v:ext="edit" aspectratio="f"/>
          <v:textbox inset="0mm,0mm,0mm,0mm" style="mso-fit-shape-to-text:t;">
            <w:txbxContent>
              <w:p w14:paraId="7A42DC55">
                <w:pPr>
                  <w:pStyle w:val="30"/>
                  <w:rPr>
                    <w:rFonts w:hint="eastAsia" w:eastAsia="宋体"/>
                    <w:lang w:val="en-US" w:eastAsia="zh-CN"/>
                  </w:rPr>
                </w:pPr>
                <w:r>
                  <w:rPr>
                    <w:rFonts w:hint="eastAsia"/>
                    <w:lang w:val="en-US" w:eastAsia="zh-CN"/>
                  </w:rPr>
                  <w:t>1</w:t>
                </w:r>
              </w:p>
            </w:txbxContent>
          </v:textbox>
        </v:shape>
      </w:pic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3BB184">
    <w:pPr>
      <w:pStyle w:val="30"/>
      <w:jc w:val="center"/>
    </w:pPr>
    <w:r>
      <w:rPr>
        <w:sz w:val="18"/>
      </w:rPr>
      <w:pict>
        <v:shape id="_x0000_s3086" o:spid="_x0000_s3086" o:spt="202" type="#_x0000_t202" style="position:absolute;left:0pt;margin-top:0pt;height:144pt;width:144pt;mso-position-horizontal:center;mso-position-horizontal-relative:margin;mso-wrap-style:none;z-index:251668480;mso-width-relative:page;mso-height-relative:page;" filled="f" stroked="f" coordsize="21600,21600">
          <v:path/>
          <v:fill on="f" focussize="0,0"/>
          <v:stroke on="f"/>
          <v:imagedata o:title=""/>
          <o:lock v:ext="edit" aspectratio="f"/>
          <v:textbox inset="0mm,0mm,0mm,0mm" style="mso-fit-shape-to-text:t;">
            <w:txbxContent>
              <w:p w14:paraId="4BB7F191">
                <w:pPr>
                  <w:pStyle w:val="30"/>
                </w:pPr>
                <w:r>
                  <w:fldChar w:fldCharType="begin"/>
                </w:r>
                <w:r>
                  <w:instrText xml:space="preserve"> PAGE  \* MERGEFORMAT </w:instrText>
                </w:r>
                <w:r>
                  <w:fldChar w:fldCharType="separate"/>
                </w:r>
                <w:r>
                  <w:t>1</w:t>
                </w:r>
                <w:r>
                  <w:fldChar w:fldCharType="end"/>
                </w:r>
              </w:p>
            </w:txbxContent>
          </v:textbox>
        </v:shape>
      </w:pic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E2F1E6">
    <w:pPr>
      <w:pStyle w:val="30"/>
      <w:ind w:right="360" w:firstLine="360"/>
      <w:jc w:val="cen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75FBDB5"/>
    <w:multiLevelType w:val="singleLevel"/>
    <w:tmpl w:val="B75FBDB5"/>
    <w:lvl w:ilvl="0" w:tentative="0">
      <w:start w:val="1"/>
      <w:numFmt w:val="upperLetter"/>
      <w:suff w:val="nothing"/>
      <w:lvlText w:val="%1，"/>
      <w:lvlJc w:val="left"/>
      <w:pPr>
        <w:ind w:left="1038" w:leftChars="0" w:firstLine="0" w:firstLineChars="0"/>
      </w:pPr>
    </w:lvl>
  </w:abstractNum>
  <w:abstractNum w:abstractNumId="1">
    <w:nsid w:val="C39855B2"/>
    <w:multiLevelType w:val="singleLevel"/>
    <w:tmpl w:val="C39855B2"/>
    <w:lvl w:ilvl="0" w:tentative="0">
      <w:start w:val="1"/>
      <w:numFmt w:val="decimal"/>
      <w:suff w:val="nothing"/>
      <w:lvlText w:val="%1）"/>
      <w:lvlJc w:val="left"/>
    </w:lvl>
  </w:abstractNum>
  <w:abstractNum w:abstractNumId="2">
    <w:nsid w:val="D8B5889B"/>
    <w:multiLevelType w:val="singleLevel"/>
    <w:tmpl w:val="D8B5889B"/>
    <w:lvl w:ilvl="0" w:tentative="0">
      <w:start w:val="1"/>
      <w:numFmt w:val="decimal"/>
      <w:suff w:val="nothing"/>
      <w:lvlText w:val="（%1）"/>
      <w:lvlJc w:val="left"/>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0"/>
  <w:bordersDoNotSurroundFooter w:val="0"/>
  <w:hideSpellingErrors/>
  <w:attachedTemplate r:id="rId1"/>
  <w:documentProtection w:edit="trackedChanges" w:enforcement="0"/>
  <w:defaultTabStop w:val="420"/>
  <w:doNotHyphenateCaps/>
  <w:drawingGridVerticalSpacing w:val="159"/>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2"/>
  </w:compat>
  <w:docVars>
    <w:docVar w:name="commondata" w:val="eyJoZGlkIjoiMzVmNjdlMDI2NTI3NDRiZGNjNTE3NjIyYjgxNDJjMzYifQ=="/>
  </w:docVars>
  <w:rsids>
    <w:rsidRoot w:val="00A14947"/>
    <w:rsid w:val="0000255C"/>
    <w:rsid w:val="0000365D"/>
    <w:rsid w:val="00004CE1"/>
    <w:rsid w:val="00005A7D"/>
    <w:rsid w:val="000060B3"/>
    <w:rsid w:val="00007AB8"/>
    <w:rsid w:val="000121C4"/>
    <w:rsid w:val="000170FC"/>
    <w:rsid w:val="00017946"/>
    <w:rsid w:val="0002387D"/>
    <w:rsid w:val="00026E6A"/>
    <w:rsid w:val="00033F55"/>
    <w:rsid w:val="0003465A"/>
    <w:rsid w:val="00035626"/>
    <w:rsid w:val="00036FFC"/>
    <w:rsid w:val="000371D7"/>
    <w:rsid w:val="0004364B"/>
    <w:rsid w:val="00061B1F"/>
    <w:rsid w:val="00065EEC"/>
    <w:rsid w:val="000733C4"/>
    <w:rsid w:val="00074783"/>
    <w:rsid w:val="00076828"/>
    <w:rsid w:val="00077CE5"/>
    <w:rsid w:val="00080326"/>
    <w:rsid w:val="0008070B"/>
    <w:rsid w:val="000808FE"/>
    <w:rsid w:val="000810AC"/>
    <w:rsid w:val="00081332"/>
    <w:rsid w:val="00081684"/>
    <w:rsid w:val="00081A02"/>
    <w:rsid w:val="00082231"/>
    <w:rsid w:val="00083D53"/>
    <w:rsid w:val="0008780A"/>
    <w:rsid w:val="00092D38"/>
    <w:rsid w:val="0009377B"/>
    <w:rsid w:val="000A20C9"/>
    <w:rsid w:val="000A31EB"/>
    <w:rsid w:val="000A6098"/>
    <w:rsid w:val="000B058F"/>
    <w:rsid w:val="000B0B74"/>
    <w:rsid w:val="000B2A66"/>
    <w:rsid w:val="000B3CCA"/>
    <w:rsid w:val="000B4467"/>
    <w:rsid w:val="000B4DB9"/>
    <w:rsid w:val="000C09AC"/>
    <w:rsid w:val="000C1D7A"/>
    <w:rsid w:val="000C2F6D"/>
    <w:rsid w:val="000C3C5A"/>
    <w:rsid w:val="000C623F"/>
    <w:rsid w:val="000C6D38"/>
    <w:rsid w:val="000C767F"/>
    <w:rsid w:val="000D245E"/>
    <w:rsid w:val="000D3C7A"/>
    <w:rsid w:val="000D4DAA"/>
    <w:rsid w:val="000D50C8"/>
    <w:rsid w:val="000D5964"/>
    <w:rsid w:val="000D5A44"/>
    <w:rsid w:val="000D7EE8"/>
    <w:rsid w:val="000E0594"/>
    <w:rsid w:val="000E32B5"/>
    <w:rsid w:val="000E3420"/>
    <w:rsid w:val="000E3ED2"/>
    <w:rsid w:val="000E52C9"/>
    <w:rsid w:val="000E5F33"/>
    <w:rsid w:val="000E653C"/>
    <w:rsid w:val="000E7067"/>
    <w:rsid w:val="000F063C"/>
    <w:rsid w:val="000F18CC"/>
    <w:rsid w:val="000F665B"/>
    <w:rsid w:val="00101A9A"/>
    <w:rsid w:val="00103265"/>
    <w:rsid w:val="00104585"/>
    <w:rsid w:val="00105019"/>
    <w:rsid w:val="00105035"/>
    <w:rsid w:val="001107B7"/>
    <w:rsid w:val="00112204"/>
    <w:rsid w:val="00115675"/>
    <w:rsid w:val="00122572"/>
    <w:rsid w:val="001245FF"/>
    <w:rsid w:val="00130DFF"/>
    <w:rsid w:val="00131F42"/>
    <w:rsid w:val="001357F1"/>
    <w:rsid w:val="00137240"/>
    <w:rsid w:val="00137782"/>
    <w:rsid w:val="0014079A"/>
    <w:rsid w:val="00140B3E"/>
    <w:rsid w:val="00140FA8"/>
    <w:rsid w:val="001412AD"/>
    <w:rsid w:val="00141B89"/>
    <w:rsid w:val="00142FEB"/>
    <w:rsid w:val="0014343E"/>
    <w:rsid w:val="00143A2D"/>
    <w:rsid w:val="00145A41"/>
    <w:rsid w:val="00147C99"/>
    <w:rsid w:val="00150E51"/>
    <w:rsid w:val="00151675"/>
    <w:rsid w:val="00154642"/>
    <w:rsid w:val="00157435"/>
    <w:rsid w:val="001613F8"/>
    <w:rsid w:val="001620A6"/>
    <w:rsid w:val="00163715"/>
    <w:rsid w:val="00165FA7"/>
    <w:rsid w:val="00166494"/>
    <w:rsid w:val="0016739B"/>
    <w:rsid w:val="0017504D"/>
    <w:rsid w:val="0017671A"/>
    <w:rsid w:val="00177422"/>
    <w:rsid w:val="00177EB6"/>
    <w:rsid w:val="00181BF2"/>
    <w:rsid w:val="00181D11"/>
    <w:rsid w:val="00183240"/>
    <w:rsid w:val="00183376"/>
    <w:rsid w:val="00184590"/>
    <w:rsid w:val="001870D1"/>
    <w:rsid w:val="0018781E"/>
    <w:rsid w:val="00190E15"/>
    <w:rsid w:val="0019262D"/>
    <w:rsid w:val="001A16A0"/>
    <w:rsid w:val="001A1B35"/>
    <w:rsid w:val="001A48A2"/>
    <w:rsid w:val="001A6F61"/>
    <w:rsid w:val="001B39F0"/>
    <w:rsid w:val="001B72B8"/>
    <w:rsid w:val="001C01CA"/>
    <w:rsid w:val="001C0970"/>
    <w:rsid w:val="001C1F2B"/>
    <w:rsid w:val="001C2617"/>
    <w:rsid w:val="001C3578"/>
    <w:rsid w:val="001C3A4E"/>
    <w:rsid w:val="001C69B3"/>
    <w:rsid w:val="001D394D"/>
    <w:rsid w:val="001D5595"/>
    <w:rsid w:val="001D698C"/>
    <w:rsid w:val="001D7874"/>
    <w:rsid w:val="001D7F22"/>
    <w:rsid w:val="001E1343"/>
    <w:rsid w:val="001E14C0"/>
    <w:rsid w:val="001E47D0"/>
    <w:rsid w:val="001E6A4A"/>
    <w:rsid w:val="001E727B"/>
    <w:rsid w:val="001E728E"/>
    <w:rsid w:val="001E72E5"/>
    <w:rsid w:val="001E7FB2"/>
    <w:rsid w:val="001F0403"/>
    <w:rsid w:val="001F0F17"/>
    <w:rsid w:val="001F3347"/>
    <w:rsid w:val="001F3F06"/>
    <w:rsid w:val="001F40D3"/>
    <w:rsid w:val="001F5031"/>
    <w:rsid w:val="001F69A0"/>
    <w:rsid w:val="001F69E4"/>
    <w:rsid w:val="00200A4F"/>
    <w:rsid w:val="00202742"/>
    <w:rsid w:val="002052DD"/>
    <w:rsid w:val="00206FDA"/>
    <w:rsid w:val="002101D2"/>
    <w:rsid w:val="00210B53"/>
    <w:rsid w:val="00210B8B"/>
    <w:rsid w:val="00211811"/>
    <w:rsid w:val="002125B4"/>
    <w:rsid w:val="00212CBE"/>
    <w:rsid w:val="0021541E"/>
    <w:rsid w:val="00215494"/>
    <w:rsid w:val="002155B8"/>
    <w:rsid w:val="00216BFF"/>
    <w:rsid w:val="00220C10"/>
    <w:rsid w:val="002218B4"/>
    <w:rsid w:val="00223098"/>
    <w:rsid w:val="00224561"/>
    <w:rsid w:val="00224839"/>
    <w:rsid w:val="002249B2"/>
    <w:rsid w:val="00226574"/>
    <w:rsid w:val="00227143"/>
    <w:rsid w:val="002278EC"/>
    <w:rsid w:val="0023280E"/>
    <w:rsid w:val="002334A7"/>
    <w:rsid w:val="002361A0"/>
    <w:rsid w:val="002365F1"/>
    <w:rsid w:val="002377D1"/>
    <w:rsid w:val="002400FF"/>
    <w:rsid w:val="00244CAB"/>
    <w:rsid w:val="00245719"/>
    <w:rsid w:val="00246747"/>
    <w:rsid w:val="00246D06"/>
    <w:rsid w:val="00247348"/>
    <w:rsid w:val="002477D7"/>
    <w:rsid w:val="0025026E"/>
    <w:rsid w:val="002506BC"/>
    <w:rsid w:val="0025129F"/>
    <w:rsid w:val="00251820"/>
    <w:rsid w:val="0025207E"/>
    <w:rsid w:val="00254345"/>
    <w:rsid w:val="0026236D"/>
    <w:rsid w:val="00262D2F"/>
    <w:rsid w:val="00264557"/>
    <w:rsid w:val="0026771A"/>
    <w:rsid w:val="002713EF"/>
    <w:rsid w:val="00272808"/>
    <w:rsid w:val="00275A6D"/>
    <w:rsid w:val="002760E4"/>
    <w:rsid w:val="00276A6E"/>
    <w:rsid w:val="002805AB"/>
    <w:rsid w:val="00283E12"/>
    <w:rsid w:val="00284204"/>
    <w:rsid w:val="00291773"/>
    <w:rsid w:val="0029408F"/>
    <w:rsid w:val="00294CDD"/>
    <w:rsid w:val="00294FFA"/>
    <w:rsid w:val="00297CC7"/>
    <w:rsid w:val="002A168C"/>
    <w:rsid w:val="002A26BC"/>
    <w:rsid w:val="002A3DC7"/>
    <w:rsid w:val="002A7D5A"/>
    <w:rsid w:val="002B376E"/>
    <w:rsid w:val="002B49E2"/>
    <w:rsid w:val="002B7B00"/>
    <w:rsid w:val="002B7C44"/>
    <w:rsid w:val="002C2B17"/>
    <w:rsid w:val="002C54BE"/>
    <w:rsid w:val="002C595B"/>
    <w:rsid w:val="002C5FC1"/>
    <w:rsid w:val="002C7929"/>
    <w:rsid w:val="002D3DD0"/>
    <w:rsid w:val="002D6288"/>
    <w:rsid w:val="002E1F3A"/>
    <w:rsid w:val="002E20E9"/>
    <w:rsid w:val="002E298A"/>
    <w:rsid w:val="002E6194"/>
    <w:rsid w:val="002E64FB"/>
    <w:rsid w:val="002E7C78"/>
    <w:rsid w:val="002E7F04"/>
    <w:rsid w:val="002E7FCE"/>
    <w:rsid w:val="002F01F7"/>
    <w:rsid w:val="002F180D"/>
    <w:rsid w:val="002F3B8E"/>
    <w:rsid w:val="002F4946"/>
    <w:rsid w:val="002F5EF2"/>
    <w:rsid w:val="00300A7C"/>
    <w:rsid w:val="00301978"/>
    <w:rsid w:val="00301F28"/>
    <w:rsid w:val="0030332C"/>
    <w:rsid w:val="00304351"/>
    <w:rsid w:val="00304A2F"/>
    <w:rsid w:val="00304B7A"/>
    <w:rsid w:val="003051C2"/>
    <w:rsid w:val="00310235"/>
    <w:rsid w:val="00310E86"/>
    <w:rsid w:val="00311014"/>
    <w:rsid w:val="00311F4C"/>
    <w:rsid w:val="00312296"/>
    <w:rsid w:val="00314F0E"/>
    <w:rsid w:val="00316FA7"/>
    <w:rsid w:val="00317968"/>
    <w:rsid w:val="00321D8E"/>
    <w:rsid w:val="00322B00"/>
    <w:rsid w:val="003247FA"/>
    <w:rsid w:val="00325928"/>
    <w:rsid w:val="00330682"/>
    <w:rsid w:val="00331BDD"/>
    <w:rsid w:val="00332863"/>
    <w:rsid w:val="00334565"/>
    <w:rsid w:val="00335237"/>
    <w:rsid w:val="0033684D"/>
    <w:rsid w:val="00336D19"/>
    <w:rsid w:val="00337B42"/>
    <w:rsid w:val="00337D90"/>
    <w:rsid w:val="00341B42"/>
    <w:rsid w:val="0034348F"/>
    <w:rsid w:val="00343F6E"/>
    <w:rsid w:val="0034524C"/>
    <w:rsid w:val="00353F41"/>
    <w:rsid w:val="00354FA3"/>
    <w:rsid w:val="003554CE"/>
    <w:rsid w:val="00356653"/>
    <w:rsid w:val="0035743F"/>
    <w:rsid w:val="00357BE2"/>
    <w:rsid w:val="0036170C"/>
    <w:rsid w:val="00362168"/>
    <w:rsid w:val="00366E0F"/>
    <w:rsid w:val="003672D7"/>
    <w:rsid w:val="0036781F"/>
    <w:rsid w:val="003704F4"/>
    <w:rsid w:val="00373EA8"/>
    <w:rsid w:val="00375EDA"/>
    <w:rsid w:val="0038003B"/>
    <w:rsid w:val="00381A72"/>
    <w:rsid w:val="00382CAB"/>
    <w:rsid w:val="00384588"/>
    <w:rsid w:val="00384676"/>
    <w:rsid w:val="00390857"/>
    <w:rsid w:val="003A0262"/>
    <w:rsid w:val="003A049A"/>
    <w:rsid w:val="003A068F"/>
    <w:rsid w:val="003A0EA8"/>
    <w:rsid w:val="003A209D"/>
    <w:rsid w:val="003A28FF"/>
    <w:rsid w:val="003A4BF3"/>
    <w:rsid w:val="003A4E37"/>
    <w:rsid w:val="003A501E"/>
    <w:rsid w:val="003A59DC"/>
    <w:rsid w:val="003B052F"/>
    <w:rsid w:val="003B1760"/>
    <w:rsid w:val="003B2F71"/>
    <w:rsid w:val="003B420D"/>
    <w:rsid w:val="003C4C1D"/>
    <w:rsid w:val="003C62C1"/>
    <w:rsid w:val="003C6C16"/>
    <w:rsid w:val="003C6ED6"/>
    <w:rsid w:val="003D0FAD"/>
    <w:rsid w:val="003D25E6"/>
    <w:rsid w:val="003D794D"/>
    <w:rsid w:val="003D7AC8"/>
    <w:rsid w:val="003E09B3"/>
    <w:rsid w:val="003E2AA8"/>
    <w:rsid w:val="003E3058"/>
    <w:rsid w:val="003E721C"/>
    <w:rsid w:val="003E76A9"/>
    <w:rsid w:val="003F0809"/>
    <w:rsid w:val="003F1309"/>
    <w:rsid w:val="003F27B5"/>
    <w:rsid w:val="003F4284"/>
    <w:rsid w:val="003F6A8C"/>
    <w:rsid w:val="003F6ED1"/>
    <w:rsid w:val="003F755C"/>
    <w:rsid w:val="00404A7B"/>
    <w:rsid w:val="00406F01"/>
    <w:rsid w:val="004070B9"/>
    <w:rsid w:val="00413406"/>
    <w:rsid w:val="00413A11"/>
    <w:rsid w:val="0041463E"/>
    <w:rsid w:val="004152A2"/>
    <w:rsid w:val="00416D50"/>
    <w:rsid w:val="00416FD5"/>
    <w:rsid w:val="00417772"/>
    <w:rsid w:val="00420E6A"/>
    <w:rsid w:val="00423285"/>
    <w:rsid w:val="0042339A"/>
    <w:rsid w:val="00423AE9"/>
    <w:rsid w:val="00423B9A"/>
    <w:rsid w:val="00424511"/>
    <w:rsid w:val="00425A9E"/>
    <w:rsid w:val="00426D6B"/>
    <w:rsid w:val="00427AB1"/>
    <w:rsid w:val="00431E6C"/>
    <w:rsid w:val="00433CE7"/>
    <w:rsid w:val="0043409B"/>
    <w:rsid w:val="00440973"/>
    <w:rsid w:val="004411EA"/>
    <w:rsid w:val="00443A23"/>
    <w:rsid w:val="00450DA0"/>
    <w:rsid w:val="00451173"/>
    <w:rsid w:val="00452738"/>
    <w:rsid w:val="00456091"/>
    <w:rsid w:val="00456894"/>
    <w:rsid w:val="00457500"/>
    <w:rsid w:val="00460C85"/>
    <w:rsid w:val="004618A6"/>
    <w:rsid w:val="00466321"/>
    <w:rsid w:val="004719F1"/>
    <w:rsid w:val="00471F4A"/>
    <w:rsid w:val="00472D38"/>
    <w:rsid w:val="00474387"/>
    <w:rsid w:val="00474508"/>
    <w:rsid w:val="00475FB7"/>
    <w:rsid w:val="00482CDA"/>
    <w:rsid w:val="00484B9B"/>
    <w:rsid w:val="004855F6"/>
    <w:rsid w:val="0048661E"/>
    <w:rsid w:val="00486B85"/>
    <w:rsid w:val="00486D62"/>
    <w:rsid w:val="00490AE9"/>
    <w:rsid w:val="00491E54"/>
    <w:rsid w:val="00492A12"/>
    <w:rsid w:val="0049362F"/>
    <w:rsid w:val="00494670"/>
    <w:rsid w:val="00494E6A"/>
    <w:rsid w:val="004A1907"/>
    <w:rsid w:val="004A3823"/>
    <w:rsid w:val="004A39E5"/>
    <w:rsid w:val="004A4217"/>
    <w:rsid w:val="004A5382"/>
    <w:rsid w:val="004A6072"/>
    <w:rsid w:val="004B1DD2"/>
    <w:rsid w:val="004B5D91"/>
    <w:rsid w:val="004B68E7"/>
    <w:rsid w:val="004B6D8F"/>
    <w:rsid w:val="004C04FD"/>
    <w:rsid w:val="004C0F41"/>
    <w:rsid w:val="004C3B71"/>
    <w:rsid w:val="004C5849"/>
    <w:rsid w:val="004C6D78"/>
    <w:rsid w:val="004C6FA0"/>
    <w:rsid w:val="004C76C7"/>
    <w:rsid w:val="004D194C"/>
    <w:rsid w:val="004D4392"/>
    <w:rsid w:val="004E0649"/>
    <w:rsid w:val="004E0A38"/>
    <w:rsid w:val="004E1133"/>
    <w:rsid w:val="004E5979"/>
    <w:rsid w:val="004E6022"/>
    <w:rsid w:val="004E6594"/>
    <w:rsid w:val="004E6946"/>
    <w:rsid w:val="004F0066"/>
    <w:rsid w:val="004F1AD8"/>
    <w:rsid w:val="004F5E8C"/>
    <w:rsid w:val="004F624C"/>
    <w:rsid w:val="004F66DF"/>
    <w:rsid w:val="004F6ABD"/>
    <w:rsid w:val="0050319B"/>
    <w:rsid w:val="005039CB"/>
    <w:rsid w:val="0050558F"/>
    <w:rsid w:val="00506286"/>
    <w:rsid w:val="00510813"/>
    <w:rsid w:val="00511990"/>
    <w:rsid w:val="00511CE7"/>
    <w:rsid w:val="00511DE0"/>
    <w:rsid w:val="0051207C"/>
    <w:rsid w:val="00512B0C"/>
    <w:rsid w:val="00512D93"/>
    <w:rsid w:val="00514870"/>
    <w:rsid w:val="00514B9B"/>
    <w:rsid w:val="0051523E"/>
    <w:rsid w:val="00515E22"/>
    <w:rsid w:val="00516C31"/>
    <w:rsid w:val="00517186"/>
    <w:rsid w:val="00517417"/>
    <w:rsid w:val="00517EE6"/>
    <w:rsid w:val="00517F02"/>
    <w:rsid w:val="00524303"/>
    <w:rsid w:val="005258A2"/>
    <w:rsid w:val="005266E2"/>
    <w:rsid w:val="00532220"/>
    <w:rsid w:val="00533ADC"/>
    <w:rsid w:val="00533F36"/>
    <w:rsid w:val="0053781E"/>
    <w:rsid w:val="005401AE"/>
    <w:rsid w:val="00540F1B"/>
    <w:rsid w:val="00542E07"/>
    <w:rsid w:val="00545424"/>
    <w:rsid w:val="00545E1C"/>
    <w:rsid w:val="00552FB5"/>
    <w:rsid w:val="0055406B"/>
    <w:rsid w:val="0055448D"/>
    <w:rsid w:val="00554A7B"/>
    <w:rsid w:val="0055572C"/>
    <w:rsid w:val="00556272"/>
    <w:rsid w:val="0056106A"/>
    <w:rsid w:val="0056197F"/>
    <w:rsid w:val="00563FC3"/>
    <w:rsid w:val="00570168"/>
    <w:rsid w:val="005720AE"/>
    <w:rsid w:val="005737C4"/>
    <w:rsid w:val="00575D16"/>
    <w:rsid w:val="00576AD8"/>
    <w:rsid w:val="00577821"/>
    <w:rsid w:val="005811A4"/>
    <w:rsid w:val="00582A47"/>
    <w:rsid w:val="00586629"/>
    <w:rsid w:val="005871E5"/>
    <w:rsid w:val="00590B8F"/>
    <w:rsid w:val="00592998"/>
    <w:rsid w:val="00592FDB"/>
    <w:rsid w:val="00594448"/>
    <w:rsid w:val="00594D0F"/>
    <w:rsid w:val="00594D77"/>
    <w:rsid w:val="005958B3"/>
    <w:rsid w:val="005969E4"/>
    <w:rsid w:val="00597F0D"/>
    <w:rsid w:val="005A06B7"/>
    <w:rsid w:val="005A12CA"/>
    <w:rsid w:val="005A1759"/>
    <w:rsid w:val="005A68A7"/>
    <w:rsid w:val="005B15BB"/>
    <w:rsid w:val="005B1FF8"/>
    <w:rsid w:val="005B401B"/>
    <w:rsid w:val="005B4DF9"/>
    <w:rsid w:val="005B5D64"/>
    <w:rsid w:val="005C0B71"/>
    <w:rsid w:val="005C4EBD"/>
    <w:rsid w:val="005D0ED5"/>
    <w:rsid w:val="005D294C"/>
    <w:rsid w:val="005D36AB"/>
    <w:rsid w:val="005D5AB6"/>
    <w:rsid w:val="005E14AB"/>
    <w:rsid w:val="005E215B"/>
    <w:rsid w:val="005E2882"/>
    <w:rsid w:val="005E4570"/>
    <w:rsid w:val="005E5F15"/>
    <w:rsid w:val="005E7766"/>
    <w:rsid w:val="005E7E1F"/>
    <w:rsid w:val="005F2874"/>
    <w:rsid w:val="005F2CA2"/>
    <w:rsid w:val="00602C57"/>
    <w:rsid w:val="00611C23"/>
    <w:rsid w:val="00614EF6"/>
    <w:rsid w:val="00615153"/>
    <w:rsid w:val="00616B0C"/>
    <w:rsid w:val="00617CC3"/>
    <w:rsid w:val="00620D27"/>
    <w:rsid w:val="0062326E"/>
    <w:rsid w:val="00624A5C"/>
    <w:rsid w:val="00626F38"/>
    <w:rsid w:val="0063227E"/>
    <w:rsid w:val="00632740"/>
    <w:rsid w:val="0063293B"/>
    <w:rsid w:val="00632BBA"/>
    <w:rsid w:val="006345BB"/>
    <w:rsid w:val="006350EF"/>
    <w:rsid w:val="006377A6"/>
    <w:rsid w:val="00637A3D"/>
    <w:rsid w:val="006411EF"/>
    <w:rsid w:val="00643AC7"/>
    <w:rsid w:val="0064406F"/>
    <w:rsid w:val="006502D0"/>
    <w:rsid w:val="00650950"/>
    <w:rsid w:val="006533F7"/>
    <w:rsid w:val="0065393C"/>
    <w:rsid w:val="00661D4E"/>
    <w:rsid w:val="006625E6"/>
    <w:rsid w:val="0066323B"/>
    <w:rsid w:val="006638BF"/>
    <w:rsid w:val="0066414D"/>
    <w:rsid w:val="006642AC"/>
    <w:rsid w:val="006666E0"/>
    <w:rsid w:val="00666B92"/>
    <w:rsid w:val="0066712E"/>
    <w:rsid w:val="006720F2"/>
    <w:rsid w:val="00672BE3"/>
    <w:rsid w:val="00674459"/>
    <w:rsid w:val="006748B8"/>
    <w:rsid w:val="00675E9C"/>
    <w:rsid w:val="006766D0"/>
    <w:rsid w:val="006775C3"/>
    <w:rsid w:val="006812D2"/>
    <w:rsid w:val="006844D8"/>
    <w:rsid w:val="006877B1"/>
    <w:rsid w:val="0069290A"/>
    <w:rsid w:val="00694923"/>
    <w:rsid w:val="00695E04"/>
    <w:rsid w:val="00696F19"/>
    <w:rsid w:val="0069775A"/>
    <w:rsid w:val="00697813"/>
    <w:rsid w:val="006A030C"/>
    <w:rsid w:val="006A085F"/>
    <w:rsid w:val="006A3EE8"/>
    <w:rsid w:val="006A72BF"/>
    <w:rsid w:val="006A7538"/>
    <w:rsid w:val="006B03F2"/>
    <w:rsid w:val="006B07D2"/>
    <w:rsid w:val="006B37DC"/>
    <w:rsid w:val="006B4286"/>
    <w:rsid w:val="006B4F68"/>
    <w:rsid w:val="006B5978"/>
    <w:rsid w:val="006B5F01"/>
    <w:rsid w:val="006C0592"/>
    <w:rsid w:val="006C0CAA"/>
    <w:rsid w:val="006C272E"/>
    <w:rsid w:val="006C4E64"/>
    <w:rsid w:val="006C5479"/>
    <w:rsid w:val="006C5F93"/>
    <w:rsid w:val="006C6414"/>
    <w:rsid w:val="006C7743"/>
    <w:rsid w:val="006D13B5"/>
    <w:rsid w:val="006D1B7D"/>
    <w:rsid w:val="006D1E70"/>
    <w:rsid w:val="006D3AA9"/>
    <w:rsid w:val="006D3C62"/>
    <w:rsid w:val="006D46EA"/>
    <w:rsid w:val="006D72EC"/>
    <w:rsid w:val="006E12FF"/>
    <w:rsid w:val="006E22E6"/>
    <w:rsid w:val="006E3311"/>
    <w:rsid w:val="006E3567"/>
    <w:rsid w:val="006E4762"/>
    <w:rsid w:val="006E4DBB"/>
    <w:rsid w:val="006E607E"/>
    <w:rsid w:val="006E740B"/>
    <w:rsid w:val="006F1EB4"/>
    <w:rsid w:val="006F3A1B"/>
    <w:rsid w:val="006F4782"/>
    <w:rsid w:val="006F4E88"/>
    <w:rsid w:val="006F6343"/>
    <w:rsid w:val="00703760"/>
    <w:rsid w:val="00706C5D"/>
    <w:rsid w:val="00710568"/>
    <w:rsid w:val="00712C44"/>
    <w:rsid w:val="00716DED"/>
    <w:rsid w:val="0072353E"/>
    <w:rsid w:val="00723554"/>
    <w:rsid w:val="0072428D"/>
    <w:rsid w:val="00724A3B"/>
    <w:rsid w:val="00724ED1"/>
    <w:rsid w:val="00726354"/>
    <w:rsid w:val="00732922"/>
    <w:rsid w:val="00734A75"/>
    <w:rsid w:val="007373CA"/>
    <w:rsid w:val="00745434"/>
    <w:rsid w:val="00745E21"/>
    <w:rsid w:val="00746908"/>
    <w:rsid w:val="00746986"/>
    <w:rsid w:val="0075162E"/>
    <w:rsid w:val="0075265C"/>
    <w:rsid w:val="0075370E"/>
    <w:rsid w:val="00754034"/>
    <w:rsid w:val="0075532A"/>
    <w:rsid w:val="00756556"/>
    <w:rsid w:val="00756F85"/>
    <w:rsid w:val="007618C4"/>
    <w:rsid w:val="00767980"/>
    <w:rsid w:val="00770B19"/>
    <w:rsid w:val="00773C7E"/>
    <w:rsid w:val="0077463F"/>
    <w:rsid w:val="00775C7A"/>
    <w:rsid w:val="00775DF0"/>
    <w:rsid w:val="007768C8"/>
    <w:rsid w:val="00776B6E"/>
    <w:rsid w:val="007813E3"/>
    <w:rsid w:val="007815FB"/>
    <w:rsid w:val="007836EA"/>
    <w:rsid w:val="00784CDA"/>
    <w:rsid w:val="007906C4"/>
    <w:rsid w:val="00794056"/>
    <w:rsid w:val="007940EA"/>
    <w:rsid w:val="007967E8"/>
    <w:rsid w:val="0079701D"/>
    <w:rsid w:val="007A16D8"/>
    <w:rsid w:val="007A2170"/>
    <w:rsid w:val="007A22BF"/>
    <w:rsid w:val="007A3323"/>
    <w:rsid w:val="007A44A6"/>
    <w:rsid w:val="007A4A1F"/>
    <w:rsid w:val="007A7C5C"/>
    <w:rsid w:val="007B2531"/>
    <w:rsid w:val="007B3893"/>
    <w:rsid w:val="007B6D90"/>
    <w:rsid w:val="007B72B8"/>
    <w:rsid w:val="007B7A58"/>
    <w:rsid w:val="007C1F15"/>
    <w:rsid w:val="007C21B5"/>
    <w:rsid w:val="007C2703"/>
    <w:rsid w:val="007C33FA"/>
    <w:rsid w:val="007C6CB9"/>
    <w:rsid w:val="007D107A"/>
    <w:rsid w:val="007D168A"/>
    <w:rsid w:val="007D2168"/>
    <w:rsid w:val="007D5301"/>
    <w:rsid w:val="007E37CF"/>
    <w:rsid w:val="007E4BD2"/>
    <w:rsid w:val="007E5F67"/>
    <w:rsid w:val="007E638F"/>
    <w:rsid w:val="007F11BE"/>
    <w:rsid w:val="007F1832"/>
    <w:rsid w:val="007F261B"/>
    <w:rsid w:val="007F2659"/>
    <w:rsid w:val="007F35E6"/>
    <w:rsid w:val="007F4B34"/>
    <w:rsid w:val="007F5B20"/>
    <w:rsid w:val="007F6075"/>
    <w:rsid w:val="007F60CD"/>
    <w:rsid w:val="00800B95"/>
    <w:rsid w:val="0080101F"/>
    <w:rsid w:val="00801393"/>
    <w:rsid w:val="00801E25"/>
    <w:rsid w:val="00801E78"/>
    <w:rsid w:val="00802841"/>
    <w:rsid w:val="008029C7"/>
    <w:rsid w:val="00802F88"/>
    <w:rsid w:val="00804548"/>
    <w:rsid w:val="0081293E"/>
    <w:rsid w:val="00815465"/>
    <w:rsid w:val="00817E9A"/>
    <w:rsid w:val="00821D42"/>
    <w:rsid w:val="00826C9A"/>
    <w:rsid w:val="00826FA9"/>
    <w:rsid w:val="00830299"/>
    <w:rsid w:val="008306BD"/>
    <w:rsid w:val="00830DED"/>
    <w:rsid w:val="008319AD"/>
    <w:rsid w:val="00831A80"/>
    <w:rsid w:val="00833743"/>
    <w:rsid w:val="00833A25"/>
    <w:rsid w:val="008340A4"/>
    <w:rsid w:val="0083719B"/>
    <w:rsid w:val="00840B1D"/>
    <w:rsid w:val="008426DF"/>
    <w:rsid w:val="00845F14"/>
    <w:rsid w:val="00852284"/>
    <w:rsid w:val="00853936"/>
    <w:rsid w:val="00855610"/>
    <w:rsid w:val="00855A2E"/>
    <w:rsid w:val="0085630B"/>
    <w:rsid w:val="008603CE"/>
    <w:rsid w:val="008621F1"/>
    <w:rsid w:val="00863099"/>
    <w:rsid w:val="0087135F"/>
    <w:rsid w:val="00872355"/>
    <w:rsid w:val="00872D94"/>
    <w:rsid w:val="00875F09"/>
    <w:rsid w:val="00876CBB"/>
    <w:rsid w:val="00877286"/>
    <w:rsid w:val="00880364"/>
    <w:rsid w:val="00883F68"/>
    <w:rsid w:val="0088720C"/>
    <w:rsid w:val="00890197"/>
    <w:rsid w:val="00891356"/>
    <w:rsid w:val="00891592"/>
    <w:rsid w:val="00891E9E"/>
    <w:rsid w:val="0089216F"/>
    <w:rsid w:val="0089280F"/>
    <w:rsid w:val="00893724"/>
    <w:rsid w:val="00895722"/>
    <w:rsid w:val="00896DD6"/>
    <w:rsid w:val="008A201D"/>
    <w:rsid w:val="008A2F68"/>
    <w:rsid w:val="008A3287"/>
    <w:rsid w:val="008A36EE"/>
    <w:rsid w:val="008A6708"/>
    <w:rsid w:val="008B4FA6"/>
    <w:rsid w:val="008B5282"/>
    <w:rsid w:val="008B6B93"/>
    <w:rsid w:val="008B7C17"/>
    <w:rsid w:val="008C1859"/>
    <w:rsid w:val="008C2D01"/>
    <w:rsid w:val="008C2D63"/>
    <w:rsid w:val="008C40E6"/>
    <w:rsid w:val="008C619D"/>
    <w:rsid w:val="008C65CD"/>
    <w:rsid w:val="008D098E"/>
    <w:rsid w:val="008D09F8"/>
    <w:rsid w:val="008D0F7A"/>
    <w:rsid w:val="008D217D"/>
    <w:rsid w:val="008D3811"/>
    <w:rsid w:val="008D46E0"/>
    <w:rsid w:val="008D5771"/>
    <w:rsid w:val="008D68E4"/>
    <w:rsid w:val="008D75C8"/>
    <w:rsid w:val="008E04BF"/>
    <w:rsid w:val="008E0506"/>
    <w:rsid w:val="008E0539"/>
    <w:rsid w:val="008E0CFF"/>
    <w:rsid w:val="008E1381"/>
    <w:rsid w:val="008E282F"/>
    <w:rsid w:val="008E312A"/>
    <w:rsid w:val="008E3E65"/>
    <w:rsid w:val="008E4A5E"/>
    <w:rsid w:val="008E5978"/>
    <w:rsid w:val="008E5D6B"/>
    <w:rsid w:val="008E5EFE"/>
    <w:rsid w:val="008E76F0"/>
    <w:rsid w:val="008F15FE"/>
    <w:rsid w:val="008F2D29"/>
    <w:rsid w:val="008F4353"/>
    <w:rsid w:val="008F5187"/>
    <w:rsid w:val="008F60D8"/>
    <w:rsid w:val="008F6BA5"/>
    <w:rsid w:val="008F72C9"/>
    <w:rsid w:val="0090101A"/>
    <w:rsid w:val="009015DA"/>
    <w:rsid w:val="00902727"/>
    <w:rsid w:val="0090312B"/>
    <w:rsid w:val="00906693"/>
    <w:rsid w:val="0090740F"/>
    <w:rsid w:val="00907C8D"/>
    <w:rsid w:val="00910696"/>
    <w:rsid w:val="00911709"/>
    <w:rsid w:val="0091736D"/>
    <w:rsid w:val="0091778A"/>
    <w:rsid w:val="0091782B"/>
    <w:rsid w:val="009216D2"/>
    <w:rsid w:val="00921AB2"/>
    <w:rsid w:val="00921DE9"/>
    <w:rsid w:val="00922279"/>
    <w:rsid w:val="0092265C"/>
    <w:rsid w:val="00926FE8"/>
    <w:rsid w:val="0093037A"/>
    <w:rsid w:val="00930BDB"/>
    <w:rsid w:val="009316BF"/>
    <w:rsid w:val="009325DB"/>
    <w:rsid w:val="00933913"/>
    <w:rsid w:val="00934632"/>
    <w:rsid w:val="00934DBC"/>
    <w:rsid w:val="00937DB5"/>
    <w:rsid w:val="0094154D"/>
    <w:rsid w:val="00943D41"/>
    <w:rsid w:val="00943E48"/>
    <w:rsid w:val="00943F85"/>
    <w:rsid w:val="00947C24"/>
    <w:rsid w:val="0095053A"/>
    <w:rsid w:val="00950913"/>
    <w:rsid w:val="0095155F"/>
    <w:rsid w:val="00952F5F"/>
    <w:rsid w:val="00952F76"/>
    <w:rsid w:val="0095358F"/>
    <w:rsid w:val="00954429"/>
    <w:rsid w:val="00954720"/>
    <w:rsid w:val="009563CE"/>
    <w:rsid w:val="00962850"/>
    <w:rsid w:val="009655C1"/>
    <w:rsid w:val="00965CAA"/>
    <w:rsid w:val="009661D7"/>
    <w:rsid w:val="009708F5"/>
    <w:rsid w:val="0097194D"/>
    <w:rsid w:val="009721FA"/>
    <w:rsid w:val="00972912"/>
    <w:rsid w:val="00976328"/>
    <w:rsid w:val="0097680D"/>
    <w:rsid w:val="00980886"/>
    <w:rsid w:val="00982438"/>
    <w:rsid w:val="009830A0"/>
    <w:rsid w:val="009830EF"/>
    <w:rsid w:val="0098404C"/>
    <w:rsid w:val="009846AB"/>
    <w:rsid w:val="00985283"/>
    <w:rsid w:val="00985921"/>
    <w:rsid w:val="009903E2"/>
    <w:rsid w:val="00991BE5"/>
    <w:rsid w:val="00994489"/>
    <w:rsid w:val="00995498"/>
    <w:rsid w:val="00995992"/>
    <w:rsid w:val="009A01AF"/>
    <w:rsid w:val="009A03E5"/>
    <w:rsid w:val="009A0F3B"/>
    <w:rsid w:val="009A1BB4"/>
    <w:rsid w:val="009A2628"/>
    <w:rsid w:val="009A301C"/>
    <w:rsid w:val="009A3200"/>
    <w:rsid w:val="009A505A"/>
    <w:rsid w:val="009B0897"/>
    <w:rsid w:val="009B097F"/>
    <w:rsid w:val="009B2D5C"/>
    <w:rsid w:val="009B510F"/>
    <w:rsid w:val="009B7BD9"/>
    <w:rsid w:val="009C3F20"/>
    <w:rsid w:val="009C54B0"/>
    <w:rsid w:val="009C7DD5"/>
    <w:rsid w:val="009D3400"/>
    <w:rsid w:val="009D408D"/>
    <w:rsid w:val="009D51B5"/>
    <w:rsid w:val="009D6D73"/>
    <w:rsid w:val="009D7328"/>
    <w:rsid w:val="009D7B44"/>
    <w:rsid w:val="009E0A07"/>
    <w:rsid w:val="009E227D"/>
    <w:rsid w:val="009E2770"/>
    <w:rsid w:val="009E3DD1"/>
    <w:rsid w:val="009E5019"/>
    <w:rsid w:val="009E6EAC"/>
    <w:rsid w:val="009E6F1D"/>
    <w:rsid w:val="009E7CE9"/>
    <w:rsid w:val="009F02B2"/>
    <w:rsid w:val="009F3B58"/>
    <w:rsid w:val="009F4244"/>
    <w:rsid w:val="009F4ECD"/>
    <w:rsid w:val="009F58D2"/>
    <w:rsid w:val="009F65FA"/>
    <w:rsid w:val="00A04F1B"/>
    <w:rsid w:val="00A0501B"/>
    <w:rsid w:val="00A05524"/>
    <w:rsid w:val="00A0576F"/>
    <w:rsid w:val="00A0664E"/>
    <w:rsid w:val="00A1019C"/>
    <w:rsid w:val="00A10988"/>
    <w:rsid w:val="00A110EE"/>
    <w:rsid w:val="00A116C9"/>
    <w:rsid w:val="00A14490"/>
    <w:rsid w:val="00A14947"/>
    <w:rsid w:val="00A22E23"/>
    <w:rsid w:val="00A241A4"/>
    <w:rsid w:val="00A27BCE"/>
    <w:rsid w:val="00A3125F"/>
    <w:rsid w:val="00A319E8"/>
    <w:rsid w:val="00A32A83"/>
    <w:rsid w:val="00A33FAD"/>
    <w:rsid w:val="00A3519D"/>
    <w:rsid w:val="00A367A2"/>
    <w:rsid w:val="00A368DB"/>
    <w:rsid w:val="00A406DE"/>
    <w:rsid w:val="00A4200F"/>
    <w:rsid w:val="00A423AA"/>
    <w:rsid w:val="00A44600"/>
    <w:rsid w:val="00A45880"/>
    <w:rsid w:val="00A46788"/>
    <w:rsid w:val="00A46D01"/>
    <w:rsid w:val="00A51EF9"/>
    <w:rsid w:val="00A52D53"/>
    <w:rsid w:val="00A52F71"/>
    <w:rsid w:val="00A53EC6"/>
    <w:rsid w:val="00A54FE6"/>
    <w:rsid w:val="00A55C0F"/>
    <w:rsid w:val="00A60DEE"/>
    <w:rsid w:val="00A62114"/>
    <w:rsid w:val="00A64780"/>
    <w:rsid w:val="00A704A6"/>
    <w:rsid w:val="00A72B49"/>
    <w:rsid w:val="00A77074"/>
    <w:rsid w:val="00A8041F"/>
    <w:rsid w:val="00A806A7"/>
    <w:rsid w:val="00A80F98"/>
    <w:rsid w:val="00A819B6"/>
    <w:rsid w:val="00A81C42"/>
    <w:rsid w:val="00A82661"/>
    <w:rsid w:val="00A8335B"/>
    <w:rsid w:val="00A834B3"/>
    <w:rsid w:val="00A8520D"/>
    <w:rsid w:val="00A8713F"/>
    <w:rsid w:val="00A87371"/>
    <w:rsid w:val="00A90BA1"/>
    <w:rsid w:val="00A92DDE"/>
    <w:rsid w:val="00A93055"/>
    <w:rsid w:val="00A953A9"/>
    <w:rsid w:val="00A971AA"/>
    <w:rsid w:val="00A97637"/>
    <w:rsid w:val="00A97A9A"/>
    <w:rsid w:val="00AA0671"/>
    <w:rsid w:val="00AA1AAE"/>
    <w:rsid w:val="00AA2421"/>
    <w:rsid w:val="00AA2531"/>
    <w:rsid w:val="00AA2FBC"/>
    <w:rsid w:val="00AA3FF3"/>
    <w:rsid w:val="00AA7C04"/>
    <w:rsid w:val="00AB1E09"/>
    <w:rsid w:val="00AB5330"/>
    <w:rsid w:val="00AB7747"/>
    <w:rsid w:val="00AC14CE"/>
    <w:rsid w:val="00AC1B19"/>
    <w:rsid w:val="00AC256C"/>
    <w:rsid w:val="00AC2743"/>
    <w:rsid w:val="00AC2A56"/>
    <w:rsid w:val="00AC6A61"/>
    <w:rsid w:val="00AC77F0"/>
    <w:rsid w:val="00AC7B57"/>
    <w:rsid w:val="00AC7E39"/>
    <w:rsid w:val="00AD055E"/>
    <w:rsid w:val="00AD316E"/>
    <w:rsid w:val="00AD4740"/>
    <w:rsid w:val="00AD47A7"/>
    <w:rsid w:val="00AD56D2"/>
    <w:rsid w:val="00AD5F7F"/>
    <w:rsid w:val="00AE0232"/>
    <w:rsid w:val="00AE22DF"/>
    <w:rsid w:val="00AE2CB1"/>
    <w:rsid w:val="00AE42F1"/>
    <w:rsid w:val="00AF0CBF"/>
    <w:rsid w:val="00AF23E3"/>
    <w:rsid w:val="00AF257F"/>
    <w:rsid w:val="00AF33CF"/>
    <w:rsid w:val="00AF357B"/>
    <w:rsid w:val="00AF4D50"/>
    <w:rsid w:val="00AF5B5C"/>
    <w:rsid w:val="00AF5C4A"/>
    <w:rsid w:val="00AF6179"/>
    <w:rsid w:val="00B00CBA"/>
    <w:rsid w:val="00B02AA7"/>
    <w:rsid w:val="00B03952"/>
    <w:rsid w:val="00B03E4B"/>
    <w:rsid w:val="00B116CE"/>
    <w:rsid w:val="00B1295A"/>
    <w:rsid w:val="00B14C0E"/>
    <w:rsid w:val="00B20A45"/>
    <w:rsid w:val="00B20E30"/>
    <w:rsid w:val="00B21405"/>
    <w:rsid w:val="00B229EA"/>
    <w:rsid w:val="00B22C5C"/>
    <w:rsid w:val="00B248CC"/>
    <w:rsid w:val="00B24F30"/>
    <w:rsid w:val="00B265C3"/>
    <w:rsid w:val="00B3056A"/>
    <w:rsid w:val="00B31ABF"/>
    <w:rsid w:val="00B33BE3"/>
    <w:rsid w:val="00B33F99"/>
    <w:rsid w:val="00B35A6F"/>
    <w:rsid w:val="00B35BC6"/>
    <w:rsid w:val="00B41E0E"/>
    <w:rsid w:val="00B42B88"/>
    <w:rsid w:val="00B42FC3"/>
    <w:rsid w:val="00B43BF6"/>
    <w:rsid w:val="00B441A3"/>
    <w:rsid w:val="00B44363"/>
    <w:rsid w:val="00B44665"/>
    <w:rsid w:val="00B45E71"/>
    <w:rsid w:val="00B474A0"/>
    <w:rsid w:val="00B47E1D"/>
    <w:rsid w:val="00B526C1"/>
    <w:rsid w:val="00B53B5D"/>
    <w:rsid w:val="00B53BD2"/>
    <w:rsid w:val="00B53E6D"/>
    <w:rsid w:val="00B54754"/>
    <w:rsid w:val="00B6055E"/>
    <w:rsid w:val="00B61D09"/>
    <w:rsid w:val="00B6317D"/>
    <w:rsid w:val="00B736E5"/>
    <w:rsid w:val="00B73836"/>
    <w:rsid w:val="00B7426D"/>
    <w:rsid w:val="00B75CBD"/>
    <w:rsid w:val="00B7723F"/>
    <w:rsid w:val="00B80534"/>
    <w:rsid w:val="00B80870"/>
    <w:rsid w:val="00B8433C"/>
    <w:rsid w:val="00B84F7A"/>
    <w:rsid w:val="00B87491"/>
    <w:rsid w:val="00B87C68"/>
    <w:rsid w:val="00B90B59"/>
    <w:rsid w:val="00B916E1"/>
    <w:rsid w:val="00B92E63"/>
    <w:rsid w:val="00B93CB1"/>
    <w:rsid w:val="00B95821"/>
    <w:rsid w:val="00B968D4"/>
    <w:rsid w:val="00BA297B"/>
    <w:rsid w:val="00BA29E9"/>
    <w:rsid w:val="00BA3AFD"/>
    <w:rsid w:val="00BA7142"/>
    <w:rsid w:val="00BA73FC"/>
    <w:rsid w:val="00BA780D"/>
    <w:rsid w:val="00BB1184"/>
    <w:rsid w:val="00BB2242"/>
    <w:rsid w:val="00BB237C"/>
    <w:rsid w:val="00BB41A3"/>
    <w:rsid w:val="00BB4602"/>
    <w:rsid w:val="00BB4F13"/>
    <w:rsid w:val="00BB7DAE"/>
    <w:rsid w:val="00BC32DC"/>
    <w:rsid w:val="00BC35B6"/>
    <w:rsid w:val="00BC3EFD"/>
    <w:rsid w:val="00BC605F"/>
    <w:rsid w:val="00BD014A"/>
    <w:rsid w:val="00BD0261"/>
    <w:rsid w:val="00BD1031"/>
    <w:rsid w:val="00BD1B51"/>
    <w:rsid w:val="00BD4596"/>
    <w:rsid w:val="00BD6917"/>
    <w:rsid w:val="00BD71A6"/>
    <w:rsid w:val="00BE1405"/>
    <w:rsid w:val="00BE2145"/>
    <w:rsid w:val="00BE312D"/>
    <w:rsid w:val="00BE3E86"/>
    <w:rsid w:val="00BE498D"/>
    <w:rsid w:val="00BE4EA6"/>
    <w:rsid w:val="00BE7132"/>
    <w:rsid w:val="00BF1C20"/>
    <w:rsid w:val="00BF4727"/>
    <w:rsid w:val="00BF4A46"/>
    <w:rsid w:val="00BF55D4"/>
    <w:rsid w:val="00C003CD"/>
    <w:rsid w:val="00C0096F"/>
    <w:rsid w:val="00C031DE"/>
    <w:rsid w:val="00C0462E"/>
    <w:rsid w:val="00C05355"/>
    <w:rsid w:val="00C1000F"/>
    <w:rsid w:val="00C10578"/>
    <w:rsid w:val="00C12415"/>
    <w:rsid w:val="00C135BC"/>
    <w:rsid w:val="00C13D52"/>
    <w:rsid w:val="00C13F85"/>
    <w:rsid w:val="00C14CB8"/>
    <w:rsid w:val="00C1522B"/>
    <w:rsid w:val="00C15C95"/>
    <w:rsid w:val="00C2297F"/>
    <w:rsid w:val="00C24632"/>
    <w:rsid w:val="00C2596A"/>
    <w:rsid w:val="00C268AB"/>
    <w:rsid w:val="00C27537"/>
    <w:rsid w:val="00C319F9"/>
    <w:rsid w:val="00C328FE"/>
    <w:rsid w:val="00C32AEF"/>
    <w:rsid w:val="00C33507"/>
    <w:rsid w:val="00C33946"/>
    <w:rsid w:val="00C346EC"/>
    <w:rsid w:val="00C40CE8"/>
    <w:rsid w:val="00C41D02"/>
    <w:rsid w:val="00C4409D"/>
    <w:rsid w:val="00C44655"/>
    <w:rsid w:val="00C44E72"/>
    <w:rsid w:val="00C454B8"/>
    <w:rsid w:val="00C457DB"/>
    <w:rsid w:val="00C45A06"/>
    <w:rsid w:val="00C47524"/>
    <w:rsid w:val="00C47E5B"/>
    <w:rsid w:val="00C51EFC"/>
    <w:rsid w:val="00C55D6A"/>
    <w:rsid w:val="00C5700B"/>
    <w:rsid w:val="00C57939"/>
    <w:rsid w:val="00C60171"/>
    <w:rsid w:val="00C61E4B"/>
    <w:rsid w:val="00C63415"/>
    <w:rsid w:val="00C64BFF"/>
    <w:rsid w:val="00C704E9"/>
    <w:rsid w:val="00C763C9"/>
    <w:rsid w:val="00C7788B"/>
    <w:rsid w:val="00C7792B"/>
    <w:rsid w:val="00C80057"/>
    <w:rsid w:val="00C80A58"/>
    <w:rsid w:val="00C8207F"/>
    <w:rsid w:val="00C82232"/>
    <w:rsid w:val="00C82409"/>
    <w:rsid w:val="00C82913"/>
    <w:rsid w:val="00C8357F"/>
    <w:rsid w:val="00C854CA"/>
    <w:rsid w:val="00C90570"/>
    <w:rsid w:val="00C90D53"/>
    <w:rsid w:val="00C9141A"/>
    <w:rsid w:val="00C95DA3"/>
    <w:rsid w:val="00C972B1"/>
    <w:rsid w:val="00CA2182"/>
    <w:rsid w:val="00CA2B9B"/>
    <w:rsid w:val="00CA2CCE"/>
    <w:rsid w:val="00CA37A1"/>
    <w:rsid w:val="00CA4331"/>
    <w:rsid w:val="00CA43FD"/>
    <w:rsid w:val="00CA69A1"/>
    <w:rsid w:val="00CA737D"/>
    <w:rsid w:val="00CA77B9"/>
    <w:rsid w:val="00CA7EF8"/>
    <w:rsid w:val="00CB0B29"/>
    <w:rsid w:val="00CB0E5E"/>
    <w:rsid w:val="00CB14C5"/>
    <w:rsid w:val="00CB2622"/>
    <w:rsid w:val="00CB71EF"/>
    <w:rsid w:val="00CB77F9"/>
    <w:rsid w:val="00CC489B"/>
    <w:rsid w:val="00CC5B18"/>
    <w:rsid w:val="00CC792E"/>
    <w:rsid w:val="00CD0E2A"/>
    <w:rsid w:val="00CD2BCD"/>
    <w:rsid w:val="00CD3733"/>
    <w:rsid w:val="00CD3A4C"/>
    <w:rsid w:val="00CD4E04"/>
    <w:rsid w:val="00CD5067"/>
    <w:rsid w:val="00CD7CFA"/>
    <w:rsid w:val="00CE035B"/>
    <w:rsid w:val="00CE10E9"/>
    <w:rsid w:val="00CE2910"/>
    <w:rsid w:val="00CE35FA"/>
    <w:rsid w:val="00CE5393"/>
    <w:rsid w:val="00CE5FE8"/>
    <w:rsid w:val="00CF36BE"/>
    <w:rsid w:val="00CF39A9"/>
    <w:rsid w:val="00CF6000"/>
    <w:rsid w:val="00CF7DBE"/>
    <w:rsid w:val="00D003F3"/>
    <w:rsid w:val="00D0150C"/>
    <w:rsid w:val="00D02CCB"/>
    <w:rsid w:val="00D0364F"/>
    <w:rsid w:val="00D04CD4"/>
    <w:rsid w:val="00D06834"/>
    <w:rsid w:val="00D069A3"/>
    <w:rsid w:val="00D0723B"/>
    <w:rsid w:val="00D0743B"/>
    <w:rsid w:val="00D13BF8"/>
    <w:rsid w:val="00D16C23"/>
    <w:rsid w:val="00D22F3A"/>
    <w:rsid w:val="00D231A2"/>
    <w:rsid w:val="00D248C3"/>
    <w:rsid w:val="00D308ED"/>
    <w:rsid w:val="00D36D86"/>
    <w:rsid w:val="00D428AA"/>
    <w:rsid w:val="00D43AED"/>
    <w:rsid w:val="00D46D7B"/>
    <w:rsid w:val="00D505D4"/>
    <w:rsid w:val="00D50A34"/>
    <w:rsid w:val="00D50A74"/>
    <w:rsid w:val="00D52111"/>
    <w:rsid w:val="00D52A67"/>
    <w:rsid w:val="00D53EFA"/>
    <w:rsid w:val="00D54D4A"/>
    <w:rsid w:val="00D54EFE"/>
    <w:rsid w:val="00D55DDE"/>
    <w:rsid w:val="00D6044B"/>
    <w:rsid w:val="00D62A2A"/>
    <w:rsid w:val="00D642E4"/>
    <w:rsid w:val="00D65637"/>
    <w:rsid w:val="00D66420"/>
    <w:rsid w:val="00D70B66"/>
    <w:rsid w:val="00D70BBF"/>
    <w:rsid w:val="00D73FA9"/>
    <w:rsid w:val="00D74F84"/>
    <w:rsid w:val="00D77D82"/>
    <w:rsid w:val="00D84D21"/>
    <w:rsid w:val="00D8608A"/>
    <w:rsid w:val="00D87062"/>
    <w:rsid w:val="00D942A9"/>
    <w:rsid w:val="00D94A7C"/>
    <w:rsid w:val="00D95896"/>
    <w:rsid w:val="00D95FA0"/>
    <w:rsid w:val="00D9608F"/>
    <w:rsid w:val="00D96442"/>
    <w:rsid w:val="00D96FC6"/>
    <w:rsid w:val="00DA09AD"/>
    <w:rsid w:val="00DA6AD9"/>
    <w:rsid w:val="00DA7231"/>
    <w:rsid w:val="00DB1663"/>
    <w:rsid w:val="00DB2279"/>
    <w:rsid w:val="00DB2983"/>
    <w:rsid w:val="00DB4391"/>
    <w:rsid w:val="00DB62F1"/>
    <w:rsid w:val="00DC012D"/>
    <w:rsid w:val="00DC1257"/>
    <w:rsid w:val="00DC251F"/>
    <w:rsid w:val="00DC2753"/>
    <w:rsid w:val="00DC2CC1"/>
    <w:rsid w:val="00DC3DBA"/>
    <w:rsid w:val="00DC3DC0"/>
    <w:rsid w:val="00DC5B2B"/>
    <w:rsid w:val="00DC5E9C"/>
    <w:rsid w:val="00DC7DFC"/>
    <w:rsid w:val="00DD1C4A"/>
    <w:rsid w:val="00DD1C4B"/>
    <w:rsid w:val="00DD20FB"/>
    <w:rsid w:val="00DD318D"/>
    <w:rsid w:val="00DE3CEA"/>
    <w:rsid w:val="00DE42DC"/>
    <w:rsid w:val="00DE4F60"/>
    <w:rsid w:val="00DE5235"/>
    <w:rsid w:val="00DF2E12"/>
    <w:rsid w:val="00DF514A"/>
    <w:rsid w:val="00DF6690"/>
    <w:rsid w:val="00DF6804"/>
    <w:rsid w:val="00DF6B29"/>
    <w:rsid w:val="00E009C4"/>
    <w:rsid w:val="00E0116C"/>
    <w:rsid w:val="00E01C06"/>
    <w:rsid w:val="00E021B5"/>
    <w:rsid w:val="00E0358D"/>
    <w:rsid w:val="00E04323"/>
    <w:rsid w:val="00E06A99"/>
    <w:rsid w:val="00E070A2"/>
    <w:rsid w:val="00E1677A"/>
    <w:rsid w:val="00E2367A"/>
    <w:rsid w:val="00E2648A"/>
    <w:rsid w:val="00E2656A"/>
    <w:rsid w:val="00E273FF"/>
    <w:rsid w:val="00E31D83"/>
    <w:rsid w:val="00E322E7"/>
    <w:rsid w:val="00E3257D"/>
    <w:rsid w:val="00E33549"/>
    <w:rsid w:val="00E33AA5"/>
    <w:rsid w:val="00E34178"/>
    <w:rsid w:val="00E35807"/>
    <w:rsid w:val="00E35C96"/>
    <w:rsid w:val="00E36783"/>
    <w:rsid w:val="00E400CB"/>
    <w:rsid w:val="00E412D0"/>
    <w:rsid w:val="00E41990"/>
    <w:rsid w:val="00E44901"/>
    <w:rsid w:val="00E44FA4"/>
    <w:rsid w:val="00E47C2E"/>
    <w:rsid w:val="00E51AB9"/>
    <w:rsid w:val="00E52FA5"/>
    <w:rsid w:val="00E54559"/>
    <w:rsid w:val="00E56322"/>
    <w:rsid w:val="00E57689"/>
    <w:rsid w:val="00E60982"/>
    <w:rsid w:val="00E61FDC"/>
    <w:rsid w:val="00E62C62"/>
    <w:rsid w:val="00E635A0"/>
    <w:rsid w:val="00E654C1"/>
    <w:rsid w:val="00E65D97"/>
    <w:rsid w:val="00E669C9"/>
    <w:rsid w:val="00E676EE"/>
    <w:rsid w:val="00E676F7"/>
    <w:rsid w:val="00E67864"/>
    <w:rsid w:val="00E71A57"/>
    <w:rsid w:val="00E72A5A"/>
    <w:rsid w:val="00E73354"/>
    <w:rsid w:val="00E74215"/>
    <w:rsid w:val="00E7555D"/>
    <w:rsid w:val="00E84DC0"/>
    <w:rsid w:val="00E86768"/>
    <w:rsid w:val="00E90F3D"/>
    <w:rsid w:val="00E91357"/>
    <w:rsid w:val="00E91D1E"/>
    <w:rsid w:val="00E9242D"/>
    <w:rsid w:val="00E95192"/>
    <w:rsid w:val="00E9544E"/>
    <w:rsid w:val="00E959F7"/>
    <w:rsid w:val="00E95BD9"/>
    <w:rsid w:val="00EA1AC2"/>
    <w:rsid w:val="00EA1D3F"/>
    <w:rsid w:val="00EA2B9B"/>
    <w:rsid w:val="00EA7252"/>
    <w:rsid w:val="00EB2A19"/>
    <w:rsid w:val="00EB2F98"/>
    <w:rsid w:val="00EB5255"/>
    <w:rsid w:val="00EB5C47"/>
    <w:rsid w:val="00EB6D02"/>
    <w:rsid w:val="00EB7CB2"/>
    <w:rsid w:val="00EC18CA"/>
    <w:rsid w:val="00EC5F63"/>
    <w:rsid w:val="00EC6A94"/>
    <w:rsid w:val="00EC7419"/>
    <w:rsid w:val="00EC760F"/>
    <w:rsid w:val="00ED0639"/>
    <w:rsid w:val="00ED0C5A"/>
    <w:rsid w:val="00ED54E9"/>
    <w:rsid w:val="00ED6E81"/>
    <w:rsid w:val="00EE2B7D"/>
    <w:rsid w:val="00EE7533"/>
    <w:rsid w:val="00EF03FE"/>
    <w:rsid w:val="00EF4755"/>
    <w:rsid w:val="00EF60DB"/>
    <w:rsid w:val="00EF7135"/>
    <w:rsid w:val="00F00951"/>
    <w:rsid w:val="00F027DB"/>
    <w:rsid w:val="00F056E3"/>
    <w:rsid w:val="00F14A7A"/>
    <w:rsid w:val="00F14AB8"/>
    <w:rsid w:val="00F14C60"/>
    <w:rsid w:val="00F162FA"/>
    <w:rsid w:val="00F16AEB"/>
    <w:rsid w:val="00F20E8E"/>
    <w:rsid w:val="00F22985"/>
    <w:rsid w:val="00F2463A"/>
    <w:rsid w:val="00F24D54"/>
    <w:rsid w:val="00F25A79"/>
    <w:rsid w:val="00F3383E"/>
    <w:rsid w:val="00F40B4F"/>
    <w:rsid w:val="00F40BE6"/>
    <w:rsid w:val="00F40F21"/>
    <w:rsid w:val="00F43B08"/>
    <w:rsid w:val="00F465A7"/>
    <w:rsid w:val="00F50723"/>
    <w:rsid w:val="00F50B7C"/>
    <w:rsid w:val="00F51100"/>
    <w:rsid w:val="00F539C8"/>
    <w:rsid w:val="00F550E6"/>
    <w:rsid w:val="00F5745E"/>
    <w:rsid w:val="00F579B1"/>
    <w:rsid w:val="00F6036D"/>
    <w:rsid w:val="00F6092E"/>
    <w:rsid w:val="00F60F0E"/>
    <w:rsid w:val="00F614EE"/>
    <w:rsid w:val="00F615DE"/>
    <w:rsid w:val="00F63959"/>
    <w:rsid w:val="00F642EF"/>
    <w:rsid w:val="00F64CDE"/>
    <w:rsid w:val="00F65EA3"/>
    <w:rsid w:val="00F66DF7"/>
    <w:rsid w:val="00F66E87"/>
    <w:rsid w:val="00F675B2"/>
    <w:rsid w:val="00F726D7"/>
    <w:rsid w:val="00F74345"/>
    <w:rsid w:val="00F7680E"/>
    <w:rsid w:val="00F76C46"/>
    <w:rsid w:val="00F80A0A"/>
    <w:rsid w:val="00F8141C"/>
    <w:rsid w:val="00F81B39"/>
    <w:rsid w:val="00F82B19"/>
    <w:rsid w:val="00F83907"/>
    <w:rsid w:val="00F86120"/>
    <w:rsid w:val="00F9212D"/>
    <w:rsid w:val="00F965DA"/>
    <w:rsid w:val="00FA0ED6"/>
    <w:rsid w:val="00FA1CFA"/>
    <w:rsid w:val="00FA1D01"/>
    <w:rsid w:val="00FA1E3F"/>
    <w:rsid w:val="00FA3819"/>
    <w:rsid w:val="00FA406A"/>
    <w:rsid w:val="00FA7E2E"/>
    <w:rsid w:val="00FB0561"/>
    <w:rsid w:val="00FB0A4A"/>
    <w:rsid w:val="00FB12D0"/>
    <w:rsid w:val="00FB175E"/>
    <w:rsid w:val="00FB2693"/>
    <w:rsid w:val="00FB30F8"/>
    <w:rsid w:val="00FB3117"/>
    <w:rsid w:val="00FB3384"/>
    <w:rsid w:val="00FB503A"/>
    <w:rsid w:val="00FB516C"/>
    <w:rsid w:val="00FC02D1"/>
    <w:rsid w:val="00FC08C5"/>
    <w:rsid w:val="00FC1966"/>
    <w:rsid w:val="00FC396F"/>
    <w:rsid w:val="00FC42A8"/>
    <w:rsid w:val="00FC5FA4"/>
    <w:rsid w:val="00FD0236"/>
    <w:rsid w:val="00FD1407"/>
    <w:rsid w:val="00FD18F4"/>
    <w:rsid w:val="00FD2074"/>
    <w:rsid w:val="00FD4742"/>
    <w:rsid w:val="00FD5487"/>
    <w:rsid w:val="00FD54DB"/>
    <w:rsid w:val="00FD619F"/>
    <w:rsid w:val="00FE0272"/>
    <w:rsid w:val="00FE1B4E"/>
    <w:rsid w:val="00FE29FA"/>
    <w:rsid w:val="00FE3755"/>
    <w:rsid w:val="00FE3A9F"/>
    <w:rsid w:val="00FE49D5"/>
    <w:rsid w:val="00FE717C"/>
    <w:rsid w:val="00FF22E1"/>
    <w:rsid w:val="00FF2B2A"/>
    <w:rsid w:val="00FF2BF0"/>
    <w:rsid w:val="00FF32DE"/>
    <w:rsid w:val="00FF59A4"/>
    <w:rsid w:val="00FF7788"/>
    <w:rsid w:val="012160FB"/>
    <w:rsid w:val="01290F7E"/>
    <w:rsid w:val="015D1E09"/>
    <w:rsid w:val="01DC73F0"/>
    <w:rsid w:val="0255679F"/>
    <w:rsid w:val="02697903"/>
    <w:rsid w:val="02922664"/>
    <w:rsid w:val="02F96569"/>
    <w:rsid w:val="03D235A8"/>
    <w:rsid w:val="03EA7B21"/>
    <w:rsid w:val="047803AE"/>
    <w:rsid w:val="04820ADC"/>
    <w:rsid w:val="04870ED9"/>
    <w:rsid w:val="0494168D"/>
    <w:rsid w:val="04DA4BA7"/>
    <w:rsid w:val="04F672AE"/>
    <w:rsid w:val="05295881"/>
    <w:rsid w:val="05683E17"/>
    <w:rsid w:val="0580110F"/>
    <w:rsid w:val="05A03395"/>
    <w:rsid w:val="05F02D58"/>
    <w:rsid w:val="05F5443E"/>
    <w:rsid w:val="05F83EAE"/>
    <w:rsid w:val="063E7D85"/>
    <w:rsid w:val="06530032"/>
    <w:rsid w:val="07094C23"/>
    <w:rsid w:val="07293586"/>
    <w:rsid w:val="07295285"/>
    <w:rsid w:val="074D6657"/>
    <w:rsid w:val="075C4894"/>
    <w:rsid w:val="07636392"/>
    <w:rsid w:val="07770C56"/>
    <w:rsid w:val="07B60501"/>
    <w:rsid w:val="07F70614"/>
    <w:rsid w:val="08502267"/>
    <w:rsid w:val="08BF7336"/>
    <w:rsid w:val="08F32393"/>
    <w:rsid w:val="092217DD"/>
    <w:rsid w:val="093A7294"/>
    <w:rsid w:val="093E1627"/>
    <w:rsid w:val="09936523"/>
    <w:rsid w:val="09B65F4B"/>
    <w:rsid w:val="09CC4483"/>
    <w:rsid w:val="09E652AB"/>
    <w:rsid w:val="0A0A5D8A"/>
    <w:rsid w:val="0A263993"/>
    <w:rsid w:val="0A2D3AC2"/>
    <w:rsid w:val="0A9808A3"/>
    <w:rsid w:val="0AA755DF"/>
    <w:rsid w:val="0AC84667"/>
    <w:rsid w:val="0B120D44"/>
    <w:rsid w:val="0B246153"/>
    <w:rsid w:val="0B8B20F4"/>
    <w:rsid w:val="0BD27BF6"/>
    <w:rsid w:val="0C0A7637"/>
    <w:rsid w:val="0C3B3C7D"/>
    <w:rsid w:val="0CA86569"/>
    <w:rsid w:val="0CAB2EAE"/>
    <w:rsid w:val="0CC9403F"/>
    <w:rsid w:val="0D2F7A63"/>
    <w:rsid w:val="0D621C7D"/>
    <w:rsid w:val="0D9D3893"/>
    <w:rsid w:val="0DCB103A"/>
    <w:rsid w:val="0E2B15AE"/>
    <w:rsid w:val="0E376572"/>
    <w:rsid w:val="0E3F53FA"/>
    <w:rsid w:val="0E73034D"/>
    <w:rsid w:val="0EC413D9"/>
    <w:rsid w:val="0ECA74E6"/>
    <w:rsid w:val="0EE53BBD"/>
    <w:rsid w:val="0F13775A"/>
    <w:rsid w:val="0F1F6D80"/>
    <w:rsid w:val="0F5F45FE"/>
    <w:rsid w:val="0F9A112B"/>
    <w:rsid w:val="10082991"/>
    <w:rsid w:val="102A1F01"/>
    <w:rsid w:val="104F6A0C"/>
    <w:rsid w:val="106D2F64"/>
    <w:rsid w:val="10B63710"/>
    <w:rsid w:val="10CB1556"/>
    <w:rsid w:val="10E84A8D"/>
    <w:rsid w:val="10EC582A"/>
    <w:rsid w:val="10F10820"/>
    <w:rsid w:val="11196F2D"/>
    <w:rsid w:val="111C2F7A"/>
    <w:rsid w:val="112B7793"/>
    <w:rsid w:val="113951ED"/>
    <w:rsid w:val="11665CA1"/>
    <w:rsid w:val="11A12988"/>
    <w:rsid w:val="11E2041F"/>
    <w:rsid w:val="11EA20AB"/>
    <w:rsid w:val="12175C29"/>
    <w:rsid w:val="12DF4FCE"/>
    <w:rsid w:val="12E0249A"/>
    <w:rsid w:val="135E2714"/>
    <w:rsid w:val="13951726"/>
    <w:rsid w:val="13CD7B8E"/>
    <w:rsid w:val="13D049F5"/>
    <w:rsid w:val="13D17487"/>
    <w:rsid w:val="14396509"/>
    <w:rsid w:val="14851CDE"/>
    <w:rsid w:val="148A1D70"/>
    <w:rsid w:val="14DD2C3C"/>
    <w:rsid w:val="15306918"/>
    <w:rsid w:val="15564B2C"/>
    <w:rsid w:val="15685B90"/>
    <w:rsid w:val="15DC2CD7"/>
    <w:rsid w:val="16087E1D"/>
    <w:rsid w:val="17507280"/>
    <w:rsid w:val="17701D14"/>
    <w:rsid w:val="17735226"/>
    <w:rsid w:val="18447CC5"/>
    <w:rsid w:val="186D1CB7"/>
    <w:rsid w:val="189F624C"/>
    <w:rsid w:val="18C46934"/>
    <w:rsid w:val="19DB478F"/>
    <w:rsid w:val="19F45B80"/>
    <w:rsid w:val="1A1C66C0"/>
    <w:rsid w:val="1A42393B"/>
    <w:rsid w:val="1A512AA1"/>
    <w:rsid w:val="1A8A5392"/>
    <w:rsid w:val="1AAD45DE"/>
    <w:rsid w:val="1AE74D2F"/>
    <w:rsid w:val="1B046F80"/>
    <w:rsid w:val="1B2A0460"/>
    <w:rsid w:val="1B3267B5"/>
    <w:rsid w:val="1B40161D"/>
    <w:rsid w:val="1B441859"/>
    <w:rsid w:val="1B6606B1"/>
    <w:rsid w:val="1BA45289"/>
    <w:rsid w:val="1C5E7925"/>
    <w:rsid w:val="1CFD070F"/>
    <w:rsid w:val="1D5F6196"/>
    <w:rsid w:val="1D6132A5"/>
    <w:rsid w:val="1D631052"/>
    <w:rsid w:val="1D8E56D5"/>
    <w:rsid w:val="1D90370C"/>
    <w:rsid w:val="1DD94294"/>
    <w:rsid w:val="1E7A43DA"/>
    <w:rsid w:val="1EF15117"/>
    <w:rsid w:val="1FA61059"/>
    <w:rsid w:val="1FE7539E"/>
    <w:rsid w:val="20035B83"/>
    <w:rsid w:val="20065867"/>
    <w:rsid w:val="20271EF4"/>
    <w:rsid w:val="20671BE0"/>
    <w:rsid w:val="20963CB8"/>
    <w:rsid w:val="20A52A24"/>
    <w:rsid w:val="20A81A1B"/>
    <w:rsid w:val="20AF33FC"/>
    <w:rsid w:val="20B07FB6"/>
    <w:rsid w:val="20B646FB"/>
    <w:rsid w:val="211C611E"/>
    <w:rsid w:val="21392129"/>
    <w:rsid w:val="213B74B1"/>
    <w:rsid w:val="215A2310"/>
    <w:rsid w:val="21C01495"/>
    <w:rsid w:val="21DE318A"/>
    <w:rsid w:val="21E471D3"/>
    <w:rsid w:val="21EF5B80"/>
    <w:rsid w:val="22125198"/>
    <w:rsid w:val="2234120F"/>
    <w:rsid w:val="225668AF"/>
    <w:rsid w:val="22576990"/>
    <w:rsid w:val="22786B73"/>
    <w:rsid w:val="22E44770"/>
    <w:rsid w:val="22EE5197"/>
    <w:rsid w:val="22F47480"/>
    <w:rsid w:val="23C77A80"/>
    <w:rsid w:val="23DE1C48"/>
    <w:rsid w:val="23F06E68"/>
    <w:rsid w:val="240210CD"/>
    <w:rsid w:val="24510BA1"/>
    <w:rsid w:val="24BF09F7"/>
    <w:rsid w:val="252D53FE"/>
    <w:rsid w:val="255C40D0"/>
    <w:rsid w:val="257F0691"/>
    <w:rsid w:val="258E50DA"/>
    <w:rsid w:val="25B45A86"/>
    <w:rsid w:val="25CB485D"/>
    <w:rsid w:val="25E92311"/>
    <w:rsid w:val="25EC2D81"/>
    <w:rsid w:val="26C8427A"/>
    <w:rsid w:val="26E66850"/>
    <w:rsid w:val="274972EA"/>
    <w:rsid w:val="274F43F6"/>
    <w:rsid w:val="277057A2"/>
    <w:rsid w:val="277A7AE9"/>
    <w:rsid w:val="27BB1A8B"/>
    <w:rsid w:val="27DC7322"/>
    <w:rsid w:val="281326BC"/>
    <w:rsid w:val="283C035D"/>
    <w:rsid w:val="2888032F"/>
    <w:rsid w:val="28D5060A"/>
    <w:rsid w:val="28EE7469"/>
    <w:rsid w:val="28FE2DF4"/>
    <w:rsid w:val="29206EB8"/>
    <w:rsid w:val="295953C0"/>
    <w:rsid w:val="29595666"/>
    <w:rsid w:val="29710F70"/>
    <w:rsid w:val="29874881"/>
    <w:rsid w:val="29B0758A"/>
    <w:rsid w:val="29E325E0"/>
    <w:rsid w:val="2A0264ED"/>
    <w:rsid w:val="2A040A60"/>
    <w:rsid w:val="2A452503"/>
    <w:rsid w:val="2AC918B2"/>
    <w:rsid w:val="2B181536"/>
    <w:rsid w:val="2BA936A8"/>
    <w:rsid w:val="2BB46F1D"/>
    <w:rsid w:val="2BED35D0"/>
    <w:rsid w:val="2BFB0489"/>
    <w:rsid w:val="2C2679EA"/>
    <w:rsid w:val="2C315A5A"/>
    <w:rsid w:val="2C4B1C25"/>
    <w:rsid w:val="2D1B1D72"/>
    <w:rsid w:val="2D564C0C"/>
    <w:rsid w:val="2D6506F6"/>
    <w:rsid w:val="2D9E56F5"/>
    <w:rsid w:val="2DE665A5"/>
    <w:rsid w:val="2E56399F"/>
    <w:rsid w:val="2E5642BC"/>
    <w:rsid w:val="2E667F96"/>
    <w:rsid w:val="2E740D32"/>
    <w:rsid w:val="2E8226AB"/>
    <w:rsid w:val="2EBE54E3"/>
    <w:rsid w:val="2EC43206"/>
    <w:rsid w:val="2EF96F36"/>
    <w:rsid w:val="2F3E497C"/>
    <w:rsid w:val="2FD065E6"/>
    <w:rsid w:val="2FD96870"/>
    <w:rsid w:val="2FEA12E0"/>
    <w:rsid w:val="300E3119"/>
    <w:rsid w:val="30580BC9"/>
    <w:rsid w:val="30651DA8"/>
    <w:rsid w:val="311E2ED7"/>
    <w:rsid w:val="315619EE"/>
    <w:rsid w:val="315B79B7"/>
    <w:rsid w:val="315C449C"/>
    <w:rsid w:val="31653937"/>
    <w:rsid w:val="31B82709"/>
    <w:rsid w:val="31D05482"/>
    <w:rsid w:val="32016DBC"/>
    <w:rsid w:val="32400B34"/>
    <w:rsid w:val="324C4353"/>
    <w:rsid w:val="329E6876"/>
    <w:rsid w:val="32EB3B6C"/>
    <w:rsid w:val="333015F2"/>
    <w:rsid w:val="334212B2"/>
    <w:rsid w:val="334B6320"/>
    <w:rsid w:val="338410D5"/>
    <w:rsid w:val="33937B20"/>
    <w:rsid w:val="339431D1"/>
    <w:rsid w:val="33D934D4"/>
    <w:rsid w:val="33FE2F6A"/>
    <w:rsid w:val="340E07E5"/>
    <w:rsid w:val="340F7372"/>
    <w:rsid w:val="34235BF7"/>
    <w:rsid w:val="346E3672"/>
    <w:rsid w:val="34C23B85"/>
    <w:rsid w:val="34D90276"/>
    <w:rsid w:val="358C5FA8"/>
    <w:rsid w:val="35C15DF1"/>
    <w:rsid w:val="35F83A08"/>
    <w:rsid w:val="36074A7F"/>
    <w:rsid w:val="36100EFC"/>
    <w:rsid w:val="36923549"/>
    <w:rsid w:val="369D3482"/>
    <w:rsid w:val="36B75FBF"/>
    <w:rsid w:val="36BD0C45"/>
    <w:rsid w:val="36E57C49"/>
    <w:rsid w:val="36F445E5"/>
    <w:rsid w:val="37393E2C"/>
    <w:rsid w:val="37597EA8"/>
    <w:rsid w:val="37950650"/>
    <w:rsid w:val="37E00298"/>
    <w:rsid w:val="37EE7A36"/>
    <w:rsid w:val="38B302F9"/>
    <w:rsid w:val="38F12CD3"/>
    <w:rsid w:val="38F94775"/>
    <w:rsid w:val="390F3B60"/>
    <w:rsid w:val="392971ED"/>
    <w:rsid w:val="39325651"/>
    <w:rsid w:val="397532E6"/>
    <w:rsid w:val="399D5494"/>
    <w:rsid w:val="39BD7463"/>
    <w:rsid w:val="3A6F6E52"/>
    <w:rsid w:val="3A872856"/>
    <w:rsid w:val="3ABE1A17"/>
    <w:rsid w:val="3B3763D1"/>
    <w:rsid w:val="3B3F26DE"/>
    <w:rsid w:val="3B8B4156"/>
    <w:rsid w:val="3B9E713A"/>
    <w:rsid w:val="3BC214DE"/>
    <w:rsid w:val="3BEB6FBF"/>
    <w:rsid w:val="3C06146B"/>
    <w:rsid w:val="3C13195C"/>
    <w:rsid w:val="3C2E4B08"/>
    <w:rsid w:val="3C2F6E1E"/>
    <w:rsid w:val="3C4F64BA"/>
    <w:rsid w:val="3C8F2D94"/>
    <w:rsid w:val="3CC3089A"/>
    <w:rsid w:val="3CDA245A"/>
    <w:rsid w:val="3CEF1D4F"/>
    <w:rsid w:val="3D094F2D"/>
    <w:rsid w:val="3D1E06B7"/>
    <w:rsid w:val="3D380C7F"/>
    <w:rsid w:val="3D453853"/>
    <w:rsid w:val="3D902000"/>
    <w:rsid w:val="3DBF168E"/>
    <w:rsid w:val="3EDA0523"/>
    <w:rsid w:val="3EF05E51"/>
    <w:rsid w:val="3F3A146A"/>
    <w:rsid w:val="4030431F"/>
    <w:rsid w:val="405B1F44"/>
    <w:rsid w:val="407A6407"/>
    <w:rsid w:val="40CE4447"/>
    <w:rsid w:val="4135405C"/>
    <w:rsid w:val="41425328"/>
    <w:rsid w:val="41DC378B"/>
    <w:rsid w:val="4200449D"/>
    <w:rsid w:val="423A3BCC"/>
    <w:rsid w:val="424E57D2"/>
    <w:rsid w:val="426336E7"/>
    <w:rsid w:val="42720FD2"/>
    <w:rsid w:val="428B64F5"/>
    <w:rsid w:val="428F11D7"/>
    <w:rsid w:val="42B26C49"/>
    <w:rsid w:val="433A6FE6"/>
    <w:rsid w:val="434050B5"/>
    <w:rsid w:val="43480868"/>
    <w:rsid w:val="4350713C"/>
    <w:rsid w:val="436653E0"/>
    <w:rsid w:val="438312C4"/>
    <w:rsid w:val="43A53737"/>
    <w:rsid w:val="43C4431A"/>
    <w:rsid w:val="44202502"/>
    <w:rsid w:val="4427158C"/>
    <w:rsid w:val="44B951CC"/>
    <w:rsid w:val="44CD14E0"/>
    <w:rsid w:val="44D13D53"/>
    <w:rsid w:val="44F20B0B"/>
    <w:rsid w:val="452E5F4C"/>
    <w:rsid w:val="45484C5B"/>
    <w:rsid w:val="45612018"/>
    <w:rsid w:val="4565582E"/>
    <w:rsid w:val="458946E9"/>
    <w:rsid w:val="45A47C0E"/>
    <w:rsid w:val="45F35C92"/>
    <w:rsid w:val="460F14C8"/>
    <w:rsid w:val="464C6278"/>
    <w:rsid w:val="46577FD6"/>
    <w:rsid w:val="465823DE"/>
    <w:rsid w:val="46893028"/>
    <w:rsid w:val="46A4466D"/>
    <w:rsid w:val="46B66ED2"/>
    <w:rsid w:val="46D955A7"/>
    <w:rsid w:val="46F25217"/>
    <w:rsid w:val="47036924"/>
    <w:rsid w:val="47133957"/>
    <w:rsid w:val="474F0BB4"/>
    <w:rsid w:val="47685334"/>
    <w:rsid w:val="479B3413"/>
    <w:rsid w:val="47A07E0C"/>
    <w:rsid w:val="48072734"/>
    <w:rsid w:val="480E0281"/>
    <w:rsid w:val="48116A79"/>
    <w:rsid w:val="4870272E"/>
    <w:rsid w:val="488A7B87"/>
    <w:rsid w:val="48C377F2"/>
    <w:rsid w:val="49153157"/>
    <w:rsid w:val="49201962"/>
    <w:rsid w:val="499E1783"/>
    <w:rsid w:val="49DC7715"/>
    <w:rsid w:val="49E76A33"/>
    <w:rsid w:val="4A023139"/>
    <w:rsid w:val="4A7B576F"/>
    <w:rsid w:val="4A83308A"/>
    <w:rsid w:val="4AF561A9"/>
    <w:rsid w:val="4AFC38C2"/>
    <w:rsid w:val="4B3546EF"/>
    <w:rsid w:val="4B9068E7"/>
    <w:rsid w:val="4BA85230"/>
    <w:rsid w:val="4BE71BD9"/>
    <w:rsid w:val="4C4A0649"/>
    <w:rsid w:val="4C4C5224"/>
    <w:rsid w:val="4C7E5ECA"/>
    <w:rsid w:val="4C8459E2"/>
    <w:rsid w:val="4C876AA5"/>
    <w:rsid w:val="4CD60F91"/>
    <w:rsid w:val="4CD75CC7"/>
    <w:rsid w:val="4CF136D5"/>
    <w:rsid w:val="4D0E00FB"/>
    <w:rsid w:val="4D176606"/>
    <w:rsid w:val="4DB24803"/>
    <w:rsid w:val="4DE669BA"/>
    <w:rsid w:val="4DE80F7C"/>
    <w:rsid w:val="4DEC4FB0"/>
    <w:rsid w:val="4E075D8A"/>
    <w:rsid w:val="4EC00FAD"/>
    <w:rsid w:val="4EFC368E"/>
    <w:rsid w:val="4F2C6C47"/>
    <w:rsid w:val="4F6D0C9A"/>
    <w:rsid w:val="4F9843DC"/>
    <w:rsid w:val="4F9F639A"/>
    <w:rsid w:val="4FC62A8C"/>
    <w:rsid w:val="4FCB2E6A"/>
    <w:rsid w:val="4FE20F0D"/>
    <w:rsid w:val="4FE51552"/>
    <w:rsid w:val="504B367D"/>
    <w:rsid w:val="50504C4B"/>
    <w:rsid w:val="505709CE"/>
    <w:rsid w:val="506E3BAA"/>
    <w:rsid w:val="509C6E7C"/>
    <w:rsid w:val="51177E66"/>
    <w:rsid w:val="513A1C7C"/>
    <w:rsid w:val="5160707C"/>
    <w:rsid w:val="5162104E"/>
    <w:rsid w:val="522B3DE7"/>
    <w:rsid w:val="522E2CD6"/>
    <w:rsid w:val="52D2766E"/>
    <w:rsid w:val="531D0600"/>
    <w:rsid w:val="53613149"/>
    <w:rsid w:val="536410A5"/>
    <w:rsid w:val="53A039CC"/>
    <w:rsid w:val="53A1505A"/>
    <w:rsid w:val="53D855EF"/>
    <w:rsid w:val="53E61A88"/>
    <w:rsid w:val="54063E08"/>
    <w:rsid w:val="543437E8"/>
    <w:rsid w:val="54415466"/>
    <w:rsid w:val="545D29A2"/>
    <w:rsid w:val="547A0454"/>
    <w:rsid w:val="54DE2BDB"/>
    <w:rsid w:val="54F25B00"/>
    <w:rsid w:val="54F73313"/>
    <w:rsid w:val="54F80955"/>
    <w:rsid w:val="554B3080"/>
    <w:rsid w:val="554B56FE"/>
    <w:rsid w:val="555170A7"/>
    <w:rsid w:val="556D2D34"/>
    <w:rsid w:val="5587536D"/>
    <w:rsid w:val="559B174B"/>
    <w:rsid w:val="55CE0CF4"/>
    <w:rsid w:val="55DB2C38"/>
    <w:rsid w:val="55E057EC"/>
    <w:rsid w:val="55EA31F8"/>
    <w:rsid w:val="56670D97"/>
    <w:rsid w:val="56B22A9C"/>
    <w:rsid w:val="570F5137"/>
    <w:rsid w:val="572B2F32"/>
    <w:rsid w:val="572B436A"/>
    <w:rsid w:val="574B5289"/>
    <w:rsid w:val="57B72A76"/>
    <w:rsid w:val="57C3426C"/>
    <w:rsid w:val="57CE1F93"/>
    <w:rsid w:val="57E42AF8"/>
    <w:rsid w:val="57F86A8A"/>
    <w:rsid w:val="588743D1"/>
    <w:rsid w:val="5887701A"/>
    <w:rsid w:val="590A3BB6"/>
    <w:rsid w:val="59755961"/>
    <w:rsid w:val="599431DD"/>
    <w:rsid w:val="59C0439F"/>
    <w:rsid w:val="59FD6888"/>
    <w:rsid w:val="5A1A3242"/>
    <w:rsid w:val="5A2464D7"/>
    <w:rsid w:val="5A9E561F"/>
    <w:rsid w:val="5ABE2233"/>
    <w:rsid w:val="5AF704E1"/>
    <w:rsid w:val="5B93173C"/>
    <w:rsid w:val="5BA06774"/>
    <w:rsid w:val="5BDF5D95"/>
    <w:rsid w:val="5BFE7528"/>
    <w:rsid w:val="5C276A78"/>
    <w:rsid w:val="5C4E3809"/>
    <w:rsid w:val="5C92351C"/>
    <w:rsid w:val="5CA71C2F"/>
    <w:rsid w:val="5CC049E0"/>
    <w:rsid w:val="5CC1067D"/>
    <w:rsid w:val="5CCF28D8"/>
    <w:rsid w:val="5D6565E9"/>
    <w:rsid w:val="5D751231"/>
    <w:rsid w:val="5D9E09C8"/>
    <w:rsid w:val="5DAE4DDA"/>
    <w:rsid w:val="5DC1211D"/>
    <w:rsid w:val="5E2467F1"/>
    <w:rsid w:val="5E39794A"/>
    <w:rsid w:val="5E9B368F"/>
    <w:rsid w:val="5ED760E8"/>
    <w:rsid w:val="5F017C9A"/>
    <w:rsid w:val="5F1A2B43"/>
    <w:rsid w:val="5F5B777B"/>
    <w:rsid w:val="5F7B7F6F"/>
    <w:rsid w:val="5FA8261E"/>
    <w:rsid w:val="5FB837BB"/>
    <w:rsid w:val="5FD94DE7"/>
    <w:rsid w:val="60461D92"/>
    <w:rsid w:val="607A29F0"/>
    <w:rsid w:val="60800670"/>
    <w:rsid w:val="60A749F7"/>
    <w:rsid w:val="60CC405A"/>
    <w:rsid w:val="60CF202C"/>
    <w:rsid w:val="60E54DEA"/>
    <w:rsid w:val="60EB61B0"/>
    <w:rsid w:val="61774699"/>
    <w:rsid w:val="61DD20F6"/>
    <w:rsid w:val="61E215D8"/>
    <w:rsid w:val="61E82EA1"/>
    <w:rsid w:val="621B3775"/>
    <w:rsid w:val="62364782"/>
    <w:rsid w:val="623A61FA"/>
    <w:rsid w:val="625B1EC4"/>
    <w:rsid w:val="630E217B"/>
    <w:rsid w:val="63235F16"/>
    <w:rsid w:val="635B5593"/>
    <w:rsid w:val="6394356A"/>
    <w:rsid w:val="63C61B2C"/>
    <w:rsid w:val="63D40BE9"/>
    <w:rsid w:val="63D66246"/>
    <w:rsid w:val="63F54BA3"/>
    <w:rsid w:val="64102431"/>
    <w:rsid w:val="64A5243A"/>
    <w:rsid w:val="64F531DE"/>
    <w:rsid w:val="65373578"/>
    <w:rsid w:val="662C1A19"/>
    <w:rsid w:val="663522EE"/>
    <w:rsid w:val="669C3F0E"/>
    <w:rsid w:val="66AB5CC6"/>
    <w:rsid w:val="66F16EFB"/>
    <w:rsid w:val="671F124A"/>
    <w:rsid w:val="677A33C6"/>
    <w:rsid w:val="677C2757"/>
    <w:rsid w:val="68177EA3"/>
    <w:rsid w:val="681F6961"/>
    <w:rsid w:val="68346064"/>
    <w:rsid w:val="6855245E"/>
    <w:rsid w:val="68610A2F"/>
    <w:rsid w:val="68805514"/>
    <w:rsid w:val="68B25FB7"/>
    <w:rsid w:val="68BF08D3"/>
    <w:rsid w:val="68DF4357"/>
    <w:rsid w:val="69316E2F"/>
    <w:rsid w:val="69333BC5"/>
    <w:rsid w:val="694E2071"/>
    <w:rsid w:val="69674FF3"/>
    <w:rsid w:val="69766163"/>
    <w:rsid w:val="697A3B33"/>
    <w:rsid w:val="69BF7CC1"/>
    <w:rsid w:val="69D44760"/>
    <w:rsid w:val="6A0E26CC"/>
    <w:rsid w:val="6A520EC7"/>
    <w:rsid w:val="6A61172E"/>
    <w:rsid w:val="6ABC3761"/>
    <w:rsid w:val="6AF87E20"/>
    <w:rsid w:val="6AFB7C0A"/>
    <w:rsid w:val="6B322639"/>
    <w:rsid w:val="6BAC04BE"/>
    <w:rsid w:val="6BCB37B4"/>
    <w:rsid w:val="6C1B7733"/>
    <w:rsid w:val="6C636C38"/>
    <w:rsid w:val="6C660460"/>
    <w:rsid w:val="6C912EAE"/>
    <w:rsid w:val="6CAC011A"/>
    <w:rsid w:val="6CED3A62"/>
    <w:rsid w:val="6D213138"/>
    <w:rsid w:val="6D3E5713"/>
    <w:rsid w:val="6D54763D"/>
    <w:rsid w:val="6D8864F6"/>
    <w:rsid w:val="6DB34098"/>
    <w:rsid w:val="6DB545B6"/>
    <w:rsid w:val="6DCE2C6E"/>
    <w:rsid w:val="6DD23660"/>
    <w:rsid w:val="6DE02FB4"/>
    <w:rsid w:val="6DE32F6D"/>
    <w:rsid w:val="6E0C5807"/>
    <w:rsid w:val="6E31797E"/>
    <w:rsid w:val="6E4E27AE"/>
    <w:rsid w:val="6E514CED"/>
    <w:rsid w:val="6E8A0B00"/>
    <w:rsid w:val="6EB563D5"/>
    <w:rsid w:val="6ED92677"/>
    <w:rsid w:val="6F004C86"/>
    <w:rsid w:val="6F225983"/>
    <w:rsid w:val="6F811861"/>
    <w:rsid w:val="6F840F5B"/>
    <w:rsid w:val="6FD02737"/>
    <w:rsid w:val="6FED0607"/>
    <w:rsid w:val="6FFC5590"/>
    <w:rsid w:val="70601BD5"/>
    <w:rsid w:val="706D1DD0"/>
    <w:rsid w:val="70725E34"/>
    <w:rsid w:val="70766CE0"/>
    <w:rsid w:val="70856B87"/>
    <w:rsid w:val="70D527EE"/>
    <w:rsid w:val="715B5300"/>
    <w:rsid w:val="717A2A7F"/>
    <w:rsid w:val="71D27F8A"/>
    <w:rsid w:val="72553024"/>
    <w:rsid w:val="72AF7927"/>
    <w:rsid w:val="72E1058B"/>
    <w:rsid w:val="72E37076"/>
    <w:rsid w:val="72F66929"/>
    <w:rsid w:val="730D1806"/>
    <w:rsid w:val="73122968"/>
    <w:rsid w:val="731F5D5E"/>
    <w:rsid w:val="735F6E7D"/>
    <w:rsid w:val="73C51AD5"/>
    <w:rsid w:val="74185868"/>
    <w:rsid w:val="741E793C"/>
    <w:rsid w:val="745C0A09"/>
    <w:rsid w:val="745E3944"/>
    <w:rsid w:val="74805798"/>
    <w:rsid w:val="74983C1D"/>
    <w:rsid w:val="74DD0475"/>
    <w:rsid w:val="74EC1D78"/>
    <w:rsid w:val="75586F9C"/>
    <w:rsid w:val="75666A0D"/>
    <w:rsid w:val="758111EB"/>
    <w:rsid w:val="75877C44"/>
    <w:rsid w:val="75FA0FFD"/>
    <w:rsid w:val="7635099D"/>
    <w:rsid w:val="764B35A7"/>
    <w:rsid w:val="76E77774"/>
    <w:rsid w:val="77554B45"/>
    <w:rsid w:val="77762421"/>
    <w:rsid w:val="77805440"/>
    <w:rsid w:val="77AA0217"/>
    <w:rsid w:val="77B56B1F"/>
    <w:rsid w:val="77D1113E"/>
    <w:rsid w:val="780F09F4"/>
    <w:rsid w:val="781A2224"/>
    <w:rsid w:val="787450BB"/>
    <w:rsid w:val="78A90480"/>
    <w:rsid w:val="78B40D96"/>
    <w:rsid w:val="796E799C"/>
    <w:rsid w:val="79BB6EF7"/>
    <w:rsid w:val="7A1205C0"/>
    <w:rsid w:val="7A29688D"/>
    <w:rsid w:val="7A364017"/>
    <w:rsid w:val="7A455962"/>
    <w:rsid w:val="7A8265E1"/>
    <w:rsid w:val="7AA27B51"/>
    <w:rsid w:val="7ABF3674"/>
    <w:rsid w:val="7AE568C7"/>
    <w:rsid w:val="7B522F82"/>
    <w:rsid w:val="7B686D42"/>
    <w:rsid w:val="7B841746"/>
    <w:rsid w:val="7BAE260E"/>
    <w:rsid w:val="7BEB5954"/>
    <w:rsid w:val="7C31495D"/>
    <w:rsid w:val="7C6C5AC7"/>
    <w:rsid w:val="7CC6544B"/>
    <w:rsid w:val="7D0239FF"/>
    <w:rsid w:val="7D2167D7"/>
    <w:rsid w:val="7D5E40CD"/>
    <w:rsid w:val="7DCD56F2"/>
    <w:rsid w:val="7DDA210D"/>
    <w:rsid w:val="7E203310"/>
    <w:rsid w:val="7E2A6B1D"/>
    <w:rsid w:val="7EC01164"/>
    <w:rsid w:val="7EE5239B"/>
    <w:rsid w:val="7EEA76B2"/>
    <w:rsid w:val="7F001CE7"/>
    <w:rsid w:val="7F2F7F0A"/>
    <w:rsid w:val="7F4B50C5"/>
    <w:rsid w:val="7F9025F9"/>
    <w:rsid w:val="7FA553C2"/>
    <w:rsid w:val="7FC66F4E"/>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joinstyle="miter"/>
    </o:shapedefaults>
    <o:shapelayout v:ext="edit">
      <o:idmap v:ext="edit" data="2,4"/>
      <o:rules v:ext="edit">
        <o:r id="V:Rule1" type="connector" idref="#_x0000_s2050"/>
        <o:r id="V:Rule2" type="connector" idref="#_x0000_s2052"/>
        <o:r id="V:Rule3" type="connector" idref="#_x0000_s2054"/>
        <o:r id="V:Rule4" type="connector" idref="#_x0000_s2056"/>
        <o:r id="V:Rule5" type="connector" idref="#_x0000_s2075"/>
        <o:r id="V:Rule6" type="connector" idref="#_x0000_s2076"/>
        <o:r id="V:Rule7" type="connector" idref="#_x0000_s2079"/>
        <o:r id="V:Rule8" type="connector" idref="#_x0000_s2081"/>
        <o:r id="V:Rule9" type="connector" idref="#_x0000_s2085"/>
        <o:r id="V:Rule10" type="connector" idref="#_x0000_s2093"/>
        <o:r id="V:Rule11" type="connector" idref="#_x0000_s2095"/>
        <o:r id="V:Rule12" type="connector" idref="#_x0000_s2097"/>
        <o:r id="V:Rule13" type="connector" idref="#_x0000_s2098"/>
        <o:r id="V:Rule14" type="connector" idref="#_x0000_s2101"/>
        <o:r id="V:Rule15" type="connector" idref="#_x0000_s2105"/>
        <o:r id="V:Rule16" type="connector" idref="#_x0000_s2107"/>
        <o:r id="V:Rule17" type="connector" idref="#_x0000_s2108"/>
        <o:r id="V:Rule18" type="connector" idref="#_x0000_s2112"/>
        <o:r id="V:Rule19" type="connector" idref="#_x0000_s2113"/>
        <o:r id="V:Rule20" type="connector" idref="#_x0000_s2122"/>
        <o:r id="V:Rule21" type="connector" idref="#_x0000_s2125"/>
        <o:r id="V:Rule22" type="connector" idref="#_x0000_s2126"/>
        <o:r id="V:Rule23" type="connector" idref="#_x0000_s2129"/>
        <o:r id="V:Rule24" type="connector" idref="#_x0000_s2165"/>
        <o:r id="V:Rule25" type="callout" idref="#_x0000_s2173"/>
        <o:r id="V:Rule26" type="callout" idref="#_x0000_s2174"/>
        <o:r id="V:Rule27" type="connector" idref="#_x0000_s2181"/>
        <o:r id="V:Rule28" type="connector" idref="#_x0000_s2237"/>
        <o:r id="V:Rule29" type="connector" idref="#_x0000_s2241"/>
        <o:r id="V:Rule30" type="connector" idref="#_x0000_s2242"/>
        <o:r id="V:Rule31" type="connector" idref="#_x0000_s2243"/>
        <o:r id="V:Rule32" type="connector" idref="#_x0000_s2244"/>
        <o:r id="V:Rule33" type="connector" idref="#_x0000_s2272"/>
        <o:r id="V:Rule34" type="connector" idref="#_x0000_s2303"/>
        <o:r id="V:Rule35" type="connector" idref="#_x0000_s2316"/>
        <o:r id="V:Rule36" type="connector" idref="#_x0000_s2317"/>
        <o:r id="V:Rule37" type="connector" idref="#_x0000_s2349"/>
        <o:r id="V:Rule38" type="connector" idref="#_x0000_s2350"/>
        <o:r id="V:Rule39" type="connector" idref="#_x0000_s2351"/>
        <o:r id="V:Rule40" type="connector" idref="#_x0000_s2355"/>
        <o:r id="V:Rule41" type="connector" idref="#_x0000_s2356"/>
      </o:rules>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nhideWhenUsed="0" w:uiPriority="0" w:semiHidden="0" w:name="heading 2" w:locked="1"/>
    <w:lsdException w:qFormat="1" w:unhideWhenUsed="0" w:uiPriority="0" w:semiHidden="0" w:name="heading 3" w:locked="1"/>
    <w:lsdException w:qFormat="1" w:unhideWhenUsed="0" w:uiPriority="0" w:semiHidden="0" w:name="heading 4" w:locked="1"/>
    <w:lsdException w:qFormat="1" w:unhideWhenUsed="0" w:uiPriority="0" w:semiHidden="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qFormat="1"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39" w:semiHidden="0" w:name="toc 1" w:locked="1"/>
    <w:lsdException w:qFormat="1" w:unhideWhenUsed="0" w:uiPriority="39" w:semiHidden="0" w:name="toc 2" w:locked="1"/>
    <w:lsdException w:qFormat="1"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qFormat="1" w:unhideWhenUsed="0" w:uiPriority="0" w:semiHidden="0" w:name="toc 7" w:locked="1"/>
    <w:lsdException w:qFormat="1" w:unhideWhenUsed="0" w:uiPriority="0" w:semiHidden="0" w:name="toc 8" w:locked="1"/>
    <w:lsdException w:unhideWhenUsed="0" w:uiPriority="0" w:semiHidden="0" w:name="toc 9" w:locked="1"/>
    <w:lsdException w:qFormat="1" w:unhideWhenUsed="0" w:uiPriority="0" w:semiHidden="0" w:name="Normal Indent" w:locked="1"/>
    <w:lsdException w:qFormat="1" w:uiPriority="0" w:semiHidden="0" w:name="footnote text" w:locked="1"/>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semiHidden="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qFormat="1"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nhideWhenUsed="0" w:uiPriority="0" w:semiHidden="0" w:name="List" w:locked="1"/>
    <w:lsdException w:unhideWhenUsed="0" w:uiPriority="0" w:semiHidden="0" w:name="List Bullet" w:locked="1"/>
    <w:lsdException w:unhideWhenUsed="0" w:uiPriority="0" w:semiHidden="0" w:name="List Number" w:locked="1"/>
    <w:lsdException w:qFormat="1"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qFormat="1"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11" w:semiHidden="0" w:name="Subtitle" w:locked="1"/>
    <w:lsdException w:unhideWhenUsed="0" w:uiPriority="0" w:semiHidden="0" w:name="Salutation" w:locked="1"/>
    <w:lsdException w:qFormat="1" w:unhideWhenUsed="0" w:uiPriority="0" w:semiHidden="0" w:name="Date"/>
    <w:lsdException w:qFormat="1" w:unhideWhenUsed="0" w:uiPriority="99" w:semiHidden="0" w:name="Body Text First Indent" w:locked="1"/>
    <w:lsdException w:qFormat="1" w:uiPriority="0" w:semiHidden="0" w:name="Body Text First Indent 2" w:locked="1"/>
    <w:lsdException w:qFormat="1" w:uiPriority="0" w:semiHidden="0" w:name="Note Heading" w:locked="1"/>
    <w:lsdException w:qFormat="1" w:unhideWhenUsed="0" w:uiPriority="99" w:semiHidden="0" w:name="Body Text 2" w:locked="1"/>
    <w:lsdException w:qFormat="1" w:unhideWhenUsed="0" w:uiPriority="0" w:semiHidden="0" w:name="Body Text 3" w:locked="1"/>
    <w:lsdException w:qFormat="1" w:unhideWhenUsed="0" w:uiPriority="0" w:semiHidden="0" w:name="Body Text Indent 2" w:locked="1"/>
    <w:lsdException w:qFormat="1" w:unhideWhenUsed="0" w:uiPriority="0" w:semiHidden="0" w:name="Body Text Indent 3" w:locked="1"/>
    <w:lsdException w:qFormat="1" w:unhideWhenUsed="0" w:uiPriority="0" w:semiHidden="0" w:name="Block Text" w:locked="1"/>
    <w:lsdException w:qFormat="1" w:unhideWhenUsed="0" w:uiPriority="99" w:semiHidden="0" w:name="Hyperlink" w:locked="1"/>
    <w:lsdException w:qFormat="1" w:unhideWhenUsed="0" w:uiPriority="0" w:semiHidden="0" w:name="FollowedHyperlink" w:locked="1"/>
    <w:lsdException w:qFormat="1" w:unhideWhenUsed="0" w:uiPriority="22" w:semiHidden="0" w:name="Strong" w:locked="1"/>
    <w:lsdException w:qFormat="1" w:unhideWhenUsed="0" w:uiPriority="0" w:semiHidden="0" w:name="Emphasis" w:locked="1"/>
    <w:lsdException w:qFormat="1" w:unhideWhenUsed="0" w:uiPriority="99" w:semiHidden="0" w:name="Document Map" w:locked="1"/>
    <w:lsdException w:qFormat="1" w:unhideWhenUsed="0" w:uiPriority="0" w:semiHidden="0" w:name="Plain Text" w:locked="1"/>
    <w:lsdException w:qFormat="1"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qFormat="1"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semiHidden="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semiHidden="0" w:name="Balloon Text"/>
    <w:lsdException w:qFormat="1" w:unhideWhenUsed="0" w:uiPriority="59" w:semiHidden="0" w:name="Table Grid"/>
    <w:lsdException w:unhideWhenUsed="0" w:uiPriority="0" w:semiHidden="0" w:name="Table Theme" w:locked="1"/>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89"/>
    <w:autoRedefine/>
    <w:qFormat/>
    <w:locked/>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link w:val="90"/>
    <w:autoRedefine/>
    <w:qFormat/>
    <w:locked/>
    <w:uiPriority w:val="0"/>
    <w:pPr>
      <w:keepNext/>
      <w:keepLines/>
      <w:spacing w:beforeLines="50"/>
      <w:jc w:val="left"/>
      <w:outlineLvl w:val="1"/>
    </w:pPr>
    <w:rPr>
      <w:rFonts w:eastAsia="黑体"/>
      <w:b/>
      <w:bCs/>
      <w:sz w:val="32"/>
      <w:szCs w:val="32"/>
    </w:rPr>
  </w:style>
  <w:style w:type="paragraph" w:styleId="4">
    <w:name w:val="heading 3"/>
    <w:basedOn w:val="1"/>
    <w:next w:val="1"/>
    <w:link w:val="82"/>
    <w:autoRedefine/>
    <w:qFormat/>
    <w:locked/>
    <w:uiPriority w:val="0"/>
    <w:pPr>
      <w:keepNext/>
      <w:keepLines/>
      <w:spacing w:beforeLines="50"/>
      <w:jc w:val="left"/>
      <w:outlineLvl w:val="2"/>
    </w:pPr>
    <w:rPr>
      <w:rFonts w:eastAsia="黑体"/>
      <w:b/>
      <w:bCs/>
      <w:sz w:val="30"/>
      <w:szCs w:val="30"/>
    </w:rPr>
  </w:style>
  <w:style w:type="paragraph" w:styleId="5">
    <w:name w:val="heading 4"/>
    <w:basedOn w:val="1"/>
    <w:next w:val="1"/>
    <w:link w:val="83"/>
    <w:autoRedefine/>
    <w:qFormat/>
    <w:locked/>
    <w:uiPriority w:val="0"/>
    <w:pPr>
      <w:keepNext/>
      <w:keepLines/>
      <w:spacing w:before="280" w:after="290" w:line="376" w:lineRule="auto"/>
      <w:outlineLvl w:val="3"/>
    </w:pPr>
    <w:rPr>
      <w:rFonts w:ascii="Arial" w:hAnsi="Arial" w:eastAsia="黑体"/>
      <w:b/>
      <w:bCs/>
      <w:sz w:val="28"/>
      <w:szCs w:val="28"/>
    </w:rPr>
  </w:style>
  <w:style w:type="paragraph" w:styleId="6">
    <w:name w:val="heading 5"/>
    <w:basedOn w:val="1"/>
    <w:next w:val="1"/>
    <w:link w:val="84"/>
    <w:autoRedefine/>
    <w:qFormat/>
    <w:locked/>
    <w:uiPriority w:val="0"/>
    <w:pPr>
      <w:keepNext/>
      <w:keepLines/>
      <w:spacing w:before="280" w:after="290" w:line="376" w:lineRule="auto"/>
      <w:outlineLvl w:val="4"/>
    </w:pPr>
    <w:rPr>
      <w:b/>
      <w:bCs/>
      <w:sz w:val="28"/>
      <w:szCs w:val="28"/>
    </w:rPr>
  </w:style>
  <w:style w:type="paragraph" w:styleId="7">
    <w:name w:val="heading 6"/>
    <w:basedOn w:val="1"/>
    <w:next w:val="1"/>
    <w:link w:val="85"/>
    <w:autoRedefine/>
    <w:semiHidden/>
    <w:unhideWhenUsed/>
    <w:qFormat/>
    <w:locked/>
    <w:uiPriority w:val="0"/>
    <w:pPr>
      <w:keepNext/>
      <w:keepLines/>
      <w:widowControl/>
      <w:spacing w:before="240" w:after="64" w:line="314" w:lineRule="auto"/>
      <w:outlineLvl w:val="5"/>
    </w:pPr>
    <w:rPr>
      <w:rFonts w:ascii="Arial" w:hAnsi="Arial" w:eastAsia="黑体"/>
      <w:b/>
      <w:bCs/>
      <w:color w:val="000000"/>
      <w:sz w:val="24"/>
    </w:rPr>
  </w:style>
  <w:style w:type="paragraph" w:styleId="8">
    <w:name w:val="heading 7"/>
    <w:basedOn w:val="1"/>
    <w:next w:val="1"/>
    <w:link w:val="86"/>
    <w:autoRedefine/>
    <w:semiHidden/>
    <w:unhideWhenUsed/>
    <w:qFormat/>
    <w:locked/>
    <w:uiPriority w:val="0"/>
    <w:pPr>
      <w:keepNext/>
      <w:keepLines/>
      <w:widowControl/>
      <w:spacing w:before="240" w:after="64" w:line="314" w:lineRule="auto"/>
      <w:outlineLvl w:val="6"/>
    </w:pPr>
    <w:rPr>
      <w:b/>
      <w:bCs/>
      <w:color w:val="000000"/>
      <w:sz w:val="24"/>
    </w:rPr>
  </w:style>
  <w:style w:type="paragraph" w:styleId="9">
    <w:name w:val="heading 8"/>
    <w:basedOn w:val="1"/>
    <w:next w:val="1"/>
    <w:link w:val="87"/>
    <w:autoRedefine/>
    <w:semiHidden/>
    <w:unhideWhenUsed/>
    <w:qFormat/>
    <w:locked/>
    <w:uiPriority w:val="0"/>
    <w:pPr>
      <w:keepNext/>
      <w:keepLines/>
      <w:widowControl/>
      <w:spacing w:before="240" w:after="64" w:line="314" w:lineRule="auto"/>
      <w:outlineLvl w:val="7"/>
    </w:pPr>
    <w:rPr>
      <w:rFonts w:ascii="Arial" w:hAnsi="Arial" w:eastAsia="黑体"/>
      <w:color w:val="000000"/>
      <w:sz w:val="24"/>
    </w:rPr>
  </w:style>
  <w:style w:type="paragraph" w:styleId="10">
    <w:name w:val="heading 9"/>
    <w:basedOn w:val="1"/>
    <w:next w:val="1"/>
    <w:link w:val="88"/>
    <w:autoRedefine/>
    <w:semiHidden/>
    <w:unhideWhenUsed/>
    <w:qFormat/>
    <w:locked/>
    <w:uiPriority w:val="0"/>
    <w:pPr>
      <w:keepNext/>
      <w:keepLines/>
      <w:widowControl/>
      <w:spacing w:beforeLines="50" w:after="64" w:line="400" w:lineRule="exact"/>
      <w:jc w:val="center"/>
      <w:outlineLvl w:val="8"/>
    </w:pPr>
    <w:rPr>
      <w:color w:val="000000"/>
      <w:sz w:val="24"/>
      <w:szCs w:val="21"/>
    </w:rPr>
  </w:style>
  <w:style w:type="character" w:default="1" w:styleId="49">
    <w:name w:val="Default Paragraph Font"/>
    <w:autoRedefine/>
    <w:semiHidden/>
    <w:unhideWhenUsed/>
    <w:qFormat/>
    <w:uiPriority w:val="1"/>
  </w:style>
  <w:style w:type="table" w:default="1" w:styleId="47">
    <w:name w:val="Normal Table"/>
    <w:autoRedefine/>
    <w:semiHidden/>
    <w:unhideWhenUsed/>
    <w:qFormat/>
    <w:uiPriority w:val="99"/>
    <w:tblPr>
      <w:tblCellMar>
        <w:top w:w="0" w:type="dxa"/>
        <w:left w:w="108" w:type="dxa"/>
        <w:bottom w:w="0" w:type="dxa"/>
        <w:right w:w="108" w:type="dxa"/>
      </w:tblCellMar>
    </w:tblPr>
  </w:style>
  <w:style w:type="paragraph" w:styleId="11">
    <w:name w:val="toc 7"/>
    <w:basedOn w:val="1"/>
    <w:next w:val="1"/>
    <w:autoRedefine/>
    <w:qFormat/>
    <w:locked/>
    <w:uiPriority w:val="0"/>
    <w:pPr>
      <w:spacing w:line="360" w:lineRule="exact"/>
      <w:jc w:val="center"/>
    </w:pPr>
    <w:rPr>
      <w:szCs w:val="21"/>
    </w:rPr>
  </w:style>
  <w:style w:type="paragraph" w:styleId="12">
    <w:name w:val="Note Heading"/>
    <w:basedOn w:val="1"/>
    <w:next w:val="1"/>
    <w:link w:val="332"/>
    <w:autoRedefine/>
    <w:unhideWhenUsed/>
    <w:qFormat/>
    <w:locked/>
    <w:uiPriority w:val="0"/>
    <w:pPr>
      <w:jc w:val="center"/>
    </w:pPr>
  </w:style>
  <w:style w:type="paragraph" w:styleId="13">
    <w:name w:val="E-mail Signature"/>
    <w:basedOn w:val="1"/>
    <w:link w:val="373"/>
    <w:autoRedefine/>
    <w:qFormat/>
    <w:locked/>
    <w:uiPriority w:val="0"/>
    <w:pPr>
      <w:tabs>
        <w:tab w:val="left" w:pos="7380"/>
      </w:tabs>
      <w:snapToGrid w:val="0"/>
      <w:spacing w:line="480" w:lineRule="exact"/>
      <w:ind w:firstLine="425"/>
    </w:pPr>
    <w:rPr>
      <w:color w:val="000000"/>
      <w:kern w:val="21"/>
      <w:sz w:val="24"/>
      <w:szCs w:val="20"/>
      <w:lang w:val="de-DE"/>
    </w:rPr>
  </w:style>
  <w:style w:type="paragraph" w:styleId="14">
    <w:name w:val="Normal Indent"/>
    <w:basedOn w:val="1"/>
    <w:link w:val="80"/>
    <w:autoRedefine/>
    <w:qFormat/>
    <w:locked/>
    <w:uiPriority w:val="0"/>
    <w:pPr>
      <w:ind w:firstLine="420"/>
    </w:pPr>
    <w:rPr>
      <w:szCs w:val="20"/>
    </w:rPr>
  </w:style>
  <w:style w:type="paragraph" w:styleId="15">
    <w:name w:val="Document Map"/>
    <w:basedOn w:val="1"/>
    <w:link w:val="101"/>
    <w:autoRedefine/>
    <w:qFormat/>
    <w:locked/>
    <w:uiPriority w:val="99"/>
    <w:pPr>
      <w:shd w:val="clear" w:color="auto" w:fill="000080"/>
    </w:pPr>
  </w:style>
  <w:style w:type="paragraph" w:styleId="16">
    <w:name w:val="annotation text"/>
    <w:basedOn w:val="1"/>
    <w:link w:val="62"/>
    <w:autoRedefine/>
    <w:qFormat/>
    <w:uiPriority w:val="0"/>
    <w:pPr>
      <w:jc w:val="left"/>
    </w:pPr>
    <w:rPr>
      <w:kern w:val="0"/>
      <w:sz w:val="24"/>
      <w:szCs w:val="20"/>
    </w:rPr>
  </w:style>
  <w:style w:type="paragraph" w:styleId="17">
    <w:name w:val="Body Text 3"/>
    <w:basedOn w:val="1"/>
    <w:link w:val="268"/>
    <w:autoRedefine/>
    <w:qFormat/>
    <w:locked/>
    <w:uiPriority w:val="0"/>
    <w:pPr>
      <w:jc w:val="center"/>
    </w:pPr>
    <w:rPr>
      <w:sz w:val="28"/>
      <w:szCs w:val="20"/>
    </w:rPr>
  </w:style>
  <w:style w:type="paragraph" w:styleId="18">
    <w:name w:val="Body Text"/>
    <w:basedOn w:val="1"/>
    <w:link w:val="61"/>
    <w:autoRedefine/>
    <w:qFormat/>
    <w:uiPriority w:val="0"/>
    <w:pPr>
      <w:widowControl/>
      <w:snapToGrid w:val="0"/>
      <w:spacing w:before="60" w:after="160" w:line="259" w:lineRule="auto"/>
      <w:ind w:right="113"/>
    </w:pPr>
    <w:rPr>
      <w:kern w:val="0"/>
      <w:sz w:val="18"/>
      <w:szCs w:val="20"/>
    </w:rPr>
  </w:style>
  <w:style w:type="paragraph" w:styleId="19">
    <w:name w:val="Body Text Indent"/>
    <w:basedOn w:val="1"/>
    <w:next w:val="20"/>
    <w:link w:val="70"/>
    <w:autoRedefine/>
    <w:qFormat/>
    <w:uiPriority w:val="0"/>
    <w:pPr>
      <w:spacing w:after="120"/>
      <w:ind w:left="420" w:leftChars="200"/>
    </w:pPr>
    <w:rPr>
      <w:kern w:val="0"/>
      <w:sz w:val="24"/>
      <w:szCs w:val="20"/>
    </w:rPr>
  </w:style>
  <w:style w:type="paragraph" w:customStyle="1" w:styleId="20">
    <w:name w:val="正文文字 6"/>
    <w:next w:val="1"/>
    <w:qFormat/>
    <w:uiPriority w:val="0"/>
    <w:pPr>
      <w:widowControl w:val="0"/>
      <w:ind w:left="240"/>
      <w:jc w:val="both"/>
    </w:pPr>
    <w:rPr>
      <w:rFonts w:ascii="宋体" w:hAnsi="Times New Roman" w:eastAsia="宋体" w:cs="Times New Roman"/>
      <w:b/>
      <w:bCs/>
      <w:kern w:val="2"/>
      <w:sz w:val="32"/>
      <w:szCs w:val="32"/>
      <w:lang w:val="en-US" w:eastAsia="zh-CN" w:bidi="ar-SA"/>
    </w:rPr>
  </w:style>
  <w:style w:type="paragraph" w:styleId="21">
    <w:name w:val="List 2"/>
    <w:basedOn w:val="1"/>
    <w:autoRedefine/>
    <w:qFormat/>
    <w:locked/>
    <w:uiPriority w:val="0"/>
    <w:pPr>
      <w:ind w:left="100" w:leftChars="200" w:hanging="200" w:hangingChars="200"/>
    </w:pPr>
    <w:rPr>
      <w:szCs w:val="20"/>
    </w:rPr>
  </w:style>
  <w:style w:type="paragraph" w:styleId="22">
    <w:name w:val="Block Text"/>
    <w:basedOn w:val="1"/>
    <w:autoRedefine/>
    <w:qFormat/>
    <w:locked/>
    <w:uiPriority w:val="0"/>
    <w:pPr>
      <w:spacing w:before="120" w:line="360" w:lineRule="auto"/>
      <w:ind w:left="113" w:right="113"/>
    </w:pPr>
  </w:style>
  <w:style w:type="paragraph" w:styleId="23">
    <w:name w:val="toc 3"/>
    <w:basedOn w:val="1"/>
    <w:next w:val="1"/>
    <w:autoRedefine/>
    <w:qFormat/>
    <w:locked/>
    <w:uiPriority w:val="0"/>
    <w:pPr>
      <w:tabs>
        <w:tab w:val="right" w:leader="dot" w:pos="8494"/>
      </w:tabs>
      <w:ind w:left="359" w:leftChars="171" w:firstLine="1"/>
    </w:pPr>
  </w:style>
  <w:style w:type="paragraph" w:styleId="24">
    <w:name w:val="Plain Text"/>
    <w:basedOn w:val="1"/>
    <w:link w:val="97"/>
    <w:autoRedefine/>
    <w:qFormat/>
    <w:locked/>
    <w:uiPriority w:val="0"/>
    <w:rPr>
      <w:rFonts w:ascii="宋体" w:hAnsi="Courier New"/>
    </w:rPr>
  </w:style>
  <w:style w:type="paragraph" w:styleId="25">
    <w:name w:val="toc 8"/>
    <w:basedOn w:val="1"/>
    <w:next w:val="1"/>
    <w:autoRedefine/>
    <w:qFormat/>
    <w:locked/>
    <w:uiPriority w:val="0"/>
    <w:pPr>
      <w:ind w:left="2940" w:leftChars="1400"/>
    </w:pPr>
  </w:style>
  <w:style w:type="paragraph" w:styleId="26">
    <w:name w:val="Date"/>
    <w:basedOn w:val="1"/>
    <w:next w:val="1"/>
    <w:link w:val="57"/>
    <w:autoRedefine/>
    <w:qFormat/>
    <w:uiPriority w:val="0"/>
    <w:pPr>
      <w:ind w:left="100" w:leftChars="2500"/>
    </w:pPr>
    <w:rPr>
      <w:kern w:val="0"/>
      <w:sz w:val="24"/>
      <w:szCs w:val="20"/>
    </w:rPr>
  </w:style>
  <w:style w:type="paragraph" w:styleId="27">
    <w:name w:val="Body Text Indent 2"/>
    <w:basedOn w:val="1"/>
    <w:link w:val="99"/>
    <w:autoRedefine/>
    <w:qFormat/>
    <w:locked/>
    <w:uiPriority w:val="0"/>
    <w:pPr>
      <w:spacing w:after="120" w:line="480" w:lineRule="auto"/>
      <w:ind w:left="420" w:leftChars="200"/>
    </w:pPr>
  </w:style>
  <w:style w:type="paragraph" w:styleId="28">
    <w:name w:val="endnote text"/>
    <w:basedOn w:val="1"/>
    <w:link w:val="324"/>
    <w:autoRedefine/>
    <w:unhideWhenUsed/>
    <w:qFormat/>
    <w:locked/>
    <w:uiPriority w:val="0"/>
    <w:pPr>
      <w:autoSpaceDE w:val="0"/>
      <w:autoSpaceDN w:val="0"/>
      <w:adjustRightInd w:val="0"/>
      <w:snapToGrid w:val="0"/>
      <w:spacing w:line="480" w:lineRule="exact"/>
      <w:jc w:val="left"/>
    </w:pPr>
    <w:rPr>
      <w:color w:val="000000"/>
      <w:kern w:val="32"/>
      <w:sz w:val="24"/>
      <w:szCs w:val="20"/>
    </w:rPr>
  </w:style>
  <w:style w:type="paragraph" w:styleId="29">
    <w:name w:val="Balloon Text"/>
    <w:basedOn w:val="1"/>
    <w:link w:val="66"/>
    <w:autoRedefine/>
    <w:qFormat/>
    <w:uiPriority w:val="0"/>
    <w:rPr>
      <w:kern w:val="0"/>
      <w:sz w:val="18"/>
      <w:szCs w:val="20"/>
    </w:rPr>
  </w:style>
  <w:style w:type="paragraph" w:styleId="30">
    <w:name w:val="footer"/>
    <w:basedOn w:val="1"/>
    <w:link w:val="56"/>
    <w:autoRedefine/>
    <w:qFormat/>
    <w:uiPriority w:val="99"/>
    <w:pPr>
      <w:tabs>
        <w:tab w:val="center" w:pos="4153"/>
        <w:tab w:val="right" w:pos="8306"/>
      </w:tabs>
      <w:snapToGrid w:val="0"/>
      <w:jc w:val="left"/>
    </w:pPr>
    <w:rPr>
      <w:kern w:val="0"/>
      <w:sz w:val="18"/>
      <w:szCs w:val="20"/>
    </w:rPr>
  </w:style>
  <w:style w:type="paragraph" w:styleId="31">
    <w:name w:val="header"/>
    <w:basedOn w:val="1"/>
    <w:link w:val="68"/>
    <w:autoRedefine/>
    <w:qFormat/>
    <w:uiPriority w:val="0"/>
    <w:pPr>
      <w:pBdr>
        <w:bottom w:val="single" w:color="auto" w:sz="6" w:space="1"/>
      </w:pBdr>
      <w:tabs>
        <w:tab w:val="center" w:pos="4153"/>
        <w:tab w:val="right" w:pos="8306"/>
      </w:tabs>
      <w:snapToGrid w:val="0"/>
      <w:jc w:val="center"/>
    </w:pPr>
    <w:rPr>
      <w:kern w:val="0"/>
      <w:sz w:val="18"/>
      <w:szCs w:val="20"/>
    </w:rPr>
  </w:style>
  <w:style w:type="paragraph" w:styleId="32">
    <w:name w:val="toc 1"/>
    <w:basedOn w:val="1"/>
    <w:next w:val="1"/>
    <w:autoRedefine/>
    <w:qFormat/>
    <w:locked/>
    <w:uiPriority w:val="39"/>
    <w:rPr>
      <w:szCs w:val="20"/>
    </w:rPr>
  </w:style>
  <w:style w:type="paragraph" w:styleId="33">
    <w:name w:val="Subtitle"/>
    <w:basedOn w:val="1"/>
    <w:next w:val="1"/>
    <w:link w:val="328"/>
    <w:autoRedefine/>
    <w:qFormat/>
    <w:locked/>
    <w:uiPriority w:val="11"/>
    <w:pPr>
      <w:spacing w:before="240" w:after="60" w:line="312" w:lineRule="auto"/>
      <w:jc w:val="center"/>
      <w:outlineLvl w:val="1"/>
    </w:pPr>
    <w:rPr>
      <w:rFonts w:ascii="Arial" w:hAnsi="Arial" w:cs="Arial"/>
      <w:b/>
      <w:bCs/>
      <w:kern w:val="28"/>
      <w:sz w:val="32"/>
      <w:szCs w:val="32"/>
    </w:rPr>
  </w:style>
  <w:style w:type="paragraph" w:styleId="34">
    <w:name w:val="List"/>
    <w:basedOn w:val="1"/>
    <w:autoRedefine/>
    <w:qFormat/>
    <w:locked/>
    <w:uiPriority w:val="0"/>
    <w:pPr>
      <w:ind w:left="200" w:hanging="200" w:hangingChars="200"/>
    </w:pPr>
    <w:rPr>
      <w:sz w:val="24"/>
    </w:rPr>
  </w:style>
  <w:style w:type="paragraph" w:styleId="35">
    <w:name w:val="footnote text"/>
    <w:basedOn w:val="1"/>
    <w:link w:val="322"/>
    <w:autoRedefine/>
    <w:unhideWhenUsed/>
    <w:qFormat/>
    <w:locked/>
    <w:uiPriority w:val="0"/>
    <w:pPr>
      <w:snapToGrid w:val="0"/>
      <w:jc w:val="left"/>
    </w:pPr>
    <w:rPr>
      <w:sz w:val="18"/>
      <w:szCs w:val="18"/>
    </w:rPr>
  </w:style>
  <w:style w:type="paragraph" w:styleId="36">
    <w:name w:val="Body Text Indent 3"/>
    <w:basedOn w:val="1"/>
    <w:link w:val="149"/>
    <w:autoRedefine/>
    <w:qFormat/>
    <w:locked/>
    <w:uiPriority w:val="0"/>
    <w:pPr>
      <w:spacing w:after="120"/>
      <w:ind w:left="420" w:leftChars="200"/>
    </w:pPr>
    <w:rPr>
      <w:sz w:val="16"/>
      <w:szCs w:val="16"/>
    </w:rPr>
  </w:style>
  <w:style w:type="paragraph" w:styleId="37">
    <w:name w:val="toc 2"/>
    <w:basedOn w:val="1"/>
    <w:next w:val="1"/>
    <w:autoRedefine/>
    <w:qFormat/>
    <w:locked/>
    <w:uiPriority w:val="39"/>
    <w:pPr>
      <w:tabs>
        <w:tab w:val="right" w:leader="dot" w:pos="8494"/>
      </w:tabs>
    </w:pPr>
  </w:style>
  <w:style w:type="paragraph" w:styleId="38">
    <w:name w:val="Body Text 2"/>
    <w:basedOn w:val="1"/>
    <w:link w:val="263"/>
    <w:autoRedefine/>
    <w:qFormat/>
    <w:locked/>
    <w:uiPriority w:val="99"/>
    <w:rPr>
      <w:b/>
      <w:sz w:val="30"/>
      <w:szCs w:val="20"/>
    </w:rPr>
  </w:style>
  <w:style w:type="paragraph" w:styleId="39">
    <w:name w:val="List Continue 2"/>
    <w:basedOn w:val="1"/>
    <w:autoRedefine/>
    <w:qFormat/>
    <w:locked/>
    <w:uiPriority w:val="0"/>
    <w:pPr>
      <w:spacing w:after="120"/>
      <w:ind w:left="840" w:leftChars="400"/>
      <w:contextualSpacing/>
    </w:pPr>
  </w:style>
  <w:style w:type="paragraph" w:styleId="40">
    <w:name w:val="HTML Preformatted"/>
    <w:basedOn w:val="1"/>
    <w:link w:val="105"/>
    <w:autoRedefine/>
    <w:qFormat/>
    <w:locked/>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jc w:val="left"/>
    </w:pPr>
    <w:rPr>
      <w:rFonts w:ascii="Arial" w:hAnsi="Arial" w:cs="Arial"/>
      <w:kern w:val="0"/>
      <w:szCs w:val="21"/>
    </w:rPr>
  </w:style>
  <w:style w:type="paragraph" w:styleId="41">
    <w:name w:val="Normal (Web)"/>
    <w:basedOn w:val="1"/>
    <w:link w:val="59"/>
    <w:autoRedefine/>
    <w:qFormat/>
    <w:uiPriority w:val="0"/>
    <w:pPr>
      <w:widowControl/>
      <w:spacing w:before="100" w:beforeAutospacing="1" w:after="100" w:afterAutospacing="1"/>
      <w:jc w:val="left"/>
    </w:pPr>
    <w:rPr>
      <w:rFonts w:ascii="宋体" w:hAnsi="宋体"/>
      <w:kern w:val="0"/>
      <w:sz w:val="24"/>
      <w:szCs w:val="20"/>
    </w:rPr>
  </w:style>
  <w:style w:type="paragraph" w:styleId="42">
    <w:name w:val="index 1"/>
    <w:basedOn w:val="1"/>
    <w:next w:val="1"/>
    <w:autoRedefine/>
    <w:qFormat/>
    <w:locked/>
    <w:uiPriority w:val="0"/>
    <w:pPr>
      <w:spacing w:line="200" w:lineRule="exact"/>
    </w:pPr>
    <w:rPr>
      <w:rFonts w:hAnsi="Arial"/>
      <w:spacing w:val="10"/>
      <w:sz w:val="18"/>
      <w:szCs w:val="18"/>
    </w:rPr>
  </w:style>
  <w:style w:type="paragraph" w:styleId="43">
    <w:name w:val="Title"/>
    <w:basedOn w:val="1"/>
    <w:next w:val="1"/>
    <w:link w:val="326"/>
    <w:autoRedefine/>
    <w:qFormat/>
    <w:locked/>
    <w:uiPriority w:val="0"/>
    <w:pPr>
      <w:spacing w:before="240" w:after="60"/>
      <w:jc w:val="center"/>
      <w:outlineLvl w:val="0"/>
    </w:pPr>
    <w:rPr>
      <w:rFonts w:ascii="Cambria" w:hAnsi="Cambria"/>
      <w:b/>
      <w:bCs/>
      <w:sz w:val="32"/>
      <w:szCs w:val="32"/>
    </w:rPr>
  </w:style>
  <w:style w:type="paragraph" w:styleId="44">
    <w:name w:val="annotation subject"/>
    <w:basedOn w:val="16"/>
    <w:next w:val="16"/>
    <w:link w:val="67"/>
    <w:autoRedefine/>
    <w:qFormat/>
    <w:uiPriority w:val="0"/>
    <w:rPr>
      <w:b/>
      <w:kern w:val="2"/>
    </w:rPr>
  </w:style>
  <w:style w:type="paragraph" w:styleId="45">
    <w:name w:val="Body Text First Indent"/>
    <w:basedOn w:val="18"/>
    <w:link w:val="129"/>
    <w:autoRedefine/>
    <w:qFormat/>
    <w:locked/>
    <w:uiPriority w:val="99"/>
    <w:pPr>
      <w:widowControl w:val="0"/>
      <w:snapToGrid/>
      <w:spacing w:before="0" w:after="120" w:line="240" w:lineRule="auto"/>
      <w:ind w:right="0" w:firstLine="420" w:firstLineChars="100"/>
    </w:pPr>
    <w:rPr>
      <w:kern w:val="2"/>
      <w:sz w:val="21"/>
    </w:rPr>
  </w:style>
  <w:style w:type="paragraph" w:styleId="46">
    <w:name w:val="Body Text First Indent 2"/>
    <w:basedOn w:val="19"/>
    <w:next w:val="1"/>
    <w:link w:val="330"/>
    <w:autoRedefine/>
    <w:unhideWhenUsed/>
    <w:qFormat/>
    <w:locked/>
    <w:uiPriority w:val="0"/>
    <w:pPr>
      <w:ind w:firstLine="420" w:firstLineChars="200"/>
    </w:pPr>
    <w:rPr>
      <w:rFonts w:ascii="Calibri" w:hAnsi="Calibri"/>
      <w:b/>
      <w:kern w:val="2"/>
      <w:sz w:val="21"/>
      <w:szCs w:val="22"/>
    </w:rPr>
  </w:style>
  <w:style w:type="table" w:styleId="48">
    <w:name w:val="Table Grid"/>
    <w:basedOn w:val="47"/>
    <w:autoRedefine/>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50">
    <w:name w:val="Strong"/>
    <w:basedOn w:val="49"/>
    <w:autoRedefine/>
    <w:qFormat/>
    <w:locked/>
    <w:uiPriority w:val="22"/>
    <w:rPr>
      <w:b/>
      <w:bCs/>
    </w:rPr>
  </w:style>
  <w:style w:type="character" w:styleId="51">
    <w:name w:val="page number"/>
    <w:basedOn w:val="49"/>
    <w:autoRedefine/>
    <w:qFormat/>
    <w:locked/>
    <w:uiPriority w:val="0"/>
  </w:style>
  <w:style w:type="character" w:styleId="52">
    <w:name w:val="FollowedHyperlink"/>
    <w:basedOn w:val="49"/>
    <w:autoRedefine/>
    <w:qFormat/>
    <w:locked/>
    <w:uiPriority w:val="0"/>
    <w:rPr>
      <w:color w:val="800080"/>
      <w:u w:val="single"/>
    </w:rPr>
  </w:style>
  <w:style w:type="character" w:styleId="53">
    <w:name w:val="Emphasis"/>
    <w:basedOn w:val="49"/>
    <w:autoRedefine/>
    <w:qFormat/>
    <w:locked/>
    <w:uiPriority w:val="0"/>
    <w:rPr>
      <w:i/>
      <w:iCs/>
    </w:rPr>
  </w:style>
  <w:style w:type="character" w:styleId="54">
    <w:name w:val="Hyperlink"/>
    <w:basedOn w:val="49"/>
    <w:autoRedefine/>
    <w:qFormat/>
    <w:locked/>
    <w:uiPriority w:val="99"/>
    <w:rPr>
      <w:color w:val="0000FF"/>
      <w:u w:val="single"/>
    </w:rPr>
  </w:style>
  <w:style w:type="character" w:styleId="55">
    <w:name w:val="annotation reference"/>
    <w:autoRedefine/>
    <w:qFormat/>
    <w:uiPriority w:val="0"/>
    <w:rPr>
      <w:sz w:val="21"/>
    </w:rPr>
  </w:style>
  <w:style w:type="character" w:customStyle="1" w:styleId="56">
    <w:name w:val="页脚 Char"/>
    <w:link w:val="30"/>
    <w:autoRedefine/>
    <w:qFormat/>
    <w:locked/>
    <w:uiPriority w:val="99"/>
    <w:rPr>
      <w:sz w:val="18"/>
    </w:rPr>
  </w:style>
  <w:style w:type="character" w:customStyle="1" w:styleId="57">
    <w:name w:val="日期 Char"/>
    <w:link w:val="26"/>
    <w:autoRedefine/>
    <w:qFormat/>
    <w:locked/>
    <w:uiPriority w:val="0"/>
    <w:rPr>
      <w:rFonts w:ascii="Times New Roman" w:hAnsi="Times New Roman" w:eastAsia="宋体"/>
      <w:sz w:val="24"/>
    </w:rPr>
  </w:style>
  <w:style w:type="character" w:customStyle="1" w:styleId="58">
    <w:name w:val="页脚 字符"/>
    <w:basedOn w:val="49"/>
    <w:autoRedefine/>
    <w:qFormat/>
    <w:uiPriority w:val="99"/>
  </w:style>
  <w:style w:type="character" w:customStyle="1" w:styleId="59">
    <w:name w:val="普通(网站) Char"/>
    <w:link w:val="41"/>
    <w:autoRedefine/>
    <w:qFormat/>
    <w:locked/>
    <w:uiPriority w:val="0"/>
    <w:rPr>
      <w:rFonts w:ascii="宋体" w:hAnsi="宋体" w:eastAsia="宋体"/>
      <w:sz w:val="24"/>
    </w:rPr>
  </w:style>
  <w:style w:type="character" w:customStyle="1" w:styleId="60">
    <w:name w:val="正文文本 字符1"/>
    <w:autoRedefine/>
    <w:semiHidden/>
    <w:qFormat/>
    <w:uiPriority w:val="0"/>
    <w:rPr>
      <w:rFonts w:ascii="Times New Roman" w:hAnsi="Times New Roman" w:eastAsia="宋体"/>
      <w:sz w:val="24"/>
    </w:rPr>
  </w:style>
  <w:style w:type="character" w:customStyle="1" w:styleId="61">
    <w:name w:val="正文文本 Char"/>
    <w:link w:val="18"/>
    <w:autoRedefine/>
    <w:qFormat/>
    <w:locked/>
    <w:uiPriority w:val="0"/>
    <w:rPr>
      <w:sz w:val="18"/>
    </w:rPr>
  </w:style>
  <w:style w:type="character" w:customStyle="1" w:styleId="62">
    <w:name w:val="批注文字 Char"/>
    <w:link w:val="16"/>
    <w:autoRedefine/>
    <w:qFormat/>
    <w:locked/>
    <w:uiPriority w:val="0"/>
    <w:rPr>
      <w:rFonts w:ascii="Times New Roman" w:hAnsi="Times New Roman" w:eastAsia="宋体"/>
      <w:sz w:val="24"/>
    </w:rPr>
  </w:style>
  <w:style w:type="character" w:customStyle="1" w:styleId="63">
    <w:name w:val="表格 Char"/>
    <w:link w:val="64"/>
    <w:autoRedefine/>
    <w:qFormat/>
    <w:locked/>
    <w:uiPriority w:val="0"/>
    <w:rPr>
      <w:rFonts w:ascii="宋体"/>
      <w:sz w:val="21"/>
    </w:rPr>
  </w:style>
  <w:style w:type="paragraph" w:customStyle="1" w:styleId="64">
    <w:name w:val="表格"/>
    <w:basedOn w:val="1"/>
    <w:next w:val="1"/>
    <w:link w:val="63"/>
    <w:autoRedefine/>
    <w:qFormat/>
    <w:uiPriority w:val="0"/>
    <w:pPr>
      <w:adjustRightInd w:val="0"/>
      <w:snapToGrid w:val="0"/>
      <w:spacing w:beforeLines="10" w:afterLines="10" w:line="259" w:lineRule="auto"/>
      <w:jc w:val="center"/>
    </w:pPr>
    <w:rPr>
      <w:rFonts w:ascii="宋体"/>
      <w:kern w:val="0"/>
      <w:szCs w:val="20"/>
    </w:rPr>
  </w:style>
  <w:style w:type="character" w:customStyle="1" w:styleId="65">
    <w:name w:val="日期 字符"/>
    <w:autoRedefine/>
    <w:semiHidden/>
    <w:qFormat/>
    <w:uiPriority w:val="0"/>
    <w:rPr>
      <w:rFonts w:ascii="Times New Roman" w:hAnsi="Times New Roman" w:eastAsia="宋体"/>
      <w:sz w:val="24"/>
    </w:rPr>
  </w:style>
  <w:style w:type="character" w:customStyle="1" w:styleId="66">
    <w:name w:val="批注框文本 Char"/>
    <w:link w:val="29"/>
    <w:autoRedefine/>
    <w:qFormat/>
    <w:locked/>
    <w:uiPriority w:val="0"/>
    <w:rPr>
      <w:rFonts w:ascii="Times New Roman" w:hAnsi="Times New Roman" w:eastAsia="宋体"/>
      <w:sz w:val="18"/>
    </w:rPr>
  </w:style>
  <w:style w:type="character" w:customStyle="1" w:styleId="67">
    <w:name w:val="批注主题 Char"/>
    <w:link w:val="44"/>
    <w:autoRedefine/>
    <w:qFormat/>
    <w:locked/>
    <w:uiPriority w:val="0"/>
    <w:rPr>
      <w:rFonts w:ascii="Times New Roman" w:hAnsi="Times New Roman" w:eastAsia="宋体"/>
      <w:b/>
      <w:kern w:val="2"/>
      <w:sz w:val="24"/>
    </w:rPr>
  </w:style>
  <w:style w:type="character" w:customStyle="1" w:styleId="68">
    <w:name w:val="页眉 Char"/>
    <w:link w:val="31"/>
    <w:autoRedefine/>
    <w:qFormat/>
    <w:locked/>
    <w:uiPriority w:val="0"/>
    <w:rPr>
      <w:sz w:val="18"/>
    </w:rPr>
  </w:style>
  <w:style w:type="character" w:customStyle="1" w:styleId="69">
    <w:name w:val="批注文字 字符1"/>
    <w:autoRedefine/>
    <w:semiHidden/>
    <w:qFormat/>
    <w:uiPriority w:val="0"/>
    <w:rPr>
      <w:rFonts w:ascii="Times New Roman" w:hAnsi="Times New Roman" w:eastAsia="宋体"/>
      <w:sz w:val="24"/>
    </w:rPr>
  </w:style>
  <w:style w:type="character" w:customStyle="1" w:styleId="70">
    <w:name w:val="正文文本缩进 Char"/>
    <w:link w:val="19"/>
    <w:autoRedefine/>
    <w:qFormat/>
    <w:locked/>
    <w:uiPriority w:val="0"/>
    <w:rPr>
      <w:rFonts w:ascii="Times New Roman" w:hAnsi="Times New Roman" w:eastAsia="宋体"/>
      <w:sz w:val="24"/>
    </w:rPr>
  </w:style>
  <w:style w:type="paragraph" w:customStyle="1" w:styleId="71">
    <w:name w:val="正文_10"/>
    <w:autoRedefine/>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72">
    <w:name w:val="普通(网站)2"/>
    <w:basedOn w:val="1"/>
    <w:autoRedefine/>
    <w:qFormat/>
    <w:uiPriority w:val="0"/>
    <w:pPr>
      <w:widowControl/>
      <w:spacing w:before="100" w:beforeAutospacing="1" w:after="100" w:afterAutospacing="1"/>
      <w:jc w:val="left"/>
    </w:pPr>
    <w:rPr>
      <w:rFonts w:ascii="宋体" w:hAnsi="宋体"/>
      <w:sz w:val="24"/>
      <w:szCs w:val="20"/>
    </w:rPr>
  </w:style>
  <w:style w:type="character" w:customStyle="1" w:styleId="73">
    <w:name w:val="5-正文 Char"/>
    <w:link w:val="74"/>
    <w:autoRedefine/>
    <w:qFormat/>
    <w:uiPriority w:val="0"/>
    <w:rPr>
      <w:kern w:val="2"/>
      <w:sz w:val="24"/>
    </w:rPr>
  </w:style>
  <w:style w:type="paragraph" w:customStyle="1" w:styleId="74">
    <w:name w:val="5-正文"/>
    <w:basedOn w:val="1"/>
    <w:link w:val="73"/>
    <w:autoRedefine/>
    <w:qFormat/>
    <w:uiPriority w:val="0"/>
    <w:pPr>
      <w:snapToGrid w:val="0"/>
      <w:spacing w:line="480" w:lineRule="exact"/>
      <w:ind w:firstLine="200" w:firstLineChars="200"/>
    </w:pPr>
    <w:rPr>
      <w:sz w:val="24"/>
      <w:szCs w:val="20"/>
    </w:rPr>
  </w:style>
  <w:style w:type="paragraph" w:customStyle="1" w:styleId="75">
    <w:name w:val="段落"/>
    <w:basedOn w:val="1"/>
    <w:link w:val="76"/>
    <w:autoRedefine/>
    <w:qFormat/>
    <w:uiPriority w:val="0"/>
    <w:pPr>
      <w:adjustRightInd w:val="0"/>
      <w:snapToGrid w:val="0"/>
      <w:spacing w:line="300" w:lineRule="auto"/>
      <w:ind w:firstLine="539"/>
    </w:pPr>
    <w:rPr>
      <w:rFonts w:ascii="宋体" w:hAnsi="宋体"/>
      <w:sz w:val="28"/>
    </w:rPr>
  </w:style>
  <w:style w:type="character" w:customStyle="1" w:styleId="76">
    <w:name w:val="段落 Char"/>
    <w:link w:val="75"/>
    <w:autoRedefine/>
    <w:qFormat/>
    <w:uiPriority w:val="0"/>
    <w:rPr>
      <w:rFonts w:ascii="宋体" w:hAnsi="宋体"/>
      <w:kern w:val="2"/>
      <w:sz w:val="28"/>
      <w:szCs w:val="24"/>
    </w:rPr>
  </w:style>
  <w:style w:type="paragraph" w:customStyle="1" w:styleId="77">
    <w:name w:val="Char Char Char Char Char Char Char1"/>
    <w:basedOn w:val="1"/>
    <w:autoRedefine/>
    <w:qFormat/>
    <w:uiPriority w:val="0"/>
    <w:pPr>
      <w:snapToGrid w:val="0"/>
      <w:spacing w:line="360" w:lineRule="auto"/>
      <w:ind w:firstLine="529" w:firstLineChars="200"/>
    </w:pPr>
    <w:rPr>
      <w:rFonts w:ascii="宋体" w:hAnsi="宋体"/>
      <w:b/>
    </w:rPr>
  </w:style>
  <w:style w:type="paragraph" w:customStyle="1" w:styleId="78">
    <w:name w:val="正文1"/>
    <w:basedOn w:val="1"/>
    <w:link w:val="79"/>
    <w:autoRedefine/>
    <w:qFormat/>
    <w:uiPriority w:val="0"/>
    <w:pPr>
      <w:spacing w:line="560" w:lineRule="exact"/>
      <w:ind w:firstLine="200" w:firstLineChars="200"/>
    </w:pPr>
    <w:rPr>
      <w:rFonts w:ascii="宋体" w:hAnsi="宋体" w:cs="宋体"/>
      <w:sz w:val="28"/>
      <w:szCs w:val="28"/>
    </w:rPr>
  </w:style>
  <w:style w:type="character" w:customStyle="1" w:styleId="79">
    <w:name w:val="正文1 Char"/>
    <w:basedOn w:val="49"/>
    <w:link w:val="78"/>
    <w:autoRedefine/>
    <w:qFormat/>
    <w:uiPriority w:val="0"/>
    <w:rPr>
      <w:rFonts w:ascii="宋体" w:hAnsi="宋体" w:cs="宋体"/>
      <w:kern w:val="2"/>
      <w:sz w:val="28"/>
      <w:szCs w:val="28"/>
    </w:rPr>
  </w:style>
  <w:style w:type="character" w:customStyle="1" w:styleId="80">
    <w:name w:val="正文缩进 Char"/>
    <w:link w:val="14"/>
    <w:autoRedefine/>
    <w:qFormat/>
    <w:uiPriority w:val="0"/>
    <w:rPr>
      <w:kern w:val="2"/>
      <w:sz w:val="21"/>
    </w:rPr>
  </w:style>
  <w:style w:type="character" w:customStyle="1" w:styleId="81">
    <w:name w:val="标题 2 Char"/>
    <w:basedOn w:val="49"/>
    <w:link w:val="3"/>
    <w:autoRedefine/>
    <w:semiHidden/>
    <w:qFormat/>
    <w:uiPriority w:val="0"/>
    <w:rPr>
      <w:rFonts w:ascii="Cambria" w:hAnsi="Cambria" w:eastAsia="宋体" w:cs="Times New Roman"/>
      <w:b/>
      <w:bCs/>
      <w:kern w:val="2"/>
      <w:sz w:val="32"/>
      <w:szCs w:val="32"/>
    </w:rPr>
  </w:style>
  <w:style w:type="character" w:customStyle="1" w:styleId="82">
    <w:name w:val="标题 3 Char"/>
    <w:basedOn w:val="49"/>
    <w:link w:val="4"/>
    <w:autoRedefine/>
    <w:qFormat/>
    <w:uiPriority w:val="0"/>
    <w:rPr>
      <w:rFonts w:eastAsia="黑体"/>
      <w:b/>
      <w:bCs/>
      <w:kern w:val="2"/>
      <w:sz w:val="30"/>
      <w:szCs w:val="30"/>
    </w:rPr>
  </w:style>
  <w:style w:type="character" w:customStyle="1" w:styleId="83">
    <w:name w:val="标题 4 Char"/>
    <w:basedOn w:val="49"/>
    <w:link w:val="5"/>
    <w:autoRedefine/>
    <w:qFormat/>
    <w:uiPriority w:val="0"/>
    <w:rPr>
      <w:rFonts w:ascii="Arial" w:hAnsi="Arial" w:eastAsia="黑体"/>
      <w:b/>
      <w:bCs/>
      <w:kern w:val="2"/>
      <w:sz w:val="28"/>
      <w:szCs w:val="28"/>
    </w:rPr>
  </w:style>
  <w:style w:type="character" w:customStyle="1" w:styleId="84">
    <w:name w:val="标题 5 Char"/>
    <w:basedOn w:val="49"/>
    <w:link w:val="6"/>
    <w:autoRedefine/>
    <w:qFormat/>
    <w:uiPriority w:val="0"/>
    <w:rPr>
      <w:b/>
      <w:bCs/>
      <w:kern w:val="2"/>
      <w:sz w:val="28"/>
      <w:szCs w:val="28"/>
    </w:rPr>
  </w:style>
  <w:style w:type="character" w:customStyle="1" w:styleId="85">
    <w:name w:val="标题 6 Char"/>
    <w:basedOn w:val="49"/>
    <w:link w:val="7"/>
    <w:autoRedefine/>
    <w:semiHidden/>
    <w:qFormat/>
    <w:uiPriority w:val="0"/>
    <w:rPr>
      <w:rFonts w:ascii="Arial" w:hAnsi="Arial" w:eastAsia="黑体"/>
      <w:b/>
      <w:bCs/>
      <w:color w:val="000000"/>
      <w:kern w:val="2"/>
      <w:sz w:val="24"/>
      <w:szCs w:val="24"/>
    </w:rPr>
  </w:style>
  <w:style w:type="character" w:customStyle="1" w:styleId="86">
    <w:name w:val="标题 7 Char"/>
    <w:basedOn w:val="49"/>
    <w:link w:val="8"/>
    <w:autoRedefine/>
    <w:semiHidden/>
    <w:qFormat/>
    <w:uiPriority w:val="0"/>
    <w:rPr>
      <w:b/>
      <w:bCs/>
      <w:color w:val="000000"/>
      <w:kern w:val="2"/>
      <w:sz w:val="24"/>
      <w:szCs w:val="24"/>
    </w:rPr>
  </w:style>
  <w:style w:type="character" w:customStyle="1" w:styleId="87">
    <w:name w:val="标题 8 Char"/>
    <w:basedOn w:val="49"/>
    <w:link w:val="9"/>
    <w:autoRedefine/>
    <w:semiHidden/>
    <w:qFormat/>
    <w:uiPriority w:val="0"/>
    <w:rPr>
      <w:rFonts w:ascii="Arial" w:hAnsi="Arial" w:eastAsia="黑体"/>
      <w:color w:val="000000"/>
      <w:kern w:val="2"/>
      <w:sz w:val="24"/>
      <w:szCs w:val="24"/>
    </w:rPr>
  </w:style>
  <w:style w:type="character" w:customStyle="1" w:styleId="88">
    <w:name w:val="标题 9 Char"/>
    <w:basedOn w:val="49"/>
    <w:link w:val="10"/>
    <w:autoRedefine/>
    <w:semiHidden/>
    <w:qFormat/>
    <w:uiPriority w:val="0"/>
    <w:rPr>
      <w:color w:val="000000"/>
      <w:kern w:val="2"/>
      <w:sz w:val="24"/>
      <w:szCs w:val="21"/>
    </w:rPr>
  </w:style>
  <w:style w:type="character" w:customStyle="1" w:styleId="89">
    <w:name w:val="标题 1 Char"/>
    <w:link w:val="2"/>
    <w:autoRedefine/>
    <w:qFormat/>
    <w:uiPriority w:val="0"/>
    <w:rPr>
      <w:rFonts w:eastAsia="黑体"/>
      <w:b/>
      <w:bCs/>
      <w:color w:val="000000"/>
      <w:kern w:val="44"/>
      <w:sz w:val="30"/>
      <w:szCs w:val="30"/>
    </w:rPr>
  </w:style>
  <w:style w:type="character" w:customStyle="1" w:styleId="90">
    <w:name w:val="标题 2 Char2"/>
    <w:link w:val="3"/>
    <w:autoRedefine/>
    <w:qFormat/>
    <w:uiPriority w:val="0"/>
    <w:rPr>
      <w:rFonts w:eastAsia="黑体"/>
      <w:b/>
      <w:bCs/>
      <w:kern w:val="2"/>
      <w:sz w:val="32"/>
      <w:szCs w:val="32"/>
    </w:rPr>
  </w:style>
  <w:style w:type="paragraph" w:customStyle="1" w:styleId="91">
    <w:name w:val="样式 标题 1 + 居中"/>
    <w:basedOn w:val="2"/>
    <w:autoRedefine/>
    <w:qFormat/>
    <w:uiPriority w:val="0"/>
    <w:pPr>
      <w:keepLines/>
      <w:overflowPunct/>
      <w:snapToGrid/>
      <w:spacing w:beforeLines="50" w:after="0" w:line="360" w:lineRule="auto"/>
      <w:ind w:left="0" w:firstLine="0"/>
      <w:jc w:val="center"/>
    </w:pPr>
    <w:rPr>
      <w:rFonts w:cs="宋体"/>
      <w:color w:val="auto"/>
      <w:sz w:val="36"/>
      <w:szCs w:val="20"/>
    </w:rPr>
  </w:style>
  <w:style w:type="paragraph" w:customStyle="1" w:styleId="92">
    <w:name w:val="标题4"/>
    <w:basedOn w:val="4"/>
    <w:autoRedefine/>
    <w:qFormat/>
    <w:uiPriority w:val="0"/>
    <w:pPr>
      <w:spacing w:beforeLines="0"/>
    </w:pPr>
    <w:rPr>
      <w:rFonts w:cs="宋体"/>
      <w:b w:val="0"/>
      <w:sz w:val="28"/>
      <w:szCs w:val="20"/>
    </w:rPr>
  </w:style>
  <w:style w:type="paragraph" w:customStyle="1" w:styleId="93">
    <w:name w:val="样式 (中文) 楷体_GB2312 小四 行距: 1.5 倍行距"/>
    <w:basedOn w:val="1"/>
    <w:autoRedefine/>
    <w:qFormat/>
    <w:uiPriority w:val="0"/>
    <w:pPr>
      <w:spacing w:line="360" w:lineRule="auto"/>
      <w:ind w:firstLine="480" w:firstLineChars="200"/>
    </w:pPr>
    <w:rPr>
      <w:rFonts w:eastAsia="楷体_GB2312" w:cs="宋体"/>
      <w:sz w:val="24"/>
      <w:szCs w:val="20"/>
    </w:rPr>
  </w:style>
  <w:style w:type="paragraph" w:customStyle="1" w:styleId="94">
    <w:name w:val="样式 (中文) 楷体_GB2312 居中"/>
    <w:basedOn w:val="2"/>
    <w:autoRedefine/>
    <w:qFormat/>
    <w:uiPriority w:val="0"/>
    <w:pPr>
      <w:keepLines/>
      <w:pageBreakBefore/>
      <w:overflowPunct/>
      <w:spacing w:before="0" w:after="0" w:line="240" w:lineRule="auto"/>
      <w:ind w:left="0" w:firstLine="0"/>
      <w:jc w:val="left"/>
    </w:pPr>
    <w:rPr>
      <w:rFonts w:ascii="黑体" w:hAnsi="宋体" w:cs="宋体"/>
      <w:bCs w:val="0"/>
      <w:color w:val="auto"/>
      <w:spacing w:val="-2"/>
      <w:kern w:val="0"/>
      <w:sz w:val="32"/>
      <w:szCs w:val="20"/>
    </w:rPr>
  </w:style>
  <w:style w:type="paragraph" w:customStyle="1" w:styleId="95">
    <w:name w:val="Char"/>
    <w:basedOn w:val="1"/>
    <w:autoRedefine/>
    <w:qFormat/>
    <w:uiPriority w:val="0"/>
    <w:pPr>
      <w:snapToGrid w:val="0"/>
      <w:spacing w:line="360" w:lineRule="auto"/>
      <w:ind w:firstLine="529" w:firstLineChars="200"/>
    </w:pPr>
    <w:rPr>
      <w:rFonts w:ascii="宋体" w:hAnsi="宋体"/>
      <w:b/>
    </w:rPr>
  </w:style>
  <w:style w:type="character" w:customStyle="1" w:styleId="96">
    <w:name w:val="纯文本 Char"/>
    <w:basedOn w:val="49"/>
    <w:link w:val="24"/>
    <w:autoRedefine/>
    <w:qFormat/>
    <w:uiPriority w:val="0"/>
    <w:rPr>
      <w:rFonts w:ascii="宋体" w:hAnsi="Courier New" w:cs="Courier New"/>
      <w:kern w:val="2"/>
      <w:sz w:val="21"/>
      <w:szCs w:val="21"/>
    </w:rPr>
  </w:style>
  <w:style w:type="character" w:customStyle="1" w:styleId="97">
    <w:name w:val="纯文本 Char2"/>
    <w:basedOn w:val="49"/>
    <w:link w:val="24"/>
    <w:autoRedefine/>
    <w:qFormat/>
    <w:uiPriority w:val="0"/>
    <w:rPr>
      <w:rFonts w:ascii="宋体" w:hAnsi="Courier New"/>
      <w:kern w:val="2"/>
      <w:sz w:val="21"/>
      <w:szCs w:val="24"/>
    </w:rPr>
  </w:style>
  <w:style w:type="character" w:customStyle="1" w:styleId="98">
    <w:name w:val="正文文本缩进 Char2"/>
    <w:basedOn w:val="49"/>
    <w:autoRedefine/>
    <w:qFormat/>
    <w:uiPriority w:val="0"/>
    <w:rPr>
      <w:rFonts w:eastAsia="仿宋_GB2312"/>
      <w:kern w:val="2"/>
      <w:sz w:val="28"/>
      <w:szCs w:val="24"/>
    </w:rPr>
  </w:style>
  <w:style w:type="character" w:customStyle="1" w:styleId="99">
    <w:name w:val="正文文本缩进 2 Char"/>
    <w:basedOn w:val="49"/>
    <w:link w:val="27"/>
    <w:autoRedefine/>
    <w:qFormat/>
    <w:uiPriority w:val="0"/>
    <w:rPr>
      <w:kern w:val="2"/>
      <w:sz w:val="21"/>
      <w:szCs w:val="24"/>
    </w:rPr>
  </w:style>
  <w:style w:type="paragraph" w:customStyle="1" w:styleId="100">
    <w:name w:val="样式 楷体_GB2312 小四"/>
    <w:basedOn w:val="1"/>
    <w:autoRedefine/>
    <w:qFormat/>
    <w:uiPriority w:val="0"/>
    <w:pPr>
      <w:spacing w:line="360" w:lineRule="auto"/>
      <w:ind w:firstLine="480" w:firstLineChars="200"/>
    </w:pPr>
    <w:rPr>
      <w:rFonts w:ascii="楷体_GB2312" w:hAnsi="楷体_GB2312" w:eastAsia="楷体_GB2312" w:cs="宋体"/>
      <w:sz w:val="24"/>
      <w:szCs w:val="20"/>
    </w:rPr>
  </w:style>
  <w:style w:type="character" w:customStyle="1" w:styleId="101">
    <w:name w:val="文档结构图 Char"/>
    <w:basedOn w:val="49"/>
    <w:link w:val="15"/>
    <w:autoRedefine/>
    <w:qFormat/>
    <w:uiPriority w:val="99"/>
    <w:rPr>
      <w:kern w:val="2"/>
      <w:sz w:val="21"/>
      <w:szCs w:val="24"/>
      <w:shd w:val="clear" w:color="auto" w:fill="000080"/>
    </w:rPr>
  </w:style>
  <w:style w:type="paragraph" w:customStyle="1" w:styleId="102">
    <w:name w:val="四号标题"/>
    <w:basedOn w:val="1"/>
    <w:next w:val="1"/>
    <w:autoRedefine/>
    <w:qFormat/>
    <w:uiPriority w:val="0"/>
    <w:pPr>
      <w:jc w:val="center"/>
    </w:pPr>
    <w:rPr>
      <w:rFonts w:ascii="Arial Unicode MS" w:hAnsi="Arial Unicode MS" w:eastAsia="黑体"/>
      <w:sz w:val="28"/>
      <w:szCs w:val="28"/>
    </w:rPr>
  </w:style>
  <w:style w:type="paragraph" w:customStyle="1" w:styleId="103">
    <w:name w:val="表头文字"/>
    <w:basedOn w:val="24"/>
    <w:autoRedefine/>
    <w:qFormat/>
    <w:uiPriority w:val="0"/>
    <w:pPr>
      <w:spacing w:line="480" w:lineRule="exact"/>
      <w:jc w:val="center"/>
    </w:pPr>
    <w:rPr>
      <w:spacing w:val="2"/>
      <w:sz w:val="24"/>
      <w:szCs w:val="20"/>
    </w:rPr>
  </w:style>
  <w:style w:type="paragraph" w:customStyle="1" w:styleId="104">
    <w:name w:val="表格文字1"/>
    <w:basedOn w:val="24"/>
    <w:autoRedefine/>
    <w:qFormat/>
    <w:uiPriority w:val="0"/>
    <w:pPr>
      <w:spacing w:line="320" w:lineRule="exact"/>
      <w:jc w:val="center"/>
    </w:pPr>
    <w:rPr>
      <w:spacing w:val="-12"/>
      <w:szCs w:val="20"/>
    </w:rPr>
  </w:style>
  <w:style w:type="character" w:customStyle="1" w:styleId="105">
    <w:name w:val="HTML 预设格式 Char"/>
    <w:basedOn w:val="49"/>
    <w:link w:val="40"/>
    <w:autoRedefine/>
    <w:qFormat/>
    <w:uiPriority w:val="0"/>
    <w:rPr>
      <w:rFonts w:ascii="Arial" w:hAnsi="Arial" w:cs="Arial"/>
      <w:sz w:val="21"/>
      <w:szCs w:val="21"/>
    </w:rPr>
  </w:style>
  <w:style w:type="paragraph" w:customStyle="1" w:styleId="106">
    <w:name w:val="Char Char Char Char Char Char Char Char Char Char Char Char Char Char Char Char Char Char2 Char"/>
    <w:basedOn w:val="1"/>
    <w:autoRedefine/>
    <w:qFormat/>
    <w:uiPriority w:val="0"/>
    <w:pPr>
      <w:spacing w:line="360" w:lineRule="auto"/>
      <w:ind w:firstLine="200" w:firstLineChars="200"/>
    </w:pPr>
    <w:rPr>
      <w:rFonts w:ascii="宋体" w:hAnsi="宋体" w:cs="宋体"/>
      <w:sz w:val="24"/>
    </w:rPr>
  </w:style>
  <w:style w:type="paragraph" w:customStyle="1" w:styleId="107">
    <w:name w:val="Char1"/>
    <w:basedOn w:val="1"/>
    <w:autoRedefine/>
    <w:qFormat/>
    <w:uiPriority w:val="0"/>
    <w:rPr>
      <w:szCs w:val="20"/>
    </w:rPr>
  </w:style>
  <w:style w:type="paragraph" w:customStyle="1" w:styleId="108">
    <w:name w:val="表格文字"/>
    <w:basedOn w:val="1"/>
    <w:next w:val="1"/>
    <w:link w:val="109"/>
    <w:autoRedefine/>
    <w:qFormat/>
    <w:uiPriority w:val="0"/>
    <w:pPr>
      <w:adjustRightInd w:val="0"/>
      <w:snapToGrid w:val="0"/>
      <w:spacing w:line="360" w:lineRule="exact"/>
      <w:jc w:val="center"/>
    </w:pPr>
    <w:rPr>
      <w:rFonts w:hAnsi="宋体" w:cs="宋体"/>
      <w:bCs/>
      <w:spacing w:val="4"/>
      <w:kern w:val="0"/>
      <w:szCs w:val="21"/>
    </w:rPr>
  </w:style>
  <w:style w:type="character" w:customStyle="1" w:styleId="109">
    <w:name w:val="表格文字 Char Char"/>
    <w:basedOn w:val="49"/>
    <w:link w:val="108"/>
    <w:autoRedefine/>
    <w:qFormat/>
    <w:uiPriority w:val="0"/>
    <w:rPr>
      <w:rFonts w:hAnsi="宋体" w:cs="宋体"/>
      <w:bCs/>
      <w:spacing w:val="4"/>
      <w:sz w:val="21"/>
      <w:szCs w:val="21"/>
    </w:rPr>
  </w:style>
  <w:style w:type="paragraph" w:customStyle="1" w:styleId="110">
    <w:name w:val="xl27"/>
    <w:basedOn w:val="1"/>
    <w:autoRedefine/>
    <w:qFormat/>
    <w:uiPriority w:val="0"/>
    <w:pPr>
      <w:widowControl/>
      <w:pBdr>
        <w:bottom w:val="single" w:color="auto" w:sz="4" w:space="0"/>
        <w:right w:val="single" w:color="auto" w:sz="4" w:space="0"/>
      </w:pBdr>
      <w:spacing w:before="100" w:beforeAutospacing="1" w:after="100" w:afterAutospacing="1"/>
      <w:jc w:val="center"/>
    </w:pPr>
    <w:rPr>
      <w:kern w:val="0"/>
      <w:szCs w:val="21"/>
    </w:rPr>
  </w:style>
  <w:style w:type="paragraph" w:customStyle="1" w:styleId="111">
    <w:name w:val="Char Char Char1 Char Char Char Char Char Char Char Char Char"/>
    <w:basedOn w:val="1"/>
    <w:autoRedefine/>
    <w:qFormat/>
    <w:uiPriority w:val="0"/>
    <w:pPr>
      <w:spacing w:line="360" w:lineRule="auto"/>
      <w:ind w:firstLine="200" w:firstLineChars="200"/>
    </w:pPr>
    <w:rPr>
      <w:rFonts w:ascii="宋体" w:hAnsi="宋体" w:cs="宋体"/>
      <w:sz w:val="24"/>
    </w:rPr>
  </w:style>
  <w:style w:type="paragraph" w:customStyle="1" w:styleId="112">
    <w:name w:val="Char Char Char Char Char Char Char Char Char Char Char Char Char"/>
    <w:basedOn w:val="1"/>
    <w:autoRedefine/>
    <w:qFormat/>
    <w:uiPriority w:val="0"/>
    <w:pPr>
      <w:spacing w:line="360" w:lineRule="auto"/>
      <w:ind w:firstLine="200" w:firstLineChars="200"/>
    </w:pPr>
    <w:rPr>
      <w:rFonts w:ascii="宋体" w:hAnsi="宋体" w:cs="宋体"/>
      <w:sz w:val="24"/>
    </w:rPr>
  </w:style>
  <w:style w:type="paragraph" w:customStyle="1" w:styleId="113">
    <w:name w:val="Char Char Char Char Char Char Char"/>
    <w:basedOn w:val="1"/>
    <w:autoRedefine/>
    <w:qFormat/>
    <w:uiPriority w:val="0"/>
  </w:style>
  <w:style w:type="character" w:customStyle="1" w:styleId="114">
    <w:name w:val="12_181"/>
    <w:basedOn w:val="49"/>
    <w:autoRedefine/>
    <w:qFormat/>
    <w:uiPriority w:val="0"/>
    <w:rPr>
      <w:spacing w:val="160"/>
      <w:sz w:val="10"/>
      <w:szCs w:val="10"/>
    </w:rPr>
  </w:style>
  <w:style w:type="paragraph" w:customStyle="1" w:styleId="115">
    <w:name w:val="报告表格"/>
    <w:basedOn w:val="1"/>
    <w:autoRedefine/>
    <w:qFormat/>
    <w:uiPriority w:val="0"/>
    <w:pPr>
      <w:autoSpaceDE w:val="0"/>
      <w:autoSpaceDN w:val="0"/>
      <w:adjustRightInd w:val="0"/>
      <w:spacing w:before="40" w:after="40"/>
      <w:jc w:val="center"/>
      <w:textAlignment w:val="bottom"/>
    </w:pPr>
    <w:rPr>
      <w:kern w:val="0"/>
      <w:szCs w:val="20"/>
    </w:rPr>
  </w:style>
  <w:style w:type="character" w:customStyle="1" w:styleId="116">
    <w:name w:val="Char Char1"/>
    <w:basedOn w:val="49"/>
    <w:autoRedefine/>
    <w:qFormat/>
    <w:uiPriority w:val="0"/>
    <w:rPr>
      <w:rFonts w:ascii="宋体" w:hAnsi="Courier New" w:eastAsia="宋体"/>
      <w:kern w:val="2"/>
      <w:sz w:val="21"/>
      <w:lang w:val="en-US" w:eastAsia="zh-CN" w:bidi="ar-SA"/>
    </w:rPr>
  </w:style>
  <w:style w:type="paragraph" w:customStyle="1" w:styleId="117">
    <w:name w:val="Char Char Char Char Char Char Char2"/>
    <w:basedOn w:val="1"/>
    <w:autoRedefine/>
    <w:qFormat/>
    <w:uiPriority w:val="0"/>
    <w:pPr>
      <w:spacing w:line="360" w:lineRule="auto"/>
      <w:ind w:firstLine="200" w:firstLineChars="200"/>
    </w:pPr>
    <w:rPr>
      <w:rFonts w:ascii="宋体" w:hAnsi="宋体" w:cs="宋体"/>
      <w:sz w:val="24"/>
    </w:rPr>
  </w:style>
  <w:style w:type="paragraph" w:customStyle="1" w:styleId="118">
    <w:name w:val="Char Char Char Char"/>
    <w:basedOn w:val="1"/>
    <w:autoRedefine/>
    <w:qFormat/>
    <w:uiPriority w:val="0"/>
    <w:pPr>
      <w:snapToGrid w:val="0"/>
      <w:spacing w:line="360" w:lineRule="auto"/>
      <w:ind w:firstLine="529" w:firstLineChars="200"/>
    </w:pPr>
    <w:rPr>
      <w:rFonts w:ascii="宋体" w:hAnsi="宋体"/>
      <w:b/>
    </w:rPr>
  </w:style>
  <w:style w:type="character" w:customStyle="1" w:styleId="119">
    <w:name w:val="inq"/>
    <w:basedOn w:val="49"/>
    <w:autoRedefine/>
    <w:qFormat/>
    <w:uiPriority w:val="0"/>
  </w:style>
  <w:style w:type="paragraph" w:customStyle="1" w:styleId="120">
    <w:name w:val="正文（首行缩进两字）"/>
    <w:basedOn w:val="1"/>
    <w:autoRedefine/>
    <w:qFormat/>
    <w:uiPriority w:val="0"/>
    <w:pPr>
      <w:widowControl/>
      <w:adjustRightInd w:val="0"/>
      <w:snapToGrid w:val="0"/>
      <w:spacing w:line="300" w:lineRule="auto"/>
      <w:ind w:firstLine="200" w:firstLineChars="200"/>
      <w:jc w:val="left"/>
    </w:pPr>
    <w:rPr>
      <w:rFonts w:ascii="宋体" w:hAnsi="宋体"/>
      <w:kern w:val="0"/>
      <w:sz w:val="30"/>
      <w:szCs w:val="20"/>
    </w:rPr>
  </w:style>
  <w:style w:type="paragraph" w:customStyle="1" w:styleId="121">
    <w:name w:val="默认段落字体 Para Char Char Char Char"/>
    <w:basedOn w:val="1"/>
    <w:autoRedefine/>
    <w:qFormat/>
    <w:uiPriority w:val="0"/>
    <w:pPr>
      <w:spacing w:line="360" w:lineRule="auto"/>
      <w:ind w:firstLine="200" w:firstLineChars="200"/>
    </w:pPr>
    <w:rPr>
      <w:rFonts w:ascii="宋体" w:hAnsi="宋体" w:cs="宋体"/>
      <w:sz w:val="24"/>
    </w:rPr>
  </w:style>
  <w:style w:type="paragraph" w:customStyle="1" w:styleId="122">
    <w:name w:val="Char Char Char Char1"/>
    <w:basedOn w:val="1"/>
    <w:autoRedefine/>
    <w:qFormat/>
    <w:uiPriority w:val="0"/>
    <w:pPr>
      <w:spacing w:line="360" w:lineRule="auto"/>
      <w:ind w:firstLine="200" w:firstLineChars="200"/>
    </w:pPr>
    <w:rPr>
      <w:rFonts w:ascii="宋体" w:hAnsi="宋体" w:cs="宋体"/>
      <w:sz w:val="24"/>
    </w:rPr>
  </w:style>
  <w:style w:type="paragraph" w:customStyle="1" w:styleId="123">
    <w:name w:val="Char2"/>
    <w:basedOn w:val="1"/>
    <w:autoRedefine/>
    <w:qFormat/>
    <w:uiPriority w:val="0"/>
    <w:rPr>
      <w:szCs w:val="20"/>
    </w:rPr>
  </w:style>
  <w:style w:type="character" w:customStyle="1" w:styleId="124">
    <w:name w:val="t_tag"/>
    <w:basedOn w:val="49"/>
    <w:autoRedefine/>
    <w:qFormat/>
    <w:uiPriority w:val="0"/>
  </w:style>
  <w:style w:type="character" w:customStyle="1" w:styleId="125">
    <w:name w:val="apple-style-span"/>
    <w:basedOn w:val="49"/>
    <w:autoRedefine/>
    <w:qFormat/>
    <w:uiPriority w:val="0"/>
  </w:style>
  <w:style w:type="paragraph" w:customStyle="1" w:styleId="126">
    <w:name w:val="ww"/>
    <w:basedOn w:val="1"/>
    <w:link w:val="127"/>
    <w:autoRedefine/>
    <w:qFormat/>
    <w:uiPriority w:val="0"/>
    <w:pPr>
      <w:spacing w:line="500" w:lineRule="exact"/>
      <w:ind w:firstLine="560" w:firstLineChars="200"/>
    </w:pPr>
    <w:rPr>
      <w:sz w:val="28"/>
      <w:szCs w:val="28"/>
    </w:rPr>
  </w:style>
  <w:style w:type="character" w:customStyle="1" w:styleId="127">
    <w:name w:val="ww Char"/>
    <w:basedOn w:val="49"/>
    <w:link w:val="126"/>
    <w:autoRedefine/>
    <w:qFormat/>
    <w:uiPriority w:val="0"/>
    <w:rPr>
      <w:kern w:val="2"/>
      <w:sz w:val="28"/>
      <w:szCs w:val="28"/>
    </w:rPr>
  </w:style>
  <w:style w:type="paragraph" w:customStyle="1" w:styleId="128">
    <w:name w:val="Char Char"/>
    <w:basedOn w:val="1"/>
    <w:autoRedefine/>
    <w:qFormat/>
    <w:uiPriority w:val="0"/>
    <w:rPr>
      <w:rFonts w:ascii="Tahoma" w:hAnsi="Tahoma" w:eastAsia="仿宋_GB2312"/>
      <w:sz w:val="24"/>
      <w:szCs w:val="20"/>
    </w:rPr>
  </w:style>
  <w:style w:type="character" w:customStyle="1" w:styleId="129">
    <w:name w:val="正文首行缩进 Char"/>
    <w:basedOn w:val="61"/>
    <w:link w:val="45"/>
    <w:autoRedefine/>
    <w:qFormat/>
    <w:uiPriority w:val="99"/>
    <w:rPr>
      <w:kern w:val="2"/>
      <w:sz w:val="21"/>
    </w:rPr>
  </w:style>
  <w:style w:type="paragraph" w:customStyle="1" w:styleId="130">
    <w:name w:val="Char3"/>
    <w:basedOn w:val="1"/>
    <w:autoRedefine/>
    <w:qFormat/>
    <w:uiPriority w:val="0"/>
    <w:pPr>
      <w:snapToGrid w:val="0"/>
      <w:spacing w:line="360" w:lineRule="auto"/>
      <w:ind w:firstLine="200" w:firstLineChars="200"/>
    </w:pPr>
    <w:rPr>
      <w:rFonts w:eastAsia="仿宋_GB2312"/>
      <w:sz w:val="24"/>
    </w:rPr>
  </w:style>
  <w:style w:type="paragraph" w:customStyle="1" w:styleId="131">
    <w:name w:val="样式 首行缩进:  2 字符"/>
    <w:basedOn w:val="1"/>
    <w:autoRedefine/>
    <w:qFormat/>
    <w:uiPriority w:val="0"/>
    <w:pPr>
      <w:ind w:firstLine="200" w:firstLineChars="200"/>
    </w:pPr>
    <w:rPr>
      <w:rFonts w:ascii="仿宋_GB2312)" w:eastAsia="仿宋_GB2312" w:cs="宋体"/>
      <w:sz w:val="28"/>
      <w:szCs w:val="20"/>
    </w:rPr>
  </w:style>
  <w:style w:type="paragraph" w:customStyle="1" w:styleId="132">
    <w:name w:val="文字表格1"/>
    <w:autoRedefine/>
    <w:qFormat/>
    <w:uiPriority w:val="0"/>
    <w:pPr>
      <w:widowControl w:val="0"/>
      <w:adjustRightInd w:val="0"/>
      <w:snapToGrid w:val="0"/>
      <w:spacing w:line="360" w:lineRule="exact"/>
      <w:jc w:val="center"/>
    </w:pPr>
    <w:rPr>
      <w:rFonts w:ascii="Times New Roman" w:hAnsi="Times New Roman" w:eastAsia="宋体" w:cs="Times New Roman"/>
      <w:b/>
      <w:bCs/>
      <w:color w:val="000000"/>
      <w:sz w:val="21"/>
      <w:szCs w:val="21"/>
      <w:lang w:val="en-US" w:eastAsia="zh-CN" w:bidi="ar-SA"/>
    </w:rPr>
  </w:style>
  <w:style w:type="character" w:customStyle="1" w:styleId="133">
    <w:name w:val="文字 Char Char"/>
    <w:link w:val="134"/>
    <w:autoRedefine/>
    <w:qFormat/>
    <w:uiPriority w:val="0"/>
    <w:rPr>
      <w:kern w:val="2"/>
      <w:sz w:val="28"/>
      <w:szCs w:val="28"/>
    </w:rPr>
  </w:style>
  <w:style w:type="paragraph" w:customStyle="1" w:styleId="134">
    <w:name w:val="文字"/>
    <w:basedOn w:val="1"/>
    <w:link w:val="133"/>
    <w:autoRedefine/>
    <w:qFormat/>
    <w:uiPriority w:val="0"/>
    <w:pPr>
      <w:autoSpaceDE w:val="0"/>
      <w:autoSpaceDN w:val="0"/>
      <w:spacing w:line="500" w:lineRule="atLeast"/>
      <w:ind w:firstLine="200" w:firstLineChars="200"/>
    </w:pPr>
    <w:rPr>
      <w:sz w:val="28"/>
      <w:szCs w:val="28"/>
    </w:rPr>
  </w:style>
  <w:style w:type="character" w:customStyle="1" w:styleId="135">
    <w:name w:val="标准正文 Char Char"/>
    <w:link w:val="136"/>
    <w:autoRedefine/>
    <w:qFormat/>
    <w:uiPriority w:val="0"/>
    <w:rPr>
      <w:kern w:val="2"/>
      <w:sz w:val="24"/>
      <w:szCs w:val="22"/>
    </w:rPr>
  </w:style>
  <w:style w:type="paragraph" w:customStyle="1" w:styleId="136">
    <w:name w:val="标准正文"/>
    <w:basedOn w:val="1"/>
    <w:link w:val="135"/>
    <w:autoRedefine/>
    <w:qFormat/>
    <w:uiPriority w:val="0"/>
    <w:pPr>
      <w:spacing w:line="360" w:lineRule="auto"/>
      <w:ind w:firstLine="480" w:firstLineChars="200"/>
      <w:jc w:val="left"/>
    </w:pPr>
    <w:rPr>
      <w:sz w:val="24"/>
      <w:szCs w:val="22"/>
    </w:rPr>
  </w:style>
  <w:style w:type="character" w:customStyle="1" w:styleId="137">
    <w:name w:val="报告正文 Char"/>
    <w:link w:val="138"/>
    <w:autoRedefine/>
    <w:qFormat/>
    <w:uiPriority w:val="0"/>
    <w:rPr>
      <w:kern w:val="2"/>
      <w:sz w:val="24"/>
      <w:szCs w:val="24"/>
    </w:rPr>
  </w:style>
  <w:style w:type="paragraph" w:customStyle="1" w:styleId="138">
    <w:name w:val="报告正文"/>
    <w:basedOn w:val="1"/>
    <w:next w:val="1"/>
    <w:link w:val="137"/>
    <w:autoRedefine/>
    <w:qFormat/>
    <w:uiPriority w:val="0"/>
    <w:pPr>
      <w:adjustRightInd w:val="0"/>
      <w:snapToGrid w:val="0"/>
      <w:spacing w:line="360" w:lineRule="auto"/>
      <w:ind w:firstLine="200" w:firstLineChars="200"/>
    </w:pPr>
    <w:rPr>
      <w:sz w:val="24"/>
    </w:rPr>
  </w:style>
  <w:style w:type="character" w:customStyle="1" w:styleId="139">
    <w:name w:val="表格文字 Char"/>
    <w:basedOn w:val="49"/>
    <w:link w:val="140"/>
    <w:autoRedefine/>
    <w:qFormat/>
    <w:uiPriority w:val="0"/>
    <w:rPr>
      <w:spacing w:val="6"/>
      <w:kern w:val="2"/>
      <w:sz w:val="21"/>
      <w:szCs w:val="21"/>
    </w:rPr>
  </w:style>
  <w:style w:type="paragraph" w:customStyle="1" w:styleId="140">
    <w:name w:val="表格内容"/>
    <w:basedOn w:val="1"/>
    <w:link w:val="139"/>
    <w:autoRedefine/>
    <w:qFormat/>
    <w:uiPriority w:val="0"/>
    <w:pPr>
      <w:jc w:val="center"/>
    </w:pPr>
    <w:rPr>
      <w:spacing w:val="6"/>
      <w:szCs w:val="21"/>
    </w:rPr>
  </w:style>
  <w:style w:type="paragraph" w:customStyle="1" w:styleId="141">
    <w:name w:val="样式 样式 首行缩进:  2 字符 + (西文) Times New Roman (中文) 宋体 小四 首行缩进:  2 ..."/>
    <w:basedOn w:val="131"/>
    <w:autoRedefine/>
    <w:qFormat/>
    <w:uiPriority w:val="0"/>
    <w:pPr>
      <w:spacing w:line="480" w:lineRule="exact"/>
    </w:pPr>
    <w:rPr>
      <w:rFonts w:ascii="Times New Roman" w:hAnsi="宋体" w:eastAsia="Times New Roman"/>
      <w:sz w:val="24"/>
    </w:rPr>
  </w:style>
  <w:style w:type="character" w:customStyle="1" w:styleId="142">
    <w:name w:val="正文（南山污水） Char"/>
    <w:autoRedefine/>
    <w:qFormat/>
    <w:uiPriority w:val="0"/>
    <w:rPr>
      <w:rFonts w:eastAsia="宋体"/>
      <w:kern w:val="2"/>
      <w:sz w:val="21"/>
      <w:lang w:val="en-US" w:eastAsia="zh-CN" w:bidi="ar-SA"/>
    </w:rPr>
  </w:style>
  <w:style w:type="character" w:customStyle="1" w:styleId="143">
    <w:name w:val="正文（首行式样2） Char1"/>
    <w:link w:val="144"/>
    <w:autoRedefine/>
    <w:qFormat/>
    <w:uiPriority w:val="0"/>
    <w:rPr>
      <w:bCs/>
      <w:sz w:val="28"/>
    </w:rPr>
  </w:style>
  <w:style w:type="paragraph" w:customStyle="1" w:styleId="144">
    <w:name w:val="正文（首行式样2）"/>
    <w:basedOn w:val="14"/>
    <w:link w:val="143"/>
    <w:autoRedefine/>
    <w:qFormat/>
    <w:uiPriority w:val="0"/>
    <w:pPr>
      <w:spacing w:line="540" w:lineRule="exact"/>
      <w:ind w:firstLine="560" w:firstLineChars="200"/>
    </w:pPr>
    <w:rPr>
      <w:bCs/>
      <w:kern w:val="0"/>
      <w:sz w:val="28"/>
    </w:rPr>
  </w:style>
  <w:style w:type="paragraph" w:customStyle="1" w:styleId="145">
    <w:name w:val="0正文"/>
    <w:basedOn w:val="19"/>
    <w:link w:val="146"/>
    <w:autoRedefine/>
    <w:qFormat/>
    <w:uiPriority w:val="0"/>
    <w:pPr>
      <w:spacing w:after="0" w:line="300" w:lineRule="auto"/>
      <w:ind w:left="0" w:leftChars="0" w:firstLine="480" w:firstLineChars="200"/>
    </w:pPr>
  </w:style>
  <w:style w:type="character" w:customStyle="1" w:styleId="146">
    <w:name w:val="0正文 Char"/>
    <w:link w:val="145"/>
    <w:autoRedefine/>
    <w:qFormat/>
    <w:uiPriority w:val="0"/>
    <w:rPr>
      <w:sz w:val="24"/>
    </w:rPr>
  </w:style>
  <w:style w:type="paragraph" w:customStyle="1" w:styleId="147">
    <w:name w:val="表格文字/16"/>
    <w:basedOn w:val="1"/>
    <w:autoRedefine/>
    <w:qFormat/>
    <w:uiPriority w:val="0"/>
    <w:pPr>
      <w:adjustRightInd w:val="0"/>
      <w:snapToGrid w:val="0"/>
      <w:spacing w:line="320" w:lineRule="exact"/>
      <w:jc w:val="center"/>
    </w:pPr>
    <w:rPr>
      <w:color w:val="000000"/>
      <w:kern w:val="32"/>
      <w:szCs w:val="20"/>
    </w:rPr>
  </w:style>
  <w:style w:type="character" w:customStyle="1" w:styleId="148">
    <w:name w:val="正文文本缩进 3 Char"/>
    <w:link w:val="36"/>
    <w:autoRedefine/>
    <w:qFormat/>
    <w:uiPriority w:val="0"/>
    <w:rPr>
      <w:kern w:val="2"/>
      <w:sz w:val="16"/>
      <w:szCs w:val="16"/>
    </w:rPr>
  </w:style>
  <w:style w:type="character" w:customStyle="1" w:styleId="149">
    <w:name w:val="正文文本缩进 3 Char1"/>
    <w:basedOn w:val="49"/>
    <w:link w:val="36"/>
    <w:autoRedefine/>
    <w:qFormat/>
    <w:uiPriority w:val="0"/>
    <w:rPr>
      <w:kern w:val="2"/>
      <w:sz w:val="16"/>
      <w:szCs w:val="16"/>
    </w:rPr>
  </w:style>
  <w:style w:type="paragraph" w:customStyle="1" w:styleId="150">
    <w:name w:val="1"/>
    <w:basedOn w:val="1"/>
    <w:autoRedefine/>
    <w:qFormat/>
    <w:uiPriority w:val="0"/>
    <w:pPr>
      <w:spacing w:line="360" w:lineRule="auto"/>
      <w:ind w:firstLine="200" w:firstLineChars="200"/>
    </w:pPr>
    <w:rPr>
      <w:rFonts w:ascii="宋体" w:hAnsi="宋体" w:cs="宋体"/>
      <w:sz w:val="24"/>
    </w:rPr>
  </w:style>
  <w:style w:type="character" w:customStyle="1" w:styleId="151">
    <w:name w:val="内容 Char"/>
    <w:link w:val="152"/>
    <w:autoRedefine/>
    <w:qFormat/>
    <w:uiPriority w:val="0"/>
    <w:rPr>
      <w:rFonts w:ascii="Arial" w:hAnsi="Arial" w:eastAsia="Arial Narrow" w:cs="宋体"/>
      <w:spacing w:val="14"/>
      <w:kern w:val="2"/>
      <w:sz w:val="24"/>
      <w:szCs w:val="24"/>
    </w:rPr>
  </w:style>
  <w:style w:type="paragraph" w:customStyle="1" w:styleId="152">
    <w:name w:val="内容"/>
    <w:basedOn w:val="1"/>
    <w:link w:val="151"/>
    <w:autoRedefine/>
    <w:qFormat/>
    <w:uiPriority w:val="0"/>
    <w:pPr>
      <w:spacing w:line="500" w:lineRule="exact"/>
      <w:ind w:firstLine="200" w:firstLineChars="200"/>
    </w:pPr>
    <w:rPr>
      <w:rFonts w:ascii="Arial" w:hAnsi="Arial" w:eastAsia="Arial Narrow"/>
      <w:spacing w:val="14"/>
      <w:sz w:val="24"/>
    </w:rPr>
  </w:style>
  <w:style w:type="paragraph" w:customStyle="1" w:styleId="153">
    <w:name w:val="表头"/>
    <w:basedOn w:val="1"/>
    <w:next w:val="1"/>
    <w:link w:val="154"/>
    <w:autoRedefine/>
    <w:qFormat/>
    <w:uiPriority w:val="0"/>
    <w:pPr>
      <w:autoSpaceDE w:val="0"/>
      <w:autoSpaceDN w:val="0"/>
      <w:adjustRightInd w:val="0"/>
      <w:snapToGrid w:val="0"/>
      <w:spacing w:before="40" w:after="40" w:line="480" w:lineRule="exact"/>
      <w:jc w:val="center"/>
    </w:pPr>
    <w:rPr>
      <w:b/>
      <w:color w:val="000000"/>
      <w:kern w:val="32"/>
      <w:sz w:val="28"/>
      <w:szCs w:val="20"/>
    </w:rPr>
  </w:style>
  <w:style w:type="character" w:customStyle="1" w:styleId="154">
    <w:name w:val="表头 Char"/>
    <w:basedOn w:val="49"/>
    <w:link w:val="153"/>
    <w:autoRedefine/>
    <w:qFormat/>
    <w:uiPriority w:val="0"/>
    <w:rPr>
      <w:b/>
      <w:color w:val="000000"/>
      <w:kern w:val="32"/>
      <w:sz w:val="28"/>
    </w:rPr>
  </w:style>
  <w:style w:type="paragraph" w:customStyle="1" w:styleId="155">
    <w:name w:val="正文28磅"/>
    <w:link w:val="156"/>
    <w:autoRedefine/>
    <w:qFormat/>
    <w:uiPriority w:val="0"/>
    <w:pPr>
      <w:widowControl w:val="0"/>
      <w:overflowPunct w:val="0"/>
      <w:spacing w:line="360" w:lineRule="auto"/>
      <w:ind w:firstLine="480" w:firstLineChars="200"/>
      <w:jc w:val="both"/>
    </w:pPr>
    <w:rPr>
      <w:rFonts w:ascii="Times New Roman" w:hAnsi="Times New Roman" w:eastAsia="宋体" w:cs="Times New Roman"/>
      <w:sz w:val="24"/>
      <w:szCs w:val="24"/>
      <w:u w:color="000000"/>
      <w:lang w:val="en-GB" w:eastAsia="zh-CN" w:bidi="ar-SA"/>
    </w:rPr>
  </w:style>
  <w:style w:type="character" w:customStyle="1" w:styleId="156">
    <w:name w:val="正文28磅 Char"/>
    <w:basedOn w:val="49"/>
    <w:link w:val="155"/>
    <w:autoRedefine/>
    <w:qFormat/>
    <w:uiPriority w:val="0"/>
    <w:rPr>
      <w:sz w:val="24"/>
      <w:szCs w:val="24"/>
      <w:u w:color="000000"/>
      <w:lang w:val="en-GB" w:eastAsia="zh-CN" w:bidi="ar-SA"/>
    </w:rPr>
  </w:style>
  <w:style w:type="paragraph" w:customStyle="1" w:styleId="157">
    <w:name w:val="p16"/>
    <w:basedOn w:val="1"/>
    <w:autoRedefine/>
    <w:qFormat/>
    <w:uiPriority w:val="0"/>
    <w:pPr>
      <w:widowControl/>
      <w:spacing w:line="540" w:lineRule="atLeast"/>
      <w:ind w:firstLine="540"/>
    </w:pPr>
    <w:rPr>
      <w:rFonts w:ascii="宋体" w:hAnsi="宋体" w:cs="宋体"/>
      <w:kern w:val="0"/>
      <w:sz w:val="28"/>
      <w:szCs w:val="28"/>
    </w:rPr>
  </w:style>
  <w:style w:type="paragraph" w:customStyle="1" w:styleId="158">
    <w:name w:val="li表格"/>
    <w:basedOn w:val="1"/>
    <w:next w:val="1"/>
    <w:autoRedefine/>
    <w:qFormat/>
    <w:uiPriority w:val="0"/>
    <w:pPr>
      <w:spacing w:line="360" w:lineRule="exact"/>
      <w:jc w:val="center"/>
    </w:pPr>
    <w:rPr>
      <w:b/>
      <w:spacing w:val="4"/>
      <w:sz w:val="24"/>
      <w:szCs w:val="21"/>
    </w:rPr>
  </w:style>
  <w:style w:type="character" w:customStyle="1" w:styleId="159">
    <w:name w:val="3zw1"/>
    <w:basedOn w:val="49"/>
    <w:autoRedefine/>
    <w:qFormat/>
    <w:uiPriority w:val="0"/>
    <w:rPr>
      <w:color w:val="000000"/>
      <w:sz w:val="21"/>
      <w:szCs w:val="21"/>
    </w:rPr>
  </w:style>
  <w:style w:type="paragraph" w:customStyle="1" w:styleId="160">
    <w:name w:val="新表"/>
    <w:basedOn w:val="1"/>
    <w:autoRedefine/>
    <w:qFormat/>
    <w:uiPriority w:val="0"/>
    <w:pPr>
      <w:adjustRightInd w:val="0"/>
      <w:spacing w:before="60" w:line="336" w:lineRule="auto"/>
      <w:ind w:firstLine="505"/>
      <w:textAlignment w:val="baseline"/>
    </w:pPr>
    <w:rPr>
      <w:rFonts w:ascii="宋体"/>
      <w:kern w:val="0"/>
      <w:sz w:val="24"/>
      <w:szCs w:val="20"/>
    </w:rPr>
  </w:style>
  <w:style w:type="paragraph" w:customStyle="1" w:styleId="161">
    <w:name w:val="样式2"/>
    <w:basedOn w:val="1"/>
    <w:autoRedefine/>
    <w:qFormat/>
    <w:uiPriority w:val="99"/>
    <w:pPr>
      <w:spacing w:line="460" w:lineRule="exact"/>
    </w:pPr>
    <w:rPr>
      <w:sz w:val="24"/>
      <w:szCs w:val="20"/>
    </w:rPr>
  </w:style>
  <w:style w:type="paragraph" w:customStyle="1" w:styleId="162">
    <w:name w:val="裴正文"/>
    <w:autoRedefine/>
    <w:qFormat/>
    <w:uiPriority w:val="0"/>
    <w:pPr>
      <w:adjustRightInd w:val="0"/>
      <w:snapToGrid w:val="0"/>
      <w:spacing w:line="500" w:lineRule="exact"/>
      <w:ind w:firstLine="200" w:firstLineChars="200"/>
    </w:pPr>
    <w:rPr>
      <w:rFonts w:ascii="Times New Roman" w:hAnsi="Times New Roman" w:eastAsia="宋体" w:cs="Times New Roman"/>
      <w:bCs/>
      <w:snapToGrid w:val="0"/>
      <w:sz w:val="24"/>
      <w:lang w:val="en-US" w:eastAsia="zh-CN" w:bidi="ar-SA"/>
    </w:rPr>
  </w:style>
  <w:style w:type="paragraph" w:customStyle="1" w:styleId="163">
    <w:name w:val="Char Char Char Char Char Char Char Char Char Char"/>
    <w:basedOn w:val="1"/>
    <w:autoRedefine/>
    <w:qFormat/>
    <w:uiPriority w:val="0"/>
    <w:pPr>
      <w:spacing w:line="360" w:lineRule="auto"/>
      <w:ind w:firstLine="200" w:firstLineChars="200"/>
    </w:pPr>
    <w:rPr>
      <w:rFonts w:ascii="宋体" w:hAnsi="宋体" w:cs="宋体"/>
      <w:sz w:val="24"/>
    </w:rPr>
  </w:style>
  <w:style w:type="paragraph" w:customStyle="1" w:styleId="164">
    <w:name w:val="表格文字样式"/>
    <w:basedOn w:val="1"/>
    <w:autoRedefine/>
    <w:qFormat/>
    <w:uiPriority w:val="0"/>
    <w:pPr>
      <w:tabs>
        <w:tab w:val="left" w:pos="567"/>
      </w:tabs>
      <w:jc w:val="center"/>
    </w:pPr>
    <w:rPr>
      <w:rFonts w:eastAsia="华文中宋"/>
      <w:spacing w:val="20"/>
      <w:sz w:val="24"/>
      <w:szCs w:val="20"/>
    </w:rPr>
  </w:style>
  <w:style w:type="paragraph" w:customStyle="1" w:styleId="165">
    <w:name w:val="中文报告书样式"/>
    <w:basedOn w:val="1"/>
    <w:autoRedefine/>
    <w:qFormat/>
    <w:uiPriority w:val="0"/>
    <w:pPr>
      <w:adjustRightInd w:val="0"/>
      <w:spacing w:line="480" w:lineRule="atLeast"/>
      <w:ind w:firstLine="482"/>
      <w:textAlignment w:val="baseline"/>
    </w:pPr>
    <w:rPr>
      <w:kern w:val="24"/>
      <w:sz w:val="24"/>
      <w:szCs w:val="20"/>
    </w:rPr>
  </w:style>
  <w:style w:type="paragraph" w:customStyle="1" w:styleId="166">
    <w:name w:val="报告书表格"/>
    <w:basedOn w:val="1"/>
    <w:autoRedefine/>
    <w:qFormat/>
    <w:uiPriority w:val="0"/>
    <w:pPr>
      <w:adjustRightInd w:val="0"/>
      <w:spacing w:before="60" w:after="60" w:line="240" w:lineRule="atLeast"/>
      <w:jc w:val="center"/>
      <w:textAlignment w:val="baseline"/>
    </w:pPr>
    <w:rPr>
      <w:kern w:val="0"/>
      <w:szCs w:val="20"/>
    </w:rPr>
  </w:style>
  <w:style w:type="paragraph" w:customStyle="1" w:styleId="167">
    <w:name w:val="中文报告书"/>
    <w:basedOn w:val="1"/>
    <w:autoRedefine/>
    <w:qFormat/>
    <w:uiPriority w:val="0"/>
    <w:pPr>
      <w:adjustRightInd w:val="0"/>
      <w:spacing w:after="80" w:line="420" w:lineRule="atLeast"/>
      <w:jc w:val="left"/>
      <w:textAlignment w:val="baseline"/>
    </w:pPr>
    <w:rPr>
      <w:kern w:val="0"/>
      <w:sz w:val="24"/>
      <w:szCs w:val="20"/>
    </w:rPr>
  </w:style>
  <w:style w:type="paragraph" w:customStyle="1" w:styleId="168">
    <w:name w:val="In Table"/>
    <w:basedOn w:val="1"/>
    <w:autoRedefine/>
    <w:qFormat/>
    <w:uiPriority w:val="0"/>
    <w:pPr>
      <w:tabs>
        <w:tab w:val="left" w:pos="2200"/>
        <w:tab w:val="left" w:pos="3960"/>
        <w:tab w:val="left" w:pos="5280"/>
      </w:tabs>
      <w:spacing w:before="96" w:after="96" w:line="0" w:lineRule="atLeast"/>
      <w:jc w:val="center"/>
    </w:pPr>
    <w:rPr>
      <w:rFonts w:ascii="Tahoma" w:hAnsi="Tahoma" w:eastAsia="华文中宋"/>
      <w:szCs w:val="20"/>
    </w:rPr>
  </w:style>
  <w:style w:type="paragraph" w:customStyle="1" w:styleId="169">
    <w:name w:val="样式 (中文) 仿宋_GB2312"/>
    <w:basedOn w:val="1"/>
    <w:autoRedefine/>
    <w:qFormat/>
    <w:uiPriority w:val="0"/>
    <w:pPr>
      <w:ind w:left="-50" w:leftChars="-24" w:firstLine="420" w:firstLineChars="200"/>
    </w:pPr>
    <w:rPr>
      <w:rFonts w:eastAsia="仿宋_GB2312" w:cs="宋体"/>
      <w:sz w:val="28"/>
      <w:szCs w:val="20"/>
    </w:rPr>
  </w:style>
  <w:style w:type="paragraph" w:customStyle="1" w:styleId="170">
    <w:name w:val="样式 标题 1 + (中文) 楷体_GB2312 三号 段前: 0 磅 段后: 0 磅 行距: 单倍行距"/>
    <w:basedOn w:val="2"/>
    <w:autoRedefine/>
    <w:qFormat/>
    <w:uiPriority w:val="0"/>
    <w:pPr>
      <w:keepLines/>
      <w:overflowPunct/>
      <w:snapToGrid/>
      <w:spacing w:before="0" w:beforeAutospacing="1" w:after="100" w:afterAutospacing="1" w:line="240" w:lineRule="auto"/>
      <w:ind w:left="0" w:firstLine="0"/>
    </w:pPr>
    <w:rPr>
      <w:rFonts w:ascii="宋体" w:hAnsi="宋体" w:eastAsia="楷体_GB2312" w:cs="宋体"/>
      <w:snapToGrid w:val="0"/>
      <w:color w:val="auto"/>
      <w:sz w:val="32"/>
      <w:szCs w:val="20"/>
    </w:rPr>
  </w:style>
  <w:style w:type="paragraph" w:customStyle="1" w:styleId="171">
    <w:name w:val="表第一列"/>
    <w:basedOn w:val="45"/>
    <w:autoRedefine/>
    <w:qFormat/>
    <w:uiPriority w:val="0"/>
    <w:pPr>
      <w:keepNext/>
      <w:keepLines/>
      <w:tabs>
        <w:tab w:val="left" w:pos="1727"/>
        <w:tab w:val="left" w:pos="1884"/>
        <w:tab w:val="left" w:pos="2940"/>
      </w:tabs>
      <w:adjustRightInd w:val="0"/>
      <w:snapToGrid w:val="0"/>
      <w:spacing w:after="0" w:line="0" w:lineRule="atLeast"/>
      <w:ind w:firstLine="0" w:firstLineChars="0"/>
      <w:jc w:val="center"/>
    </w:pPr>
    <w:rPr>
      <w:rFonts w:ascii="宋体" w:hAnsi="宋体"/>
      <w:color w:val="000000"/>
      <w:spacing w:val="-4"/>
    </w:rPr>
  </w:style>
  <w:style w:type="paragraph" w:customStyle="1" w:styleId="172">
    <w:name w:val="Char Char Char Char Char Char Char Char Char Char Char Char Char Char Char Char Char Char Char Char Char Char"/>
    <w:basedOn w:val="1"/>
    <w:autoRedefine/>
    <w:qFormat/>
    <w:uiPriority w:val="0"/>
    <w:pPr>
      <w:spacing w:line="480" w:lineRule="exact"/>
    </w:pPr>
  </w:style>
  <w:style w:type="paragraph" w:customStyle="1" w:styleId="173">
    <w:name w:val="li 2"/>
    <w:basedOn w:val="2"/>
    <w:next w:val="2"/>
    <w:link w:val="174"/>
    <w:autoRedefine/>
    <w:qFormat/>
    <w:uiPriority w:val="0"/>
    <w:pPr>
      <w:keepLines/>
      <w:overflowPunct/>
      <w:snapToGrid/>
      <w:spacing w:before="0" w:after="60" w:line="240" w:lineRule="auto"/>
      <w:ind w:left="0" w:firstLine="0"/>
      <w:outlineLvl w:val="1"/>
    </w:pPr>
    <w:rPr>
      <w:rFonts w:ascii="宋体" w:hAnsi="宋体"/>
      <w:snapToGrid w:val="0"/>
      <w:color w:val="auto"/>
    </w:rPr>
  </w:style>
  <w:style w:type="character" w:customStyle="1" w:styleId="174">
    <w:name w:val="li 2 Char"/>
    <w:link w:val="173"/>
    <w:autoRedefine/>
    <w:qFormat/>
    <w:locked/>
    <w:uiPriority w:val="0"/>
    <w:rPr>
      <w:rFonts w:ascii="宋体" w:hAnsi="宋体" w:eastAsia="黑体"/>
      <w:b/>
      <w:bCs/>
      <w:snapToGrid w:val="0"/>
      <w:kern w:val="44"/>
      <w:sz w:val="30"/>
      <w:szCs w:val="30"/>
    </w:rPr>
  </w:style>
  <w:style w:type="paragraph" w:customStyle="1" w:styleId="175">
    <w:name w:val="表格样式1"/>
    <w:basedOn w:val="1"/>
    <w:link w:val="176"/>
    <w:autoRedefine/>
    <w:qFormat/>
    <w:uiPriority w:val="0"/>
    <w:pPr>
      <w:adjustRightInd w:val="0"/>
      <w:spacing w:line="20" w:lineRule="atLeast"/>
      <w:ind w:firstLine="480" w:firstLineChars="200"/>
      <w:jc w:val="center"/>
      <w:textAlignment w:val="baseline"/>
    </w:pPr>
    <w:rPr>
      <w:rFonts w:ascii="宋体" w:hAnsi="宋体"/>
      <w:color w:val="000000"/>
      <w:kern w:val="0"/>
      <w:szCs w:val="20"/>
    </w:rPr>
  </w:style>
  <w:style w:type="character" w:customStyle="1" w:styleId="176">
    <w:name w:val="表格样式1 Char"/>
    <w:basedOn w:val="49"/>
    <w:link w:val="175"/>
    <w:autoRedefine/>
    <w:qFormat/>
    <w:locked/>
    <w:uiPriority w:val="0"/>
    <w:rPr>
      <w:rFonts w:ascii="宋体" w:hAnsi="宋体"/>
      <w:color w:val="000000"/>
      <w:sz w:val="21"/>
    </w:rPr>
  </w:style>
  <w:style w:type="paragraph" w:customStyle="1" w:styleId="177">
    <w:name w:val="Char Char Char Char Char Char Char Char Char Char Char Char Char Char Char Char Char Char1 Char Char Char Char Char Char Char Char Char Char Char Char Char Char Char Char"/>
    <w:basedOn w:val="1"/>
    <w:next w:val="1"/>
    <w:autoRedefine/>
    <w:qFormat/>
    <w:uiPriority w:val="0"/>
    <w:pPr>
      <w:spacing w:line="360" w:lineRule="auto"/>
      <w:ind w:firstLine="200" w:firstLineChars="200"/>
    </w:pPr>
    <w:rPr>
      <w:rFonts w:ascii="宋体" w:hAnsi="宋体" w:cs="宋体"/>
      <w:snapToGrid w:val="0"/>
      <w:kern w:val="0"/>
      <w:sz w:val="24"/>
    </w:rPr>
  </w:style>
  <w:style w:type="paragraph" w:customStyle="1" w:styleId="178">
    <w:name w:val="2 Char Char Char Char"/>
    <w:basedOn w:val="1"/>
    <w:autoRedefine/>
    <w:qFormat/>
    <w:uiPriority w:val="0"/>
    <w:pPr>
      <w:snapToGrid w:val="0"/>
      <w:spacing w:line="360" w:lineRule="auto"/>
      <w:ind w:firstLine="529" w:firstLineChars="200"/>
    </w:pPr>
    <w:rPr>
      <w:rFonts w:ascii="宋体" w:hAnsi="宋体"/>
      <w:b/>
      <w:sz w:val="24"/>
    </w:rPr>
  </w:style>
  <w:style w:type="paragraph" w:customStyle="1" w:styleId="179">
    <w:name w:val="正文1 Char Char Char"/>
    <w:basedOn w:val="1"/>
    <w:link w:val="180"/>
    <w:autoRedefine/>
    <w:qFormat/>
    <w:uiPriority w:val="0"/>
    <w:pPr>
      <w:widowControl/>
      <w:tabs>
        <w:tab w:val="left" w:pos="4660"/>
      </w:tabs>
      <w:spacing w:line="480" w:lineRule="exact"/>
      <w:ind w:firstLine="482" w:firstLineChars="200"/>
    </w:pPr>
    <w:rPr>
      <w:b/>
      <w:sz w:val="24"/>
    </w:rPr>
  </w:style>
  <w:style w:type="character" w:customStyle="1" w:styleId="180">
    <w:name w:val="正文1 Char Char Char Char"/>
    <w:basedOn w:val="49"/>
    <w:link w:val="179"/>
    <w:autoRedefine/>
    <w:qFormat/>
    <w:uiPriority w:val="0"/>
    <w:rPr>
      <w:b/>
      <w:kern w:val="2"/>
      <w:sz w:val="24"/>
      <w:szCs w:val="24"/>
    </w:rPr>
  </w:style>
  <w:style w:type="paragraph" w:customStyle="1" w:styleId="181">
    <w:name w:val="表格新唐"/>
    <w:basedOn w:val="1"/>
    <w:autoRedefine/>
    <w:qFormat/>
    <w:uiPriority w:val="0"/>
    <w:pPr>
      <w:spacing w:line="320" w:lineRule="exact"/>
      <w:jc w:val="center"/>
    </w:pPr>
    <w:rPr>
      <w:color w:val="0000FF"/>
      <w:sz w:val="24"/>
      <w:szCs w:val="21"/>
    </w:rPr>
  </w:style>
  <w:style w:type="paragraph" w:customStyle="1" w:styleId="182">
    <w:name w:val="2"/>
    <w:basedOn w:val="1"/>
    <w:next w:val="19"/>
    <w:autoRedefine/>
    <w:qFormat/>
    <w:uiPriority w:val="0"/>
    <w:pPr>
      <w:spacing w:line="440" w:lineRule="exact"/>
      <w:ind w:firstLine="574"/>
    </w:pPr>
    <w:rPr>
      <w:sz w:val="28"/>
      <w:szCs w:val="20"/>
    </w:rPr>
  </w:style>
  <w:style w:type="character" w:customStyle="1" w:styleId="183">
    <w:name w:val="font21"/>
    <w:basedOn w:val="49"/>
    <w:autoRedefine/>
    <w:qFormat/>
    <w:uiPriority w:val="0"/>
    <w:rPr>
      <w:color w:val="000000"/>
      <w:sz w:val="21"/>
      <w:szCs w:val="21"/>
      <w:u w:val="none"/>
    </w:rPr>
  </w:style>
  <w:style w:type="paragraph" w:customStyle="1" w:styleId="184">
    <w:name w:val="表格1"/>
    <w:basedOn w:val="1"/>
    <w:autoRedefine/>
    <w:qFormat/>
    <w:uiPriority w:val="0"/>
    <w:pPr>
      <w:adjustRightInd w:val="0"/>
      <w:spacing w:line="312" w:lineRule="auto"/>
      <w:jc w:val="left"/>
      <w:textAlignment w:val="baseline"/>
    </w:pPr>
    <w:rPr>
      <w:rFonts w:ascii="宋体"/>
      <w:kern w:val="0"/>
      <w:sz w:val="24"/>
      <w:szCs w:val="20"/>
    </w:rPr>
  </w:style>
  <w:style w:type="paragraph" w:customStyle="1" w:styleId="185">
    <w:name w:val="表中正文居中"/>
    <w:autoRedefine/>
    <w:qFormat/>
    <w:uiPriority w:val="0"/>
    <w:pPr>
      <w:spacing w:before="120" w:after="120" w:line="240" w:lineRule="atLeast"/>
      <w:jc w:val="center"/>
    </w:pPr>
    <w:rPr>
      <w:rFonts w:ascii="宋体" w:hAnsi="Times New Roman" w:eastAsia="宋体" w:cs="Times New Roman"/>
      <w:kern w:val="2"/>
      <w:sz w:val="21"/>
      <w:lang w:val="en-US" w:eastAsia="zh-CN" w:bidi="ar-SA"/>
    </w:rPr>
  </w:style>
  <w:style w:type="paragraph" w:customStyle="1" w:styleId="186">
    <w:name w:val="Char31"/>
    <w:basedOn w:val="1"/>
    <w:next w:val="1"/>
    <w:autoRedefine/>
    <w:qFormat/>
    <w:uiPriority w:val="0"/>
    <w:pPr>
      <w:spacing w:line="360" w:lineRule="auto"/>
      <w:ind w:firstLine="200" w:firstLineChars="200"/>
    </w:pPr>
    <w:rPr>
      <w:rFonts w:ascii="宋体" w:hAnsi="宋体" w:cs="宋体"/>
      <w:sz w:val="24"/>
    </w:rPr>
  </w:style>
  <w:style w:type="paragraph" w:customStyle="1" w:styleId="187">
    <w:name w:val="山焦报告正文"/>
    <w:basedOn w:val="1"/>
    <w:autoRedefine/>
    <w:qFormat/>
    <w:uiPriority w:val="0"/>
    <w:pPr>
      <w:adjustRightInd w:val="0"/>
      <w:snapToGrid w:val="0"/>
      <w:spacing w:beforeLines="25" w:line="440" w:lineRule="exact"/>
      <w:ind w:firstLine="200" w:firstLineChars="200"/>
    </w:pPr>
    <w:rPr>
      <w:color w:val="000000"/>
      <w:sz w:val="24"/>
    </w:rPr>
  </w:style>
  <w:style w:type="paragraph" w:customStyle="1" w:styleId="188">
    <w:name w:val="li 1"/>
    <w:basedOn w:val="2"/>
    <w:next w:val="2"/>
    <w:autoRedefine/>
    <w:qFormat/>
    <w:uiPriority w:val="0"/>
    <w:pPr>
      <w:keepLines/>
      <w:overflowPunct/>
      <w:snapToGrid/>
      <w:spacing w:before="0" w:after="120" w:line="240" w:lineRule="auto"/>
      <w:ind w:left="0" w:firstLine="0"/>
      <w:jc w:val="center"/>
    </w:pPr>
    <w:rPr>
      <w:rFonts w:eastAsia="隶书"/>
      <w:bCs w:val="0"/>
      <w:color w:val="auto"/>
      <w:sz w:val="44"/>
    </w:rPr>
  </w:style>
  <w:style w:type="paragraph" w:customStyle="1" w:styleId="189">
    <w:name w:val="默认段落字体 Para Char"/>
    <w:basedOn w:val="1"/>
    <w:next w:val="1"/>
    <w:autoRedefine/>
    <w:qFormat/>
    <w:uiPriority w:val="0"/>
    <w:pPr>
      <w:spacing w:line="360" w:lineRule="auto"/>
      <w:ind w:firstLine="200" w:firstLineChars="200"/>
    </w:pPr>
    <w:rPr>
      <w:sz w:val="28"/>
      <w:szCs w:val="20"/>
    </w:rPr>
  </w:style>
  <w:style w:type="paragraph" w:customStyle="1" w:styleId="190">
    <w:name w:val="表内容"/>
    <w:basedOn w:val="179"/>
    <w:link w:val="191"/>
    <w:autoRedefine/>
    <w:qFormat/>
    <w:uiPriority w:val="0"/>
    <w:pPr>
      <w:adjustRightInd w:val="0"/>
      <w:snapToGrid w:val="0"/>
      <w:spacing w:line="240" w:lineRule="atLeast"/>
      <w:ind w:left="-105" w:leftChars="-56" w:right="-107" w:rightChars="-51" w:hanging="13" w:hangingChars="6"/>
      <w:jc w:val="center"/>
    </w:pPr>
    <w:rPr>
      <w:b w:val="0"/>
      <w:bCs/>
      <w:kern w:val="0"/>
      <w:sz w:val="21"/>
      <w:szCs w:val="21"/>
    </w:rPr>
  </w:style>
  <w:style w:type="character" w:customStyle="1" w:styleId="191">
    <w:name w:val="表内容 Char"/>
    <w:link w:val="190"/>
    <w:autoRedefine/>
    <w:qFormat/>
    <w:locked/>
    <w:uiPriority w:val="0"/>
    <w:rPr>
      <w:bCs/>
      <w:sz w:val="21"/>
      <w:szCs w:val="21"/>
    </w:rPr>
  </w:style>
  <w:style w:type="paragraph" w:customStyle="1" w:styleId="192">
    <w:name w:val="表1.1-1 Char Char Char Char"/>
    <w:basedOn w:val="179"/>
    <w:autoRedefine/>
    <w:qFormat/>
    <w:uiPriority w:val="0"/>
    <w:pPr>
      <w:adjustRightInd w:val="0"/>
      <w:snapToGrid w:val="0"/>
      <w:spacing w:line="240" w:lineRule="auto"/>
      <w:ind w:firstLine="0" w:firstLineChars="0"/>
      <w:jc w:val="center"/>
    </w:pPr>
    <w:rPr>
      <w:rFonts w:ascii="宋体" w:hAnsi="宋体"/>
      <w:b w:val="0"/>
      <w:bCs/>
      <w:snapToGrid w:val="0"/>
      <w:kern w:val="0"/>
    </w:rPr>
  </w:style>
  <w:style w:type="paragraph" w:customStyle="1" w:styleId="193">
    <w:name w:val="表头 Char Char Char"/>
    <w:basedOn w:val="179"/>
    <w:link w:val="194"/>
    <w:autoRedefine/>
    <w:qFormat/>
    <w:uiPriority w:val="0"/>
    <w:pPr>
      <w:adjustRightInd w:val="0"/>
      <w:snapToGrid w:val="0"/>
      <w:spacing w:beforeLines="50" w:line="240" w:lineRule="auto"/>
      <w:ind w:firstLine="0" w:firstLineChars="0"/>
      <w:jc w:val="center"/>
    </w:pPr>
  </w:style>
  <w:style w:type="character" w:customStyle="1" w:styleId="194">
    <w:name w:val="表头 Char Char Char Char"/>
    <w:basedOn w:val="49"/>
    <w:link w:val="193"/>
    <w:autoRedefine/>
    <w:qFormat/>
    <w:uiPriority w:val="0"/>
    <w:rPr>
      <w:b/>
      <w:kern w:val="2"/>
      <w:sz w:val="24"/>
      <w:szCs w:val="24"/>
    </w:rPr>
  </w:style>
  <w:style w:type="paragraph" w:customStyle="1" w:styleId="195">
    <w:name w:val="Char Char Char Char Char Char Char Char Char Char Char Char Char Char Char Char"/>
    <w:basedOn w:val="1"/>
    <w:autoRedefine/>
    <w:qFormat/>
    <w:uiPriority w:val="0"/>
    <w:pPr>
      <w:spacing w:line="560" w:lineRule="exact"/>
      <w:ind w:firstLine="200" w:firstLineChars="200"/>
    </w:pPr>
    <w:rPr>
      <w:rFonts w:ascii="宋体" w:hAnsi="宋体" w:cs="宋体"/>
      <w:sz w:val="28"/>
      <w:szCs w:val="28"/>
    </w:rPr>
  </w:style>
  <w:style w:type="paragraph" w:styleId="196">
    <w:name w:val="List Paragraph"/>
    <w:basedOn w:val="1"/>
    <w:autoRedefine/>
    <w:qFormat/>
    <w:uiPriority w:val="0"/>
    <w:pPr>
      <w:widowControl/>
      <w:spacing w:line="480" w:lineRule="exact"/>
      <w:ind w:firstLine="420" w:firstLineChars="200"/>
      <w:jc w:val="left"/>
    </w:pPr>
    <w:rPr>
      <w:szCs w:val="20"/>
    </w:rPr>
  </w:style>
  <w:style w:type="paragraph" w:customStyle="1" w:styleId="197">
    <w:name w:val="Char4"/>
    <w:basedOn w:val="1"/>
    <w:autoRedefine/>
    <w:qFormat/>
    <w:uiPriority w:val="0"/>
    <w:pPr>
      <w:spacing w:line="360" w:lineRule="auto"/>
      <w:ind w:firstLine="200" w:firstLineChars="200"/>
    </w:pPr>
    <w:rPr>
      <w:rFonts w:ascii="宋体" w:hAnsi="宋体" w:cs="宋体"/>
      <w:sz w:val="24"/>
    </w:rPr>
  </w:style>
  <w:style w:type="character" w:customStyle="1" w:styleId="198">
    <w:name w:val="123 Char Char Char Char"/>
    <w:basedOn w:val="49"/>
    <w:autoRedefine/>
    <w:qFormat/>
    <w:uiPriority w:val="0"/>
    <w:rPr>
      <w:rFonts w:ascii="宋体" w:hAnsi="宋体" w:eastAsia="宋体" w:cs="宋体"/>
      <w:b/>
      <w:spacing w:val="20"/>
      <w:kern w:val="2"/>
      <w:sz w:val="28"/>
      <w:szCs w:val="28"/>
      <w:lang w:val="en-US" w:eastAsia="zh-CN" w:bidi="ar-SA"/>
    </w:rPr>
  </w:style>
  <w:style w:type="paragraph" w:customStyle="1" w:styleId="199">
    <w:name w:val="正文样式2"/>
    <w:basedOn w:val="1"/>
    <w:autoRedefine/>
    <w:qFormat/>
    <w:uiPriority w:val="0"/>
    <w:pPr>
      <w:spacing w:line="560" w:lineRule="exact"/>
      <w:ind w:firstLine="601"/>
    </w:pPr>
    <w:rPr>
      <w:sz w:val="28"/>
      <w:szCs w:val="20"/>
    </w:rPr>
  </w:style>
  <w:style w:type="paragraph" w:customStyle="1" w:styleId="200">
    <w:name w:val="123 Char Char Char Char Char"/>
    <w:basedOn w:val="1"/>
    <w:autoRedefine/>
    <w:qFormat/>
    <w:uiPriority w:val="0"/>
    <w:pPr>
      <w:widowControl/>
      <w:autoSpaceDE w:val="0"/>
      <w:autoSpaceDN w:val="0"/>
      <w:spacing w:line="360" w:lineRule="auto"/>
      <w:ind w:firstLine="200" w:firstLineChars="200"/>
      <w:jc w:val="left"/>
      <w:textAlignment w:val="bottom"/>
    </w:pPr>
    <w:rPr>
      <w:rFonts w:ascii="宋体" w:hAnsi="宋体" w:cs="宋体"/>
      <w:b/>
      <w:spacing w:val="20"/>
      <w:sz w:val="28"/>
      <w:szCs w:val="28"/>
    </w:rPr>
  </w:style>
  <w:style w:type="paragraph" w:customStyle="1" w:styleId="201">
    <w:name w:val="xl28"/>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b/>
      <w:bCs/>
      <w:kern w:val="0"/>
      <w:szCs w:val="21"/>
    </w:rPr>
  </w:style>
  <w:style w:type="paragraph" w:customStyle="1" w:styleId="202">
    <w:name w:val="3级标题"/>
    <w:next w:val="1"/>
    <w:link w:val="203"/>
    <w:autoRedefine/>
    <w:qFormat/>
    <w:uiPriority w:val="0"/>
    <w:pPr>
      <w:spacing w:before="120" w:after="60"/>
      <w:ind w:firstLine="200" w:firstLineChars="200"/>
      <w:outlineLvl w:val="2"/>
    </w:pPr>
    <w:rPr>
      <w:rFonts w:ascii="Arial" w:hAnsi="Arial" w:eastAsia="黑体" w:cs="Times New Roman"/>
      <w:kern w:val="2"/>
      <w:sz w:val="24"/>
      <w:szCs w:val="24"/>
      <w:lang w:val="en-US" w:eastAsia="zh-CN" w:bidi="ar-SA"/>
    </w:rPr>
  </w:style>
  <w:style w:type="character" w:customStyle="1" w:styleId="203">
    <w:name w:val="3级标题 Char"/>
    <w:basedOn w:val="49"/>
    <w:link w:val="202"/>
    <w:autoRedefine/>
    <w:qFormat/>
    <w:uiPriority w:val="0"/>
    <w:rPr>
      <w:rFonts w:ascii="Arial" w:hAnsi="Arial" w:eastAsia="黑体"/>
      <w:kern w:val="2"/>
      <w:sz w:val="24"/>
      <w:szCs w:val="24"/>
      <w:lang w:val="en-US" w:eastAsia="zh-CN" w:bidi="ar-SA"/>
    </w:rPr>
  </w:style>
  <w:style w:type="paragraph" w:customStyle="1" w:styleId="204">
    <w:name w:val="Char21"/>
    <w:basedOn w:val="1"/>
    <w:autoRedefine/>
    <w:qFormat/>
    <w:uiPriority w:val="0"/>
    <w:pPr>
      <w:spacing w:line="360" w:lineRule="auto"/>
      <w:ind w:firstLine="200" w:firstLineChars="200"/>
    </w:pPr>
  </w:style>
  <w:style w:type="paragraph" w:customStyle="1" w:styleId="205">
    <w:name w:val="正文段落"/>
    <w:basedOn w:val="1"/>
    <w:autoRedefine/>
    <w:qFormat/>
    <w:uiPriority w:val="0"/>
    <w:pPr>
      <w:topLinePunct/>
      <w:autoSpaceDN w:val="0"/>
      <w:adjustRightInd w:val="0"/>
      <w:spacing w:line="500" w:lineRule="exact"/>
      <w:ind w:firstLine="480" w:firstLineChars="200"/>
      <w:jc w:val="center"/>
      <w:textAlignment w:val="baseline"/>
    </w:pPr>
    <w:rPr>
      <w:rFonts w:ascii="宋体" w:hAnsi="Arial"/>
      <w:kern w:val="0"/>
      <w:sz w:val="24"/>
    </w:rPr>
  </w:style>
  <w:style w:type="paragraph" w:customStyle="1" w:styleId="206">
    <w:name w:val="样式 小四 加粗 行距: 固定值 22 磅"/>
    <w:basedOn w:val="1"/>
    <w:autoRedefine/>
    <w:qFormat/>
    <w:uiPriority w:val="0"/>
    <w:pPr>
      <w:spacing w:line="480" w:lineRule="exact"/>
      <w:ind w:firstLine="200" w:firstLineChars="200"/>
    </w:pPr>
    <w:rPr>
      <w:rFonts w:cs="宋体"/>
      <w:bCs/>
      <w:spacing w:val="4"/>
      <w:sz w:val="24"/>
      <w:szCs w:val="20"/>
    </w:rPr>
  </w:style>
  <w:style w:type="paragraph" w:customStyle="1" w:styleId="207">
    <w:name w:val="样式 正文文本缩进正文文字缩进 + 首行缩进:  0.85 厘米 段后: 0 磅 行距: 固定值 22 磅"/>
    <w:basedOn w:val="19"/>
    <w:autoRedefine/>
    <w:qFormat/>
    <w:uiPriority w:val="0"/>
    <w:pPr>
      <w:spacing w:after="0" w:line="480" w:lineRule="exact"/>
      <w:ind w:left="0" w:leftChars="0" w:firstLine="200" w:firstLineChars="200"/>
    </w:pPr>
    <w:rPr>
      <w:rFonts w:cs="宋体"/>
      <w:kern w:val="2"/>
    </w:rPr>
  </w:style>
  <w:style w:type="character" w:customStyle="1" w:styleId="208">
    <w:name w:val="Char Char9"/>
    <w:autoRedefine/>
    <w:qFormat/>
    <w:uiPriority w:val="0"/>
    <w:rPr>
      <w:rFonts w:eastAsia="宋体"/>
      <w:kern w:val="2"/>
      <w:sz w:val="18"/>
      <w:szCs w:val="18"/>
      <w:lang w:val="en-US" w:eastAsia="zh-CN" w:bidi="ar-SA"/>
    </w:rPr>
  </w:style>
  <w:style w:type="character" w:customStyle="1" w:styleId="209">
    <w:name w:val="样式首行缩进:2 字符 Char"/>
    <w:link w:val="210"/>
    <w:autoRedefine/>
    <w:qFormat/>
    <w:locked/>
    <w:uiPriority w:val="0"/>
    <w:rPr>
      <w:kern w:val="2"/>
      <w:sz w:val="24"/>
    </w:rPr>
  </w:style>
  <w:style w:type="paragraph" w:customStyle="1" w:styleId="210">
    <w:name w:val="样式首行缩进:2 字符"/>
    <w:basedOn w:val="1"/>
    <w:link w:val="209"/>
    <w:autoRedefine/>
    <w:qFormat/>
    <w:uiPriority w:val="0"/>
    <w:pPr>
      <w:spacing w:line="560" w:lineRule="exact"/>
      <w:ind w:firstLine="480" w:firstLineChars="200"/>
    </w:pPr>
    <w:rPr>
      <w:sz w:val="24"/>
      <w:szCs w:val="20"/>
    </w:rPr>
  </w:style>
  <w:style w:type="paragraph" w:customStyle="1" w:styleId="211">
    <w:name w:val="11"/>
    <w:basedOn w:val="1"/>
    <w:autoRedefine/>
    <w:qFormat/>
    <w:uiPriority w:val="0"/>
    <w:pPr>
      <w:spacing w:line="500" w:lineRule="exact"/>
      <w:ind w:firstLine="705"/>
    </w:pPr>
    <w:rPr>
      <w:rFonts w:ascii="楷体_GB2312" w:hAnsi="宋体" w:eastAsia="楷体_GB2312"/>
      <w:b/>
      <w:bCs/>
      <w:sz w:val="28"/>
    </w:rPr>
  </w:style>
  <w:style w:type="paragraph" w:customStyle="1" w:styleId="212">
    <w:name w:val="样式 行距: 固定值 22 磅"/>
    <w:basedOn w:val="1"/>
    <w:autoRedefine/>
    <w:qFormat/>
    <w:uiPriority w:val="0"/>
    <w:pPr>
      <w:spacing w:line="480" w:lineRule="exact"/>
      <w:ind w:firstLine="200" w:firstLineChars="200"/>
    </w:pPr>
    <w:rPr>
      <w:rFonts w:cs="宋体"/>
      <w:kern w:val="0"/>
      <w:sz w:val="24"/>
      <w:szCs w:val="20"/>
    </w:rPr>
  </w:style>
  <w:style w:type="paragraph" w:customStyle="1" w:styleId="213">
    <w:name w:val="普通 (Web)"/>
    <w:basedOn w:val="1"/>
    <w:autoRedefine/>
    <w:qFormat/>
    <w:uiPriority w:val="0"/>
    <w:pPr>
      <w:widowControl/>
      <w:spacing w:before="100" w:after="100"/>
      <w:jc w:val="left"/>
    </w:pPr>
    <w:rPr>
      <w:rFonts w:ascii="宋体" w:hAnsi="宋体"/>
      <w:kern w:val="0"/>
      <w:sz w:val="24"/>
      <w:szCs w:val="20"/>
    </w:rPr>
  </w:style>
  <w:style w:type="paragraph" w:customStyle="1" w:styleId="214">
    <w:name w:val="首行缩进2"/>
    <w:basedOn w:val="1"/>
    <w:autoRedefine/>
    <w:qFormat/>
    <w:uiPriority w:val="0"/>
    <w:pPr>
      <w:spacing w:line="360" w:lineRule="auto"/>
      <w:ind w:firstLine="482"/>
    </w:pPr>
    <w:rPr>
      <w:sz w:val="24"/>
    </w:rPr>
  </w:style>
  <w:style w:type="paragraph" w:customStyle="1" w:styleId="215">
    <w:name w:val="Default"/>
    <w:basedOn w:val="216"/>
    <w:next w:val="24"/>
    <w:link w:val="217"/>
    <w:autoRedefine/>
    <w:qFormat/>
    <w:uiPriority w:val="0"/>
    <w:pPr>
      <w:widowControl w:val="0"/>
      <w:autoSpaceDE w:val="0"/>
      <w:autoSpaceDN w:val="0"/>
      <w:adjustRightInd w:val="0"/>
    </w:pPr>
    <w:rPr>
      <w:rFonts w:ascii="宋体" w:hAnsi="Times New Roman" w:eastAsia="宋体" w:cs="Times New Roman"/>
      <w:color w:val="000000"/>
      <w:sz w:val="24"/>
      <w:szCs w:val="24"/>
      <w:lang w:val="en-US" w:eastAsia="zh-CN" w:bidi="ar-SA"/>
    </w:rPr>
  </w:style>
  <w:style w:type="paragraph" w:customStyle="1" w:styleId="216">
    <w:name w:val="纯文本1"/>
    <w:basedOn w:val="1"/>
    <w:qFormat/>
    <w:uiPriority w:val="0"/>
    <w:pPr>
      <w:adjustRightInd w:val="0"/>
    </w:pPr>
    <w:rPr>
      <w:rFonts w:hAnsi="Courier New"/>
      <w:szCs w:val="20"/>
    </w:rPr>
  </w:style>
  <w:style w:type="character" w:customStyle="1" w:styleId="217">
    <w:name w:val="Default Char Char"/>
    <w:link w:val="215"/>
    <w:autoRedefine/>
    <w:qFormat/>
    <w:locked/>
    <w:uiPriority w:val="0"/>
    <w:rPr>
      <w:rFonts w:ascii="宋体"/>
      <w:color w:val="000000"/>
      <w:sz w:val="24"/>
      <w:szCs w:val="24"/>
      <w:lang w:bidi="ar-SA"/>
    </w:rPr>
  </w:style>
  <w:style w:type="paragraph" w:customStyle="1" w:styleId="218">
    <w:name w:val="p0"/>
    <w:basedOn w:val="1"/>
    <w:autoRedefine/>
    <w:qFormat/>
    <w:uiPriority w:val="0"/>
    <w:pPr>
      <w:widowControl/>
      <w:ind w:firstLine="420"/>
      <w:jc w:val="left"/>
    </w:pPr>
    <w:rPr>
      <w:kern w:val="0"/>
      <w:sz w:val="20"/>
      <w:szCs w:val="20"/>
    </w:rPr>
  </w:style>
  <w:style w:type="paragraph" w:customStyle="1" w:styleId="219">
    <w:name w:val="环评正文"/>
    <w:basedOn w:val="1"/>
    <w:autoRedefine/>
    <w:qFormat/>
    <w:uiPriority w:val="0"/>
    <w:pPr>
      <w:spacing w:beforeLines="30"/>
      <w:ind w:firstLine="480" w:firstLineChars="200"/>
    </w:pPr>
    <w:rPr>
      <w:rFonts w:ascii="Tahoma" w:hAnsi="Tahoma" w:cs="Tahoma"/>
      <w:kern w:val="0"/>
      <w:sz w:val="24"/>
      <w:szCs w:val="20"/>
    </w:rPr>
  </w:style>
  <w:style w:type="paragraph" w:customStyle="1" w:styleId="220">
    <w:name w:val="表体"/>
    <w:basedOn w:val="1"/>
    <w:autoRedefine/>
    <w:qFormat/>
    <w:uiPriority w:val="99"/>
    <w:pPr>
      <w:widowControl/>
      <w:snapToGrid w:val="0"/>
      <w:spacing w:line="240" w:lineRule="atLeast"/>
      <w:jc w:val="center"/>
    </w:pPr>
    <w:rPr>
      <w:rFonts w:eastAsia="仿宋_GB2312"/>
      <w:kern w:val="0"/>
      <w:sz w:val="24"/>
      <w:szCs w:val="20"/>
    </w:rPr>
  </w:style>
  <w:style w:type="character" w:customStyle="1" w:styleId="221">
    <w:name w:val="正文2 Char Char"/>
    <w:link w:val="222"/>
    <w:autoRedefine/>
    <w:qFormat/>
    <w:uiPriority w:val="0"/>
    <w:rPr>
      <w:sz w:val="24"/>
    </w:rPr>
  </w:style>
  <w:style w:type="paragraph" w:customStyle="1" w:styleId="222">
    <w:name w:val="正文2"/>
    <w:basedOn w:val="1"/>
    <w:link w:val="221"/>
    <w:autoRedefine/>
    <w:qFormat/>
    <w:uiPriority w:val="0"/>
    <w:pPr>
      <w:spacing w:beforeLines="50" w:line="360" w:lineRule="auto"/>
      <w:ind w:firstLine="560" w:firstLineChars="200"/>
    </w:pPr>
    <w:rPr>
      <w:kern w:val="0"/>
      <w:sz w:val="24"/>
      <w:szCs w:val="20"/>
    </w:rPr>
  </w:style>
  <w:style w:type="paragraph" w:customStyle="1" w:styleId="223">
    <w:name w:val="Table Paragraph"/>
    <w:basedOn w:val="1"/>
    <w:autoRedefine/>
    <w:qFormat/>
    <w:uiPriority w:val="1"/>
    <w:pPr>
      <w:autoSpaceDE w:val="0"/>
      <w:autoSpaceDN w:val="0"/>
      <w:adjustRightInd w:val="0"/>
      <w:jc w:val="left"/>
    </w:pPr>
    <w:rPr>
      <w:kern w:val="0"/>
      <w:sz w:val="24"/>
    </w:rPr>
  </w:style>
  <w:style w:type="character" w:customStyle="1" w:styleId="224">
    <w:name w:val="纯文本 字符"/>
    <w:autoRedefine/>
    <w:qFormat/>
    <w:uiPriority w:val="0"/>
    <w:rPr>
      <w:rFonts w:ascii="宋体" w:hAnsi="Courier New" w:eastAsia="宋体"/>
      <w:kern w:val="2"/>
      <w:sz w:val="21"/>
      <w:lang w:val="en-US" w:eastAsia="zh-CN" w:bidi="ar-SA"/>
    </w:rPr>
  </w:style>
  <w:style w:type="character" w:customStyle="1" w:styleId="225">
    <w:name w:val="正文缩进 字符"/>
    <w:autoRedefine/>
    <w:qFormat/>
    <w:uiPriority w:val="0"/>
    <w:rPr>
      <w:rFonts w:ascii="宋体" w:hAnsi="宋体" w:eastAsia="宋体"/>
      <w:kern w:val="2"/>
      <w:sz w:val="28"/>
      <w:szCs w:val="24"/>
      <w:lang w:val="en-US" w:eastAsia="zh-CN" w:bidi="ar-SA"/>
    </w:rPr>
  </w:style>
  <w:style w:type="paragraph" w:customStyle="1" w:styleId="226">
    <w:name w:val="表格文字 16磅"/>
    <w:basedOn w:val="24"/>
    <w:next w:val="1"/>
    <w:autoRedefine/>
    <w:qFormat/>
    <w:uiPriority w:val="0"/>
    <w:pPr>
      <w:adjustRightInd w:val="0"/>
      <w:snapToGrid w:val="0"/>
      <w:spacing w:line="400" w:lineRule="exact"/>
      <w:jc w:val="center"/>
      <w:textAlignment w:val="baseline"/>
    </w:pPr>
    <w:rPr>
      <w:rFonts w:ascii="Times New Roman" w:hAnsi="Times New Roman"/>
      <w:color w:val="0000FF"/>
      <w:kern w:val="21"/>
      <w:szCs w:val="21"/>
    </w:rPr>
  </w:style>
  <w:style w:type="character" w:customStyle="1" w:styleId="227">
    <w:name w:val="正文段 Char"/>
    <w:link w:val="228"/>
    <w:autoRedefine/>
    <w:qFormat/>
    <w:uiPriority w:val="0"/>
    <w:rPr>
      <w:rFonts w:ascii="仿宋_GB2312" w:eastAsia="仿宋_GB2312"/>
      <w:color w:val="000000"/>
      <w:kern w:val="2"/>
      <w:sz w:val="28"/>
      <w:szCs w:val="28"/>
    </w:rPr>
  </w:style>
  <w:style w:type="paragraph" w:customStyle="1" w:styleId="228">
    <w:name w:val="正文段"/>
    <w:basedOn w:val="1"/>
    <w:link w:val="227"/>
    <w:autoRedefine/>
    <w:qFormat/>
    <w:uiPriority w:val="0"/>
    <w:pPr>
      <w:spacing w:line="360" w:lineRule="auto"/>
      <w:ind w:firstLine="200" w:firstLineChars="200"/>
    </w:pPr>
    <w:rPr>
      <w:rFonts w:ascii="仿宋_GB2312" w:eastAsia="仿宋_GB2312"/>
      <w:color w:val="000000"/>
      <w:sz w:val="28"/>
      <w:szCs w:val="28"/>
    </w:rPr>
  </w:style>
  <w:style w:type="paragraph" w:customStyle="1" w:styleId="229">
    <w:name w:val="li 表头文字"/>
    <w:link w:val="230"/>
    <w:autoRedefine/>
    <w:qFormat/>
    <w:uiPriority w:val="0"/>
    <w:pPr>
      <w:spacing w:line="460" w:lineRule="exact"/>
      <w:jc w:val="center"/>
    </w:pPr>
    <w:rPr>
      <w:rFonts w:ascii="宋体" w:hAnsi="宋体" w:eastAsia="宋体" w:cs="Times New Roman"/>
      <w:b/>
      <w:spacing w:val="4"/>
      <w:kern w:val="2"/>
      <w:sz w:val="21"/>
      <w:szCs w:val="21"/>
      <w:lang w:val="en-US" w:eastAsia="zh-CN" w:bidi="ar-SA"/>
    </w:rPr>
  </w:style>
  <w:style w:type="character" w:customStyle="1" w:styleId="230">
    <w:name w:val="li 表头文字 Char"/>
    <w:link w:val="229"/>
    <w:autoRedefine/>
    <w:qFormat/>
    <w:uiPriority w:val="0"/>
    <w:rPr>
      <w:rFonts w:ascii="宋体" w:hAnsi="宋体"/>
      <w:b/>
      <w:spacing w:val="4"/>
      <w:kern w:val="2"/>
      <w:sz w:val="21"/>
      <w:szCs w:val="21"/>
      <w:lang w:bidi="ar-SA"/>
    </w:rPr>
  </w:style>
  <w:style w:type="character" w:customStyle="1" w:styleId="231">
    <w:name w:val="新正文 字符"/>
    <w:link w:val="232"/>
    <w:autoRedefine/>
    <w:qFormat/>
    <w:uiPriority w:val="0"/>
    <w:rPr>
      <w:color w:val="000000"/>
      <w:sz w:val="24"/>
      <w:szCs w:val="24"/>
    </w:rPr>
  </w:style>
  <w:style w:type="paragraph" w:customStyle="1" w:styleId="232">
    <w:name w:val="新正文"/>
    <w:basedOn w:val="1"/>
    <w:link w:val="231"/>
    <w:autoRedefine/>
    <w:qFormat/>
    <w:uiPriority w:val="0"/>
    <w:pPr>
      <w:widowControl/>
      <w:adjustRightInd w:val="0"/>
      <w:snapToGrid w:val="0"/>
      <w:spacing w:line="480" w:lineRule="exact"/>
      <w:ind w:firstLine="480" w:firstLineChars="200"/>
      <w:jc w:val="left"/>
    </w:pPr>
    <w:rPr>
      <w:color w:val="000000"/>
      <w:kern w:val="0"/>
      <w:sz w:val="24"/>
    </w:rPr>
  </w:style>
  <w:style w:type="character" w:customStyle="1" w:styleId="233">
    <w:name w:val="页眉 Char Char"/>
    <w:autoRedefine/>
    <w:qFormat/>
    <w:uiPriority w:val="0"/>
    <w:rPr>
      <w:kern w:val="2"/>
      <w:sz w:val="18"/>
    </w:rPr>
  </w:style>
  <w:style w:type="paragraph" w:customStyle="1" w:styleId="234">
    <w:name w:val="正文缩进 New"/>
    <w:basedOn w:val="1"/>
    <w:autoRedefine/>
    <w:qFormat/>
    <w:uiPriority w:val="0"/>
    <w:pPr>
      <w:ind w:firstLine="420" w:firstLineChars="200"/>
    </w:pPr>
    <w:rPr>
      <w:szCs w:val="20"/>
    </w:rPr>
  </w:style>
  <w:style w:type="character" w:customStyle="1" w:styleId="235">
    <w:name w:val="正文1 Char Char"/>
    <w:autoRedefine/>
    <w:qFormat/>
    <w:uiPriority w:val="0"/>
    <w:rPr>
      <w:rFonts w:ascii="宋体" w:hAnsi="宋体" w:eastAsia="宋体" w:cs="宋体"/>
      <w:kern w:val="2"/>
      <w:sz w:val="28"/>
      <w:szCs w:val="28"/>
      <w:lang w:val="en-US" w:eastAsia="zh-CN" w:bidi="ar-SA"/>
    </w:rPr>
  </w:style>
  <w:style w:type="character" w:customStyle="1" w:styleId="236">
    <w:name w:val="李表头常用格式 字符"/>
    <w:link w:val="237"/>
    <w:autoRedefine/>
    <w:qFormat/>
    <w:uiPriority w:val="0"/>
    <w:rPr>
      <w:rFonts w:eastAsia="黑体"/>
      <w:color w:val="000000"/>
      <w:kern w:val="2"/>
      <w:sz w:val="21"/>
      <w:szCs w:val="21"/>
    </w:rPr>
  </w:style>
  <w:style w:type="paragraph" w:customStyle="1" w:styleId="237">
    <w:name w:val="李表头常用格式"/>
    <w:basedOn w:val="22"/>
    <w:link w:val="236"/>
    <w:autoRedefine/>
    <w:qFormat/>
    <w:uiPriority w:val="0"/>
    <w:pPr>
      <w:snapToGrid w:val="0"/>
      <w:spacing w:before="0" w:line="320" w:lineRule="exact"/>
      <w:ind w:left="0" w:right="0"/>
      <w:jc w:val="center"/>
    </w:pPr>
    <w:rPr>
      <w:rFonts w:eastAsia="黑体"/>
      <w:color w:val="000000"/>
      <w:szCs w:val="21"/>
    </w:rPr>
  </w:style>
  <w:style w:type="character" w:customStyle="1" w:styleId="238">
    <w:name w:val="表中 Char"/>
    <w:link w:val="239"/>
    <w:autoRedefine/>
    <w:qFormat/>
    <w:uiPriority w:val="0"/>
    <w:rPr>
      <w:kern w:val="2"/>
      <w:sz w:val="21"/>
      <w:szCs w:val="21"/>
      <w:lang w:val="de-DE"/>
    </w:rPr>
  </w:style>
  <w:style w:type="paragraph" w:customStyle="1" w:styleId="239">
    <w:name w:val="表中"/>
    <w:basedOn w:val="1"/>
    <w:link w:val="238"/>
    <w:autoRedefine/>
    <w:qFormat/>
    <w:uiPriority w:val="0"/>
    <w:pPr>
      <w:spacing w:line="360" w:lineRule="exact"/>
      <w:jc w:val="center"/>
    </w:pPr>
    <w:rPr>
      <w:szCs w:val="21"/>
      <w:lang w:val="de-DE"/>
    </w:rPr>
  </w:style>
  <w:style w:type="character" w:customStyle="1" w:styleId="240">
    <w:name w:val="3级节标题 字符"/>
    <w:link w:val="241"/>
    <w:autoRedefine/>
    <w:qFormat/>
    <w:uiPriority w:val="0"/>
    <w:rPr>
      <w:b/>
      <w:kern w:val="2"/>
      <w:sz w:val="28"/>
      <w:szCs w:val="24"/>
    </w:rPr>
  </w:style>
  <w:style w:type="paragraph" w:customStyle="1" w:styleId="241">
    <w:name w:val="3级节标题"/>
    <w:basedOn w:val="1"/>
    <w:link w:val="240"/>
    <w:autoRedefine/>
    <w:qFormat/>
    <w:uiPriority w:val="0"/>
    <w:pPr>
      <w:spacing w:line="560" w:lineRule="exact"/>
      <w:ind w:firstLine="200" w:firstLineChars="200"/>
      <w:outlineLvl w:val="2"/>
    </w:pPr>
    <w:rPr>
      <w:b/>
      <w:sz w:val="28"/>
    </w:rPr>
  </w:style>
  <w:style w:type="paragraph" w:customStyle="1" w:styleId="242">
    <w:name w:val="正文01"/>
    <w:basedOn w:val="1"/>
    <w:autoRedefine/>
    <w:qFormat/>
    <w:uiPriority w:val="0"/>
    <w:pPr>
      <w:spacing w:before="60" w:line="460" w:lineRule="exact"/>
      <w:ind w:firstLine="200" w:firstLineChars="200"/>
    </w:pPr>
    <w:rPr>
      <w:rFonts w:ascii="Arial" w:hAnsi="Arial"/>
      <w:kern w:val="0"/>
      <w:sz w:val="24"/>
    </w:rPr>
  </w:style>
  <w:style w:type="character" w:customStyle="1" w:styleId="243">
    <w:name w:val="表格文字2 Char Char"/>
    <w:link w:val="244"/>
    <w:autoRedefine/>
    <w:qFormat/>
    <w:uiPriority w:val="0"/>
    <w:rPr>
      <w:rFonts w:ascii="宋体"/>
      <w:sz w:val="24"/>
    </w:rPr>
  </w:style>
  <w:style w:type="paragraph" w:customStyle="1" w:styleId="244">
    <w:name w:val="表格文字2"/>
    <w:basedOn w:val="1"/>
    <w:link w:val="243"/>
    <w:autoRedefine/>
    <w:qFormat/>
    <w:uiPriority w:val="0"/>
    <w:pPr>
      <w:adjustRightInd w:val="0"/>
      <w:spacing w:before="60"/>
      <w:jc w:val="center"/>
      <w:textAlignment w:val="baseline"/>
    </w:pPr>
    <w:rPr>
      <w:rFonts w:ascii="宋体"/>
      <w:kern w:val="0"/>
      <w:sz w:val="24"/>
      <w:szCs w:val="20"/>
    </w:rPr>
  </w:style>
  <w:style w:type="character" w:customStyle="1" w:styleId="245">
    <w:name w:val="large1"/>
    <w:autoRedefine/>
    <w:qFormat/>
    <w:uiPriority w:val="0"/>
    <w:rPr>
      <w:rFonts w:hint="eastAsia" w:ascii="宋体" w:hAnsi="宋体" w:eastAsia="宋体"/>
      <w:sz w:val="22"/>
    </w:rPr>
  </w:style>
  <w:style w:type="character" w:customStyle="1" w:styleId="246">
    <w:name w:val="blue"/>
    <w:basedOn w:val="49"/>
    <w:autoRedefine/>
    <w:qFormat/>
    <w:uiPriority w:val="0"/>
  </w:style>
  <w:style w:type="character" w:customStyle="1" w:styleId="247">
    <w:name w:val="页脚 Char Char"/>
    <w:autoRedefine/>
    <w:qFormat/>
    <w:uiPriority w:val="0"/>
    <w:rPr>
      <w:kern w:val="2"/>
      <w:sz w:val="18"/>
    </w:rPr>
  </w:style>
  <w:style w:type="character" w:customStyle="1" w:styleId="248">
    <w:name w:val="正文小四 Char Char"/>
    <w:link w:val="249"/>
    <w:autoRedefine/>
    <w:qFormat/>
    <w:uiPriority w:val="0"/>
    <w:rPr>
      <w:kern w:val="2"/>
      <w:sz w:val="24"/>
    </w:rPr>
  </w:style>
  <w:style w:type="paragraph" w:customStyle="1" w:styleId="249">
    <w:name w:val="正文小四"/>
    <w:basedOn w:val="1"/>
    <w:link w:val="248"/>
    <w:autoRedefine/>
    <w:qFormat/>
    <w:uiPriority w:val="0"/>
    <w:pPr>
      <w:spacing w:line="360" w:lineRule="auto"/>
      <w:ind w:firstLine="200" w:firstLineChars="200"/>
      <w:jc w:val="left"/>
    </w:pPr>
    <w:rPr>
      <w:sz w:val="24"/>
      <w:szCs w:val="20"/>
    </w:rPr>
  </w:style>
  <w:style w:type="character" w:customStyle="1" w:styleId="250">
    <w:name w:val="l17-z105"/>
    <w:basedOn w:val="49"/>
    <w:autoRedefine/>
    <w:qFormat/>
    <w:uiPriority w:val="0"/>
  </w:style>
  <w:style w:type="character" w:customStyle="1" w:styleId="251">
    <w:name w:val="标准正文 Char Char Char"/>
    <w:autoRedefine/>
    <w:qFormat/>
    <w:uiPriority w:val="0"/>
    <w:rPr>
      <w:kern w:val="2"/>
      <w:sz w:val="24"/>
      <w:szCs w:val="22"/>
    </w:rPr>
  </w:style>
  <w:style w:type="character" w:customStyle="1" w:styleId="252">
    <w:name w:val="带编号正文 Char Char"/>
    <w:basedOn w:val="135"/>
    <w:link w:val="253"/>
    <w:autoRedefine/>
    <w:qFormat/>
    <w:uiPriority w:val="0"/>
  </w:style>
  <w:style w:type="paragraph" w:customStyle="1" w:styleId="253">
    <w:name w:val="带编号正文"/>
    <w:basedOn w:val="136"/>
    <w:link w:val="252"/>
    <w:autoRedefine/>
    <w:qFormat/>
    <w:uiPriority w:val="0"/>
    <w:pPr>
      <w:ind w:left="988" w:firstLine="0" w:firstLineChars="0"/>
    </w:pPr>
  </w:style>
  <w:style w:type="character" w:customStyle="1" w:styleId="254">
    <w:name w:val="表格文字2 Char Char Char"/>
    <w:autoRedefine/>
    <w:qFormat/>
    <w:uiPriority w:val="0"/>
    <w:rPr>
      <w:rFonts w:ascii="宋体" w:hAnsi="宋体"/>
      <w:sz w:val="24"/>
    </w:rPr>
  </w:style>
  <w:style w:type="character" w:customStyle="1" w:styleId="255">
    <w:name w:val="报告书正文 Char Char"/>
    <w:link w:val="256"/>
    <w:autoRedefine/>
    <w:qFormat/>
    <w:uiPriority w:val="0"/>
    <w:rPr>
      <w:rFonts w:ascii="宋体"/>
      <w:snapToGrid w:val="0"/>
      <w:sz w:val="24"/>
    </w:rPr>
  </w:style>
  <w:style w:type="paragraph" w:customStyle="1" w:styleId="256">
    <w:name w:val="报告书正文"/>
    <w:basedOn w:val="1"/>
    <w:link w:val="255"/>
    <w:autoRedefine/>
    <w:qFormat/>
    <w:uiPriority w:val="0"/>
    <w:pPr>
      <w:adjustRightInd w:val="0"/>
      <w:snapToGrid w:val="0"/>
      <w:spacing w:line="360" w:lineRule="atLeast"/>
      <w:ind w:firstLine="425"/>
      <w:textAlignment w:val="baseline"/>
    </w:pPr>
    <w:rPr>
      <w:rFonts w:ascii="宋体"/>
      <w:snapToGrid w:val="0"/>
      <w:kern w:val="0"/>
      <w:sz w:val="24"/>
      <w:szCs w:val="20"/>
    </w:rPr>
  </w:style>
  <w:style w:type="paragraph" w:customStyle="1" w:styleId="257">
    <w:name w:val="Body Text 21"/>
    <w:basedOn w:val="1"/>
    <w:autoRedefine/>
    <w:qFormat/>
    <w:uiPriority w:val="0"/>
    <w:pPr>
      <w:autoSpaceDE w:val="0"/>
      <w:autoSpaceDN w:val="0"/>
      <w:adjustRightInd w:val="0"/>
      <w:spacing w:line="480" w:lineRule="exact"/>
      <w:ind w:firstLine="540"/>
      <w:textAlignment w:val="baseline"/>
    </w:pPr>
    <w:rPr>
      <w:rFonts w:ascii="宋体" w:hAnsi="Tms Rmn"/>
      <w:kern w:val="0"/>
      <w:sz w:val="24"/>
      <w:szCs w:val="20"/>
    </w:rPr>
  </w:style>
  <w:style w:type="paragraph" w:customStyle="1" w:styleId="258">
    <w:name w:val="主题"/>
    <w:basedOn w:val="14"/>
    <w:autoRedefine/>
    <w:qFormat/>
    <w:uiPriority w:val="0"/>
    <w:pPr>
      <w:snapToGrid w:val="0"/>
      <w:spacing w:after="120"/>
      <w:ind w:firstLine="0"/>
    </w:pPr>
    <w:rPr>
      <w:rFonts w:ascii="黑体" w:eastAsia="黑体"/>
      <w:spacing w:val="12"/>
      <w:w w:val="90"/>
      <w:sz w:val="32"/>
    </w:rPr>
  </w:style>
  <w:style w:type="paragraph" w:customStyle="1" w:styleId="259">
    <w:name w:val="注"/>
    <w:basedOn w:val="34"/>
    <w:autoRedefine/>
    <w:qFormat/>
    <w:uiPriority w:val="0"/>
    <w:pPr>
      <w:spacing w:beforeLines="50" w:afterLines="100" w:line="240" w:lineRule="exact"/>
      <w:ind w:left="0" w:firstLine="0" w:firstLineChars="0"/>
    </w:pPr>
    <w:rPr>
      <w:sz w:val="21"/>
      <w:szCs w:val="20"/>
    </w:rPr>
  </w:style>
  <w:style w:type="paragraph" w:customStyle="1" w:styleId="260">
    <w:name w:val="Char Char Char2 Char Char Char Char Char Char Char Char Char Char Char Char Char Char Char Char Char Char"/>
    <w:basedOn w:val="1"/>
    <w:autoRedefine/>
    <w:qFormat/>
    <w:uiPriority w:val="0"/>
    <w:pPr>
      <w:autoSpaceDE w:val="0"/>
      <w:autoSpaceDN w:val="0"/>
      <w:adjustRightInd w:val="0"/>
      <w:snapToGrid w:val="0"/>
      <w:spacing w:line="400" w:lineRule="atLeast"/>
      <w:jc w:val="left"/>
      <w:textAlignment w:val="baseline"/>
    </w:pPr>
    <w:rPr>
      <w:rFonts w:ascii="黑体" w:hAnsi="黑体" w:eastAsia="黑体"/>
      <w:b/>
      <w:spacing w:val="10"/>
      <w:kern w:val="0"/>
      <w:sz w:val="28"/>
      <w:szCs w:val="20"/>
    </w:rPr>
  </w:style>
  <w:style w:type="paragraph" w:customStyle="1" w:styleId="261">
    <w:name w:val="样式3"/>
    <w:basedOn w:val="31"/>
    <w:autoRedefine/>
    <w:qFormat/>
    <w:uiPriority w:val="0"/>
    <w:pPr>
      <w:pBdr>
        <w:bottom w:val="thickThinSmallGap" w:color="auto" w:sz="24" w:space="1"/>
      </w:pBdr>
      <w:jc w:val="right"/>
    </w:pPr>
    <w:rPr>
      <w:b/>
      <w:bCs/>
      <w:kern w:val="2"/>
      <w:szCs w:val="18"/>
    </w:rPr>
  </w:style>
  <w:style w:type="paragraph" w:customStyle="1" w:styleId="262">
    <w:name w:val="我的样式（正文）"/>
    <w:basedOn w:val="1"/>
    <w:autoRedefine/>
    <w:qFormat/>
    <w:uiPriority w:val="0"/>
    <w:pPr>
      <w:spacing w:line="440" w:lineRule="exact"/>
    </w:pPr>
    <w:rPr>
      <w:rFonts w:ascii="宋体"/>
      <w:sz w:val="28"/>
      <w:szCs w:val="20"/>
    </w:rPr>
  </w:style>
  <w:style w:type="character" w:customStyle="1" w:styleId="263">
    <w:name w:val="正文文本 2 Char"/>
    <w:basedOn w:val="49"/>
    <w:link w:val="38"/>
    <w:autoRedefine/>
    <w:qFormat/>
    <w:uiPriority w:val="99"/>
    <w:rPr>
      <w:b/>
      <w:kern w:val="2"/>
      <w:sz w:val="30"/>
    </w:rPr>
  </w:style>
  <w:style w:type="paragraph" w:customStyle="1" w:styleId="264">
    <w:name w:val="方正文 无编号"/>
    <w:basedOn w:val="24"/>
    <w:autoRedefine/>
    <w:qFormat/>
    <w:uiPriority w:val="0"/>
    <w:pPr>
      <w:widowControl/>
      <w:spacing w:line="640" w:lineRule="exact"/>
      <w:ind w:firstLine="200" w:firstLineChars="200"/>
    </w:pPr>
    <w:rPr>
      <w:rFonts w:ascii="仿宋_GB2312" w:eastAsia="仿宋_GB2312" w:cs="Courier New"/>
      <w:color w:val="000000"/>
      <w:kern w:val="0"/>
      <w:sz w:val="30"/>
      <w:szCs w:val="21"/>
    </w:rPr>
  </w:style>
  <w:style w:type="paragraph" w:customStyle="1" w:styleId="265">
    <w:name w:val="表文"/>
    <w:basedOn w:val="1"/>
    <w:autoRedefine/>
    <w:qFormat/>
    <w:uiPriority w:val="0"/>
    <w:pPr>
      <w:tabs>
        <w:tab w:val="left" w:pos="1021"/>
      </w:tabs>
      <w:jc w:val="left"/>
    </w:pPr>
    <w:rPr>
      <w:kern w:val="0"/>
      <w:sz w:val="24"/>
      <w:szCs w:val="20"/>
    </w:rPr>
  </w:style>
  <w:style w:type="paragraph" w:customStyle="1" w:styleId="266">
    <w:name w:val="Char Char Char1 Char Char Char Char"/>
    <w:basedOn w:val="1"/>
    <w:autoRedefine/>
    <w:qFormat/>
    <w:uiPriority w:val="0"/>
    <w:pPr>
      <w:adjustRightInd w:val="0"/>
      <w:snapToGrid w:val="0"/>
      <w:spacing w:line="360" w:lineRule="auto"/>
      <w:ind w:firstLine="200" w:firstLineChars="200"/>
    </w:pPr>
    <w:rPr>
      <w:szCs w:val="20"/>
    </w:rPr>
  </w:style>
  <w:style w:type="paragraph" w:customStyle="1" w:styleId="267">
    <w:name w:val="正文标准样式"/>
    <w:basedOn w:val="1"/>
    <w:autoRedefine/>
    <w:qFormat/>
    <w:uiPriority w:val="0"/>
    <w:pPr>
      <w:adjustRightInd w:val="0"/>
      <w:spacing w:line="300" w:lineRule="auto"/>
      <w:ind w:firstLine="482"/>
    </w:pPr>
    <w:rPr>
      <w:kern w:val="0"/>
      <w:sz w:val="24"/>
      <w:szCs w:val="20"/>
    </w:rPr>
  </w:style>
  <w:style w:type="character" w:customStyle="1" w:styleId="268">
    <w:name w:val="正文文本 3 Char"/>
    <w:basedOn w:val="49"/>
    <w:link w:val="17"/>
    <w:autoRedefine/>
    <w:qFormat/>
    <w:uiPriority w:val="0"/>
    <w:rPr>
      <w:kern w:val="2"/>
      <w:sz w:val="28"/>
    </w:rPr>
  </w:style>
  <w:style w:type="paragraph" w:customStyle="1" w:styleId="269">
    <w:name w:val="Char Char Char Char Char Char Char Char Char"/>
    <w:basedOn w:val="1"/>
    <w:autoRedefine/>
    <w:qFormat/>
    <w:uiPriority w:val="0"/>
    <w:rPr>
      <w:szCs w:val="20"/>
    </w:rPr>
  </w:style>
  <w:style w:type="paragraph" w:customStyle="1" w:styleId="270">
    <w:name w:val="标题3 Char Char Char Char"/>
    <w:basedOn w:val="1"/>
    <w:autoRedefine/>
    <w:qFormat/>
    <w:uiPriority w:val="0"/>
    <w:pPr>
      <w:spacing w:afterLines="50" w:line="560" w:lineRule="exact"/>
    </w:pPr>
    <w:rPr>
      <w:szCs w:val="20"/>
    </w:rPr>
  </w:style>
  <w:style w:type="paragraph" w:customStyle="1" w:styleId="271">
    <w:name w:val="报告表正文"/>
    <w:basedOn w:val="1"/>
    <w:autoRedefine/>
    <w:qFormat/>
    <w:uiPriority w:val="0"/>
    <w:pPr>
      <w:adjustRightInd w:val="0"/>
      <w:spacing w:line="312" w:lineRule="auto"/>
      <w:ind w:left="113" w:right="113" w:firstLine="482"/>
      <w:jc w:val="left"/>
      <w:textAlignment w:val="baseline"/>
    </w:pPr>
    <w:rPr>
      <w:kern w:val="0"/>
      <w:sz w:val="24"/>
      <w:szCs w:val="20"/>
    </w:rPr>
  </w:style>
  <w:style w:type="paragraph" w:customStyle="1" w:styleId="272">
    <w:name w:val="文件标题"/>
    <w:basedOn w:val="1"/>
    <w:autoRedefine/>
    <w:qFormat/>
    <w:uiPriority w:val="0"/>
    <w:pPr>
      <w:snapToGrid w:val="0"/>
      <w:jc w:val="center"/>
    </w:pPr>
    <w:rPr>
      <w:rFonts w:eastAsia="黑体"/>
      <w:b/>
      <w:spacing w:val="30"/>
      <w:w w:val="90"/>
      <w:sz w:val="44"/>
      <w:szCs w:val="20"/>
    </w:rPr>
  </w:style>
  <w:style w:type="paragraph" w:customStyle="1" w:styleId="273">
    <w:name w:val="表尾"/>
    <w:basedOn w:val="1"/>
    <w:autoRedefine/>
    <w:qFormat/>
    <w:uiPriority w:val="0"/>
    <w:pPr>
      <w:tabs>
        <w:tab w:val="left" w:pos="1021"/>
      </w:tabs>
      <w:spacing w:line="160" w:lineRule="exact"/>
    </w:pPr>
    <w:rPr>
      <w:sz w:val="10"/>
      <w:szCs w:val="20"/>
    </w:rPr>
  </w:style>
  <w:style w:type="paragraph" w:customStyle="1" w:styleId="274">
    <w:name w:val="样式1"/>
    <w:basedOn w:val="4"/>
    <w:next w:val="18"/>
    <w:autoRedefine/>
    <w:qFormat/>
    <w:uiPriority w:val="0"/>
    <w:pPr>
      <w:keepLines w:val="0"/>
      <w:adjustRightInd w:val="0"/>
      <w:snapToGrid w:val="0"/>
      <w:spacing w:beforeLines="0"/>
      <w:jc w:val="center"/>
      <w:outlineLvl w:val="9"/>
    </w:pPr>
    <w:rPr>
      <w:rFonts w:eastAsia="宋体"/>
      <w:bCs w:val="0"/>
      <w:color w:val="000000"/>
      <w:sz w:val="21"/>
      <w:szCs w:val="21"/>
    </w:rPr>
  </w:style>
  <w:style w:type="paragraph" w:customStyle="1" w:styleId="275">
    <w:name w:val="Char Char Char Char Char Char Char Char Char Char Char Char Char Char Char Char Char Char1 Char Char Char Char"/>
    <w:basedOn w:val="1"/>
    <w:autoRedefine/>
    <w:qFormat/>
    <w:uiPriority w:val="0"/>
    <w:rPr>
      <w:szCs w:val="20"/>
    </w:rPr>
  </w:style>
  <w:style w:type="paragraph" w:customStyle="1" w:styleId="276">
    <w:name w:val="guizs_正文"/>
    <w:basedOn w:val="1"/>
    <w:autoRedefine/>
    <w:qFormat/>
    <w:uiPriority w:val="0"/>
    <w:pPr>
      <w:ind w:firstLine="200" w:firstLineChars="200"/>
      <w:jc w:val="left"/>
    </w:pPr>
    <w:rPr>
      <w:sz w:val="28"/>
      <w:szCs w:val="20"/>
    </w:rPr>
  </w:style>
  <w:style w:type="paragraph" w:customStyle="1" w:styleId="277">
    <w:name w:val="应填表格"/>
    <w:basedOn w:val="1"/>
    <w:autoRedefine/>
    <w:qFormat/>
    <w:uiPriority w:val="0"/>
    <w:pPr>
      <w:adjustRightInd w:val="0"/>
      <w:spacing w:before="40" w:after="40"/>
      <w:jc w:val="left"/>
      <w:textAlignment w:val="baseline"/>
    </w:pPr>
    <w:rPr>
      <w:kern w:val="0"/>
      <w:sz w:val="24"/>
      <w:szCs w:val="20"/>
    </w:rPr>
  </w:style>
  <w:style w:type="paragraph" w:customStyle="1" w:styleId="278">
    <w:name w:val="节标题"/>
    <w:basedOn w:val="1"/>
    <w:next w:val="1"/>
    <w:autoRedefine/>
    <w:qFormat/>
    <w:uiPriority w:val="0"/>
    <w:pPr>
      <w:ind w:left="400" w:leftChars="200" w:hanging="200" w:hangingChars="200"/>
      <w:outlineLvl w:val="1"/>
    </w:pPr>
    <w:rPr>
      <w:rFonts w:ascii="宋体" w:hAnsi="宋体" w:eastAsia="黑体"/>
      <w:sz w:val="28"/>
      <w:szCs w:val="32"/>
    </w:rPr>
  </w:style>
  <w:style w:type="paragraph" w:customStyle="1" w:styleId="279">
    <w:name w:val="a"/>
    <w:basedOn w:val="1"/>
    <w:autoRedefine/>
    <w:qFormat/>
    <w:uiPriority w:val="0"/>
    <w:pPr>
      <w:widowControl/>
      <w:spacing w:before="100" w:beforeAutospacing="1" w:after="100" w:afterAutospacing="1"/>
      <w:jc w:val="left"/>
    </w:pPr>
    <w:rPr>
      <w:rFonts w:ascii="宋体" w:hAnsi="宋体" w:cs="宋体"/>
      <w:color w:val="000000"/>
      <w:kern w:val="0"/>
      <w:sz w:val="24"/>
    </w:rPr>
  </w:style>
  <w:style w:type="paragraph" w:customStyle="1" w:styleId="280">
    <w:name w:val="p17"/>
    <w:basedOn w:val="1"/>
    <w:autoRedefine/>
    <w:qFormat/>
    <w:uiPriority w:val="0"/>
    <w:pPr>
      <w:widowControl/>
      <w:spacing w:line="360" w:lineRule="auto"/>
      <w:ind w:firstLine="420"/>
      <w:jc w:val="left"/>
    </w:pPr>
    <w:rPr>
      <w:kern w:val="0"/>
      <w:sz w:val="24"/>
    </w:rPr>
  </w:style>
  <w:style w:type="paragraph" w:customStyle="1" w:styleId="281">
    <w:name w:val="流程图"/>
    <w:basedOn w:val="1"/>
    <w:autoRedefine/>
    <w:qFormat/>
    <w:uiPriority w:val="0"/>
    <w:pPr>
      <w:tabs>
        <w:tab w:val="center" w:pos="0"/>
      </w:tabs>
    </w:pPr>
    <w:rPr>
      <w:rFonts w:eastAsia="楷体_GB2312"/>
      <w:sz w:val="24"/>
      <w:szCs w:val="20"/>
    </w:rPr>
  </w:style>
  <w:style w:type="paragraph" w:customStyle="1" w:styleId="282">
    <w:name w:val="简单回函地址"/>
    <w:basedOn w:val="1"/>
    <w:autoRedefine/>
    <w:qFormat/>
    <w:uiPriority w:val="0"/>
  </w:style>
  <w:style w:type="paragraph" w:customStyle="1" w:styleId="283">
    <w:name w:val="表中正文小五号"/>
    <w:basedOn w:val="1"/>
    <w:autoRedefine/>
    <w:qFormat/>
    <w:uiPriority w:val="0"/>
    <w:pPr>
      <w:jc w:val="center"/>
    </w:pPr>
    <w:rPr>
      <w:spacing w:val="6"/>
      <w:sz w:val="18"/>
      <w:szCs w:val="20"/>
    </w:rPr>
  </w:style>
  <w:style w:type="paragraph" w:customStyle="1" w:styleId="284">
    <w:name w:val="zxz5"/>
    <w:next w:val="1"/>
    <w:autoRedefine/>
    <w:qFormat/>
    <w:uiPriority w:val="0"/>
    <w:pPr>
      <w:tabs>
        <w:tab w:val="left" w:pos="0"/>
      </w:tabs>
      <w:jc w:val="center"/>
    </w:pPr>
    <w:rPr>
      <w:rFonts w:ascii="宋体" w:hAnsi="宋体" w:eastAsia="Times New Roman" w:cs="宋体"/>
      <w:bCs/>
      <w:kern w:val="2"/>
      <w:sz w:val="18"/>
      <w:szCs w:val="18"/>
      <w:lang w:val="en-US" w:eastAsia="zh-CN" w:bidi="ar-SA"/>
    </w:rPr>
  </w:style>
  <w:style w:type="paragraph" w:customStyle="1" w:styleId="285">
    <w:name w:val="表格式"/>
    <w:basedOn w:val="34"/>
    <w:autoRedefine/>
    <w:qFormat/>
    <w:uiPriority w:val="0"/>
    <w:pPr>
      <w:spacing w:line="400" w:lineRule="exact"/>
      <w:ind w:left="0" w:firstLine="0" w:firstLineChars="0"/>
      <w:jc w:val="center"/>
    </w:pPr>
    <w:rPr>
      <w:rFonts w:ascii="宋体"/>
      <w:sz w:val="21"/>
      <w:szCs w:val="20"/>
    </w:rPr>
  </w:style>
  <w:style w:type="paragraph" w:customStyle="1" w:styleId="286">
    <w:name w:val="Char Char Char Char Char Char Char Char Char1"/>
    <w:basedOn w:val="1"/>
    <w:autoRedefine/>
    <w:qFormat/>
    <w:uiPriority w:val="0"/>
    <w:rPr>
      <w:szCs w:val="20"/>
    </w:rPr>
  </w:style>
  <w:style w:type="paragraph" w:customStyle="1" w:styleId="287">
    <w:name w:val="p15"/>
    <w:basedOn w:val="1"/>
    <w:autoRedefine/>
    <w:qFormat/>
    <w:uiPriority w:val="0"/>
    <w:pPr>
      <w:widowControl/>
      <w:spacing w:line="360" w:lineRule="auto"/>
      <w:ind w:firstLine="420"/>
      <w:jc w:val="left"/>
    </w:pPr>
    <w:rPr>
      <w:kern w:val="0"/>
      <w:sz w:val="24"/>
    </w:rPr>
  </w:style>
  <w:style w:type="paragraph" w:customStyle="1" w:styleId="288">
    <w:name w:val="小表文居中"/>
    <w:basedOn w:val="1"/>
    <w:autoRedefine/>
    <w:qFormat/>
    <w:uiPriority w:val="0"/>
    <w:pPr>
      <w:autoSpaceDE w:val="0"/>
      <w:autoSpaceDN w:val="0"/>
      <w:adjustRightInd w:val="0"/>
      <w:spacing w:before="20"/>
      <w:jc w:val="center"/>
      <w:textAlignment w:val="baseline"/>
    </w:pPr>
    <w:rPr>
      <w:kern w:val="0"/>
      <w:sz w:val="18"/>
      <w:szCs w:val="20"/>
    </w:rPr>
  </w:style>
  <w:style w:type="paragraph" w:customStyle="1" w:styleId="289">
    <w:name w:val="论文正文"/>
    <w:basedOn w:val="14"/>
    <w:autoRedefine/>
    <w:qFormat/>
    <w:uiPriority w:val="0"/>
    <w:pPr>
      <w:widowControl/>
      <w:ind w:firstLine="480" w:firstLineChars="200"/>
      <w:jc w:val="left"/>
    </w:pPr>
    <w:rPr>
      <w:rFonts w:ascii="宋体" w:hAnsi="宋体"/>
      <w:kern w:val="0"/>
      <w:sz w:val="28"/>
      <w:szCs w:val="24"/>
    </w:rPr>
  </w:style>
  <w:style w:type="paragraph" w:customStyle="1" w:styleId="290">
    <w:name w:val="p18"/>
    <w:basedOn w:val="1"/>
    <w:autoRedefine/>
    <w:qFormat/>
    <w:uiPriority w:val="0"/>
    <w:pPr>
      <w:widowControl/>
    </w:pPr>
    <w:rPr>
      <w:rFonts w:ascii="宋体" w:hAnsi="宋体" w:cs="宋体"/>
      <w:kern w:val="0"/>
      <w:szCs w:val="21"/>
    </w:rPr>
  </w:style>
  <w:style w:type="character" w:customStyle="1" w:styleId="291">
    <w:name w:val="15"/>
    <w:autoRedefine/>
    <w:qFormat/>
    <w:uiPriority w:val="0"/>
    <w:rPr>
      <w:rFonts w:hint="default" w:ascii="Times New Roman" w:hAnsi="Times New Roman" w:cs="Times New Roman"/>
      <w:spacing w:val="270"/>
      <w:sz w:val="21"/>
      <w:szCs w:val="21"/>
    </w:rPr>
  </w:style>
  <w:style w:type="paragraph" w:customStyle="1" w:styleId="292">
    <w:name w:val="p20"/>
    <w:basedOn w:val="1"/>
    <w:autoRedefine/>
    <w:qFormat/>
    <w:uiPriority w:val="0"/>
    <w:pPr>
      <w:widowControl/>
      <w:spacing w:line="400" w:lineRule="atLeast"/>
    </w:pPr>
    <w:rPr>
      <w:kern w:val="0"/>
      <w:sz w:val="28"/>
      <w:szCs w:val="28"/>
    </w:rPr>
  </w:style>
  <w:style w:type="character" w:customStyle="1" w:styleId="293">
    <w:name w:val="17"/>
    <w:autoRedefine/>
    <w:qFormat/>
    <w:uiPriority w:val="0"/>
    <w:rPr>
      <w:rFonts w:hint="default" w:ascii="Times New Roman" w:hAnsi="Times New Roman" w:cs="Times New Roman"/>
      <w:spacing w:val="270"/>
      <w:sz w:val="21"/>
      <w:szCs w:val="21"/>
    </w:rPr>
  </w:style>
  <w:style w:type="character" w:customStyle="1" w:styleId="294">
    <w:name w:val="apple-converted-space"/>
    <w:basedOn w:val="49"/>
    <w:autoRedefine/>
    <w:qFormat/>
    <w:uiPriority w:val="0"/>
  </w:style>
  <w:style w:type="paragraph" w:customStyle="1" w:styleId="295">
    <w:name w:val="Char Char Char Char Char Char Char Char Char Char1"/>
    <w:basedOn w:val="1"/>
    <w:autoRedefine/>
    <w:qFormat/>
    <w:uiPriority w:val="0"/>
    <w:pPr>
      <w:widowControl/>
      <w:spacing w:after="160" w:line="240" w:lineRule="exact"/>
      <w:jc w:val="left"/>
    </w:pPr>
    <w:rPr>
      <w:rFonts w:ascii="Verdana" w:hAnsi="Verdana" w:cs="Verdana"/>
      <w:kern w:val="0"/>
      <w:sz w:val="20"/>
      <w:szCs w:val="20"/>
      <w:lang w:eastAsia="en-US"/>
    </w:rPr>
  </w:style>
  <w:style w:type="paragraph" w:customStyle="1" w:styleId="296">
    <w:name w:val="Char11"/>
    <w:basedOn w:val="1"/>
    <w:autoRedefine/>
    <w:qFormat/>
    <w:uiPriority w:val="0"/>
    <w:rPr>
      <w:szCs w:val="20"/>
    </w:rPr>
  </w:style>
  <w:style w:type="paragraph" w:customStyle="1" w:styleId="297">
    <w:name w:val="Char5"/>
    <w:basedOn w:val="1"/>
    <w:autoRedefine/>
    <w:qFormat/>
    <w:uiPriority w:val="0"/>
    <w:pPr>
      <w:snapToGrid w:val="0"/>
      <w:spacing w:line="360" w:lineRule="auto"/>
      <w:ind w:firstLine="529" w:firstLineChars="200"/>
    </w:pPr>
    <w:rPr>
      <w:rFonts w:ascii="宋体" w:hAnsi="宋体"/>
      <w:b/>
    </w:rPr>
  </w:style>
  <w:style w:type="paragraph" w:customStyle="1" w:styleId="298">
    <w:name w:val="表内正文"/>
    <w:basedOn w:val="1"/>
    <w:autoRedefine/>
    <w:qFormat/>
    <w:uiPriority w:val="0"/>
    <w:pPr>
      <w:ind w:firstLine="200" w:firstLineChars="200"/>
    </w:pPr>
    <w:rPr>
      <w:rFonts w:ascii="仿宋_GB2312" w:hAnsi="宋体" w:eastAsia="仿宋_GB2312"/>
      <w:sz w:val="28"/>
    </w:rPr>
  </w:style>
  <w:style w:type="paragraph" w:customStyle="1" w:styleId="299">
    <w:name w:val="5"/>
    <w:basedOn w:val="1"/>
    <w:next w:val="14"/>
    <w:link w:val="300"/>
    <w:autoRedefine/>
    <w:qFormat/>
    <w:uiPriority w:val="0"/>
    <w:pPr>
      <w:ind w:firstLine="420" w:firstLineChars="200"/>
    </w:pPr>
  </w:style>
  <w:style w:type="character" w:customStyle="1" w:styleId="300">
    <w:name w:val="5 Char Char"/>
    <w:link w:val="299"/>
    <w:autoRedefine/>
    <w:qFormat/>
    <w:uiPriority w:val="0"/>
    <w:rPr>
      <w:kern w:val="2"/>
      <w:sz w:val="21"/>
      <w:szCs w:val="24"/>
    </w:rPr>
  </w:style>
  <w:style w:type="character" w:customStyle="1" w:styleId="301">
    <w:name w:val="正文2 Char"/>
    <w:basedOn w:val="49"/>
    <w:autoRedefine/>
    <w:qFormat/>
    <w:locked/>
    <w:uiPriority w:val="0"/>
    <w:rPr>
      <w:rFonts w:ascii="宋体" w:hAnsi="宋体"/>
      <w:kern w:val="2"/>
      <w:sz w:val="24"/>
      <w:szCs w:val="24"/>
    </w:rPr>
  </w:style>
  <w:style w:type="character" w:customStyle="1" w:styleId="302">
    <w:name w:val="正文文本缩进 Char1"/>
    <w:basedOn w:val="49"/>
    <w:autoRedefine/>
    <w:qFormat/>
    <w:locked/>
    <w:uiPriority w:val="0"/>
    <w:rPr>
      <w:kern w:val="2"/>
      <w:sz w:val="30"/>
    </w:rPr>
  </w:style>
  <w:style w:type="paragraph" w:customStyle="1" w:styleId="303">
    <w:name w:val="表格标题"/>
    <w:basedOn w:val="1"/>
    <w:autoRedefine/>
    <w:qFormat/>
    <w:uiPriority w:val="0"/>
    <w:pPr>
      <w:tabs>
        <w:tab w:val="left" w:pos="2340"/>
      </w:tabs>
      <w:snapToGrid w:val="0"/>
      <w:spacing w:beforeLines="100"/>
      <w:jc w:val="center"/>
    </w:pPr>
    <w:rPr>
      <w:sz w:val="28"/>
      <w:szCs w:val="20"/>
    </w:rPr>
  </w:style>
  <w:style w:type="paragraph" w:customStyle="1" w:styleId="304">
    <w:name w:val="朔电正文"/>
    <w:basedOn w:val="1"/>
    <w:link w:val="305"/>
    <w:autoRedefine/>
    <w:qFormat/>
    <w:uiPriority w:val="99"/>
    <w:pPr>
      <w:adjustRightInd w:val="0"/>
      <w:snapToGrid w:val="0"/>
      <w:spacing w:beforeLines="25" w:line="440" w:lineRule="exact"/>
      <w:ind w:firstLine="480" w:firstLineChars="200"/>
    </w:pPr>
    <w:rPr>
      <w:color w:val="000000"/>
      <w:kern w:val="32"/>
      <w:sz w:val="24"/>
    </w:rPr>
  </w:style>
  <w:style w:type="character" w:customStyle="1" w:styleId="305">
    <w:name w:val="朔电正文 Char"/>
    <w:basedOn w:val="49"/>
    <w:link w:val="304"/>
    <w:autoRedefine/>
    <w:qFormat/>
    <w:uiPriority w:val="99"/>
    <w:rPr>
      <w:color w:val="000000"/>
      <w:kern w:val="32"/>
      <w:sz w:val="24"/>
      <w:szCs w:val="24"/>
    </w:rPr>
  </w:style>
  <w:style w:type="paragraph" w:customStyle="1" w:styleId="306">
    <w:name w:val="表格文字小"/>
    <w:basedOn w:val="108"/>
    <w:autoRedefine/>
    <w:qFormat/>
    <w:uiPriority w:val="0"/>
    <w:pPr>
      <w:adjustRightInd/>
      <w:snapToGrid/>
      <w:spacing w:line="400" w:lineRule="exact"/>
    </w:pPr>
    <w:rPr>
      <w:rFonts w:hAnsi="Times New Roman" w:cs="Times New Roman"/>
      <w:bCs w:val="0"/>
      <w:spacing w:val="0"/>
      <w:kern w:val="2"/>
      <w:szCs w:val="20"/>
    </w:rPr>
  </w:style>
  <w:style w:type="paragraph" w:customStyle="1" w:styleId="307">
    <w:name w:val="正文内容"/>
    <w:basedOn w:val="1"/>
    <w:link w:val="308"/>
    <w:autoRedefine/>
    <w:qFormat/>
    <w:uiPriority w:val="0"/>
    <w:pPr>
      <w:spacing w:line="440" w:lineRule="exact"/>
      <w:ind w:firstLine="480" w:firstLineChars="200"/>
    </w:pPr>
    <w:rPr>
      <w:rFonts w:hAnsi="宋体"/>
      <w:color w:val="000000"/>
      <w:sz w:val="24"/>
    </w:rPr>
  </w:style>
  <w:style w:type="character" w:customStyle="1" w:styleId="308">
    <w:name w:val="正文内容 Char"/>
    <w:basedOn w:val="49"/>
    <w:link w:val="307"/>
    <w:autoRedefine/>
    <w:qFormat/>
    <w:uiPriority w:val="0"/>
    <w:rPr>
      <w:rFonts w:hAnsi="宋体"/>
      <w:color w:val="000000"/>
      <w:kern w:val="2"/>
      <w:sz w:val="24"/>
      <w:szCs w:val="24"/>
    </w:rPr>
  </w:style>
  <w:style w:type="character" w:customStyle="1" w:styleId="309">
    <w:name w:val="样式6 Char"/>
    <w:link w:val="310"/>
    <w:autoRedefine/>
    <w:qFormat/>
    <w:uiPriority w:val="0"/>
    <w:rPr>
      <w:rFonts w:ascii="宋体" w:hAnsi="宋体"/>
      <w:color w:val="000000"/>
      <w:kern w:val="6"/>
      <w:sz w:val="24"/>
      <w:szCs w:val="24"/>
      <w:lang w:val="en-GB"/>
    </w:rPr>
  </w:style>
  <w:style w:type="paragraph" w:customStyle="1" w:styleId="310">
    <w:name w:val="样式6"/>
    <w:basedOn w:val="1"/>
    <w:link w:val="309"/>
    <w:autoRedefine/>
    <w:qFormat/>
    <w:uiPriority w:val="0"/>
    <w:pPr>
      <w:spacing w:beforeLines="50" w:afterLines="50" w:line="360" w:lineRule="auto"/>
      <w:ind w:firstLine="480" w:firstLineChars="200"/>
      <w:jc w:val="left"/>
    </w:pPr>
    <w:rPr>
      <w:rFonts w:ascii="宋体" w:hAnsi="宋体"/>
      <w:color w:val="000000"/>
      <w:kern w:val="6"/>
      <w:sz w:val="24"/>
      <w:lang w:val="en-GB"/>
    </w:rPr>
  </w:style>
  <w:style w:type="character" w:customStyle="1" w:styleId="311">
    <w:name w:val="标准正文 Char"/>
    <w:autoRedefine/>
    <w:qFormat/>
    <w:uiPriority w:val="0"/>
    <w:rPr>
      <w:kern w:val="2"/>
      <w:sz w:val="24"/>
      <w:szCs w:val="22"/>
    </w:rPr>
  </w:style>
  <w:style w:type="paragraph" w:customStyle="1" w:styleId="312">
    <w:name w:val="5表标题"/>
    <w:autoRedefine/>
    <w:qFormat/>
    <w:uiPriority w:val="99"/>
    <w:pPr>
      <w:spacing w:line="480" w:lineRule="exact"/>
      <w:jc w:val="center"/>
    </w:pPr>
    <w:rPr>
      <w:rFonts w:ascii="Times New Roman" w:hAnsi="Times New Roman" w:eastAsia="宋体" w:cs="宋体"/>
      <w:b/>
      <w:bCs/>
      <w:kern w:val="2"/>
      <w:sz w:val="21"/>
      <w:szCs w:val="22"/>
      <w:lang w:val="en-US" w:eastAsia="zh-CN" w:bidi="ar-SA"/>
    </w:rPr>
  </w:style>
  <w:style w:type="paragraph" w:customStyle="1" w:styleId="313">
    <w:name w:val="样式 样式 样式 标题 2标题2节½Ú?¨²节标题 + 宋体 四号 段前: 3 磅 段后: 3 磅 行距: 固定值 23 磅 +..."/>
    <w:basedOn w:val="1"/>
    <w:autoRedefine/>
    <w:qFormat/>
    <w:uiPriority w:val="0"/>
    <w:pPr>
      <w:keepNext/>
      <w:keepLines/>
      <w:spacing w:line="480" w:lineRule="exact"/>
      <w:outlineLvl w:val="1"/>
    </w:pPr>
    <w:rPr>
      <w:rFonts w:cs="宋体"/>
      <w:b/>
      <w:bCs/>
      <w:sz w:val="28"/>
      <w:szCs w:val="20"/>
    </w:rPr>
  </w:style>
  <w:style w:type="character" w:customStyle="1" w:styleId="314">
    <w:name w:val="title"/>
    <w:basedOn w:val="49"/>
    <w:autoRedefine/>
    <w:qFormat/>
    <w:uiPriority w:val="0"/>
  </w:style>
  <w:style w:type="character" w:customStyle="1" w:styleId="315">
    <w:name w:val="cat表头 Char Char"/>
    <w:link w:val="316"/>
    <w:autoRedefine/>
    <w:qFormat/>
    <w:uiPriority w:val="0"/>
    <w:rPr>
      <w:sz w:val="21"/>
    </w:rPr>
  </w:style>
  <w:style w:type="paragraph" w:customStyle="1" w:styleId="316">
    <w:name w:val="cat表格"/>
    <w:basedOn w:val="1"/>
    <w:link w:val="315"/>
    <w:autoRedefine/>
    <w:qFormat/>
    <w:uiPriority w:val="0"/>
    <w:pPr>
      <w:spacing w:beforeLines="50"/>
    </w:pPr>
    <w:rPr>
      <w:kern w:val="0"/>
      <w:szCs w:val="20"/>
    </w:rPr>
  </w:style>
  <w:style w:type="paragraph" w:customStyle="1" w:styleId="317">
    <w:name w:val="【表格文字】"/>
    <w:link w:val="318"/>
    <w:autoRedefine/>
    <w:qFormat/>
    <w:uiPriority w:val="0"/>
    <w:pPr>
      <w:jc w:val="center"/>
    </w:pPr>
    <w:rPr>
      <w:rFonts w:ascii="Times New Roman" w:hAnsi="Times New Roman" w:eastAsia="宋体" w:cs="Times New Roman"/>
      <w:sz w:val="21"/>
      <w:lang w:val="en-US" w:eastAsia="zh-CN" w:bidi="ar-SA"/>
    </w:rPr>
  </w:style>
  <w:style w:type="character" w:customStyle="1" w:styleId="318">
    <w:name w:val="【表格文字】 Char"/>
    <w:link w:val="317"/>
    <w:autoRedefine/>
    <w:qFormat/>
    <w:uiPriority w:val="0"/>
    <w:rPr>
      <w:sz w:val="21"/>
      <w:lang w:bidi="ar-SA"/>
    </w:rPr>
  </w:style>
  <w:style w:type="character" w:customStyle="1" w:styleId="319">
    <w:name w:val="CAT正文 Char Char"/>
    <w:link w:val="320"/>
    <w:autoRedefine/>
    <w:qFormat/>
    <w:locked/>
    <w:uiPriority w:val="0"/>
    <w:rPr>
      <w:sz w:val="24"/>
    </w:rPr>
  </w:style>
  <w:style w:type="paragraph" w:customStyle="1" w:styleId="320">
    <w:name w:val="CAT正文"/>
    <w:basedOn w:val="1"/>
    <w:link w:val="319"/>
    <w:autoRedefine/>
    <w:qFormat/>
    <w:uiPriority w:val="0"/>
    <w:pPr>
      <w:spacing w:beforeLines="50" w:line="360" w:lineRule="auto"/>
      <w:ind w:firstLine="560" w:firstLineChars="200"/>
    </w:pPr>
    <w:rPr>
      <w:kern w:val="0"/>
      <w:sz w:val="24"/>
      <w:szCs w:val="20"/>
    </w:rPr>
  </w:style>
  <w:style w:type="character" w:customStyle="1" w:styleId="321">
    <w:name w:val="脚注文本 Char"/>
    <w:basedOn w:val="49"/>
    <w:link w:val="35"/>
    <w:autoRedefine/>
    <w:qFormat/>
    <w:uiPriority w:val="0"/>
    <w:rPr>
      <w:kern w:val="2"/>
      <w:sz w:val="18"/>
      <w:szCs w:val="18"/>
    </w:rPr>
  </w:style>
  <w:style w:type="character" w:customStyle="1" w:styleId="322">
    <w:name w:val="脚注文本 Char1"/>
    <w:basedOn w:val="49"/>
    <w:link w:val="35"/>
    <w:autoRedefine/>
    <w:qFormat/>
    <w:locked/>
    <w:uiPriority w:val="0"/>
    <w:rPr>
      <w:kern w:val="2"/>
      <w:sz w:val="18"/>
      <w:szCs w:val="18"/>
    </w:rPr>
  </w:style>
  <w:style w:type="character" w:customStyle="1" w:styleId="323">
    <w:name w:val="尾注文本 Char"/>
    <w:basedOn w:val="49"/>
    <w:link w:val="28"/>
    <w:autoRedefine/>
    <w:qFormat/>
    <w:uiPriority w:val="99"/>
    <w:rPr>
      <w:kern w:val="2"/>
      <w:sz w:val="21"/>
      <w:szCs w:val="24"/>
    </w:rPr>
  </w:style>
  <w:style w:type="character" w:customStyle="1" w:styleId="324">
    <w:name w:val="尾注文本 Char1"/>
    <w:link w:val="28"/>
    <w:autoRedefine/>
    <w:qFormat/>
    <w:locked/>
    <w:uiPriority w:val="0"/>
    <w:rPr>
      <w:color w:val="000000"/>
      <w:kern w:val="32"/>
      <w:sz w:val="24"/>
    </w:rPr>
  </w:style>
  <w:style w:type="character" w:customStyle="1" w:styleId="325">
    <w:name w:val="标题 Char"/>
    <w:basedOn w:val="49"/>
    <w:link w:val="43"/>
    <w:autoRedefine/>
    <w:qFormat/>
    <w:uiPriority w:val="0"/>
    <w:rPr>
      <w:rFonts w:ascii="Cambria" w:hAnsi="Cambria" w:cs="Times New Roman"/>
      <w:b/>
      <w:bCs/>
      <w:kern w:val="2"/>
      <w:sz w:val="32"/>
      <w:szCs w:val="32"/>
    </w:rPr>
  </w:style>
  <w:style w:type="character" w:customStyle="1" w:styleId="326">
    <w:name w:val="标题 Char1"/>
    <w:basedOn w:val="49"/>
    <w:link w:val="43"/>
    <w:autoRedefine/>
    <w:qFormat/>
    <w:locked/>
    <w:uiPriority w:val="0"/>
    <w:rPr>
      <w:rFonts w:ascii="Cambria" w:hAnsi="Cambria"/>
      <w:b/>
      <w:bCs/>
      <w:kern w:val="2"/>
      <w:sz w:val="32"/>
      <w:szCs w:val="32"/>
    </w:rPr>
  </w:style>
  <w:style w:type="character" w:customStyle="1" w:styleId="327">
    <w:name w:val="副标题 Char"/>
    <w:basedOn w:val="49"/>
    <w:link w:val="33"/>
    <w:autoRedefine/>
    <w:qFormat/>
    <w:uiPriority w:val="11"/>
    <w:rPr>
      <w:rFonts w:ascii="Cambria" w:hAnsi="Cambria" w:cs="Times New Roman"/>
      <w:b/>
      <w:bCs/>
      <w:kern w:val="28"/>
      <w:sz w:val="32"/>
      <w:szCs w:val="32"/>
    </w:rPr>
  </w:style>
  <w:style w:type="character" w:customStyle="1" w:styleId="328">
    <w:name w:val="副标题 Char1"/>
    <w:basedOn w:val="49"/>
    <w:link w:val="33"/>
    <w:autoRedefine/>
    <w:qFormat/>
    <w:locked/>
    <w:uiPriority w:val="11"/>
    <w:rPr>
      <w:rFonts w:ascii="Arial" w:hAnsi="Arial" w:cs="Arial"/>
      <w:b/>
      <w:bCs/>
      <w:kern w:val="28"/>
      <w:sz w:val="32"/>
      <w:szCs w:val="32"/>
    </w:rPr>
  </w:style>
  <w:style w:type="character" w:customStyle="1" w:styleId="329">
    <w:name w:val="正文首行缩进 2 Char"/>
    <w:basedOn w:val="70"/>
    <w:link w:val="46"/>
    <w:autoRedefine/>
    <w:qFormat/>
    <w:uiPriority w:val="0"/>
    <w:rPr>
      <w:kern w:val="2"/>
      <w:sz w:val="21"/>
      <w:szCs w:val="24"/>
    </w:rPr>
  </w:style>
  <w:style w:type="character" w:customStyle="1" w:styleId="330">
    <w:name w:val="正文首行缩进 2 Char1"/>
    <w:basedOn w:val="70"/>
    <w:link w:val="46"/>
    <w:autoRedefine/>
    <w:qFormat/>
    <w:locked/>
    <w:uiPriority w:val="0"/>
    <w:rPr>
      <w:rFonts w:ascii="Calibri" w:hAnsi="Calibri"/>
      <w:b/>
      <w:kern w:val="2"/>
      <w:sz w:val="21"/>
      <w:szCs w:val="22"/>
    </w:rPr>
  </w:style>
  <w:style w:type="character" w:customStyle="1" w:styleId="331">
    <w:name w:val="注释标题 Char"/>
    <w:basedOn w:val="49"/>
    <w:link w:val="12"/>
    <w:autoRedefine/>
    <w:qFormat/>
    <w:uiPriority w:val="99"/>
    <w:rPr>
      <w:kern w:val="2"/>
      <w:sz w:val="21"/>
      <w:szCs w:val="24"/>
    </w:rPr>
  </w:style>
  <w:style w:type="character" w:customStyle="1" w:styleId="332">
    <w:name w:val="注释标题 Char1"/>
    <w:link w:val="12"/>
    <w:autoRedefine/>
    <w:qFormat/>
    <w:locked/>
    <w:uiPriority w:val="0"/>
    <w:rPr>
      <w:kern w:val="2"/>
      <w:sz w:val="21"/>
      <w:szCs w:val="24"/>
    </w:rPr>
  </w:style>
  <w:style w:type="character" w:customStyle="1" w:styleId="333">
    <w:name w:val="无间隔 Char"/>
    <w:link w:val="334"/>
    <w:autoRedefine/>
    <w:qFormat/>
    <w:locked/>
    <w:uiPriority w:val="1"/>
    <w:rPr>
      <w:rFonts w:ascii="Calibri" w:hAnsi="Calibri"/>
      <w:b/>
      <w:sz w:val="22"/>
      <w:szCs w:val="22"/>
      <w:lang w:val="en-US" w:eastAsia="zh-CN" w:bidi="ar-SA"/>
    </w:rPr>
  </w:style>
  <w:style w:type="paragraph" w:styleId="334">
    <w:name w:val="No Spacing"/>
    <w:link w:val="333"/>
    <w:autoRedefine/>
    <w:qFormat/>
    <w:uiPriority w:val="1"/>
    <w:pPr>
      <w:widowControl w:val="0"/>
      <w:jc w:val="both"/>
    </w:pPr>
    <w:rPr>
      <w:rFonts w:ascii="Calibri" w:hAnsi="Calibri" w:eastAsia="宋体" w:cs="Times New Roman"/>
      <w:b/>
      <w:sz w:val="22"/>
      <w:szCs w:val="22"/>
      <w:lang w:val="en-US" w:eastAsia="zh-CN" w:bidi="ar-SA"/>
    </w:rPr>
  </w:style>
  <w:style w:type="character" w:customStyle="1" w:styleId="335">
    <w:name w:val="正文修改 Char"/>
    <w:link w:val="336"/>
    <w:autoRedefine/>
    <w:qFormat/>
    <w:locked/>
    <w:uiPriority w:val="0"/>
    <w:rPr>
      <w:kern w:val="2"/>
      <w:sz w:val="24"/>
      <w:szCs w:val="24"/>
      <w:lang w:val="en-US" w:eastAsia="zh-CN" w:bidi="ar-SA"/>
    </w:rPr>
  </w:style>
  <w:style w:type="paragraph" w:customStyle="1" w:styleId="336">
    <w:name w:val="正文修改"/>
    <w:next w:val="1"/>
    <w:link w:val="335"/>
    <w:autoRedefine/>
    <w:qFormat/>
    <w:uiPriority w:val="0"/>
    <w:pPr>
      <w:adjustRightInd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character" w:customStyle="1" w:styleId="337">
    <w:name w:val="表文字 Char1"/>
    <w:link w:val="338"/>
    <w:autoRedefine/>
    <w:qFormat/>
    <w:locked/>
    <w:uiPriority w:val="0"/>
    <w:rPr>
      <w:kern w:val="2"/>
      <w:sz w:val="21"/>
    </w:rPr>
  </w:style>
  <w:style w:type="paragraph" w:customStyle="1" w:styleId="338">
    <w:name w:val="表文字"/>
    <w:basedOn w:val="1"/>
    <w:link w:val="337"/>
    <w:autoRedefine/>
    <w:qFormat/>
    <w:uiPriority w:val="0"/>
    <w:pPr>
      <w:widowControl/>
      <w:spacing w:line="480" w:lineRule="exact"/>
      <w:jc w:val="center"/>
    </w:pPr>
    <w:rPr>
      <w:szCs w:val="20"/>
    </w:rPr>
  </w:style>
  <w:style w:type="character" w:customStyle="1" w:styleId="339">
    <w:name w:val="表格正文 Char Char"/>
    <w:link w:val="340"/>
    <w:autoRedefine/>
    <w:qFormat/>
    <w:locked/>
    <w:uiPriority w:val="0"/>
    <w:rPr>
      <w:rFonts w:ascii="宋体" w:hAnsi="宋体"/>
      <w:b/>
      <w:kern w:val="2"/>
      <w:sz w:val="24"/>
      <w:lang w:val="en-US" w:eastAsia="zh-CN" w:bidi="ar-SA"/>
    </w:rPr>
  </w:style>
  <w:style w:type="paragraph" w:customStyle="1" w:styleId="340">
    <w:name w:val="表格正文"/>
    <w:link w:val="339"/>
    <w:autoRedefine/>
    <w:qFormat/>
    <w:uiPriority w:val="0"/>
    <w:pPr>
      <w:widowControl w:val="0"/>
      <w:spacing w:line="360" w:lineRule="exact"/>
      <w:jc w:val="center"/>
    </w:pPr>
    <w:rPr>
      <w:rFonts w:ascii="宋体" w:hAnsi="宋体" w:eastAsia="宋体" w:cs="Times New Roman"/>
      <w:b/>
      <w:kern w:val="2"/>
      <w:sz w:val="24"/>
      <w:lang w:val="en-US" w:eastAsia="zh-CN" w:bidi="ar-SA"/>
    </w:rPr>
  </w:style>
  <w:style w:type="character" w:customStyle="1" w:styleId="341">
    <w:name w:val="正文(首行缩进) Char"/>
    <w:link w:val="342"/>
    <w:autoRedefine/>
    <w:qFormat/>
    <w:locked/>
    <w:uiPriority w:val="0"/>
    <w:rPr>
      <w:rFonts w:ascii="Calibri" w:hAnsi="Calibri"/>
      <w:b/>
      <w:snapToGrid w:val="0"/>
      <w:color w:val="000000"/>
      <w:sz w:val="24"/>
      <w:szCs w:val="22"/>
    </w:rPr>
  </w:style>
  <w:style w:type="paragraph" w:customStyle="1" w:styleId="342">
    <w:name w:val="正文(首行缩进)"/>
    <w:basedOn w:val="1"/>
    <w:link w:val="341"/>
    <w:autoRedefine/>
    <w:qFormat/>
    <w:uiPriority w:val="0"/>
    <w:pPr>
      <w:snapToGrid w:val="0"/>
      <w:spacing w:line="360" w:lineRule="auto"/>
      <w:ind w:firstLine="540" w:firstLineChars="225"/>
    </w:pPr>
    <w:rPr>
      <w:rFonts w:ascii="Calibri" w:hAnsi="Calibri"/>
      <w:b/>
      <w:snapToGrid w:val="0"/>
      <w:color w:val="000000"/>
      <w:kern w:val="0"/>
      <w:sz w:val="24"/>
      <w:szCs w:val="22"/>
    </w:rPr>
  </w:style>
  <w:style w:type="character" w:customStyle="1" w:styleId="343">
    <w:name w:val="样式 正文缩进正文（首行缩进两字） Char Char Char Char Char Char Char文本正文缩进 Ch... Char"/>
    <w:link w:val="344"/>
    <w:autoRedefine/>
    <w:qFormat/>
    <w:locked/>
    <w:uiPriority w:val="0"/>
    <w:rPr>
      <w:rFonts w:ascii="宋体" w:hAnsi="宋体"/>
      <w:b/>
      <w:bCs/>
      <w:kern w:val="2"/>
      <w:sz w:val="24"/>
      <w:szCs w:val="24"/>
    </w:rPr>
  </w:style>
  <w:style w:type="paragraph" w:customStyle="1" w:styleId="344">
    <w:name w:val="样式 正文缩进正文（首行缩进两字） Char Char Char Char Char Char Char文本正文缩进 Ch..."/>
    <w:basedOn w:val="14"/>
    <w:link w:val="343"/>
    <w:autoRedefine/>
    <w:qFormat/>
    <w:uiPriority w:val="0"/>
    <w:pPr>
      <w:tabs>
        <w:tab w:val="left" w:pos="1800"/>
      </w:tabs>
      <w:adjustRightInd w:val="0"/>
      <w:snapToGrid w:val="0"/>
      <w:spacing w:line="460" w:lineRule="exact"/>
      <w:ind w:firstLine="200" w:firstLineChars="200"/>
    </w:pPr>
    <w:rPr>
      <w:rFonts w:ascii="宋体" w:hAnsi="宋体"/>
      <w:b/>
      <w:bCs/>
      <w:sz w:val="24"/>
      <w:szCs w:val="24"/>
    </w:rPr>
  </w:style>
  <w:style w:type="character" w:customStyle="1" w:styleId="345">
    <w:name w:val="表格内容5号 Char"/>
    <w:link w:val="346"/>
    <w:autoRedefine/>
    <w:qFormat/>
    <w:locked/>
    <w:uiPriority w:val="0"/>
    <w:rPr>
      <w:kern w:val="2"/>
      <w:sz w:val="21"/>
      <w:szCs w:val="24"/>
      <w:lang w:val="en-US" w:eastAsia="zh-CN" w:bidi="ar-SA"/>
    </w:rPr>
  </w:style>
  <w:style w:type="paragraph" w:customStyle="1" w:styleId="346">
    <w:name w:val="表格内容5号"/>
    <w:link w:val="345"/>
    <w:autoRedefine/>
    <w:qFormat/>
    <w:uiPriority w:val="0"/>
    <w:pPr>
      <w:widowControl w:val="0"/>
      <w:snapToGrid w:val="0"/>
      <w:spacing w:line="300" w:lineRule="atLeast"/>
      <w:jc w:val="center"/>
    </w:pPr>
    <w:rPr>
      <w:rFonts w:ascii="Times New Roman" w:hAnsi="Times New Roman" w:eastAsia="宋体" w:cs="Times New Roman"/>
      <w:kern w:val="2"/>
      <w:sz w:val="21"/>
      <w:szCs w:val="24"/>
      <w:lang w:val="en-US" w:eastAsia="zh-CN" w:bidi="ar-SA"/>
    </w:rPr>
  </w:style>
  <w:style w:type="character" w:customStyle="1" w:styleId="347">
    <w:name w:val="4级标题 Char"/>
    <w:link w:val="348"/>
    <w:autoRedefine/>
    <w:qFormat/>
    <w:locked/>
    <w:uiPriority w:val="0"/>
    <w:rPr>
      <w:rFonts w:ascii="Arial" w:hAnsi="Arial" w:eastAsia="黑体" w:cs="Arial"/>
      <w:b/>
      <w:kern w:val="2"/>
      <w:sz w:val="24"/>
      <w:szCs w:val="24"/>
      <w:lang w:val="en-US" w:eastAsia="zh-CN" w:bidi="ar-SA"/>
    </w:rPr>
  </w:style>
  <w:style w:type="paragraph" w:customStyle="1" w:styleId="348">
    <w:name w:val="4级标题"/>
    <w:next w:val="307"/>
    <w:link w:val="347"/>
    <w:autoRedefine/>
    <w:qFormat/>
    <w:uiPriority w:val="0"/>
    <w:pPr>
      <w:spacing w:line="480" w:lineRule="exact"/>
      <w:ind w:firstLine="880" w:firstLineChars="200"/>
      <w:outlineLvl w:val="3"/>
    </w:pPr>
    <w:rPr>
      <w:rFonts w:ascii="Arial" w:hAnsi="Arial" w:eastAsia="黑体" w:cs="Arial"/>
      <w:b/>
      <w:kern w:val="2"/>
      <w:sz w:val="24"/>
      <w:szCs w:val="24"/>
      <w:lang w:val="en-US" w:eastAsia="zh-CN" w:bidi="ar-SA"/>
    </w:rPr>
  </w:style>
  <w:style w:type="character" w:customStyle="1" w:styleId="349">
    <w:name w:val="图表标题 Char"/>
    <w:link w:val="350"/>
    <w:autoRedefine/>
    <w:qFormat/>
    <w:locked/>
    <w:uiPriority w:val="0"/>
    <w:rPr>
      <w:rFonts w:ascii="楷体_GB2312" w:eastAsia="楷体_GB2312"/>
      <w:kern w:val="2"/>
      <w:szCs w:val="24"/>
      <w:lang w:val="en-US" w:eastAsia="zh-CN" w:bidi="ar-SA"/>
    </w:rPr>
  </w:style>
  <w:style w:type="paragraph" w:customStyle="1" w:styleId="350">
    <w:name w:val="图表标题"/>
    <w:link w:val="349"/>
    <w:autoRedefine/>
    <w:qFormat/>
    <w:uiPriority w:val="0"/>
    <w:pPr>
      <w:snapToGrid w:val="0"/>
      <w:jc w:val="center"/>
    </w:pPr>
    <w:rPr>
      <w:rFonts w:ascii="楷体_GB2312" w:hAnsi="Times New Roman" w:eastAsia="楷体_GB2312" w:cs="Times New Roman"/>
      <w:kern w:val="2"/>
      <w:szCs w:val="24"/>
      <w:lang w:val="en-US" w:eastAsia="zh-CN" w:bidi="ar-SA"/>
    </w:rPr>
  </w:style>
  <w:style w:type="character" w:customStyle="1" w:styleId="351">
    <w:name w:val="a正文排版格式 Char Char"/>
    <w:link w:val="352"/>
    <w:autoRedefine/>
    <w:qFormat/>
    <w:locked/>
    <w:uiPriority w:val="0"/>
    <w:rPr>
      <w:rFonts w:ascii="仿宋_GB2312" w:eastAsia="仿宋_GB2312"/>
      <w:sz w:val="28"/>
      <w:szCs w:val="28"/>
    </w:rPr>
  </w:style>
  <w:style w:type="paragraph" w:customStyle="1" w:styleId="352">
    <w:name w:val="a正文排版格式"/>
    <w:basedOn w:val="1"/>
    <w:link w:val="351"/>
    <w:autoRedefine/>
    <w:qFormat/>
    <w:uiPriority w:val="0"/>
    <w:pPr>
      <w:tabs>
        <w:tab w:val="left" w:pos="2520"/>
      </w:tabs>
      <w:ind w:firstLine="560" w:firstLineChars="200"/>
    </w:pPr>
    <w:rPr>
      <w:rFonts w:ascii="仿宋_GB2312" w:eastAsia="仿宋_GB2312"/>
      <w:kern w:val="0"/>
      <w:sz w:val="28"/>
      <w:szCs w:val="28"/>
    </w:rPr>
  </w:style>
  <w:style w:type="character" w:customStyle="1" w:styleId="353">
    <w:name w:val="二铺正文 Char"/>
    <w:link w:val="354"/>
    <w:autoRedefine/>
    <w:qFormat/>
    <w:locked/>
    <w:uiPriority w:val="0"/>
    <w:rPr>
      <w:rFonts w:ascii="宋体" w:hAnsi="Courier New" w:cs="Courier New"/>
      <w:b/>
      <w:kern w:val="2"/>
      <w:sz w:val="21"/>
      <w:szCs w:val="21"/>
    </w:rPr>
  </w:style>
  <w:style w:type="paragraph" w:customStyle="1" w:styleId="354">
    <w:name w:val="二铺正文"/>
    <w:basedOn w:val="1"/>
    <w:link w:val="353"/>
    <w:autoRedefine/>
    <w:qFormat/>
    <w:uiPriority w:val="0"/>
    <w:pPr>
      <w:spacing w:line="440" w:lineRule="exact"/>
      <w:ind w:firstLine="422" w:firstLineChars="200"/>
      <w:jc w:val="center"/>
    </w:pPr>
    <w:rPr>
      <w:rFonts w:ascii="宋体" w:hAnsi="Courier New"/>
      <w:b/>
      <w:szCs w:val="21"/>
    </w:rPr>
  </w:style>
  <w:style w:type="character" w:customStyle="1" w:styleId="355">
    <w:name w:val="正文28磅 Char Char Char"/>
    <w:link w:val="356"/>
    <w:autoRedefine/>
    <w:qFormat/>
    <w:locked/>
    <w:uiPriority w:val="0"/>
    <w:rPr>
      <w:rFonts w:ascii="宋体" w:hAnsi="宋体" w:cs="宋体"/>
      <w:kern w:val="2"/>
      <w:sz w:val="24"/>
      <w:szCs w:val="28"/>
      <w:lang w:val="en-US" w:eastAsia="zh-CN" w:bidi="ar-SA"/>
    </w:rPr>
  </w:style>
  <w:style w:type="paragraph" w:customStyle="1" w:styleId="356">
    <w:name w:val="正文28磅 Char Char"/>
    <w:link w:val="355"/>
    <w:autoRedefine/>
    <w:qFormat/>
    <w:uiPriority w:val="0"/>
    <w:pPr>
      <w:widowControl w:val="0"/>
      <w:spacing w:line="460" w:lineRule="exact"/>
      <w:ind w:firstLine="480" w:firstLineChars="200"/>
    </w:pPr>
    <w:rPr>
      <w:rFonts w:ascii="宋体" w:hAnsi="宋体" w:eastAsia="宋体" w:cs="宋体"/>
      <w:kern w:val="2"/>
      <w:sz w:val="24"/>
      <w:szCs w:val="28"/>
      <w:lang w:val="en-US" w:eastAsia="zh-CN" w:bidi="ar-SA"/>
    </w:rPr>
  </w:style>
  <w:style w:type="character" w:customStyle="1" w:styleId="357">
    <w:name w:val="样式 (符号) 宋体 小四 首行缩进:  0.85 厘米 行距: 固定值 24 磅 Char"/>
    <w:link w:val="358"/>
    <w:autoRedefine/>
    <w:qFormat/>
    <w:locked/>
    <w:uiPriority w:val="0"/>
    <w:rPr>
      <w:rFonts w:ascii="宋体" w:hAnsi="宋体" w:cs="宋体"/>
      <w:kern w:val="2"/>
      <w:sz w:val="24"/>
    </w:rPr>
  </w:style>
  <w:style w:type="paragraph" w:customStyle="1" w:styleId="358">
    <w:name w:val="样式 (符号) 宋体 小四 首行缩进:  0.85 厘米 行距: 固定值 24 磅"/>
    <w:basedOn w:val="1"/>
    <w:link w:val="357"/>
    <w:autoRedefine/>
    <w:qFormat/>
    <w:uiPriority w:val="0"/>
    <w:pPr>
      <w:spacing w:line="480" w:lineRule="exact"/>
      <w:ind w:firstLine="200" w:firstLineChars="200"/>
    </w:pPr>
    <w:rPr>
      <w:rFonts w:ascii="宋体" w:hAnsi="宋体"/>
      <w:sz w:val="24"/>
      <w:szCs w:val="20"/>
    </w:rPr>
  </w:style>
  <w:style w:type="character" w:customStyle="1" w:styleId="359">
    <w:name w:val="采用正文格式 Char"/>
    <w:link w:val="360"/>
    <w:autoRedefine/>
    <w:qFormat/>
    <w:locked/>
    <w:uiPriority w:val="0"/>
    <w:rPr>
      <w:rFonts w:ascii="宋体" w:hAnsi="宋体" w:cs="宋体"/>
      <w:kern w:val="2"/>
      <w:sz w:val="24"/>
    </w:rPr>
  </w:style>
  <w:style w:type="paragraph" w:customStyle="1" w:styleId="360">
    <w:name w:val="采用正文格式"/>
    <w:basedOn w:val="1"/>
    <w:link w:val="359"/>
    <w:autoRedefine/>
    <w:qFormat/>
    <w:uiPriority w:val="0"/>
    <w:pPr>
      <w:spacing w:line="500" w:lineRule="exact"/>
      <w:ind w:firstLine="200" w:firstLineChars="200"/>
    </w:pPr>
    <w:rPr>
      <w:rFonts w:ascii="宋体" w:hAnsi="宋体"/>
      <w:sz w:val="24"/>
      <w:szCs w:val="20"/>
    </w:rPr>
  </w:style>
  <w:style w:type="character" w:customStyle="1" w:styleId="361">
    <w:name w:val="样式 正文文本缩进 + Char"/>
    <w:link w:val="362"/>
    <w:autoRedefine/>
    <w:qFormat/>
    <w:locked/>
    <w:uiPriority w:val="0"/>
    <w:rPr>
      <w:rFonts w:ascii="宋体" w:hAnsi="宋体"/>
      <w:sz w:val="24"/>
      <w:szCs w:val="21"/>
    </w:rPr>
  </w:style>
  <w:style w:type="paragraph" w:customStyle="1" w:styleId="362">
    <w:name w:val="样式 正文文本缩进 +"/>
    <w:basedOn w:val="19"/>
    <w:link w:val="361"/>
    <w:autoRedefine/>
    <w:qFormat/>
    <w:uiPriority w:val="0"/>
    <w:pPr>
      <w:widowControl/>
      <w:autoSpaceDE w:val="0"/>
      <w:autoSpaceDN w:val="0"/>
      <w:adjustRightInd w:val="0"/>
      <w:snapToGrid w:val="0"/>
      <w:spacing w:after="0" w:line="360" w:lineRule="auto"/>
      <w:ind w:left="0" w:leftChars="0" w:firstLine="192" w:firstLineChars="192"/>
      <w:jc w:val="left"/>
    </w:pPr>
    <w:rPr>
      <w:rFonts w:ascii="宋体" w:hAnsi="宋体"/>
      <w:szCs w:val="21"/>
    </w:rPr>
  </w:style>
  <w:style w:type="character" w:customStyle="1" w:styleId="363">
    <w:name w:val="表头一 Char"/>
    <w:link w:val="364"/>
    <w:autoRedefine/>
    <w:qFormat/>
    <w:locked/>
    <w:uiPriority w:val="0"/>
    <w:rPr>
      <w:rFonts w:ascii="仿宋_GB2312" w:eastAsia="黑体"/>
      <w:b/>
      <w:color w:val="000000"/>
      <w:kern w:val="2"/>
      <w:sz w:val="24"/>
      <w:szCs w:val="28"/>
    </w:rPr>
  </w:style>
  <w:style w:type="paragraph" w:customStyle="1" w:styleId="364">
    <w:name w:val="表头一"/>
    <w:basedOn w:val="1"/>
    <w:link w:val="363"/>
    <w:autoRedefine/>
    <w:qFormat/>
    <w:uiPriority w:val="0"/>
    <w:pPr>
      <w:spacing w:beforeLines="50" w:line="360" w:lineRule="auto"/>
      <w:jc w:val="center"/>
    </w:pPr>
    <w:rPr>
      <w:rFonts w:ascii="仿宋_GB2312" w:eastAsia="黑体"/>
      <w:b/>
      <w:color w:val="000000"/>
      <w:sz w:val="24"/>
      <w:szCs w:val="28"/>
    </w:rPr>
  </w:style>
  <w:style w:type="character" w:customStyle="1" w:styleId="365">
    <w:name w:val="应用正文 Char"/>
    <w:link w:val="366"/>
    <w:autoRedefine/>
    <w:qFormat/>
    <w:locked/>
    <w:uiPriority w:val="0"/>
    <w:rPr>
      <w:rFonts w:ascii="仿宋_GB2312" w:eastAsia="仿宋_GB2312"/>
      <w:kern w:val="2"/>
      <w:sz w:val="28"/>
    </w:rPr>
  </w:style>
  <w:style w:type="paragraph" w:customStyle="1" w:styleId="366">
    <w:name w:val="应用正文"/>
    <w:basedOn w:val="1"/>
    <w:link w:val="365"/>
    <w:autoRedefine/>
    <w:qFormat/>
    <w:uiPriority w:val="0"/>
    <w:pPr>
      <w:spacing w:line="360" w:lineRule="auto"/>
      <w:ind w:firstLine="560" w:firstLineChars="200"/>
    </w:pPr>
    <w:rPr>
      <w:rFonts w:ascii="仿宋_GB2312" w:eastAsia="仿宋_GB2312"/>
      <w:sz w:val="28"/>
      <w:szCs w:val="20"/>
    </w:rPr>
  </w:style>
  <w:style w:type="character" w:customStyle="1" w:styleId="367">
    <w:name w:val="正文文本最新 Char Char Char Char1 Char Char Char Char Char Char1 Char"/>
    <w:link w:val="368"/>
    <w:autoRedefine/>
    <w:qFormat/>
    <w:locked/>
    <w:uiPriority w:val="0"/>
    <w:rPr>
      <w:bCs/>
      <w:kern w:val="2"/>
      <w:sz w:val="28"/>
      <w:szCs w:val="24"/>
    </w:rPr>
  </w:style>
  <w:style w:type="paragraph" w:customStyle="1" w:styleId="368">
    <w:name w:val="正文文本最新 Char Char Char Char1 Char Char Char Char Char Char1"/>
    <w:basedOn w:val="1"/>
    <w:link w:val="367"/>
    <w:autoRedefine/>
    <w:qFormat/>
    <w:uiPriority w:val="0"/>
    <w:pPr>
      <w:spacing w:line="360" w:lineRule="auto"/>
      <w:ind w:firstLine="200" w:firstLineChars="200"/>
    </w:pPr>
    <w:rPr>
      <w:bCs/>
      <w:sz w:val="28"/>
    </w:rPr>
  </w:style>
  <w:style w:type="character" w:customStyle="1" w:styleId="369">
    <w:name w:val="表头常用 字符"/>
    <w:link w:val="370"/>
    <w:autoRedefine/>
    <w:qFormat/>
    <w:locked/>
    <w:uiPriority w:val="0"/>
    <w:rPr>
      <w:rFonts w:ascii="黑体" w:hAnsi="黑体" w:eastAsia="黑体"/>
      <w:kern w:val="2"/>
      <w:sz w:val="21"/>
      <w:szCs w:val="21"/>
    </w:rPr>
  </w:style>
  <w:style w:type="paragraph" w:customStyle="1" w:styleId="370">
    <w:name w:val="表头常用"/>
    <w:basedOn w:val="1"/>
    <w:link w:val="369"/>
    <w:autoRedefine/>
    <w:qFormat/>
    <w:uiPriority w:val="0"/>
    <w:pPr>
      <w:widowControl/>
      <w:spacing w:line="500" w:lineRule="exact"/>
      <w:jc w:val="center"/>
    </w:pPr>
    <w:rPr>
      <w:rFonts w:ascii="黑体" w:hAnsi="黑体" w:eastAsia="黑体"/>
      <w:szCs w:val="21"/>
    </w:rPr>
  </w:style>
  <w:style w:type="paragraph" w:customStyle="1" w:styleId="371">
    <w:name w:val="我的正文"/>
    <w:basedOn w:val="1"/>
    <w:link w:val="374"/>
    <w:autoRedefine/>
    <w:qFormat/>
    <w:uiPriority w:val="0"/>
    <w:pPr>
      <w:spacing w:line="460" w:lineRule="exact"/>
      <w:ind w:firstLine="482"/>
    </w:pPr>
    <w:rPr>
      <w:sz w:val="24"/>
    </w:rPr>
  </w:style>
  <w:style w:type="paragraph" w:customStyle="1" w:styleId="372">
    <w:name w:val="xl29"/>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line="252" w:lineRule="auto"/>
      <w:jc w:val="left"/>
      <w:textAlignment w:val="top"/>
    </w:pPr>
    <w:rPr>
      <w:rFonts w:ascii="Arial Unicode MS" w:hAnsi="Arial Unicode MS" w:eastAsia="Arial Unicode MS" w:cs="Arial Unicode MS"/>
      <w:kern w:val="0"/>
      <w:sz w:val="24"/>
      <w:szCs w:val="22"/>
      <w:lang w:eastAsia="en-US" w:bidi="en-US"/>
    </w:rPr>
  </w:style>
  <w:style w:type="character" w:customStyle="1" w:styleId="373">
    <w:name w:val="电子邮件签名 Char"/>
    <w:basedOn w:val="49"/>
    <w:link w:val="13"/>
    <w:autoRedefine/>
    <w:qFormat/>
    <w:uiPriority w:val="0"/>
    <w:rPr>
      <w:color w:val="000000"/>
      <w:kern w:val="21"/>
      <w:sz w:val="24"/>
      <w:lang w:val="de-DE"/>
    </w:rPr>
  </w:style>
  <w:style w:type="character" w:customStyle="1" w:styleId="374">
    <w:name w:val="我的正文 Char Char"/>
    <w:link w:val="371"/>
    <w:autoRedefine/>
    <w:qFormat/>
    <w:uiPriority w:val="0"/>
    <w:rPr>
      <w:kern w:val="2"/>
      <w:sz w:val="24"/>
      <w:szCs w:val="24"/>
    </w:rPr>
  </w:style>
  <w:style w:type="character" w:customStyle="1" w:styleId="375">
    <w:name w:val="arr"/>
    <w:autoRedefine/>
    <w:qFormat/>
    <w:uiPriority w:val="0"/>
    <w:rPr>
      <w:rFonts w:ascii="Times New Roman" w:hAnsi="Times New Roman" w:eastAsia="宋体" w:cs="Times New Roman"/>
    </w:rPr>
  </w:style>
  <w:style w:type="paragraph" w:customStyle="1" w:styleId="376">
    <w:name w:val="1表格"/>
    <w:autoRedefine/>
    <w:qFormat/>
    <w:uiPriority w:val="0"/>
    <w:pPr>
      <w:widowControl w:val="0"/>
      <w:snapToGrid w:val="0"/>
      <w:jc w:val="center"/>
      <w:outlineLvl w:val="4"/>
    </w:pPr>
    <w:rPr>
      <w:rFonts w:ascii="Times New Roman" w:hAnsi="Times New Roman" w:eastAsia="宋体" w:cs="Times New Roman"/>
      <w:spacing w:val="4"/>
      <w:kern w:val="2"/>
      <w:sz w:val="21"/>
      <w:szCs w:val="24"/>
      <w:lang w:val="en-US" w:eastAsia="zh-CN" w:bidi="ar-SA"/>
    </w:rPr>
  </w:style>
  <w:style w:type="paragraph" w:customStyle="1" w:styleId="377">
    <w:name w:val="Char Char Char3 Char"/>
    <w:basedOn w:val="1"/>
    <w:autoRedefine/>
    <w:qFormat/>
    <w:uiPriority w:val="0"/>
    <w:pPr>
      <w:spacing w:line="360" w:lineRule="auto"/>
      <w:ind w:firstLine="200" w:firstLineChars="200"/>
    </w:pPr>
    <w:rPr>
      <w:szCs w:val="22"/>
    </w:rPr>
  </w:style>
  <w:style w:type="paragraph" w:customStyle="1" w:styleId="378">
    <w:name w:val="Char Char Char Char Char Char Char Char Char Char Char Char Char1"/>
    <w:basedOn w:val="1"/>
    <w:autoRedefine/>
    <w:qFormat/>
    <w:uiPriority w:val="0"/>
    <w:rPr>
      <w:rFonts w:ascii="Tahoma" w:hAnsi="Tahoma"/>
      <w:sz w:val="24"/>
      <w:szCs w:val="20"/>
    </w:rPr>
  </w:style>
  <w:style w:type="character" w:customStyle="1" w:styleId="379">
    <w:name w:val="n08wdg4"/>
    <w:basedOn w:val="49"/>
    <w:autoRedefine/>
    <w:qFormat/>
    <w:uiPriority w:val="0"/>
  </w:style>
  <w:style w:type="character" w:customStyle="1" w:styleId="380">
    <w:name w:val="n94453b"/>
    <w:basedOn w:val="49"/>
    <w:autoRedefine/>
    <w:qFormat/>
    <w:uiPriority w:val="0"/>
  </w:style>
  <w:style w:type="character" w:customStyle="1" w:styleId="381">
    <w:name w:val="ypdn6ou"/>
    <w:basedOn w:val="49"/>
    <w:autoRedefine/>
    <w:qFormat/>
    <w:uiPriority w:val="0"/>
  </w:style>
  <w:style w:type="character" w:customStyle="1" w:styleId="382">
    <w:name w:val="jxw6x6"/>
    <w:basedOn w:val="49"/>
    <w:autoRedefine/>
    <w:qFormat/>
    <w:uiPriority w:val="0"/>
  </w:style>
  <w:style w:type="paragraph" w:customStyle="1" w:styleId="383">
    <w:name w:val="表格名称"/>
    <w:autoRedefine/>
    <w:qFormat/>
    <w:uiPriority w:val="30"/>
    <w:pPr>
      <w:spacing w:line="360" w:lineRule="auto"/>
      <w:jc w:val="center"/>
    </w:pPr>
    <w:rPr>
      <w:rFonts w:ascii="Times New Roman" w:hAnsi="Times New Roman" w:eastAsia="仿宋_GB2312" w:cs="Times New Roman"/>
      <w:b/>
      <w:color w:val="000000"/>
      <w:sz w:val="24"/>
      <w:szCs w:val="21"/>
      <w:lang w:val="en-US" w:eastAsia="zh-CN" w:bidi="ar-SA"/>
    </w:rPr>
  </w:style>
  <w:style w:type="paragraph" w:customStyle="1" w:styleId="384">
    <w:name w:val="WPSOffice手动目录 1"/>
    <w:qFormat/>
    <w:uiPriority w:val="0"/>
    <w:pPr>
      <w:ind w:leftChars="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 Type="http://schemas.openxmlformats.org/officeDocument/2006/relationships/footer" Target="footer7.xml"/><Relationship Id="rId8" Type="http://schemas.openxmlformats.org/officeDocument/2006/relationships/footer" Target="footer6.xml"/><Relationship Id="rId74" Type="http://schemas.openxmlformats.org/officeDocument/2006/relationships/fontTable" Target="fontTable.xml"/><Relationship Id="rId73" Type="http://schemas.openxmlformats.org/officeDocument/2006/relationships/numbering" Target="numbering.xml"/><Relationship Id="rId72" Type="http://schemas.openxmlformats.org/officeDocument/2006/relationships/customXml" Target="../customXml/item1.xml"/><Relationship Id="rId71" Type="http://schemas.openxmlformats.org/officeDocument/2006/relationships/image" Target="media/image53.jpeg"/><Relationship Id="rId70" Type="http://schemas.openxmlformats.org/officeDocument/2006/relationships/image" Target="media/image52.png"/><Relationship Id="rId7" Type="http://schemas.openxmlformats.org/officeDocument/2006/relationships/footer" Target="footer5.xml"/><Relationship Id="rId69" Type="http://schemas.openxmlformats.org/officeDocument/2006/relationships/image" Target="media/image51.png"/><Relationship Id="rId68" Type="http://schemas.openxmlformats.org/officeDocument/2006/relationships/image" Target="media/image50.png"/><Relationship Id="rId67" Type="http://schemas.openxmlformats.org/officeDocument/2006/relationships/image" Target="media/image49.png"/><Relationship Id="rId66" Type="http://schemas.openxmlformats.org/officeDocument/2006/relationships/image" Target="media/image48.png"/><Relationship Id="rId65" Type="http://schemas.openxmlformats.org/officeDocument/2006/relationships/image" Target="media/image47.png"/><Relationship Id="rId64" Type="http://schemas.openxmlformats.org/officeDocument/2006/relationships/image" Target="media/image46.png"/><Relationship Id="rId63" Type="http://schemas.openxmlformats.org/officeDocument/2006/relationships/image" Target="media/image45.png"/><Relationship Id="rId62" Type="http://schemas.openxmlformats.org/officeDocument/2006/relationships/image" Target="media/image44.png"/><Relationship Id="rId61" Type="http://schemas.openxmlformats.org/officeDocument/2006/relationships/image" Target="media/image43.png"/><Relationship Id="rId60" Type="http://schemas.openxmlformats.org/officeDocument/2006/relationships/image" Target="media/image42.png"/><Relationship Id="rId6" Type="http://schemas.openxmlformats.org/officeDocument/2006/relationships/footer" Target="footer4.xml"/><Relationship Id="rId59" Type="http://schemas.openxmlformats.org/officeDocument/2006/relationships/image" Target="media/image41.jpeg"/><Relationship Id="rId58" Type="http://schemas.openxmlformats.org/officeDocument/2006/relationships/image" Target="media/image40.jpeg"/><Relationship Id="rId57" Type="http://schemas.openxmlformats.org/officeDocument/2006/relationships/image" Target="media/image39.jpeg"/><Relationship Id="rId56" Type="http://schemas.openxmlformats.org/officeDocument/2006/relationships/image" Target="media/image38.jpeg"/><Relationship Id="rId55" Type="http://schemas.openxmlformats.org/officeDocument/2006/relationships/image" Target="media/image37.jpeg"/><Relationship Id="rId54" Type="http://schemas.openxmlformats.org/officeDocument/2006/relationships/image" Target="media/image36.jpeg"/><Relationship Id="rId53" Type="http://schemas.openxmlformats.org/officeDocument/2006/relationships/image" Target="media/image35.jpeg"/><Relationship Id="rId52" Type="http://schemas.openxmlformats.org/officeDocument/2006/relationships/image" Target="media/image34.jpeg"/><Relationship Id="rId51" Type="http://schemas.openxmlformats.org/officeDocument/2006/relationships/image" Target="media/image33.png"/><Relationship Id="rId50" Type="http://schemas.openxmlformats.org/officeDocument/2006/relationships/image" Target="media/image32.png"/><Relationship Id="rId5" Type="http://schemas.openxmlformats.org/officeDocument/2006/relationships/footer" Target="footer3.xml"/><Relationship Id="rId49" Type="http://schemas.openxmlformats.org/officeDocument/2006/relationships/image" Target="media/image31.jpeg"/><Relationship Id="rId48" Type="http://schemas.openxmlformats.org/officeDocument/2006/relationships/image" Target="media/image30.png"/><Relationship Id="rId47" Type="http://schemas.openxmlformats.org/officeDocument/2006/relationships/image" Target="media/image29.png"/><Relationship Id="rId46" Type="http://schemas.openxmlformats.org/officeDocument/2006/relationships/image" Target="media/image28.bmp"/><Relationship Id="rId45" Type="http://schemas.openxmlformats.org/officeDocument/2006/relationships/image" Target="media/image27.png"/><Relationship Id="rId44" Type="http://schemas.openxmlformats.org/officeDocument/2006/relationships/image" Target="media/image26.png"/><Relationship Id="rId43" Type="http://schemas.openxmlformats.org/officeDocument/2006/relationships/image" Target="media/image25.jpeg"/><Relationship Id="rId42" Type="http://schemas.openxmlformats.org/officeDocument/2006/relationships/image" Target="media/image24.jpeg"/><Relationship Id="rId41" Type="http://schemas.openxmlformats.org/officeDocument/2006/relationships/image" Target="media/image23.png"/><Relationship Id="rId40" Type="http://schemas.openxmlformats.org/officeDocument/2006/relationships/image" Target="media/image22.png"/><Relationship Id="rId4" Type="http://schemas.openxmlformats.org/officeDocument/2006/relationships/footer" Target="footer2.xml"/><Relationship Id="rId39" Type="http://schemas.openxmlformats.org/officeDocument/2006/relationships/hyperlink" Target="http://www.biaozhi.net/eNews/news/200602/0029_0000000909.shtml" TargetMode="External"/><Relationship Id="rId38" Type="http://schemas.openxmlformats.org/officeDocument/2006/relationships/image" Target="media/image21.png"/><Relationship Id="rId37" Type="http://schemas.openxmlformats.org/officeDocument/2006/relationships/image" Target="media/image20.png"/><Relationship Id="rId36" Type="http://schemas.openxmlformats.org/officeDocument/2006/relationships/image" Target="media/image19.png"/><Relationship Id="rId35" Type="http://schemas.openxmlformats.org/officeDocument/2006/relationships/image" Target="media/image18.png"/><Relationship Id="rId34" Type="http://schemas.openxmlformats.org/officeDocument/2006/relationships/image" Target="media/image17.png"/><Relationship Id="rId33" Type="http://schemas.openxmlformats.org/officeDocument/2006/relationships/image" Target="media/image16.png"/><Relationship Id="rId32" Type="http://schemas.openxmlformats.org/officeDocument/2006/relationships/image" Target="media/image15.png"/><Relationship Id="rId31" Type="http://schemas.openxmlformats.org/officeDocument/2006/relationships/image" Target="media/image14.png"/><Relationship Id="rId30" Type="http://schemas.openxmlformats.org/officeDocument/2006/relationships/image" Target="media/image13.png"/><Relationship Id="rId3" Type="http://schemas.openxmlformats.org/officeDocument/2006/relationships/footer" Target="footer1.xml"/><Relationship Id="rId29" Type="http://schemas.openxmlformats.org/officeDocument/2006/relationships/image" Target="media/image12.wmf"/><Relationship Id="rId28" Type="http://schemas.openxmlformats.org/officeDocument/2006/relationships/oleObject" Target="embeddings/oleObject5.bin"/><Relationship Id="rId27" Type="http://schemas.openxmlformats.org/officeDocument/2006/relationships/image" Target="media/image11.wmf"/><Relationship Id="rId26" Type="http://schemas.openxmlformats.org/officeDocument/2006/relationships/oleObject" Target="embeddings/oleObject4.bin"/><Relationship Id="rId25" Type="http://schemas.openxmlformats.org/officeDocument/2006/relationships/image" Target="media/image10.png"/><Relationship Id="rId24" Type="http://schemas.openxmlformats.org/officeDocument/2006/relationships/image" Target="media/image9.png"/><Relationship Id="rId23" Type="http://schemas.openxmlformats.org/officeDocument/2006/relationships/image" Target="media/image8.wmf"/><Relationship Id="rId22" Type="http://schemas.openxmlformats.org/officeDocument/2006/relationships/oleObject" Target="embeddings/oleObject3.bin"/><Relationship Id="rId21" Type="http://schemas.openxmlformats.org/officeDocument/2006/relationships/image" Target="media/image7.wmf"/><Relationship Id="rId20" Type="http://schemas.openxmlformats.org/officeDocument/2006/relationships/oleObject" Target="embeddings/oleObject2.bin"/><Relationship Id="rId2" Type="http://schemas.openxmlformats.org/officeDocument/2006/relationships/settings" Target="settings.xml"/><Relationship Id="rId19" Type="http://schemas.openxmlformats.org/officeDocument/2006/relationships/image" Target="media/image6.wmf"/><Relationship Id="rId18" Type="http://schemas.openxmlformats.org/officeDocument/2006/relationships/oleObject" Target="embeddings/oleObject1.bin"/><Relationship Id="rId17" Type="http://schemas.openxmlformats.org/officeDocument/2006/relationships/image" Target="media/image5.jpeg"/><Relationship Id="rId16" Type="http://schemas.openxmlformats.org/officeDocument/2006/relationships/image" Target="media/image4.jpeg"/><Relationship Id="rId15" Type="http://schemas.openxmlformats.org/officeDocument/2006/relationships/image" Target="media/image3.jpeg"/><Relationship Id="rId14" Type="http://schemas.openxmlformats.org/officeDocument/2006/relationships/image" Target="media/image2.jpeg"/><Relationship Id="rId13" Type="http://schemas.openxmlformats.org/officeDocument/2006/relationships/image" Target="media/image1.png"/><Relationship Id="rId12" Type="http://schemas.openxmlformats.org/officeDocument/2006/relationships/theme" Target="theme/theme1.xml"/><Relationship Id="rId11" Type="http://schemas.openxmlformats.org/officeDocument/2006/relationships/footer" Target="footer9.xml"/><Relationship Id="rId10" Type="http://schemas.openxmlformats.org/officeDocument/2006/relationships/footer" Target="footer8.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ops>
  <customShpExts>
    <customShpInfo spid="_x0000_s3085" textRotate="1"/>
    <customShpInfo spid="_x0000_s3078" textRotate="1"/>
    <customShpInfo spid="_x0000_s3088" textRotate="1"/>
    <customShpInfo spid="_x0000_s3083" textRotate="1"/>
    <customShpInfo spid="_x0000_s3086" textRotate="1"/>
    <customShpInfo spid="_x0000_s2131"/>
    <customShpInfo spid="_x0000_s2272"/>
    <customShpInfo spid="_x0000_s2270"/>
    <customShpInfo spid="_x0000_s2080"/>
    <customShpInfo spid="_x0000_s2067"/>
    <customShpInfo spid="_x0000_s2079"/>
    <customShpInfo spid="_x0000_s2076"/>
    <customShpInfo spid="_x0000_s2069"/>
    <customShpInfo spid="_x0000_s2075"/>
    <customShpInfo spid="_x0000_s2068"/>
    <customShpInfo spid="_x0000_s2087"/>
    <customShpInfo spid="_x0000_s2090"/>
    <customShpInfo spid="_x0000_s2101"/>
    <customShpInfo spid="_x0000_s2089"/>
    <customShpInfo spid="_x0000_s2098"/>
    <customShpInfo spid="_x0000_s2088"/>
    <customShpInfo spid="_x0000_s2105"/>
    <customShpInfo spid="_x0000_s2104"/>
    <customShpInfo spid="_x0000_s2106"/>
    <customShpInfo spid="_x0000_s2108"/>
    <customShpInfo spid="_x0000_s2110"/>
    <customShpInfo spid="_x0000_s2107"/>
    <customShpInfo spid="_x0000_s2102"/>
    <customShpInfo spid="_x0000_s2111"/>
    <customShpInfo spid="_x0000_s2112"/>
    <customShpInfo spid="_x0000_s2113"/>
    <customShpInfo spid="_x0000_s2117"/>
    <customShpInfo spid="_x0000_s2122"/>
    <customShpInfo spid="_x0000_s2118"/>
    <customShpInfo spid="_x0000_s2123"/>
    <customShpInfo spid="_x0000_s2121"/>
    <customShpInfo spid="_x0000_s2126"/>
    <customShpInfo spid="_x0000_s2124"/>
    <customShpInfo spid="_x0000_s2236"/>
    <customShpInfo spid="_x0000_s2125"/>
    <customShpInfo spid="_x0000_s2165"/>
    <customShpInfo spid="_x0000_s2214"/>
    <customShpInfo spid="_x0000_s2225"/>
    <customShpInfo spid="_x0000_s2245"/>
    <customShpInfo spid="_x0000_s2303"/>
    <customShpInfo spid="_x0000_s2316"/>
    <customShpInfo spid="_x0000_s2317"/>
    <customShpInfo spid="_x0000_s2318"/>
    <customShpInfo spid="_x0000_s2050"/>
    <customShpInfo spid="_x0000_s2052"/>
    <customShpInfo spid="_x0000_s2053"/>
    <customShpInfo spid="_x0000_s2054"/>
    <customShpInfo spid="_x0000_s2055"/>
    <customShpInfo spid="_x0000_s2051"/>
    <customShpInfo spid="_x0000_s2081"/>
    <customShpInfo spid="_x0000_s2073"/>
    <customShpInfo spid="_x0000_s2085"/>
    <customShpInfo spid="_x0000_s2083"/>
    <customShpInfo spid="_x0000_s2091"/>
    <customShpInfo spid="_x0000_s2093"/>
    <customShpInfo spid="_x0000_s2095"/>
    <customShpInfo spid="_x0000_s2096"/>
    <customShpInfo spid="_x0000_s2056"/>
    <customShpInfo spid="_x0000_s2082"/>
    <customShpInfo spid="_x0000_s2097"/>
    <customShpInfo spid="_x0000_s2099"/>
    <customShpInfo spid="_x0000_s2127"/>
    <customShpInfo spid="_x0000_s2129"/>
    <customShpInfo spid="_x0000_s2128"/>
    <customShpInfo spid="_x0000_s2163"/>
    <customShpInfo spid="_x0000_s2181"/>
    <customShpInfo spid="_x0000_s2227"/>
    <customShpInfo spid="_x0000_s2226"/>
    <customShpInfo spid="_x0000_s2237"/>
    <customShpInfo spid="_x0000_s2238"/>
    <customShpInfo spid="_x0000_s2241"/>
    <customShpInfo spid="_x0000_s2242"/>
    <customShpInfo spid="_x0000_s2243"/>
    <customShpInfo spid="_x0000_s2244"/>
    <customShpInfo spid="_x0000_s4413"/>
    <customShpInfo spid="_x0000_s2936"/>
    <customShpInfo spid="_x0000_s2940"/>
    <customShpInfo spid="_x0000_s2941"/>
    <customShpInfo spid="_x0000_s2944"/>
    <customShpInfo spid="_x0000_s2946"/>
    <customShpInfo spid="_x0000_s2950"/>
    <customShpInfo spid="_x0000_s2952"/>
    <customShpInfo spid="_x0000_s2951"/>
    <customShpInfo spid="_x0000_s2953"/>
    <customShpInfo spid="_x0000_s2954"/>
    <customShpInfo spid="_x0000_s2955"/>
    <customShpInfo spid="_x0000_s2956"/>
    <customShpInfo spid="_x0000_s2957"/>
    <customShpInfo spid="_x0000_s2958"/>
    <customShpInfo spid="_x0000_s2959"/>
    <customShpInfo spid="_x0000_s2960"/>
    <customShpInfo spid="_x0000_s2962"/>
    <customShpInfo spid="_x0000_s2961"/>
    <customShpInfo spid="_x0000_s2963"/>
    <customShpInfo spid="_x0000_s2964"/>
    <customShpInfo spid="_x0000_s2966"/>
    <customShpInfo spid="_x0000_s2965"/>
    <customShpInfo spid="_x0000_s2967"/>
    <customShpInfo spid="_x0000_s2968"/>
    <customShpInfo spid="_x0000_s2969"/>
    <customShpInfo spid="_x0000_s2970"/>
    <customShpInfo spid="_x0000_s2972"/>
    <customShpInfo spid="_x0000_s2973"/>
    <customShpInfo spid="_x0000_s2974"/>
    <customShpInfo spid="_x0000_s2975"/>
    <customShpInfo spid="_x0000_s2976"/>
    <customShpInfo spid="_x0000_s2982"/>
    <customShpInfo spid="_x0000_s2981"/>
    <customShpInfo spid="_x0000_s2987"/>
    <customShpInfo spid="_x0000_s2986"/>
    <customShpInfo spid="_x0000_s2985"/>
    <customShpInfo spid="_x0000_s2988"/>
    <customShpInfo spid="_x0000_s2989"/>
    <customShpInfo spid="_x0000_s2990"/>
    <customShpInfo spid="_x0000_s2992"/>
    <customShpInfo spid="_x0000_s2991"/>
    <customShpInfo spid="_x0000_s2993"/>
    <customShpInfo spid="_x0000_s2994"/>
    <customShpInfo spid="_x0000_s2995"/>
    <customShpInfo spid="_x0000_s2997"/>
    <customShpInfo spid="_x0000_s2996"/>
    <customShpInfo spid="_x0000_s3000"/>
    <customShpInfo spid="_x0000_s2998"/>
    <customShpInfo spid="_x0000_s2999"/>
    <customShpInfo spid="_x0000_s3001"/>
    <customShpInfo spid="_x0000_s3002"/>
    <customShpInfo spid="_x0000_s3003"/>
    <customShpInfo spid="_x0000_s3004"/>
    <customShpInfo spid="_x0000_s2057"/>
    <customShpInfo spid="_x0000_s2103"/>
    <customShpInfo spid="_x0000_s2109"/>
    <customShpInfo spid="_x0000_s2116"/>
    <customShpInfo spid="_x0000_s2119"/>
    <customShpInfo spid="_x0000_s2133"/>
    <customShpInfo spid="_x0000_s2135"/>
    <customShpInfo spid="_x0000_s2138"/>
    <customShpInfo spid="_x0000_s2150"/>
    <customShpInfo spid="_x0000_s2151"/>
    <customShpInfo spid="_x0000_s2152"/>
    <customShpInfo spid="_x0000_s2162"/>
    <customShpInfo spid="_x0000_s2175"/>
    <customShpInfo spid="_x0000_s2176"/>
    <customShpInfo spid="_x0000_s2189"/>
    <customShpInfo spid="_x0000_s2198"/>
    <customShpInfo spid="_x0000_s2200"/>
    <customShpInfo spid="_x0000_s2201"/>
    <customShpInfo spid="_x0000_s2204"/>
    <customShpInfo spid="_x0000_s2205"/>
    <customShpInfo spid="_x0000_s2213"/>
    <customShpInfo spid="_x0000_s2233"/>
    <customShpInfo spid="_x0000_s2260"/>
    <customShpInfo spid="_x0000_s2261"/>
    <customShpInfo spid="_x0000_s2262"/>
    <customShpInfo spid="_x0000_s2263"/>
    <customShpInfo spid="_x0000_s2264"/>
    <customShpInfo spid="_x0000_s2265"/>
    <customShpInfo spid="_x0000_s2266"/>
    <customShpInfo spid="_x0000_s2267"/>
    <customShpInfo spid="_x0000_s2280"/>
    <customShpInfo spid="_x0000_s2281"/>
    <customShpInfo spid="_x0000_s2282"/>
    <customShpInfo spid="_x0000_s2283"/>
    <customShpInfo spid="_x0000_s2284"/>
    <customShpInfo spid="_x0000_s2285"/>
    <customShpInfo spid="_x0000_s2286"/>
    <customShpInfo spid="_x0000_s2287"/>
    <customShpInfo spid="_x0000_s2288"/>
    <customShpInfo spid="_x0000_s2289"/>
    <customShpInfo spid="_x0000_s2290"/>
    <customShpInfo spid="_x0000_s2291"/>
    <customShpInfo spid="_x0000_s2292"/>
    <customShpInfo spid="_x0000_s2293"/>
    <customShpInfo spid="_x0000_s2294"/>
    <customShpInfo spid="_x0000_s2295"/>
    <customShpInfo spid="_x0000_s2296"/>
    <customShpInfo spid="_x0000_s2297"/>
    <customShpInfo spid="_x0000_s2298"/>
    <customShpInfo spid="_x0000_s2299"/>
    <customShpInfo spid="_x0000_s2300"/>
    <customShpInfo spid="_x0000_s2301"/>
    <customShpInfo spid="_x0000_s2302"/>
    <customShpInfo spid="_x0000_s2304"/>
    <customShpInfo spid="_x0000_s2305"/>
    <customShpInfo spid="_x0000_s2306"/>
    <customShpInfo spid="_x0000_s2307"/>
    <customShpInfo spid="_x0000_s2308"/>
    <customShpInfo spid="_x0000_s2309"/>
    <customShpInfo spid="_x0000_s2310"/>
    <customShpInfo spid="_x0000_s2311"/>
    <customShpInfo spid="_x0000_s2312"/>
    <customShpInfo spid="_x0000_s2313"/>
    <customShpInfo spid="_x0000_s2314"/>
    <customShpInfo spid="_x0000_s2315"/>
    <customShpInfo spid="_x0000_s2321"/>
    <customShpInfo spid="_x0000_s2322"/>
    <customShpInfo spid="_x0000_s2323"/>
    <customShpInfo spid="_x0000_s2324"/>
    <customShpInfo spid="_x0000_s2325"/>
    <customShpInfo spid="_x0000_s2326"/>
    <customShpInfo spid="_x0000_s2327"/>
    <customShpInfo spid="_x0000_s2328"/>
    <customShpInfo spid="_x0000_s2329"/>
    <customShpInfo spid="_x0000_s2330"/>
    <customShpInfo spid="_x0000_s2331"/>
    <customShpInfo spid="_x0000_s2332"/>
    <customShpInfo spid="_x0000_s2333"/>
    <customShpInfo spid="_x0000_s2334"/>
    <customShpInfo spid="_x0000_s2335"/>
    <customShpInfo spid="_x0000_s2336"/>
    <customShpInfo spid="_x0000_s2337"/>
    <customShpInfo spid="_x0000_s2338"/>
    <customShpInfo spid="_x0000_s2339"/>
    <customShpInfo spid="_x0000_s2340"/>
    <customShpInfo spid="_x0000_s2341"/>
    <customShpInfo spid="_x0000_s2348"/>
    <customShpInfo spid="_x0000_s2349"/>
    <customShpInfo spid="_x0000_s2350"/>
    <customShpInfo spid="_x0000_s2351"/>
    <customShpInfo spid="_x0000_s2353"/>
    <customShpInfo spid="_x0000_s2354"/>
    <customShpInfo spid="_x0000_s2355"/>
    <customShpInfo spid="_x0000_s2356"/>
    <customShpInfo spid="_x0000_s2363"/>
    <customShpInfo spid="_x0000_s2365"/>
    <customShpInfo spid="_x0000_s4415"/>
    <customShpInfo spid="_x0000_s4416"/>
    <customShpInfo spid="_x0000_s4417"/>
    <customShpInfo spid="_x0000_s4418"/>
    <customShpInfo spid="_x0000_s4419"/>
    <customShpInfo spid="_x0000_s4420"/>
    <customShpInfo spid="_x0000_s4421"/>
    <customShpInfo spid="_x0000_s4422"/>
    <customShpInfo spid="_x0000_s4423"/>
    <customShpInfo spid="_x0000_s4424"/>
    <customShpInfo spid="_x0000_s4425"/>
    <customShpInfo spid="_x0000_s4426"/>
    <customShpInfo spid="_x0000_s4427"/>
    <customShpInfo spid="_x0000_s4428"/>
    <customShpInfo spid="_x0000_s4429"/>
    <customShpInfo spid="_x0000_s4430"/>
    <customShpInfo spid="_x0000_s4431"/>
    <customShpInfo spid="_x0000_s4432"/>
    <customShpInfo spid="_x0000_s4433"/>
    <customShpInfo spid="_x0000_s4434"/>
    <customShpInfo spid="_x0000_s4435"/>
    <customShpInfo spid="_x0000_s4436"/>
    <customShpInfo spid="_x0000_s4437"/>
    <customShpInfo spid="_x0000_s4438"/>
    <customShpInfo spid="_x0000_s4439"/>
    <customShpInfo spid="_x0000_s4440"/>
    <customShpInfo spid="_x0000_s4441"/>
    <customShpInfo spid="_x0000_s4442"/>
    <customShpInfo spid="_x0000_s4414"/>
    <customShpInfo spid="_x0000_s3035"/>
    <customShpInfo spid="_x0000_s3036"/>
    <customShpInfo spid="_x0000_s3037"/>
    <customShpInfo spid="_x0000_s3038"/>
    <customShpInfo spid="_x0000_s3039"/>
    <customShpInfo spid="_x0000_s3040"/>
    <customShpInfo spid="_x0000_s3041"/>
    <customShpInfo spid="_x0000_s3042"/>
    <customShpInfo spid="_x0000_s3043"/>
    <customShpInfo spid="_x0000_s3044"/>
    <customShpInfo spid="_x0000_s3045"/>
    <customShpInfo spid="_x0000_s3034"/>
    <customShpInfo spid="_x0000_s3046"/>
    <customShpInfo spid="_x0000_s3047"/>
    <customShpInfo spid="_x0000_s3048"/>
    <customShpInfo spid="_x0000_s3050"/>
    <customShpInfo spid="_x0000_s3051"/>
    <customShpInfo spid="_x0000_s3052"/>
    <customShpInfo spid="_x0000_s3053"/>
    <customShpInfo spid="_x0000_s3049"/>
    <customShpInfo spid="_x0000_s4323"/>
    <customShpInfo spid="_x0000_s4325"/>
    <customShpInfo spid="_x0000_s2172"/>
    <customShpInfo spid="_x0000_s2169"/>
    <customShpInfo spid="_x0000_s2173"/>
    <customShpInfo spid="_x0000_s2174"/>
    <customShpInfo spid="_x0000_s2743"/>
    <customShpInfo spid="_x0000_s3055"/>
    <customShpInfo spid="_x0000_s3056"/>
    <customShpInfo spid="_x0000_s2177"/>
    <customShpInfo spid="_x0000_s4324"/>
    <customShpInfo spid="_x0000_s4326"/>
    <customShpInfo spid="_x0000_s4327"/>
    <customShpInfo spid="_x0000_s3058"/>
    <customShpInfo spid="_x0000_s3060"/>
    <customShpInfo spid="_x0000_s3061"/>
    <customShpInfo spid="_x0000_s3062"/>
    <customShpInfo spid="_x0000_s3063"/>
    <customShpInfo spid="_x0000_s3064"/>
    <customShpInfo spid="_x0000_s3065"/>
    <customShpInfo spid="_x0000_s3067"/>
    <customShpInfo spid="_x0000_s3068"/>
    <customShpInfo spid="_x0000_s3070"/>
    <customShpInfo spid="_x0000_s3071"/>
    <customShpInfo spid="_x0000_s4096"/>
    <customShpInfo spid="_x0000_s4097"/>
    <customShpInfo spid="_x0000_s4098"/>
    <customShpInfo spid="_x0000_s4099"/>
    <customShpInfo spid="_x0000_s4102"/>
    <customShpInfo spid="_x0000_s4181"/>
    <customShpInfo spid="_x0000_s4182"/>
    <customShpInfo spid="_x0000_s4183"/>
    <customShpInfo spid="_x0000_s2061"/>
    <customShpInfo spid="_x0000_s2062"/>
    <customShpInfo spid="_x0000_s2072"/>
    <customShpInfo spid="_x0000_s4189"/>
    <customShpInfo spid="_x0000_s4190"/>
    <customShpInfo spid="_x0000_s4191"/>
    <customShpInfo spid="_x0000_s4192"/>
    <customShpInfo spid="_x0000_s4193"/>
    <customShpInfo spid="_x0000_s4194"/>
    <customShpInfo spid="_x0000_s4196"/>
    <customShpInfo spid="_x0000_s4195"/>
    <customShpInfo spid="_x0000_s4320"/>
    <customShpInfo spid="_x0000_s4321"/>
    <customShpInfo spid="_x0000_s4328"/>
    <customShpInfo spid="_x0000_s4329"/>
    <customShpInfo spid="_x0000_s4330"/>
    <customShpInfo spid="_x0000_s4331"/>
    <customShpInfo spid="_x0000_s4332"/>
    <customShpInfo spid="_x0000_s4333"/>
    <customShpInfo spid="_x0000_s4334"/>
    <customShpInfo spid="_x0000_s4335"/>
    <customShpInfo spid="_x0000_s4336"/>
    <customShpInfo spid="_x0000_s4337"/>
    <customShpInfo spid="_x0000_s4338"/>
    <customShpInfo spid="_x0000_s4360"/>
    <customShpInfo spid="_x0000_s4359"/>
    <customShpInfo spid="_x0000_s4356"/>
    <customShpInfo spid="_x0000_s4354"/>
    <customShpInfo spid="_x0000_s4353"/>
    <customShpInfo spid="_x0000_s4345"/>
    <customShpInfo spid="_x0000_s4344"/>
    <customShpInfo spid="_x0000_s2145"/>
    <customShpInfo spid="_x0000_s2144"/>
    <customShpInfo spid="_x0000_s2142"/>
    <customShpInfo spid="_x0000_s2143"/>
    <customShpInfo spid="_x0000_s2164"/>
    <customShpInfo spid="_x0000_s2086"/>
    <customShpInfo spid="_x0000_s4358"/>
    <customShpInfo spid="_x0000_s4357"/>
    <customShpInfo spid="_x0000_s4352"/>
    <customShpInfo spid="_x0000_s4350"/>
    <customShpInfo spid="_x0000_s4351"/>
    <customShpInfo spid="_x0000_s4348"/>
    <customShpInfo spid="_x0000_s4347"/>
    <customShpInfo spid="_x0000_s2141"/>
    <customShpInfo spid="_x0000_s2166"/>
    <customShpInfo spid="_x0000_s4355"/>
    <customShpInfo spid="_x0000_s4346"/>
    <customShpInfo spid="_x0000_s2186"/>
    <customShpInfo spid="_x0000_s2074"/>
    <customShpInfo spid="_x0000_s4343"/>
    <customShpInfo spid="_x0000_s2185"/>
    <customShpInfo spid="_x0000_s2160"/>
    <customShpInfo spid="_x0000_s2187"/>
    <customShpInfo spid="_x0000_s2140"/>
    <customShpInfo spid="_x0000_s2188"/>
    <customShpInfo spid="_x0000_s4296"/>
    <customShpInfo spid="_x0000_s4295"/>
    <customShpInfo spid="_x0000_s2184"/>
    <customShpInfo spid="_x0000_s2183"/>
    <customShpInfo spid="_x0000_s2161"/>
    <customShpInfo spid="_x0000_s2180"/>
    <customShpInfo spid="_x0000_s2115"/>
    <customShpInfo spid="_x0000_s2078"/>
    <customShpInfo spid="_x0000_s2077"/>
    <customShpInfo spid="_x0000_s2114"/>
    <customShpInfo spid="_x0000_s4341"/>
    <customShpInfo spid="_x0000_s4297"/>
    <customShpInfo spid="_x0000_s2182"/>
    <customShpInfo spid="_x0000_s4303"/>
    <customShpInfo spid="_x0000_s4298"/>
    <customShpInfo spid="_x0000_s4268"/>
    <customShpInfo spid="_x0000_s2218"/>
    <customShpInfo spid="_x0000_s2168"/>
    <customShpInfo spid="_x0000_s2167"/>
    <customShpInfo spid="_x0000_s2157"/>
    <customShpInfo spid="_x0000_s2170"/>
    <customShpInfo spid="_x0000_s2149"/>
    <customShpInfo spid="_x0000_s4267"/>
    <customShpInfo spid="_x0000_s2197"/>
    <customShpInfo spid="_x0000_s2153"/>
    <customShpInfo spid="_x0000_s2194"/>
    <customShpInfo spid="_x0000_s2178"/>
    <customShpInfo spid="_x0000_s2148"/>
    <customShpInfo spid="_x0000_s2154"/>
    <customShpInfo spid="_x0000_s2155"/>
    <customShpInfo spid="_x0000_s2156"/>
    <customShpInfo spid="_x0000_s2158"/>
    <customShpInfo spid="_x0000_s2179"/>
    <customShpInfo spid="_x0000_s2171"/>
    <customShpInfo spid="_x0000_s2092"/>
    <customShpInfo spid="_x0000_s2130"/>
    <customShpInfo spid="_x0000_s2120"/>
    <customShpInfo spid="_x0000_s2136"/>
    <customShpInfo spid="_x0000_s2134"/>
    <customShpInfo spid="_x0000_s4340"/>
    <customShpInfo spid="_x0000_s4305"/>
    <customShpInfo spid="_x0000_s2159"/>
    <customShpInfo spid="_x0000_s4361"/>
    <customShpInfo spid="_x0000_s2276"/>
    <customShpInfo spid="_x0000_s2277"/>
    <customShpInfo spid="_x0000_s2278"/>
    <customShpInfo spid="_x0000_s2279"/>
    <customShpInfo spid="_x0000_s2219"/>
    <customShpInfo spid="_x0000_s2224"/>
    <customShpInfo spid="_x0000_s2249"/>
    <customShpInfo spid="_x0000_s2250"/>
    <customShpInfo spid="_x0000_s2253"/>
    <customShpInfo spid="_x0000_s2258"/>
    <customShpInfo spid="_x0000_s2251"/>
    <customShpInfo spid="_x0000_s2254"/>
    <customShpInfo spid="_x0000_s2255"/>
    <customShpInfo spid="_x0000_s2259"/>
    <customShpInfo spid="_x0000_s2256"/>
    <customShpInfo spid="_x0000_s2268"/>
    <customShpInfo spid="_x0000_s2273"/>
    <customShpInfo spid="_x0000_s2257"/>
    <customShpInfo spid="_x0000_s2252"/>
    <customShpInfo spid="_x0000_s2269"/>
    <customShpInfo spid="_x0000_s2271"/>
    <customShpInfo spid="_x0000_s2275"/>
    <customShpInfo spid="_x0000_s2274"/>
    <customShpInfo spid="_x0000_s4264"/>
    <customShpInfo spid="_x0000_s4265"/>
    <customShpInfo spid="_x0000_s4308"/>
    <customShpInfo spid="_x0000_s4309"/>
    <customShpInfo spid="_x0000_s4312"/>
    <customShpInfo spid="_x0000_s4310"/>
    <customShpInfo spid="_x0000_s4311"/>
    <customShpInfo spid="_x0000_s4313"/>
    <customShpInfo spid="_x0000_s4316"/>
    <customShpInfo spid="_x0000_s4315"/>
    <customShpInfo spid="_x0000_s4314"/>
    <customShpInfo spid="_x0000_s4317"/>
    <customShpInfo spid="_x0000_s4362"/>
    <customShpInfo spid="_x0000_s4363"/>
    <customShpInfo spid="_x0000_s4364"/>
    <customShpInfo spid="_x0000_s2229"/>
    <customShpInfo spid="_x0000_s2228"/>
    <customShpInfo spid="_x0000_s2132"/>
    <customShpInfo spid="_x0000_s2232"/>
    <customShpInfo spid="_x0000_s2231"/>
    <customShpInfo spid="_x0000_s2234"/>
    <customShpInfo spid="_x0000_s2235"/>
    <customShpInfo spid="_x0000_s4307"/>
    <customShpInfo spid="_x0000_s2058"/>
    <customShpInfo spid="_x0000_s2206"/>
    <customShpInfo spid="_x0000_s2207"/>
    <customShpInfo spid="_x0000_s2209"/>
    <customShpInfo spid="_x0000_s2208"/>
    <customShpInfo spid="_x0000_s2211"/>
    <customShpInfo spid="_x0000_s2210"/>
    <customShpInfo spid="_x0000_s4366"/>
    <customShpInfo spid="_x0000_s4367"/>
    <customShpInfo spid="_x0000_s4368"/>
    <customShpInfo spid="_x0000_s4369"/>
    <customShpInfo spid="_x0000_s4370"/>
    <customShpInfo spid="_x0000_s4371"/>
    <customShpInfo spid="_x0000_s4372"/>
    <customShpInfo spid="_x0000_s4373"/>
    <customShpInfo spid="_x0000_s4374"/>
    <customShpInfo spid="_x0000_s4375"/>
    <customShpInfo spid="_x0000_s4376"/>
    <customShpInfo spid="_x0000_s4377"/>
    <customShpInfo spid="_x0000_s4378"/>
    <customShpInfo spid="_x0000_s4379"/>
    <customShpInfo spid="_x0000_s4380"/>
    <customShpInfo spid="_x0000_s4381"/>
    <customShpInfo spid="_x0000_s4382"/>
    <customShpInfo spid="_x0000_s4383"/>
    <customShpInfo spid="_x0000_s4385"/>
    <customShpInfo spid="_x0000_s4386"/>
    <customShpInfo spid="_x0000_s4387"/>
    <customShpInfo spid="_x0000_s4388"/>
    <customShpInfo spid="_x0000_s4389"/>
    <customShpInfo spid="_x0000_s4390"/>
    <customShpInfo spid="_x0000_s4392"/>
    <customShpInfo spid="_x0000_s4396"/>
    <customShpInfo spid="_x0000_s4397"/>
    <customShpInfo spid="_x0000_s4398"/>
    <customShpInfo spid="_x0000_s4399"/>
    <customShpInfo spid="_x0000_s4400"/>
    <customShpInfo spid="_x0000_s4401"/>
    <customShpInfo spid="_x0000_s4402"/>
    <customShpInfo spid="_x0000_s4403"/>
    <customShpInfo spid="_x0000_s4404"/>
    <customShpInfo spid="_x0000_s4405"/>
    <customShpInfo spid="_x0000_s4406"/>
    <customShpInfo spid="_x0000_s4407"/>
    <customShpInfo spid="_x0000_s4408"/>
    <customShpInfo spid="_x0000_s4409"/>
    <customShpInfo spid="_x0000_s4410"/>
    <customShpInfo spid="_x0000_s4411"/>
    <customShpInfo spid="_x0000_s4412"/>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wdzx97.dot</Template>
  <Company>微软中国</Company>
  <Pages>116</Pages>
  <Words>259</Words>
  <Characters>271</Characters>
  <Lines>320</Lines>
  <Paragraphs>90</Paragraphs>
  <TotalTime>8</TotalTime>
  <ScaleCrop>false</ScaleCrop>
  <LinksUpToDate>false</LinksUpToDate>
  <CharactersWithSpaces>358</CharactersWithSpaces>
  <Application>WPS Office_12.1.0.21541_F1E327BC-269C-435d-A152-05C5408002CA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2023-10-10T00:44:00Z</dcterms:created>
  <dc:creator>lhj</dc:creator>
  <cp:lastModifiedBy>轩</cp:lastModifiedBy>
  <cp:lastPrinted>2025-06-05T00:50:00Z</cp:lastPrinted>
  <dcterms:modified xsi:type="dcterms:W3CDTF">2025-06-17T05:01:13Z</dcterms:modified>
  <dc:title>附件2</dc:title>
  <cp:revision>85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ICV">
    <vt:lpwstr>2C7E12A33A3642ACB98E26BC7A6FE9FB_13</vt:lpwstr>
  </property>
  <property fmtid="{D5CDD505-2E9C-101B-9397-08002B2CF9AE}" pid="4" name="KSOTemplateDocerSaveRecord">
    <vt:lpwstr>eyJoZGlkIjoiOTkwNWU4YjU5MTZkNTM0ZjdmOGNiMjRkNzk2ZDY4ZjIiLCJ1c2VySWQiOiI2MDEyMzk5MDUifQ==</vt:lpwstr>
  </property>
</Properties>
</file>